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drawings/drawing3.xml" ContentType="application/vnd.openxmlformats-officedocument.drawingml.chartshapes+xml"/>
  <Override PartName="/word/charts/chart5.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Override PartName="/word/charts/colors4.xml" ContentType="application/vnd.ms-office.chartcolorstyle+xml"/>
  <Override PartName="/word/charts/style4.xml" ContentType="application/vnd.ms-office.chartstyle+xml"/>
  <Override PartName="/word/charts/colors5.xml" ContentType="application/vnd.ms-office.chartcolorstyle+xml"/>
  <Override PartName="/word/charts/style5.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A69BDFEA-976F-4E14-A741-7928CCF19091" style="width:450.8pt;height:307.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Rfrenceinterne"/>
        <w:rPr>
          <w:noProof/>
        </w:rPr>
      </w:pPr>
      <w:bookmarkStart w:id="1" w:name="_GoBack"/>
      <w:bookmarkEnd w:id="1"/>
      <w:r>
        <w:rPr>
          <w:noProof/>
        </w:rPr>
        <w:lastRenderedPageBreak/>
        <w:t>REPORT FROM THE COMMISSION TO THE EUROPEAN PARLIAMENT AND TO THE COUNCIL</w:t>
      </w:r>
    </w:p>
    <w:p>
      <w:pPr>
        <w:jc w:val="center"/>
        <w:rPr>
          <w:rFonts w:ascii="Times New Roman" w:hAnsi="Times New Roman" w:cs="Times New Roman"/>
          <w:noProof/>
        </w:rPr>
      </w:pPr>
      <w:bookmarkStart w:id="2" w:name="_Toc197163672"/>
      <w:r>
        <w:rPr>
          <w:rFonts w:ascii="Times New Roman" w:hAnsi="Times New Roman" w:cs="Times New Roman"/>
          <w:b/>
          <w:bCs/>
          <w:noProof/>
          <w:color w:val="000000"/>
          <w:sz w:val="24"/>
          <w:szCs w:val="24"/>
          <w:lang w:val="en-US"/>
        </w:rPr>
        <w:t>pursuant to Article 77 of the Staff Regulations of Officials</w:t>
      </w:r>
    </w:p>
    <w:bookmarkEnd w:id="2"/>
    <w:p>
      <w:pPr>
        <w:pStyle w:val="Heading1"/>
        <w:rPr>
          <w:noProof/>
        </w:rPr>
      </w:pPr>
      <w:r>
        <w:rPr>
          <w:noProof/>
        </w:rPr>
        <w:t>Legal basis</w:t>
      </w:r>
    </w:p>
    <w:p>
      <w:pPr>
        <w:pStyle w:val="Text1"/>
        <w:numPr>
          <w:ilvl w:val="0"/>
          <w:numId w:val="0"/>
        </w:numPr>
        <w:rPr>
          <w:noProof/>
          <w:lang w:val="en-US"/>
        </w:rPr>
      </w:pPr>
      <w:r>
        <w:rPr>
          <w:noProof/>
          <w:lang w:val="en-US"/>
        </w:rPr>
        <w:t>Article 77 of the Staff Regulations as last amended in 2013</w:t>
      </w:r>
      <w:r>
        <w:rPr>
          <w:noProof/>
          <w:vertAlign w:val="superscript"/>
          <w:lang w:val="en-US"/>
        </w:rPr>
        <w:footnoteReference w:id="1"/>
      </w:r>
      <w:r>
        <w:rPr>
          <w:noProof/>
          <w:lang w:val="en-US"/>
        </w:rPr>
        <w:t xml:space="preserve"> provides that the pensionable age shall be assessed every five years starting on 1 January 2014 on the basis of a report by the Commission to the European Parliament and to the Council. The report shall examine, in particular, the evolution of pensionable age for staff in the civil services of the Member States and the evolution of life expectancy of officials of the institutions. </w:t>
      </w:r>
    </w:p>
    <w:p>
      <w:pPr>
        <w:pStyle w:val="Text1"/>
        <w:numPr>
          <w:ilvl w:val="0"/>
          <w:numId w:val="0"/>
        </w:numPr>
        <w:rPr>
          <w:noProof/>
          <w:lang w:val="en-US"/>
        </w:rPr>
      </w:pPr>
      <w:r>
        <w:rPr>
          <w:noProof/>
          <w:lang w:val="en-US"/>
        </w:rPr>
        <w:t>The co-legislators also decided that where appropriate, the Commission shall make a proposal amending the pensionable age in line with the conclusions of that report, paying particular attention to developments in the Member States.</w:t>
      </w:r>
    </w:p>
    <w:p>
      <w:pPr>
        <w:pStyle w:val="Text1"/>
        <w:numPr>
          <w:ilvl w:val="0"/>
          <w:numId w:val="0"/>
        </w:numPr>
        <w:rPr>
          <w:noProof/>
          <w:lang w:val="en-US"/>
        </w:rPr>
      </w:pPr>
      <w:r>
        <w:rPr>
          <w:noProof/>
          <w:lang w:val="en-US"/>
        </w:rPr>
        <w:t xml:space="preserve">This report implements the aforementioned provision by examining notably the evolution of pensionable age for staff in the civil services of the Member States and the evolution of life expectancy of officials of the institutions between 2014 and 2018. </w:t>
      </w:r>
    </w:p>
    <w:p>
      <w:pPr>
        <w:pStyle w:val="Heading1"/>
        <w:numPr>
          <w:ilvl w:val="0"/>
          <w:numId w:val="3"/>
        </w:numPr>
        <w:rPr>
          <w:noProof/>
        </w:rPr>
      </w:pPr>
      <w:bookmarkStart w:id="3" w:name="_Toc197163673"/>
      <w:r>
        <w:rPr>
          <w:noProof/>
        </w:rPr>
        <w:t>Scope of the Report</w:t>
      </w:r>
    </w:p>
    <w:p>
      <w:pPr>
        <w:pStyle w:val="Text1"/>
        <w:numPr>
          <w:ilvl w:val="0"/>
          <w:numId w:val="0"/>
        </w:numPr>
        <w:rPr>
          <w:noProof/>
          <w:lang w:val="en-US"/>
        </w:rPr>
      </w:pPr>
      <w:r>
        <w:rPr>
          <w:noProof/>
          <w:lang w:val="en-US"/>
        </w:rPr>
        <w:t>Under Article 77 of the Staff Regulations, the evolution of the pensionable age for staff in the civil services of the Member States and the evolution of life expectancy of officials of the institutions should be assessed every five years, thereby providing a five-year reference period between 1 January 2014 and 31 December 2018 for this report.</w:t>
      </w:r>
    </w:p>
    <w:p>
      <w:pPr>
        <w:pStyle w:val="Text1"/>
        <w:numPr>
          <w:ilvl w:val="0"/>
          <w:numId w:val="0"/>
        </w:numPr>
        <w:rPr>
          <w:noProof/>
          <w:lang w:val="en-US"/>
        </w:rPr>
      </w:pPr>
      <w:r>
        <w:rPr>
          <w:noProof/>
          <w:lang w:val="en-US"/>
        </w:rPr>
        <w:t>The co-legislators provided a material scope encompassing both the evolution of pensionable age for staff in the civil services of the Member States and the evolution of life expectancy of officials of the institutions. In addition, it specified that</w:t>
      </w:r>
      <w:r>
        <w:rPr>
          <w:noProof/>
        </w:rPr>
        <w:t xml:space="preserve"> </w:t>
      </w:r>
      <w:r>
        <w:rPr>
          <w:noProof/>
          <w:lang w:val="en-US"/>
        </w:rPr>
        <w:t>when assessing the possibility to amend pensionable age, the Commission should pay particular attention to the developments in the Member States.</w:t>
      </w:r>
    </w:p>
    <w:p>
      <w:pPr>
        <w:pStyle w:val="Text1"/>
        <w:numPr>
          <w:ilvl w:val="0"/>
          <w:numId w:val="0"/>
        </w:numPr>
        <w:rPr>
          <w:noProof/>
          <w:lang w:val="en-US"/>
        </w:rPr>
      </w:pPr>
      <w:r>
        <w:rPr>
          <w:noProof/>
          <w:lang w:val="en-US"/>
        </w:rPr>
        <w:t>Following the United Kingdom's withdrawal from the European Union on 1 February 2020, no data are reported for the United Kingdom. Indeed, the analysis carried out in the report will serve as a basis for future action. Therefore, whilst fully acknowledging the fact that the United Kingdom was a Member State during the reference period, it does not seem appropriate at this stage to include data referring to the situation in the United Kingdom.</w:t>
      </w:r>
    </w:p>
    <w:p>
      <w:pPr>
        <w:pStyle w:val="Heading1"/>
        <w:numPr>
          <w:ilvl w:val="0"/>
          <w:numId w:val="3"/>
        </w:numPr>
        <w:rPr>
          <w:noProof/>
        </w:rPr>
      </w:pPr>
      <w:r>
        <w:rPr>
          <w:noProof/>
        </w:rPr>
        <w:t>Background information</w:t>
      </w:r>
    </w:p>
    <w:p>
      <w:pPr>
        <w:pStyle w:val="Heading2"/>
        <w:numPr>
          <w:ilvl w:val="1"/>
          <w:numId w:val="3"/>
        </w:numPr>
        <w:tabs>
          <w:tab w:val="clear" w:pos="850"/>
          <w:tab w:val="num" w:pos="1202"/>
        </w:tabs>
        <w:spacing w:before="0" w:after="240"/>
        <w:ind w:left="1202" w:hanging="720"/>
        <w:rPr>
          <w:noProof/>
          <w:lang w:eastAsia="fr-BE"/>
        </w:rPr>
      </w:pPr>
      <w:r>
        <w:rPr>
          <w:noProof/>
          <w:lang w:eastAsia="fr-BE"/>
        </w:rPr>
        <w:t>Collection of data</w:t>
      </w:r>
    </w:p>
    <w:p>
      <w:pPr>
        <w:pStyle w:val="Text1"/>
        <w:numPr>
          <w:ilvl w:val="0"/>
          <w:numId w:val="0"/>
        </w:numPr>
        <w:rPr>
          <w:noProof/>
          <w:lang w:val="en-US"/>
        </w:rPr>
      </w:pPr>
      <w:r>
        <w:rPr>
          <w:noProof/>
          <w:lang w:val="en-US"/>
        </w:rPr>
        <w:t>Eurostat requested experts from the Member States to provide annually data in the framework of the Working Group on Article 83 of the Staff Regulations. The latter is competent to deal with any question concerning the methodology of implementation of Annex XII to the Staff Regulations in cooperation with Eurostat.</w:t>
      </w:r>
    </w:p>
    <w:p>
      <w:pPr>
        <w:pStyle w:val="Text1"/>
        <w:numPr>
          <w:ilvl w:val="0"/>
          <w:numId w:val="0"/>
        </w:numPr>
        <w:rPr>
          <w:noProof/>
          <w:lang w:val="en-US"/>
        </w:rPr>
      </w:pPr>
      <w:r>
        <w:rPr>
          <w:noProof/>
          <w:lang w:val="en-US"/>
        </w:rPr>
        <w:t>In order to comply with its reporting obligation and in line with Article 4(3) of the Treaty on the European Union, the European Commission requested the delegates of the Member States in the Article 83 Working Group to provide and confirm by the end of 2019 the reliability of data concerning their respective civil services’ pensions systems. This concerned in particular the applicable pensionable age during the reference period and other modalities of functioning of the pension schemes.</w:t>
      </w:r>
    </w:p>
    <w:p>
      <w:pPr>
        <w:pStyle w:val="Heading2"/>
        <w:numPr>
          <w:ilvl w:val="1"/>
          <w:numId w:val="3"/>
        </w:numPr>
        <w:tabs>
          <w:tab w:val="clear" w:pos="850"/>
          <w:tab w:val="num" w:pos="1202"/>
        </w:tabs>
        <w:spacing w:before="0" w:after="240"/>
        <w:ind w:left="1202" w:hanging="720"/>
        <w:rPr>
          <w:noProof/>
          <w:lang w:eastAsia="fr-BE"/>
        </w:rPr>
      </w:pPr>
      <w:r>
        <w:rPr>
          <w:noProof/>
          <w:lang w:eastAsia="fr-BE"/>
        </w:rPr>
        <w:t>Methodological aspects</w:t>
      </w:r>
    </w:p>
    <w:p>
      <w:pPr>
        <w:pStyle w:val="Text1"/>
        <w:numPr>
          <w:ilvl w:val="0"/>
          <w:numId w:val="0"/>
        </w:numPr>
        <w:rPr>
          <w:noProof/>
          <w:lang w:val="en-US"/>
        </w:rPr>
      </w:pPr>
      <w:r>
        <w:rPr>
          <w:noProof/>
          <w:lang w:val="en-US"/>
        </w:rPr>
        <w:t xml:space="preserve">Comparison of pension benefits across Member States is only possible to a certain extent, as structural differences among pension schemes exist. In particular, schemes for civil servants in central services of Member States may not cover the same populations, i.e. schemes in the Member States cover alternatively central government officials, all public sector civil servants, or capture the general working population together with civil servants in central governments. </w:t>
      </w:r>
    </w:p>
    <w:p>
      <w:pPr>
        <w:pStyle w:val="Text1"/>
        <w:numPr>
          <w:ilvl w:val="0"/>
          <w:numId w:val="0"/>
        </w:numPr>
        <w:rPr>
          <w:noProof/>
          <w:lang w:val="en-US"/>
        </w:rPr>
      </w:pPr>
      <w:r>
        <w:rPr>
          <w:noProof/>
          <w:lang w:val="en-US"/>
        </w:rPr>
        <w:t xml:space="preserve">In addition, certain national schemes are “pay as you go” (i.e. where the pension contributions of those working are redistributed to those in retirement) by contrast to the ones in which employees contribute for their own upcoming pensions. Moreover, </w:t>
      </w:r>
      <w:r>
        <w:rPr>
          <w:noProof/>
        </w:rPr>
        <w:t>certain national schemes provide for gender-gapped retirement ages.</w:t>
      </w:r>
    </w:p>
    <w:p>
      <w:pPr>
        <w:pStyle w:val="Text1"/>
        <w:numPr>
          <w:ilvl w:val="0"/>
          <w:numId w:val="0"/>
        </w:numPr>
        <w:rPr>
          <w:noProof/>
          <w:lang w:val="en-US"/>
        </w:rPr>
      </w:pPr>
      <w:r>
        <w:rPr>
          <w:noProof/>
          <w:lang w:val="en-US"/>
        </w:rPr>
        <w:t>As confirmed by the case law of the EU courts</w:t>
      </w:r>
      <w:r>
        <w:rPr>
          <w:rStyle w:val="FootnoteReference"/>
          <w:noProof/>
          <w:lang w:val="en-US"/>
        </w:rPr>
        <w:footnoteReference w:id="2"/>
      </w:r>
      <w:r>
        <w:rPr>
          <w:noProof/>
          <w:lang w:val="en-US"/>
        </w:rPr>
        <w:t>, the pension scheme for EU officials is a notional (virtual) fund with defined benefits, in which staff member’s contributions serve to finance the future pensions of those contributing. The contributions actually cover the cost of the pension rights acquired in a given year and are in no way linked to that year’s pension expenditure</w:t>
      </w:r>
      <w:r>
        <w:rPr>
          <w:rStyle w:val="FootnoteReference"/>
          <w:noProof/>
          <w:lang w:val="en-US"/>
        </w:rPr>
        <w:footnoteReference w:id="3"/>
      </w:r>
      <w:r>
        <w:rPr>
          <w:noProof/>
          <w:lang w:val="en-US"/>
        </w:rPr>
        <w:t>.</w:t>
      </w:r>
    </w:p>
    <w:p>
      <w:pPr>
        <w:pStyle w:val="Heading2"/>
        <w:numPr>
          <w:ilvl w:val="1"/>
          <w:numId w:val="3"/>
        </w:numPr>
        <w:tabs>
          <w:tab w:val="clear" w:pos="850"/>
          <w:tab w:val="num" w:pos="1202"/>
        </w:tabs>
        <w:spacing w:before="0" w:after="240"/>
        <w:ind w:left="1202" w:hanging="720"/>
        <w:rPr>
          <w:noProof/>
          <w:lang w:eastAsia="fr-BE"/>
        </w:rPr>
      </w:pPr>
      <w:r>
        <w:rPr>
          <w:noProof/>
          <w:lang w:eastAsia="fr-BE"/>
        </w:rPr>
        <w:t xml:space="preserve">Definition of normal pensionable age </w:t>
      </w:r>
    </w:p>
    <w:p>
      <w:pPr>
        <w:pStyle w:val="Text1"/>
        <w:numPr>
          <w:ilvl w:val="0"/>
          <w:numId w:val="0"/>
        </w:numPr>
        <w:rPr>
          <w:noProof/>
          <w:lang w:val="en-US"/>
        </w:rPr>
      </w:pPr>
      <w:r>
        <w:rPr>
          <w:noProof/>
          <w:lang w:val="en-US"/>
        </w:rPr>
        <w:t>Article 77 of the Staff Regulations refers to the pensionable age, which is also referred to as normal pensionable age. This term corresponds to the age at which EU staff automatically retire without a financial penalty. As of 1 January 2014, the normal pensionable age for the EU staff has been increased to 66 years for staff recruited as of 2014. Transitional provisions apply for staff recruited before that date.</w:t>
      </w:r>
    </w:p>
    <w:p>
      <w:pPr>
        <w:pStyle w:val="Text1"/>
        <w:numPr>
          <w:ilvl w:val="0"/>
          <w:numId w:val="0"/>
        </w:numPr>
        <w:rPr>
          <w:noProof/>
          <w:lang w:val="en-US"/>
        </w:rPr>
      </w:pPr>
      <w:r>
        <w:rPr>
          <w:noProof/>
          <w:lang w:val="en-US"/>
        </w:rPr>
        <w:t>There are two derogations to the normal pensionable age:</w:t>
      </w:r>
    </w:p>
    <w:p>
      <w:pPr>
        <w:pStyle w:val="Text1"/>
        <w:rPr>
          <w:noProof/>
          <w:lang w:val="en-US"/>
        </w:rPr>
      </w:pPr>
      <w:r>
        <w:rPr>
          <w:noProof/>
          <w:lang w:val="en-US"/>
        </w:rPr>
        <w:t>First, staff members may ask for an early retirement, i.e. retirement before reaching a normal pensionable age. As of 1 January 2014, early retirement age has been increased to 58 years for all staff. Early retirement always results in a significant financial penalty</w:t>
      </w:r>
      <w:r>
        <w:rPr>
          <w:rStyle w:val="FootnoteReference"/>
          <w:noProof/>
          <w:lang w:val="en-US"/>
        </w:rPr>
        <w:footnoteReference w:id="4"/>
      </w:r>
      <w:r>
        <w:rPr>
          <w:noProof/>
          <w:lang w:val="en-US"/>
        </w:rPr>
        <w:t xml:space="preserve">. </w:t>
      </w:r>
    </w:p>
    <w:p>
      <w:pPr>
        <w:pStyle w:val="Text1"/>
        <w:rPr>
          <w:noProof/>
          <w:lang w:val="en-US"/>
        </w:rPr>
      </w:pPr>
      <w:r>
        <w:rPr>
          <w:noProof/>
          <w:lang w:val="en-US"/>
        </w:rPr>
        <w:t>Second, staff members may, at their own request and where the appointing authority considers it justified in the interest of the service, carry on working until the age of 67. Exceptionally, staff members may work until the age of 70, in which case they shall be retired automatically on the last day of the month in which they reach that age.</w:t>
      </w:r>
    </w:p>
    <w:bookmarkEnd w:id="3"/>
    <w:p>
      <w:pPr>
        <w:pStyle w:val="Heading1"/>
        <w:numPr>
          <w:ilvl w:val="0"/>
          <w:numId w:val="3"/>
        </w:numPr>
        <w:rPr>
          <w:noProof/>
        </w:rPr>
      </w:pPr>
      <w:r>
        <w:rPr>
          <w:noProof/>
        </w:rPr>
        <w:t>Evolution of the respective pensionable age of civils servants in central services of the Member States</w:t>
      </w:r>
    </w:p>
    <w:p>
      <w:pPr>
        <w:pStyle w:val="Text1"/>
        <w:numPr>
          <w:ilvl w:val="0"/>
          <w:numId w:val="0"/>
        </w:numPr>
        <w:rPr>
          <w:noProof/>
          <w:lang w:val="en-US"/>
        </w:rPr>
      </w:pPr>
      <w:r>
        <w:rPr>
          <w:noProof/>
          <w:lang w:val="en-US"/>
        </w:rPr>
        <w:t>The charts below illustrate the evolution of normal pensionable age, the minimum pensionable age and the maximum pensionable age for the staff in central civil services of the Member States</w:t>
      </w:r>
      <w:r>
        <w:rPr>
          <w:rStyle w:val="FootnoteReference"/>
          <w:noProof/>
          <w:lang w:val="en-US"/>
        </w:rPr>
        <w:footnoteReference w:id="5"/>
      </w:r>
      <w:r>
        <w:rPr>
          <w:noProof/>
          <w:lang w:val="en-US"/>
        </w:rPr>
        <w:t xml:space="preserve">. </w:t>
      </w:r>
      <w:r>
        <w:rPr>
          <w:noProof/>
        </w:rPr>
        <w:t>Member States not referenced in the tables either did not provide Eurostat with data or do not have a minimum or maximum pensionable age.</w:t>
      </w:r>
    </w:p>
    <w:p>
      <w:pPr>
        <w:pStyle w:val="Heading2"/>
        <w:numPr>
          <w:ilvl w:val="1"/>
          <w:numId w:val="3"/>
        </w:numPr>
        <w:tabs>
          <w:tab w:val="clear" w:pos="850"/>
          <w:tab w:val="num" w:pos="1202"/>
        </w:tabs>
        <w:spacing w:before="0" w:after="240"/>
        <w:ind w:left="1202" w:hanging="720"/>
        <w:rPr>
          <w:noProof/>
          <w:lang w:eastAsia="fr-BE"/>
        </w:rPr>
      </w:pPr>
      <w:r>
        <w:rPr>
          <w:noProof/>
          <w:lang w:eastAsia="fr-BE"/>
        </w:rPr>
        <w:t xml:space="preserve"> Normal pensionable age in the central civil services of Member States  </w:t>
      </w:r>
    </w:p>
    <w:p>
      <w:pPr>
        <w:pStyle w:val="Heading2"/>
        <w:rPr>
          <w:noProof/>
        </w:rPr>
      </w:pPr>
      <w:r>
        <w:rPr>
          <w:noProof/>
          <w:lang w:eastAsia="en-GB"/>
        </w:rPr>
        <w:drawing>
          <wp:inline distT="0" distB="0" distL="0" distR="0">
            <wp:extent cx="5873115" cy="7153275"/>
            <wp:effectExtent l="0" t="0" r="1333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rPr>
          <w:noProof/>
          <w:lang w:eastAsia="de-DE"/>
        </w:rPr>
      </w:pPr>
    </w:p>
    <w:p>
      <w:pPr>
        <w:pStyle w:val="Heading2"/>
        <w:numPr>
          <w:ilvl w:val="1"/>
          <w:numId w:val="3"/>
        </w:numPr>
        <w:tabs>
          <w:tab w:val="clear" w:pos="850"/>
          <w:tab w:val="num" w:pos="1202"/>
        </w:tabs>
        <w:spacing w:before="0" w:after="240"/>
        <w:ind w:left="1202" w:hanging="720"/>
        <w:rPr>
          <w:noProof/>
          <w:lang w:eastAsia="fr-BE"/>
        </w:rPr>
      </w:pPr>
      <w:r>
        <w:rPr>
          <w:noProof/>
          <w:lang w:eastAsia="fr-BE"/>
        </w:rPr>
        <w:t xml:space="preserve"> Minimum pensionable age</w:t>
      </w:r>
    </w:p>
    <w:p>
      <w:pPr>
        <w:pStyle w:val="Text1"/>
        <w:numPr>
          <w:ilvl w:val="0"/>
          <w:numId w:val="0"/>
        </w:numPr>
        <w:rPr>
          <w:noProof/>
          <w:lang w:val="en-US"/>
        </w:rPr>
      </w:pPr>
      <w:r>
        <w:rPr>
          <w:noProof/>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2910840</wp:posOffset>
            </wp:positionV>
            <wp:extent cx="232410" cy="154940"/>
            <wp:effectExtent l="0" t="0" r="0" b="0"/>
            <wp:wrapNone/>
            <wp:docPr id="45" name="Picture 45" descr="Amazon.com : European Union (EU) Flag - 3 foot by 5 foot Polyester (New) :  Garden &amp; Outdoor">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azon.com : European Union (EU) Flag - 3 foot by 5 foot Polyester (New) :  Garden &amp; Outdoor">
                      <a:hlinkClick r:id="rId17" tgtFrame="&quot;_blank&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2410" cy="154940"/>
                    </a:xfrm>
                    <a:prstGeom prst="rect">
                      <a:avLst/>
                    </a:prstGeom>
                    <a:noFill/>
                    <a:ln>
                      <a:noFill/>
                    </a:ln>
                  </pic:spPr>
                </pic:pic>
              </a:graphicData>
            </a:graphic>
          </wp:anchor>
        </w:drawing>
      </w:r>
      <w:r>
        <w:rPr>
          <w:noProof/>
          <w:lang w:eastAsia="en-GB"/>
        </w:rPr>
        <w:drawing>
          <wp:inline distT="0" distB="0" distL="0" distR="0">
            <wp:extent cx="5845216" cy="7224476"/>
            <wp:effectExtent l="0" t="0" r="3175" b="14605"/>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rFonts w:ascii="Arial" w:hAnsi="Arial" w:cs="Arial"/>
          <w:noProof/>
          <w:lang w:val="en"/>
        </w:rPr>
        <w:t xml:space="preserve"> </w:t>
      </w:r>
    </w:p>
    <w:p>
      <w:pPr>
        <w:pStyle w:val="Text1"/>
        <w:numPr>
          <w:ilvl w:val="0"/>
          <w:numId w:val="0"/>
        </w:numPr>
        <w:rPr>
          <w:noProof/>
          <w:lang w:val="en-US"/>
        </w:rPr>
      </w:pPr>
    </w:p>
    <w:p>
      <w:pPr>
        <w:pStyle w:val="Heading2"/>
        <w:numPr>
          <w:ilvl w:val="1"/>
          <w:numId w:val="3"/>
        </w:numPr>
        <w:tabs>
          <w:tab w:val="clear" w:pos="850"/>
          <w:tab w:val="num" w:pos="1202"/>
        </w:tabs>
        <w:spacing w:before="0" w:after="240"/>
        <w:ind w:left="1202" w:hanging="720"/>
        <w:rPr>
          <w:noProof/>
          <w:lang w:eastAsia="fr-BE"/>
        </w:rPr>
      </w:pPr>
      <w:r>
        <w:rPr>
          <w:noProof/>
          <w:lang w:eastAsia="fr-BE"/>
        </w:rPr>
        <w:t xml:space="preserve"> Maximum pensionable age</w:t>
      </w:r>
    </w:p>
    <w:p>
      <w:pPr>
        <w:pStyle w:val="Text1"/>
        <w:numPr>
          <w:ilvl w:val="0"/>
          <w:numId w:val="0"/>
        </w:numPr>
        <w:rPr>
          <w:noProof/>
          <w:lang w:val="en-US"/>
        </w:rPr>
      </w:pPr>
      <w:r>
        <w:rPr>
          <w:noProof/>
          <w:lang w:eastAsia="en-GB"/>
        </w:rPr>
        <w:drawing>
          <wp:inline distT="0" distB="0" distL="0" distR="0">
            <wp:extent cx="5816991" cy="7940284"/>
            <wp:effectExtent l="0" t="0" r="12700" b="381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Text1"/>
        <w:numPr>
          <w:ilvl w:val="0"/>
          <w:numId w:val="0"/>
        </w:numPr>
        <w:rPr>
          <w:noProof/>
          <w:lang w:val="en-US"/>
        </w:rPr>
      </w:pPr>
    </w:p>
    <w:p>
      <w:pPr>
        <w:pStyle w:val="Heading2"/>
        <w:numPr>
          <w:ilvl w:val="1"/>
          <w:numId w:val="3"/>
        </w:numPr>
        <w:tabs>
          <w:tab w:val="clear" w:pos="850"/>
          <w:tab w:val="num" w:pos="1202"/>
        </w:tabs>
        <w:spacing w:before="0" w:after="240"/>
        <w:ind w:left="1202" w:hanging="720"/>
        <w:rPr>
          <w:noProof/>
          <w:lang w:eastAsia="fr-BE"/>
        </w:rPr>
      </w:pPr>
      <w:r>
        <w:rPr>
          <w:noProof/>
          <w:lang w:eastAsia="fr-BE"/>
        </w:rPr>
        <w:t xml:space="preserve"> Assessment of evolution of the pensionable ages for the staff in the civil services of the Member States</w:t>
      </w:r>
    </w:p>
    <w:p>
      <w:pPr>
        <w:rPr>
          <w:noProof/>
          <w:lang w:eastAsia="de-DE"/>
        </w:rPr>
      </w:pPr>
      <w:r>
        <w:rPr>
          <w:noProof/>
          <w:lang w:eastAsia="en-GB"/>
        </w:rPr>
        <w:drawing>
          <wp:inline distT="0" distB="0" distL="0" distR="0">
            <wp:extent cx="5762847" cy="3200400"/>
            <wp:effectExtent l="0" t="0" r="9525"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Text1"/>
        <w:numPr>
          <w:ilvl w:val="0"/>
          <w:numId w:val="0"/>
        </w:numPr>
        <w:rPr>
          <w:i/>
          <w:noProof/>
        </w:rPr>
      </w:pPr>
      <w:r>
        <w:rPr>
          <w:noProof/>
        </w:rPr>
        <w:t xml:space="preserve">* </w:t>
      </w:r>
      <w:r>
        <w:rPr>
          <w:i/>
          <w:noProof/>
        </w:rPr>
        <w:t>This table is built on data available in table 3.2.</w:t>
      </w:r>
      <w:r>
        <w:rPr>
          <w:noProof/>
        </w:rPr>
        <w:t xml:space="preserve"> </w:t>
      </w:r>
      <w:r>
        <w:rPr>
          <w:i/>
          <w:noProof/>
        </w:rPr>
        <w:t xml:space="preserve">For countries having differentiated pensionable ages between women and men, the highest value is reflected in the above table. </w:t>
      </w:r>
    </w:p>
    <w:p>
      <w:pPr>
        <w:pStyle w:val="Text1"/>
        <w:numPr>
          <w:ilvl w:val="0"/>
          <w:numId w:val="0"/>
        </w:numPr>
        <w:rPr>
          <w:noProof/>
          <w:lang w:val="en-US"/>
        </w:rPr>
      </w:pPr>
      <w:r>
        <w:rPr>
          <w:noProof/>
        </w:rPr>
        <w:t>T</w:t>
      </w:r>
      <w:r>
        <w:rPr>
          <w:noProof/>
          <w:lang w:val="en-US"/>
        </w:rPr>
        <w:t xml:space="preserve">he charts above show the evolution of the minimum, the normal and the maximum pensionable age applicable to civil servants in central governments in the EU Member States between 2014 and 2018. </w:t>
      </w:r>
    </w:p>
    <w:p>
      <w:pPr>
        <w:pStyle w:val="Text1"/>
        <w:numPr>
          <w:ilvl w:val="0"/>
          <w:numId w:val="0"/>
        </w:numPr>
        <w:rPr>
          <w:noProof/>
          <w:lang w:val="en-US"/>
        </w:rPr>
      </w:pPr>
      <w:r>
        <w:rPr>
          <w:noProof/>
          <w:lang w:val="en-US"/>
        </w:rPr>
        <w:t>A divergence can be observed as some Member States do not have minimum pensionable ages whereas in others there are no differences between the maximum pensionable age and the normal pensionable age for civil servants in central services.</w:t>
      </w:r>
    </w:p>
    <w:p>
      <w:pPr>
        <w:pStyle w:val="Text1"/>
        <w:numPr>
          <w:ilvl w:val="0"/>
          <w:numId w:val="0"/>
        </w:numPr>
        <w:rPr>
          <w:noProof/>
          <w:lang w:val="en-US"/>
        </w:rPr>
      </w:pPr>
      <w:r>
        <w:rPr>
          <w:noProof/>
          <w:lang w:val="en-US"/>
        </w:rPr>
        <w:t>In view of this, although this data collection provides useful indications as regards the respective pensionable ages applicable in Member States central services, any comparison should be approached with caution.</w:t>
      </w:r>
    </w:p>
    <w:p>
      <w:pPr>
        <w:pStyle w:val="Text1"/>
        <w:numPr>
          <w:ilvl w:val="0"/>
          <w:numId w:val="0"/>
        </w:numPr>
        <w:rPr>
          <w:noProof/>
          <w:lang w:val="en-US"/>
        </w:rPr>
      </w:pPr>
      <w:r>
        <w:rPr>
          <w:noProof/>
          <w:lang w:val="en-US"/>
        </w:rPr>
        <w:t xml:space="preserve">The assessment in 2014 shows that one Member State had a normal pensionable age higher than the normal pensionable age for EU staff of 66 and that the normal pensionable ages of all Member States ranged from 58 to 67 years. </w:t>
      </w:r>
    </w:p>
    <w:p>
      <w:pPr>
        <w:pStyle w:val="Text1"/>
        <w:numPr>
          <w:ilvl w:val="0"/>
          <w:numId w:val="0"/>
        </w:numPr>
        <w:rPr>
          <w:noProof/>
          <w:lang w:val="en-US"/>
        </w:rPr>
      </w:pPr>
      <w:r>
        <w:rPr>
          <w:noProof/>
          <w:lang w:val="en-US"/>
        </w:rPr>
        <w:t xml:space="preserve">The assessment in 2018 shows that three Member States had a normal pensionable age higher than the normal pensionable age of the EU staff and the normal pensionable ages of all Member States ranged from 59 to 67 years. </w:t>
      </w:r>
    </w:p>
    <w:p>
      <w:pPr>
        <w:pStyle w:val="Text1"/>
        <w:numPr>
          <w:ilvl w:val="0"/>
          <w:numId w:val="0"/>
        </w:numPr>
        <w:rPr>
          <w:noProof/>
          <w:lang w:val="en-US"/>
        </w:rPr>
      </w:pPr>
      <w:r>
        <w:rPr>
          <w:noProof/>
          <w:lang w:val="en-US"/>
        </w:rPr>
        <w:t>In light of the above, the following observations are made:</w:t>
      </w:r>
    </w:p>
    <w:p>
      <w:pPr>
        <w:pStyle w:val="Text1"/>
        <w:numPr>
          <w:ilvl w:val="0"/>
          <w:numId w:val="10"/>
        </w:numPr>
        <w:rPr>
          <w:noProof/>
          <w:lang w:val="en-US"/>
        </w:rPr>
      </w:pPr>
      <w:r>
        <w:rPr>
          <w:noProof/>
          <w:lang w:val="en-US"/>
        </w:rPr>
        <w:t xml:space="preserve">The current maximum pensionable age for the EU staff (70 years) corresponds to the highest standard applicable in central civil services of Member States. </w:t>
      </w:r>
    </w:p>
    <w:p>
      <w:pPr>
        <w:pStyle w:val="Text1"/>
        <w:numPr>
          <w:ilvl w:val="0"/>
          <w:numId w:val="10"/>
        </w:numPr>
        <w:rPr>
          <w:noProof/>
          <w:lang w:val="en-US"/>
        </w:rPr>
      </w:pPr>
      <w:r>
        <w:rPr>
          <w:noProof/>
          <w:lang w:val="en-US"/>
        </w:rPr>
        <w:t>The current minimum pensionable age of EU staff (58 years) is lower than the average minimum pensionable age applicable in central civil services of responding Member States (59,4 years)</w:t>
      </w:r>
      <w:r>
        <w:rPr>
          <w:rStyle w:val="FootnoteReference"/>
          <w:noProof/>
          <w:lang w:val="en-US"/>
        </w:rPr>
        <w:footnoteReference w:id="6"/>
      </w:r>
      <w:r>
        <w:rPr>
          <w:noProof/>
          <w:lang w:val="en-US"/>
        </w:rPr>
        <w:t>.</w:t>
      </w:r>
    </w:p>
    <w:p>
      <w:pPr>
        <w:pStyle w:val="Text1"/>
        <w:numPr>
          <w:ilvl w:val="0"/>
          <w:numId w:val="10"/>
        </w:numPr>
        <w:rPr>
          <w:noProof/>
          <w:lang w:val="en-US"/>
        </w:rPr>
      </w:pPr>
      <w:r>
        <w:rPr>
          <w:noProof/>
          <w:lang w:val="en-US"/>
        </w:rPr>
        <w:t xml:space="preserve">Following the increase of the normal pensionable age of EU staff from 60 to 66 between 2004 and 2014, a catching-up effect in Member States can be observed. </w:t>
      </w:r>
    </w:p>
    <w:p>
      <w:pPr>
        <w:pStyle w:val="Text1"/>
        <w:numPr>
          <w:ilvl w:val="0"/>
          <w:numId w:val="10"/>
        </w:numPr>
        <w:rPr>
          <w:noProof/>
          <w:lang w:val="en-US"/>
        </w:rPr>
      </w:pPr>
      <w:r>
        <w:rPr>
          <w:noProof/>
          <w:lang w:val="en-US"/>
        </w:rPr>
        <w:t xml:space="preserve">Persisting differences among Member States can be observed during the reference period. </w:t>
      </w:r>
    </w:p>
    <w:p>
      <w:pPr>
        <w:pStyle w:val="Text1"/>
        <w:numPr>
          <w:ilvl w:val="0"/>
          <w:numId w:val="10"/>
        </w:numPr>
        <w:rPr>
          <w:noProof/>
          <w:lang w:val="en-US"/>
        </w:rPr>
      </w:pPr>
      <w:r>
        <w:rPr>
          <w:noProof/>
          <w:lang w:val="en-US"/>
        </w:rPr>
        <w:t xml:space="preserve">Between 2014 and 2018, the average normal pensionable age among responding Member States increased by less than one year. </w:t>
      </w:r>
    </w:p>
    <w:p>
      <w:pPr>
        <w:pStyle w:val="Text1"/>
        <w:numPr>
          <w:ilvl w:val="0"/>
          <w:numId w:val="10"/>
        </w:numPr>
        <w:rPr>
          <w:noProof/>
          <w:lang w:val="en-US"/>
        </w:rPr>
      </w:pPr>
      <w:r>
        <w:rPr>
          <w:noProof/>
          <w:lang w:val="en-US"/>
        </w:rPr>
        <w:t>In 2018, 89% of responding Member States had a normal pensionable age equal or inferior to the normal pensionable age for EU staff.</w:t>
      </w:r>
    </w:p>
    <w:p>
      <w:pPr>
        <w:pStyle w:val="Text1"/>
        <w:numPr>
          <w:ilvl w:val="0"/>
          <w:numId w:val="10"/>
        </w:numPr>
        <w:rPr>
          <w:noProof/>
          <w:lang w:val="en-US"/>
        </w:rPr>
      </w:pPr>
      <w:r>
        <w:rPr>
          <w:noProof/>
          <w:lang w:val="en-US"/>
        </w:rPr>
        <w:t xml:space="preserve">Since the 2014 Reform, the normal pensionable age applicable to statutory staff pursuant to Article 77 of the Staff Regulations remains among the highest applicable compared with those applicable to central civil services of the Member States. </w:t>
      </w:r>
    </w:p>
    <w:p>
      <w:pPr>
        <w:pStyle w:val="Heading1"/>
        <w:numPr>
          <w:ilvl w:val="0"/>
          <w:numId w:val="3"/>
        </w:numPr>
        <w:rPr>
          <w:rFonts w:asciiTheme="minorHAnsi" w:eastAsiaTheme="minorEastAsia" w:hAnsiTheme="minorHAnsi" w:cstheme="minorBidi"/>
          <w:noProof/>
        </w:rPr>
      </w:pPr>
      <w:r>
        <w:rPr>
          <w:noProof/>
        </w:rPr>
        <w:t xml:space="preserve">Evolution of life expectancy of officials of the institutions </w:t>
      </w:r>
    </w:p>
    <w:p>
      <w:pPr>
        <w:pStyle w:val="Text1"/>
        <w:numPr>
          <w:ilvl w:val="0"/>
          <w:numId w:val="0"/>
        </w:numPr>
        <w:rPr>
          <w:noProof/>
          <w:lang w:val="en-US"/>
        </w:rPr>
      </w:pPr>
      <w:r>
        <w:rPr>
          <w:noProof/>
          <w:lang w:val="en-US"/>
        </w:rPr>
        <w:t>The assessment of the evolution of the life expectancy of the staff of the EU institutions is based on the demographic parameters laid down in Annex XII to the Staff Regulations. The same parameters are used for the annual and the 5-yearly actuarial assessment of pension scheme for EU officials.</w:t>
      </w:r>
    </w:p>
    <w:p>
      <w:pPr>
        <w:pStyle w:val="Text1"/>
        <w:numPr>
          <w:ilvl w:val="0"/>
          <w:numId w:val="0"/>
        </w:numPr>
        <w:rPr>
          <w:noProof/>
          <w:lang w:val="en-US"/>
        </w:rPr>
      </w:pPr>
      <w:r>
        <w:rPr>
          <w:noProof/>
        </w:rPr>
        <w:t>Eurostat annually collects these demographic parameters based on observations of the population of participants in the scheme, comprising staff in active service and pensioners. The information is received from the institutions and agencies whose staff are members of the scheme.</w:t>
      </w:r>
    </w:p>
    <w:p>
      <w:pPr>
        <w:pStyle w:val="Text1"/>
        <w:numPr>
          <w:ilvl w:val="0"/>
          <w:numId w:val="0"/>
        </w:numPr>
        <w:rPr>
          <w:noProof/>
        </w:rPr>
      </w:pPr>
      <w:r>
        <w:rPr>
          <w:noProof/>
          <w:lang w:val="en-US"/>
        </w:rPr>
        <w:t>In particular, the life expectancy of officials and other agents of the institutions is assessed based on the life table established by Eurostat for the actuarial assessment of pension scheme for EU officials. The lifetable reflects the characteristics of the full population of members of the scheme and thus it is built on a population entirely relevant to the scheme, which prevents any biasing effect. The life tables reflecting mortality experiences are updated every five years to also reflect most recent mortality observations</w:t>
      </w:r>
      <w:r>
        <w:rPr>
          <w:rStyle w:val="FootnoteReference"/>
          <w:noProof/>
          <w:lang w:val="en-US"/>
        </w:rPr>
        <w:footnoteReference w:id="7"/>
      </w:r>
      <w:r>
        <w:rPr>
          <w:noProof/>
          <w:lang w:val="en-US"/>
        </w:rPr>
        <w:t>.</w:t>
      </w:r>
      <w:r>
        <w:rPr>
          <w:rStyle w:val="CommentReference"/>
          <w:rFonts w:asciiTheme="minorHAnsi" w:eastAsiaTheme="minorEastAsia" w:hAnsiTheme="minorHAnsi" w:cstheme="minorBidi"/>
          <w:noProof/>
          <w:lang w:eastAsia="en-US"/>
        </w:rPr>
        <w:t xml:space="preserve"> </w:t>
      </w:r>
    </w:p>
    <w:p>
      <w:pPr>
        <w:pStyle w:val="Heading2"/>
        <w:numPr>
          <w:ilvl w:val="1"/>
          <w:numId w:val="3"/>
        </w:numPr>
        <w:tabs>
          <w:tab w:val="clear" w:pos="850"/>
          <w:tab w:val="num" w:pos="1202"/>
        </w:tabs>
        <w:spacing w:before="0" w:after="240"/>
        <w:ind w:left="1202" w:hanging="720"/>
        <w:rPr>
          <w:noProof/>
          <w:lang w:eastAsia="fr-BE"/>
        </w:rPr>
      </w:pPr>
      <w:r>
        <w:rPr>
          <w:noProof/>
          <w:lang w:eastAsia="fr-BE"/>
        </w:rPr>
        <w:t>Methodological aspects</w:t>
      </w:r>
    </w:p>
    <w:p>
      <w:pPr>
        <w:pStyle w:val="Text1"/>
        <w:numPr>
          <w:ilvl w:val="0"/>
          <w:numId w:val="0"/>
        </w:numPr>
        <w:rPr>
          <w:noProof/>
          <w:lang w:val="en-US"/>
        </w:rPr>
      </w:pPr>
      <w:r>
        <w:rPr>
          <w:noProof/>
          <w:lang w:val="en-US"/>
        </w:rPr>
        <w:t>Eurostat used prospective life tables f</w:t>
      </w:r>
      <w:r>
        <w:rPr>
          <w:noProof/>
        </w:rPr>
        <w:t xml:space="preserve">or the </w:t>
      </w:r>
      <w:r>
        <w:rPr>
          <w:noProof/>
          <w:lang w:val="en-US"/>
        </w:rPr>
        <w:t xml:space="preserve">five yearly assessments of pension scheme for EU officials of both </w:t>
      </w:r>
      <w:r>
        <w:rPr>
          <w:noProof/>
        </w:rPr>
        <w:t>2013 and 2018</w:t>
      </w:r>
      <w:r>
        <w:rPr>
          <w:noProof/>
          <w:lang w:val="en-US"/>
        </w:rPr>
        <w:t>. They have been approved by the external actuaries appointed under Article 13(2) of Annex XII to the Staff Regulations.</w:t>
      </w:r>
    </w:p>
    <w:p>
      <w:pPr>
        <w:pStyle w:val="Text1"/>
        <w:numPr>
          <w:ilvl w:val="0"/>
          <w:numId w:val="0"/>
        </w:numPr>
        <w:rPr>
          <w:noProof/>
          <w:lang w:val="en-US"/>
        </w:rPr>
      </w:pPr>
      <w:r>
        <w:rPr>
          <w:noProof/>
          <w:lang w:val="en-US"/>
        </w:rPr>
        <w:t>The prospective life tables factor in the mortality rates depending on both the age and the considered year.</w:t>
      </w:r>
      <w:r>
        <w:rPr>
          <w:noProof/>
        </w:rPr>
        <w:t xml:space="preserve"> These tables </w:t>
      </w:r>
      <w:r>
        <w:rPr>
          <w:noProof/>
          <w:lang w:val="en-US"/>
        </w:rPr>
        <w:t>take into account expected future changes in mortality by taking into account observed and projected changes in mortality for a defined population throughout its lifetime</w:t>
      </w:r>
      <w:r>
        <w:rPr>
          <w:rStyle w:val="FootnoteReference"/>
          <w:noProof/>
          <w:lang w:val="en-US"/>
        </w:rPr>
        <w:footnoteReference w:id="8"/>
      </w:r>
      <w:r>
        <w:rPr>
          <w:noProof/>
          <w:lang w:val="en-US"/>
        </w:rPr>
        <w:t xml:space="preserve">. </w:t>
      </w:r>
    </w:p>
    <w:p>
      <w:pPr>
        <w:pStyle w:val="Text1"/>
        <w:numPr>
          <w:ilvl w:val="0"/>
          <w:numId w:val="0"/>
        </w:numPr>
        <w:rPr>
          <w:noProof/>
          <w:lang w:val="en-US"/>
        </w:rPr>
      </w:pPr>
      <w:r>
        <w:rPr>
          <w:noProof/>
          <w:lang w:val="en-US"/>
        </w:rPr>
        <w:t>The use of prospective life tables constitutes the best actuarial practice as compared to the use of the period life tables that use mortality rates from a single year (or group of years) and assume that those rates apply throughout the remainder of a person's life. Contrary to prospective life tables, period life table do not reflect any subsequent changes to mortality rates</w:t>
      </w:r>
      <w:r>
        <w:rPr>
          <w:rStyle w:val="FootnoteReference"/>
          <w:noProof/>
          <w:lang w:val="en-US"/>
        </w:rPr>
        <w:footnoteReference w:id="9"/>
      </w:r>
      <w:r>
        <w:rPr>
          <w:noProof/>
          <w:lang w:val="en-US"/>
        </w:rPr>
        <w:t xml:space="preserve">. Therefore, the chosen methodology results in a higher life expectancy increase than an approach based on period life tables. </w:t>
      </w:r>
    </w:p>
    <w:p>
      <w:pPr>
        <w:pStyle w:val="Text1"/>
        <w:numPr>
          <w:ilvl w:val="0"/>
          <w:numId w:val="0"/>
        </w:numPr>
        <w:rPr>
          <w:noProof/>
          <w:lang w:val="en-US"/>
        </w:rPr>
      </w:pPr>
      <w:r>
        <w:rPr>
          <w:noProof/>
          <w:lang w:val="en-US"/>
        </w:rPr>
        <w:t xml:space="preserve">The prospective EU Life Tables (EULT) developed by Eurostat incorporate a trend of continuous increase of life expectancies over a 20 years' time horizon based on the evolution of mortality of the pension scheme for EU officials’ population. This table is based on the observation of the mortality phenomena of members of the pension scheme for EU officials thus avoiding possible external biases. </w:t>
      </w:r>
    </w:p>
    <w:p>
      <w:pPr>
        <w:pStyle w:val="Text1"/>
        <w:numPr>
          <w:ilvl w:val="0"/>
          <w:numId w:val="0"/>
        </w:numPr>
        <w:rPr>
          <w:noProof/>
          <w:lang w:val="en-US"/>
        </w:rPr>
      </w:pPr>
      <w:r>
        <w:rPr>
          <w:noProof/>
          <w:lang w:val="en-US"/>
        </w:rPr>
        <w:t xml:space="preserve">The use of a prospective life table corresponds to the best actuarial practice. This life expectancy is reflected in the assessment of the pension scheme for EU officials. On this basis, the pension contribution rate is adjusted yearly in order to ensure that the scheme is in balance. </w:t>
      </w:r>
    </w:p>
    <w:p>
      <w:pPr>
        <w:pStyle w:val="Heading2"/>
        <w:numPr>
          <w:ilvl w:val="1"/>
          <w:numId w:val="3"/>
        </w:numPr>
        <w:tabs>
          <w:tab w:val="clear" w:pos="850"/>
          <w:tab w:val="num" w:pos="1202"/>
        </w:tabs>
        <w:spacing w:before="0" w:after="240"/>
        <w:ind w:left="1202" w:hanging="720"/>
        <w:rPr>
          <w:noProof/>
          <w:lang w:eastAsia="fr-BE"/>
        </w:rPr>
      </w:pPr>
      <w:r>
        <w:rPr>
          <w:noProof/>
          <w:lang w:eastAsia="fr-BE"/>
        </w:rPr>
        <w:t xml:space="preserve"> Comparison of the 2013 and 2018 life expectancy of EU staff </w:t>
      </w:r>
    </w:p>
    <w:p>
      <w:pPr>
        <w:pStyle w:val="Text1"/>
        <w:numPr>
          <w:ilvl w:val="0"/>
          <w:numId w:val="0"/>
        </w:numPr>
        <w:rPr>
          <w:noProof/>
          <w:lang w:val="en-US"/>
        </w:rPr>
      </w:pPr>
      <w:r>
        <w:rPr>
          <w:noProof/>
          <w:lang w:val="en-US"/>
        </w:rPr>
        <w:t>Men and women have different respective mortality rates. Consequently, the 2013 and the 2018 actuarial life tables are separately computed which is in line with the best actuarial practice.</w:t>
      </w:r>
    </w:p>
    <w:p>
      <w:pPr>
        <w:pStyle w:val="Text1"/>
        <w:numPr>
          <w:ilvl w:val="0"/>
          <w:numId w:val="0"/>
        </w:numPr>
        <w:ind w:left="708" w:firstLine="708"/>
        <w:rPr>
          <w:noProof/>
          <w:lang w:val="en-US"/>
        </w:rPr>
      </w:pPr>
      <w:r>
        <w:rPr>
          <w:noProof/>
          <w:u w:val="single"/>
        </w:rPr>
        <w:t>Men</w:t>
      </w:r>
      <w:r>
        <w:rPr>
          <w:noProof/>
        </w:rPr>
        <w:t xml:space="preserve">                                                                                     </w:t>
      </w:r>
      <w:r>
        <w:rPr>
          <w:noProof/>
          <w:u w:val="single"/>
        </w:rPr>
        <w:t>Women</w:t>
      </w:r>
      <w:r>
        <w:rPr>
          <w:noProof/>
        </w:rPr>
        <w:tab/>
      </w:r>
      <w:r>
        <w:rPr>
          <w:noProof/>
        </w:rPr>
        <w:tab/>
      </w:r>
    </w:p>
    <w:tbl>
      <w:tblPr>
        <w:tblStyle w:val="TableGrid"/>
        <w:tblW w:w="0" w:type="auto"/>
        <w:tblLook w:val="04A0" w:firstRow="1" w:lastRow="0" w:firstColumn="1" w:lastColumn="0" w:noHBand="0" w:noVBand="1"/>
      </w:tblPr>
      <w:tblGrid>
        <w:gridCol w:w="1023"/>
        <w:gridCol w:w="1023"/>
        <w:gridCol w:w="1023"/>
        <w:gridCol w:w="1023"/>
        <w:gridCol w:w="1023"/>
        <w:gridCol w:w="1024"/>
        <w:gridCol w:w="1024"/>
        <w:gridCol w:w="1024"/>
        <w:gridCol w:w="1024"/>
      </w:tblGrid>
      <w:tr>
        <w:trPr>
          <w:trHeight w:val="1060"/>
        </w:trPr>
        <w:tc>
          <w:tcPr>
            <w:tcW w:w="1023" w:type="dxa"/>
            <w:shd w:val="clear" w:color="auto" w:fill="D9D9D9" w:themeFill="background1" w:themeFillShade="D9"/>
          </w:tcPr>
          <w:p>
            <w:pPr>
              <w:pStyle w:val="Text1"/>
              <w:numPr>
                <w:ilvl w:val="0"/>
                <w:numId w:val="0"/>
              </w:numPr>
              <w:spacing w:before="0" w:after="0"/>
              <w:jc w:val="center"/>
              <w:rPr>
                <w:noProof/>
                <w:lang w:val="en-US"/>
              </w:rPr>
            </w:pPr>
            <w:r>
              <w:rPr>
                <w:b/>
                <w:noProof/>
                <w:sz w:val="18"/>
                <w:szCs w:val="18"/>
              </w:rPr>
              <w:t>Age</w:t>
            </w:r>
          </w:p>
        </w:tc>
        <w:tc>
          <w:tcPr>
            <w:tcW w:w="1023" w:type="dxa"/>
            <w:shd w:val="clear" w:color="auto" w:fill="D9D9D9" w:themeFill="background1" w:themeFillShade="D9"/>
          </w:tcPr>
          <w:p>
            <w:pPr>
              <w:spacing w:after="0"/>
              <w:jc w:val="center"/>
              <w:rPr>
                <w:b/>
                <w:noProof/>
                <w:sz w:val="18"/>
                <w:szCs w:val="18"/>
              </w:rPr>
            </w:pPr>
            <w:r>
              <w:rPr>
                <w:b/>
                <w:noProof/>
                <w:sz w:val="18"/>
                <w:szCs w:val="18"/>
              </w:rPr>
              <w:t>Life</w:t>
            </w:r>
          </w:p>
          <w:p>
            <w:pPr>
              <w:spacing w:after="0"/>
              <w:jc w:val="center"/>
              <w:rPr>
                <w:b/>
                <w:noProof/>
                <w:sz w:val="18"/>
                <w:szCs w:val="18"/>
              </w:rPr>
            </w:pPr>
            <w:r>
              <w:rPr>
                <w:b/>
                <w:noProof/>
                <w:sz w:val="18"/>
                <w:szCs w:val="18"/>
              </w:rPr>
              <w:t>Exp.</w:t>
            </w:r>
          </w:p>
          <w:p>
            <w:pPr>
              <w:pStyle w:val="Text1"/>
              <w:numPr>
                <w:ilvl w:val="0"/>
                <w:numId w:val="0"/>
              </w:numPr>
              <w:spacing w:before="0" w:after="0"/>
              <w:jc w:val="center"/>
              <w:rPr>
                <w:noProof/>
                <w:lang w:val="en-US"/>
              </w:rPr>
            </w:pPr>
            <w:r>
              <w:rPr>
                <w:b/>
                <w:noProof/>
                <w:sz w:val="18"/>
                <w:szCs w:val="18"/>
              </w:rPr>
              <w:t>2013</w:t>
            </w:r>
          </w:p>
        </w:tc>
        <w:tc>
          <w:tcPr>
            <w:tcW w:w="1023" w:type="dxa"/>
            <w:shd w:val="clear" w:color="auto" w:fill="D9D9D9" w:themeFill="background1" w:themeFillShade="D9"/>
          </w:tcPr>
          <w:p>
            <w:pPr>
              <w:spacing w:after="0"/>
              <w:jc w:val="center"/>
              <w:rPr>
                <w:b/>
                <w:noProof/>
                <w:sz w:val="18"/>
                <w:szCs w:val="18"/>
              </w:rPr>
            </w:pPr>
            <w:r>
              <w:rPr>
                <w:b/>
                <w:noProof/>
                <w:sz w:val="18"/>
                <w:szCs w:val="18"/>
              </w:rPr>
              <w:t>Life</w:t>
            </w:r>
          </w:p>
          <w:p>
            <w:pPr>
              <w:spacing w:after="0"/>
              <w:jc w:val="center"/>
              <w:rPr>
                <w:b/>
                <w:noProof/>
                <w:sz w:val="18"/>
                <w:szCs w:val="18"/>
              </w:rPr>
            </w:pPr>
            <w:r>
              <w:rPr>
                <w:b/>
                <w:noProof/>
                <w:sz w:val="18"/>
                <w:szCs w:val="18"/>
              </w:rPr>
              <w:t>Exp.</w:t>
            </w:r>
          </w:p>
          <w:p>
            <w:pPr>
              <w:pStyle w:val="Text1"/>
              <w:numPr>
                <w:ilvl w:val="0"/>
                <w:numId w:val="0"/>
              </w:numPr>
              <w:spacing w:before="0" w:after="0"/>
              <w:jc w:val="center"/>
              <w:rPr>
                <w:noProof/>
                <w:lang w:val="en-US"/>
              </w:rPr>
            </w:pPr>
            <w:r>
              <w:rPr>
                <w:b/>
                <w:noProof/>
                <w:sz w:val="18"/>
                <w:szCs w:val="18"/>
              </w:rPr>
              <w:t>2018</w:t>
            </w:r>
          </w:p>
        </w:tc>
        <w:tc>
          <w:tcPr>
            <w:tcW w:w="1023" w:type="dxa"/>
            <w:tcBorders>
              <w:right w:val="single" w:sz="4" w:space="0" w:color="auto"/>
            </w:tcBorders>
            <w:shd w:val="clear" w:color="auto" w:fill="D9D9D9" w:themeFill="background1" w:themeFillShade="D9"/>
          </w:tcPr>
          <w:p>
            <w:pPr>
              <w:spacing w:after="0"/>
              <w:jc w:val="center"/>
              <w:rPr>
                <w:b/>
                <w:noProof/>
                <w:sz w:val="18"/>
                <w:szCs w:val="18"/>
                <w:lang w:val="en-IE"/>
              </w:rPr>
            </w:pPr>
            <w:r>
              <w:rPr>
                <w:b/>
                <w:noProof/>
                <w:sz w:val="18"/>
                <w:szCs w:val="18"/>
                <w:lang w:val="en-IE"/>
              </w:rPr>
              <w:t>Increase</w:t>
            </w:r>
          </w:p>
          <w:p>
            <w:pPr>
              <w:spacing w:after="0"/>
              <w:jc w:val="center"/>
              <w:rPr>
                <w:b/>
                <w:noProof/>
                <w:sz w:val="18"/>
                <w:szCs w:val="18"/>
                <w:lang w:val="en-IE"/>
              </w:rPr>
            </w:pPr>
            <w:r>
              <w:rPr>
                <w:b/>
                <w:noProof/>
                <w:sz w:val="18"/>
                <w:szCs w:val="18"/>
                <w:lang w:val="en-IE"/>
              </w:rPr>
              <w:t>Of the life Exp.</w:t>
            </w:r>
          </w:p>
          <w:p>
            <w:pPr>
              <w:pStyle w:val="Text1"/>
              <w:numPr>
                <w:ilvl w:val="0"/>
                <w:numId w:val="0"/>
              </w:numPr>
              <w:spacing w:before="0" w:after="0"/>
              <w:jc w:val="center"/>
              <w:rPr>
                <w:noProof/>
                <w:lang w:val="en-US"/>
              </w:rPr>
            </w:pPr>
            <w:r>
              <w:rPr>
                <w:b/>
                <w:noProof/>
                <w:sz w:val="18"/>
                <w:szCs w:val="18"/>
                <w:lang w:val="en-IE"/>
              </w:rPr>
              <w:t>(2014 – 2018)</w:t>
            </w:r>
          </w:p>
        </w:tc>
        <w:tc>
          <w:tcPr>
            <w:tcW w:w="1023" w:type="dxa"/>
            <w:vMerge w:val="restart"/>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D9D9D9" w:themeFill="background1" w:themeFillShade="D9"/>
          </w:tcPr>
          <w:p>
            <w:pPr>
              <w:pStyle w:val="Text1"/>
              <w:numPr>
                <w:ilvl w:val="0"/>
                <w:numId w:val="0"/>
              </w:numPr>
              <w:spacing w:before="0" w:after="0"/>
              <w:jc w:val="center"/>
              <w:rPr>
                <w:noProof/>
                <w:lang w:val="en-US"/>
              </w:rPr>
            </w:pPr>
            <w:r>
              <w:rPr>
                <w:b/>
                <w:noProof/>
                <w:sz w:val="18"/>
                <w:szCs w:val="18"/>
              </w:rPr>
              <w:t>Age</w:t>
            </w:r>
          </w:p>
        </w:tc>
        <w:tc>
          <w:tcPr>
            <w:tcW w:w="1024" w:type="dxa"/>
            <w:shd w:val="clear" w:color="auto" w:fill="D9D9D9" w:themeFill="background1" w:themeFillShade="D9"/>
          </w:tcPr>
          <w:p>
            <w:pPr>
              <w:spacing w:after="0"/>
              <w:jc w:val="center"/>
              <w:rPr>
                <w:b/>
                <w:noProof/>
                <w:sz w:val="18"/>
                <w:szCs w:val="18"/>
              </w:rPr>
            </w:pPr>
            <w:r>
              <w:rPr>
                <w:b/>
                <w:noProof/>
                <w:sz w:val="18"/>
                <w:szCs w:val="18"/>
              </w:rPr>
              <w:t>Life</w:t>
            </w:r>
          </w:p>
          <w:p>
            <w:pPr>
              <w:spacing w:after="0"/>
              <w:jc w:val="center"/>
              <w:rPr>
                <w:b/>
                <w:noProof/>
                <w:sz w:val="18"/>
                <w:szCs w:val="18"/>
              </w:rPr>
            </w:pPr>
            <w:r>
              <w:rPr>
                <w:b/>
                <w:noProof/>
                <w:sz w:val="18"/>
                <w:szCs w:val="18"/>
              </w:rPr>
              <w:t>Exp.</w:t>
            </w:r>
          </w:p>
          <w:p>
            <w:pPr>
              <w:pStyle w:val="Text1"/>
              <w:numPr>
                <w:ilvl w:val="0"/>
                <w:numId w:val="0"/>
              </w:numPr>
              <w:spacing w:before="0" w:after="0"/>
              <w:jc w:val="center"/>
              <w:rPr>
                <w:noProof/>
                <w:lang w:val="en-US"/>
              </w:rPr>
            </w:pPr>
            <w:r>
              <w:rPr>
                <w:b/>
                <w:noProof/>
                <w:sz w:val="18"/>
                <w:szCs w:val="18"/>
              </w:rPr>
              <w:t>2013</w:t>
            </w:r>
          </w:p>
        </w:tc>
        <w:tc>
          <w:tcPr>
            <w:tcW w:w="1024" w:type="dxa"/>
            <w:shd w:val="clear" w:color="auto" w:fill="D9D9D9" w:themeFill="background1" w:themeFillShade="D9"/>
          </w:tcPr>
          <w:p>
            <w:pPr>
              <w:spacing w:after="0"/>
              <w:jc w:val="center"/>
              <w:rPr>
                <w:b/>
                <w:noProof/>
                <w:sz w:val="18"/>
                <w:szCs w:val="18"/>
              </w:rPr>
            </w:pPr>
            <w:r>
              <w:rPr>
                <w:b/>
                <w:noProof/>
                <w:sz w:val="18"/>
                <w:szCs w:val="18"/>
              </w:rPr>
              <w:t>Life</w:t>
            </w:r>
          </w:p>
          <w:p>
            <w:pPr>
              <w:spacing w:after="0"/>
              <w:jc w:val="center"/>
              <w:rPr>
                <w:b/>
                <w:noProof/>
                <w:sz w:val="18"/>
                <w:szCs w:val="18"/>
              </w:rPr>
            </w:pPr>
            <w:r>
              <w:rPr>
                <w:b/>
                <w:noProof/>
                <w:sz w:val="18"/>
                <w:szCs w:val="18"/>
              </w:rPr>
              <w:t>Exp.</w:t>
            </w:r>
          </w:p>
          <w:p>
            <w:pPr>
              <w:pStyle w:val="Text1"/>
              <w:numPr>
                <w:ilvl w:val="0"/>
                <w:numId w:val="0"/>
              </w:numPr>
              <w:spacing w:before="0" w:after="0"/>
              <w:jc w:val="center"/>
              <w:rPr>
                <w:noProof/>
                <w:lang w:val="en-US"/>
              </w:rPr>
            </w:pPr>
            <w:r>
              <w:rPr>
                <w:b/>
                <w:noProof/>
                <w:sz w:val="18"/>
                <w:szCs w:val="18"/>
              </w:rPr>
              <w:t>2018</w:t>
            </w:r>
          </w:p>
        </w:tc>
        <w:tc>
          <w:tcPr>
            <w:tcW w:w="1024" w:type="dxa"/>
            <w:shd w:val="clear" w:color="auto" w:fill="D9D9D9" w:themeFill="background1" w:themeFillShade="D9"/>
          </w:tcPr>
          <w:p>
            <w:pPr>
              <w:spacing w:after="0"/>
              <w:jc w:val="center"/>
              <w:rPr>
                <w:b/>
                <w:noProof/>
                <w:sz w:val="18"/>
                <w:szCs w:val="18"/>
                <w:lang w:val="en-IE"/>
              </w:rPr>
            </w:pPr>
            <w:r>
              <w:rPr>
                <w:b/>
                <w:noProof/>
                <w:sz w:val="18"/>
                <w:szCs w:val="18"/>
                <w:lang w:val="en-IE"/>
              </w:rPr>
              <w:t>Increase</w:t>
            </w:r>
          </w:p>
          <w:p>
            <w:pPr>
              <w:spacing w:after="0"/>
              <w:jc w:val="center"/>
              <w:rPr>
                <w:b/>
                <w:noProof/>
                <w:sz w:val="18"/>
                <w:szCs w:val="18"/>
                <w:lang w:val="en-IE"/>
              </w:rPr>
            </w:pPr>
            <w:r>
              <w:rPr>
                <w:b/>
                <w:noProof/>
                <w:sz w:val="18"/>
                <w:szCs w:val="18"/>
                <w:lang w:val="en-IE"/>
              </w:rPr>
              <w:t>Of the life Exp.</w:t>
            </w:r>
          </w:p>
          <w:p>
            <w:pPr>
              <w:pStyle w:val="Text1"/>
              <w:numPr>
                <w:ilvl w:val="0"/>
                <w:numId w:val="0"/>
              </w:numPr>
              <w:spacing w:before="0" w:after="0"/>
              <w:jc w:val="center"/>
              <w:rPr>
                <w:noProof/>
                <w:lang w:val="en-US"/>
              </w:rPr>
            </w:pPr>
            <w:r>
              <w:rPr>
                <w:b/>
                <w:noProof/>
                <w:sz w:val="18"/>
                <w:szCs w:val="18"/>
                <w:lang w:val="en-IE"/>
              </w:rPr>
              <w:t>(2014 – 2018)</w:t>
            </w:r>
          </w:p>
        </w:tc>
      </w:tr>
      <w:tr>
        <w:tc>
          <w:tcPr>
            <w:tcW w:w="1023" w:type="dxa"/>
            <w:shd w:val="clear" w:color="auto" w:fill="BDD6EE" w:themeFill="accent1" w:themeFillTint="66"/>
          </w:tcPr>
          <w:p>
            <w:pPr>
              <w:pStyle w:val="Text1"/>
              <w:numPr>
                <w:ilvl w:val="0"/>
                <w:numId w:val="0"/>
              </w:numPr>
              <w:spacing w:before="0" w:after="0"/>
              <w:jc w:val="center"/>
              <w:rPr>
                <w:noProof/>
                <w:lang w:val="en-US"/>
              </w:rPr>
            </w:pPr>
            <w:r>
              <w:rPr>
                <w:b/>
                <w:noProof/>
                <w:sz w:val="18"/>
                <w:szCs w:val="18"/>
                <w:lang w:val="en-IE"/>
              </w:rPr>
              <w:t>18</w:t>
            </w:r>
          </w:p>
        </w:tc>
        <w:tc>
          <w:tcPr>
            <w:tcW w:w="1023" w:type="dxa"/>
            <w:shd w:val="clear" w:color="auto" w:fill="BDD6EE" w:themeFill="accent1" w:themeFillTint="66"/>
          </w:tcPr>
          <w:p>
            <w:pPr>
              <w:pStyle w:val="Text1"/>
              <w:numPr>
                <w:ilvl w:val="0"/>
                <w:numId w:val="0"/>
              </w:numPr>
              <w:spacing w:before="0" w:after="0"/>
              <w:jc w:val="center"/>
              <w:rPr>
                <w:noProof/>
                <w:lang w:val="en-US"/>
              </w:rPr>
            </w:pPr>
            <w:r>
              <w:rPr>
                <w:noProof/>
                <w:sz w:val="18"/>
                <w:szCs w:val="18"/>
                <w:lang w:val="en-IE"/>
              </w:rPr>
              <w:t>65,7</w:t>
            </w:r>
          </w:p>
        </w:tc>
        <w:tc>
          <w:tcPr>
            <w:tcW w:w="1023" w:type="dxa"/>
            <w:shd w:val="clear" w:color="auto" w:fill="BDD6EE" w:themeFill="accent1" w:themeFillTint="66"/>
          </w:tcPr>
          <w:p>
            <w:pPr>
              <w:pStyle w:val="Text1"/>
              <w:numPr>
                <w:ilvl w:val="0"/>
                <w:numId w:val="0"/>
              </w:numPr>
              <w:spacing w:before="0" w:after="0"/>
              <w:jc w:val="center"/>
              <w:rPr>
                <w:noProof/>
                <w:lang w:val="en-US"/>
              </w:rPr>
            </w:pPr>
            <w:r>
              <w:rPr>
                <w:noProof/>
                <w:sz w:val="18"/>
                <w:szCs w:val="18"/>
                <w:lang w:val="en-IE"/>
              </w:rPr>
              <w:t>65,8</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lang w:val="en-US"/>
              </w:rPr>
            </w:pPr>
            <w:r>
              <w:rPr>
                <w:noProof/>
                <w:sz w:val="18"/>
                <w:szCs w:val="18"/>
                <w:lang w:val="en-IE"/>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noProof/>
                <w:lang w:val="en-US"/>
              </w:rPr>
            </w:pPr>
            <w:r>
              <w:rPr>
                <w:b/>
                <w:noProof/>
                <w:sz w:val="18"/>
                <w:szCs w:val="18"/>
                <w:lang w:val="en-IE"/>
              </w:rPr>
              <w:t>18</w:t>
            </w:r>
          </w:p>
        </w:tc>
        <w:tc>
          <w:tcPr>
            <w:tcW w:w="1024" w:type="dxa"/>
            <w:shd w:val="clear" w:color="auto" w:fill="BDD6EE" w:themeFill="accent1" w:themeFillTint="66"/>
          </w:tcPr>
          <w:p>
            <w:pPr>
              <w:pStyle w:val="Text1"/>
              <w:numPr>
                <w:ilvl w:val="0"/>
                <w:numId w:val="0"/>
              </w:numPr>
              <w:spacing w:before="0" w:after="0"/>
              <w:jc w:val="center"/>
              <w:rPr>
                <w:noProof/>
                <w:lang w:val="en-US"/>
              </w:rPr>
            </w:pPr>
            <w:r>
              <w:rPr>
                <w:noProof/>
                <w:sz w:val="18"/>
                <w:szCs w:val="18"/>
                <w:lang w:val="en-IE"/>
              </w:rPr>
              <w:t>67,8</w:t>
            </w:r>
          </w:p>
        </w:tc>
        <w:tc>
          <w:tcPr>
            <w:tcW w:w="1024" w:type="dxa"/>
            <w:shd w:val="clear" w:color="auto" w:fill="BDD6EE" w:themeFill="accent1" w:themeFillTint="66"/>
          </w:tcPr>
          <w:p>
            <w:pPr>
              <w:pStyle w:val="Text1"/>
              <w:numPr>
                <w:ilvl w:val="0"/>
                <w:numId w:val="0"/>
              </w:numPr>
              <w:spacing w:before="0" w:after="0"/>
              <w:jc w:val="center"/>
              <w:rPr>
                <w:noProof/>
                <w:lang w:val="en-US"/>
              </w:rPr>
            </w:pPr>
            <w:r>
              <w:rPr>
                <w:noProof/>
                <w:sz w:val="18"/>
                <w:szCs w:val="18"/>
                <w:lang w:val="en-IE"/>
              </w:rPr>
              <w:t>68,3</w:t>
            </w:r>
          </w:p>
        </w:tc>
        <w:tc>
          <w:tcPr>
            <w:tcW w:w="1024" w:type="dxa"/>
            <w:shd w:val="clear" w:color="auto" w:fill="BDD6EE" w:themeFill="accent1" w:themeFillTint="66"/>
          </w:tcPr>
          <w:p>
            <w:pPr>
              <w:pStyle w:val="Text1"/>
              <w:numPr>
                <w:ilvl w:val="0"/>
                <w:numId w:val="0"/>
              </w:numPr>
              <w:spacing w:before="0" w:after="0"/>
              <w:jc w:val="center"/>
              <w:rPr>
                <w:noProof/>
                <w:lang w:val="en-US"/>
              </w:rPr>
            </w:pPr>
            <w:r>
              <w:rPr>
                <w:noProof/>
                <w:sz w:val="18"/>
                <w:szCs w:val="18"/>
                <w:lang w:val="en-IE"/>
              </w:rPr>
              <w:t>0,559</w:t>
            </w:r>
          </w:p>
        </w:tc>
      </w:tr>
      <w:tr>
        <w:tc>
          <w:tcPr>
            <w:tcW w:w="1023" w:type="dxa"/>
            <w:shd w:val="clear" w:color="auto" w:fill="BDD6EE" w:themeFill="accent1" w:themeFillTint="66"/>
          </w:tcPr>
          <w:p>
            <w:pPr>
              <w:pStyle w:val="Text1"/>
              <w:numPr>
                <w:ilvl w:val="0"/>
                <w:numId w:val="0"/>
              </w:numPr>
              <w:spacing w:before="0" w:after="0"/>
              <w:jc w:val="center"/>
              <w:rPr>
                <w:noProof/>
                <w:lang w:val="en-US"/>
              </w:rPr>
            </w:pPr>
            <w:r>
              <w:rPr>
                <w:b/>
                <w:noProof/>
                <w:sz w:val="18"/>
                <w:szCs w:val="18"/>
                <w:lang w:val="en-IE"/>
              </w:rPr>
              <w:t>19</w:t>
            </w:r>
          </w:p>
        </w:tc>
        <w:tc>
          <w:tcPr>
            <w:tcW w:w="1023" w:type="dxa"/>
            <w:shd w:val="clear" w:color="auto" w:fill="BDD6EE" w:themeFill="accent1" w:themeFillTint="66"/>
          </w:tcPr>
          <w:p>
            <w:pPr>
              <w:pStyle w:val="Text1"/>
              <w:numPr>
                <w:ilvl w:val="0"/>
                <w:numId w:val="0"/>
              </w:numPr>
              <w:spacing w:before="0" w:after="0"/>
              <w:jc w:val="center"/>
              <w:rPr>
                <w:noProof/>
                <w:lang w:val="en-US"/>
              </w:rPr>
            </w:pPr>
            <w:r>
              <w:rPr>
                <w:noProof/>
                <w:sz w:val="18"/>
                <w:szCs w:val="18"/>
                <w:lang w:val="en-IE"/>
              </w:rPr>
              <w:t>64,8</w:t>
            </w:r>
          </w:p>
        </w:tc>
        <w:tc>
          <w:tcPr>
            <w:tcW w:w="1023" w:type="dxa"/>
            <w:shd w:val="clear" w:color="auto" w:fill="BDD6EE" w:themeFill="accent1" w:themeFillTint="66"/>
          </w:tcPr>
          <w:p>
            <w:pPr>
              <w:pStyle w:val="Text1"/>
              <w:numPr>
                <w:ilvl w:val="0"/>
                <w:numId w:val="0"/>
              </w:numPr>
              <w:spacing w:before="0" w:after="0"/>
              <w:jc w:val="center"/>
              <w:rPr>
                <w:noProof/>
                <w:lang w:val="en-US"/>
              </w:rPr>
            </w:pPr>
            <w:r>
              <w:rPr>
                <w:noProof/>
                <w:sz w:val="18"/>
                <w:szCs w:val="18"/>
                <w:lang w:val="en-IE"/>
              </w:rPr>
              <w:t>64,8</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lang w:val="en-US"/>
              </w:rPr>
            </w:pPr>
            <w:r>
              <w:rPr>
                <w:noProof/>
                <w:sz w:val="18"/>
                <w:szCs w:val="18"/>
                <w:lang w:val="en-IE"/>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noProof/>
                <w:lang w:val="en-US"/>
              </w:rPr>
            </w:pPr>
            <w:r>
              <w:rPr>
                <w:b/>
                <w:noProof/>
                <w:sz w:val="18"/>
                <w:szCs w:val="18"/>
                <w:lang w:val="en-IE"/>
              </w:rPr>
              <w:t>19</w:t>
            </w:r>
          </w:p>
        </w:tc>
        <w:tc>
          <w:tcPr>
            <w:tcW w:w="1024" w:type="dxa"/>
            <w:shd w:val="clear" w:color="auto" w:fill="BDD6EE" w:themeFill="accent1" w:themeFillTint="66"/>
          </w:tcPr>
          <w:p>
            <w:pPr>
              <w:pStyle w:val="Text1"/>
              <w:numPr>
                <w:ilvl w:val="0"/>
                <w:numId w:val="0"/>
              </w:numPr>
              <w:spacing w:before="0" w:after="0"/>
              <w:jc w:val="center"/>
              <w:rPr>
                <w:noProof/>
                <w:lang w:val="en-US"/>
              </w:rPr>
            </w:pPr>
            <w:r>
              <w:rPr>
                <w:noProof/>
                <w:sz w:val="18"/>
                <w:szCs w:val="18"/>
                <w:lang w:val="en-IE"/>
              </w:rPr>
              <w:t>66,8</w:t>
            </w:r>
          </w:p>
        </w:tc>
        <w:tc>
          <w:tcPr>
            <w:tcW w:w="1024" w:type="dxa"/>
            <w:shd w:val="clear" w:color="auto" w:fill="BDD6EE" w:themeFill="accent1" w:themeFillTint="66"/>
          </w:tcPr>
          <w:p>
            <w:pPr>
              <w:pStyle w:val="Text1"/>
              <w:numPr>
                <w:ilvl w:val="0"/>
                <w:numId w:val="0"/>
              </w:numPr>
              <w:spacing w:before="0" w:after="0"/>
              <w:jc w:val="center"/>
              <w:rPr>
                <w:noProof/>
                <w:lang w:val="en-US"/>
              </w:rPr>
            </w:pPr>
            <w:r>
              <w:rPr>
                <w:noProof/>
                <w:sz w:val="18"/>
                <w:szCs w:val="18"/>
                <w:lang w:val="en-IE"/>
              </w:rPr>
              <w:t>67,3</w:t>
            </w:r>
          </w:p>
        </w:tc>
        <w:tc>
          <w:tcPr>
            <w:tcW w:w="1024" w:type="dxa"/>
            <w:shd w:val="clear" w:color="auto" w:fill="BDD6EE" w:themeFill="accent1" w:themeFillTint="66"/>
          </w:tcPr>
          <w:p>
            <w:pPr>
              <w:pStyle w:val="Text1"/>
              <w:numPr>
                <w:ilvl w:val="0"/>
                <w:numId w:val="0"/>
              </w:numPr>
              <w:spacing w:before="0" w:after="0"/>
              <w:jc w:val="center"/>
              <w:rPr>
                <w:noProof/>
                <w:lang w:val="en-US"/>
              </w:rPr>
            </w:pPr>
            <w:r>
              <w:rPr>
                <w:noProof/>
                <w:sz w:val="18"/>
                <w:szCs w:val="18"/>
                <w:lang w:val="en-IE"/>
              </w:rPr>
              <w:t>0,559</w:t>
            </w:r>
          </w:p>
        </w:tc>
      </w:tr>
      <w:tr>
        <w:tc>
          <w:tcPr>
            <w:tcW w:w="1023" w:type="dxa"/>
            <w:shd w:val="clear" w:color="auto" w:fill="BDD6EE" w:themeFill="accent1" w:themeFillTint="66"/>
          </w:tcPr>
          <w:p>
            <w:pPr>
              <w:pStyle w:val="Text1"/>
              <w:numPr>
                <w:ilvl w:val="0"/>
                <w:numId w:val="0"/>
              </w:numPr>
              <w:spacing w:before="0" w:after="0"/>
              <w:jc w:val="center"/>
              <w:rPr>
                <w:noProof/>
                <w:lang w:val="en-US"/>
              </w:rPr>
            </w:pPr>
            <w:r>
              <w:rPr>
                <w:b/>
                <w:noProof/>
                <w:sz w:val="18"/>
                <w:szCs w:val="18"/>
                <w:lang w:val="en-IE"/>
              </w:rPr>
              <w:t>20</w:t>
            </w:r>
          </w:p>
        </w:tc>
        <w:tc>
          <w:tcPr>
            <w:tcW w:w="1023" w:type="dxa"/>
            <w:shd w:val="clear" w:color="auto" w:fill="BDD6EE" w:themeFill="accent1" w:themeFillTint="66"/>
          </w:tcPr>
          <w:p>
            <w:pPr>
              <w:pStyle w:val="Text1"/>
              <w:numPr>
                <w:ilvl w:val="0"/>
                <w:numId w:val="0"/>
              </w:numPr>
              <w:spacing w:before="0" w:after="0"/>
              <w:jc w:val="center"/>
              <w:rPr>
                <w:noProof/>
                <w:lang w:val="en-US"/>
              </w:rPr>
            </w:pPr>
            <w:r>
              <w:rPr>
                <w:noProof/>
                <w:sz w:val="18"/>
                <w:szCs w:val="18"/>
                <w:lang w:val="en-IE"/>
              </w:rPr>
              <w:t>63,8</w:t>
            </w:r>
          </w:p>
        </w:tc>
        <w:tc>
          <w:tcPr>
            <w:tcW w:w="1023" w:type="dxa"/>
            <w:shd w:val="clear" w:color="auto" w:fill="BDD6EE" w:themeFill="accent1" w:themeFillTint="66"/>
          </w:tcPr>
          <w:p>
            <w:pPr>
              <w:pStyle w:val="Text1"/>
              <w:numPr>
                <w:ilvl w:val="0"/>
                <w:numId w:val="0"/>
              </w:numPr>
              <w:spacing w:before="0" w:after="0"/>
              <w:jc w:val="center"/>
              <w:rPr>
                <w:noProof/>
                <w:lang w:val="en-US"/>
              </w:rPr>
            </w:pPr>
            <w:r>
              <w:rPr>
                <w:noProof/>
                <w:sz w:val="18"/>
                <w:szCs w:val="18"/>
                <w:lang w:val="en-IE"/>
              </w:rPr>
              <w:t>63,8</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lang w:val="en-US"/>
              </w:rPr>
            </w:pPr>
            <w:r>
              <w:rPr>
                <w:noProof/>
                <w:sz w:val="18"/>
                <w:szCs w:val="18"/>
                <w:lang w:val="en-IE"/>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noProof/>
                <w:lang w:val="en-US"/>
              </w:rPr>
            </w:pPr>
            <w:r>
              <w:rPr>
                <w:b/>
                <w:noProof/>
                <w:sz w:val="18"/>
                <w:szCs w:val="18"/>
                <w:lang w:val="en-IE"/>
              </w:rPr>
              <w:t>20</w:t>
            </w:r>
          </w:p>
        </w:tc>
        <w:tc>
          <w:tcPr>
            <w:tcW w:w="1024" w:type="dxa"/>
            <w:shd w:val="clear" w:color="auto" w:fill="BDD6EE" w:themeFill="accent1" w:themeFillTint="66"/>
          </w:tcPr>
          <w:p>
            <w:pPr>
              <w:pStyle w:val="Text1"/>
              <w:numPr>
                <w:ilvl w:val="0"/>
                <w:numId w:val="0"/>
              </w:numPr>
              <w:spacing w:before="0" w:after="0"/>
              <w:jc w:val="center"/>
              <w:rPr>
                <w:noProof/>
                <w:lang w:val="en-US"/>
              </w:rPr>
            </w:pPr>
            <w:r>
              <w:rPr>
                <w:noProof/>
                <w:sz w:val="18"/>
                <w:szCs w:val="18"/>
                <w:lang w:val="en-IE"/>
              </w:rPr>
              <w:t>65,8</w:t>
            </w:r>
          </w:p>
        </w:tc>
        <w:tc>
          <w:tcPr>
            <w:tcW w:w="1024" w:type="dxa"/>
            <w:shd w:val="clear" w:color="auto" w:fill="BDD6EE" w:themeFill="accent1" w:themeFillTint="66"/>
          </w:tcPr>
          <w:p>
            <w:pPr>
              <w:pStyle w:val="Text1"/>
              <w:numPr>
                <w:ilvl w:val="0"/>
                <w:numId w:val="0"/>
              </w:numPr>
              <w:spacing w:before="0" w:after="0"/>
              <w:jc w:val="center"/>
              <w:rPr>
                <w:noProof/>
                <w:lang w:val="en-US"/>
              </w:rPr>
            </w:pPr>
            <w:r>
              <w:rPr>
                <w:noProof/>
                <w:sz w:val="18"/>
                <w:szCs w:val="18"/>
                <w:lang w:val="en-IE"/>
              </w:rPr>
              <w:t>66,3</w:t>
            </w:r>
          </w:p>
        </w:tc>
        <w:tc>
          <w:tcPr>
            <w:tcW w:w="1024" w:type="dxa"/>
            <w:shd w:val="clear" w:color="auto" w:fill="BDD6EE" w:themeFill="accent1" w:themeFillTint="66"/>
          </w:tcPr>
          <w:p>
            <w:pPr>
              <w:pStyle w:val="Text1"/>
              <w:numPr>
                <w:ilvl w:val="0"/>
                <w:numId w:val="0"/>
              </w:numPr>
              <w:spacing w:before="0" w:after="0"/>
              <w:jc w:val="center"/>
              <w:rPr>
                <w:noProof/>
                <w:lang w:val="en-US"/>
              </w:rPr>
            </w:pPr>
            <w:r>
              <w:rPr>
                <w:noProof/>
                <w:sz w:val="18"/>
                <w:szCs w:val="18"/>
                <w:lang w:val="en-IE"/>
              </w:rPr>
              <w:t>0,559</w:t>
            </w:r>
          </w:p>
        </w:tc>
      </w:tr>
      <w:tr>
        <w:tc>
          <w:tcPr>
            <w:tcW w:w="1023" w:type="dxa"/>
            <w:shd w:val="clear" w:color="auto" w:fill="BDD6EE" w:themeFill="accent1" w:themeFillTint="66"/>
          </w:tcPr>
          <w:p>
            <w:pPr>
              <w:pStyle w:val="Text1"/>
              <w:numPr>
                <w:ilvl w:val="0"/>
                <w:numId w:val="0"/>
              </w:numPr>
              <w:spacing w:before="0" w:after="0"/>
              <w:jc w:val="center"/>
              <w:rPr>
                <w:noProof/>
                <w:lang w:val="en-US"/>
              </w:rPr>
            </w:pPr>
            <w:r>
              <w:rPr>
                <w:b/>
                <w:noProof/>
                <w:sz w:val="18"/>
                <w:szCs w:val="18"/>
                <w:lang w:val="en-IE"/>
              </w:rPr>
              <w:t>21</w:t>
            </w:r>
          </w:p>
        </w:tc>
        <w:tc>
          <w:tcPr>
            <w:tcW w:w="1023" w:type="dxa"/>
            <w:shd w:val="clear" w:color="auto" w:fill="BDD6EE" w:themeFill="accent1" w:themeFillTint="66"/>
          </w:tcPr>
          <w:p>
            <w:pPr>
              <w:pStyle w:val="Text1"/>
              <w:numPr>
                <w:ilvl w:val="0"/>
                <w:numId w:val="0"/>
              </w:numPr>
              <w:spacing w:before="0" w:after="0"/>
              <w:jc w:val="center"/>
              <w:rPr>
                <w:noProof/>
                <w:lang w:val="en-US"/>
              </w:rPr>
            </w:pPr>
            <w:r>
              <w:rPr>
                <w:noProof/>
                <w:sz w:val="18"/>
                <w:szCs w:val="18"/>
                <w:lang w:val="en-IE"/>
              </w:rPr>
              <w:t>62,8</w:t>
            </w:r>
          </w:p>
        </w:tc>
        <w:tc>
          <w:tcPr>
            <w:tcW w:w="1023" w:type="dxa"/>
            <w:shd w:val="clear" w:color="auto" w:fill="BDD6EE" w:themeFill="accent1" w:themeFillTint="66"/>
          </w:tcPr>
          <w:p>
            <w:pPr>
              <w:pStyle w:val="Text1"/>
              <w:numPr>
                <w:ilvl w:val="0"/>
                <w:numId w:val="0"/>
              </w:numPr>
              <w:spacing w:before="0" w:after="0"/>
              <w:jc w:val="center"/>
              <w:rPr>
                <w:noProof/>
                <w:lang w:val="en-US"/>
              </w:rPr>
            </w:pPr>
            <w:r>
              <w:rPr>
                <w:noProof/>
                <w:sz w:val="18"/>
                <w:szCs w:val="18"/>
                <w:lang w:val="en-IE"/>
              </w:rPr>
              <w:t>62,9</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lang w:val="en-US"/>
              </w:rPr>
            </w:pPr>
            <w:r>
              <w:rPr>
                <w:noProof/>
                <w:sz w:val="18"/>
                <w:szCs w:val="18"/>
                <w:lang w:val="en-IE"/>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noProof/>
                <w:lang w:val="en-US"/>
              </w:rPr>
            </w:pPr>
            <w:r>
              <w:rPr>
                <w:b/>
                <w:noProof/>
                <w:sz w:val="18"/>
                <w:szCs w:val="18"/>
                <w:lang w:val="en-IE"/>
              </w:rPr>
              <w:t>21</w:t>
            </w:r>
          </w:p>
        </w:tc>
        <w:tc>
          <w:tcPr>
            <w:tcW w:w="1024" w:type="dxa"/>
            <w:shd w:val="clear" w:color="auto" w:fill="BDD6EE" w:themeFill="accent1" w:themeFillTint="66"/>
          </w:tcPr>
          <w:p>
            <w:pPr>
              <w:pStyle w:val="Text1"/>
              <w:numPr>
                <w:ilvl w:val="0"/>
                <w:numId w:val="0"/>
              </w:numPr>
              <w:spacing w:before="0" w:after="0"/>
              <w:jc w:val="center"/>
              <w:rPr>
                <w:noProof/>
                <w:lang w:val="en-US"/>
              </w:rPr>
            </w:pPr>
            <w:r>
              <w:rPr>
                <w:noProof/>
                <w:sz w:val="18"/>
                <w:szCs w:val="18"/>
                <w:lang w:val="en-IE"/>
              </w:rPr>
              <w:t>64,8</w:t>
            </w:r>
          </w:p>
        </w:tc>
        <w:tc>
          <w:tcPr>
            <w:tcW w:w="1024" w:type="dxa"/>
            <w:shd w:val="clear" w:color="auto" w:fill="BDD6EE" w:themeFill="accent1" w:themeFillTint="66"/>
          </w:tcPr>
          <w:p>
            <w:pPr>
              <w:pStyle w:val="Text1"/>
              <w:numPr>
                <w:ilvl w:val="0"/>
                <w:numId w:val="0"/>
              </w:numPr>
              <w:spacing w:before="0" w:after="0"/>
              <w:jc w:val="center"/>
              <w:rPr>
                <w:noProof/>
                <w:lang w:val="en-US"/>
              </w:rPr>
            </w:pPr>
            <w:r>
              <w:rPr>
                <w:noProof/>
                <w:sz w:val="18"/>
                <w:szCs w:val="18"/>
                <w:lang w:val="en-IE"/>
              </w:rPr>
              <w:t>65,4</w:t>
            </w:r>
          </w:p>
        </w:tc>
        <w:tc>
          <w:tcPr>
            <w:tcW w:w="1024" w:type="dxa"/>
            <w:shd w:val="clear" w:color="auto" w:fill="BDD6EE" w:themeFill="accent1" w:themeFillTint="66"/>
          </w:tcPr>
          <w:p>
            <w:pPr>
              <w:pStyle w:val="Text1"/>
              <w:numPr>
                <w:ilvl w:val="0"/>
                <w:numId w:val="0"/>
              </w:numPr>
              <w:spacing w:before="0" w:after="0"/>
              <w:jc w:val="center"/>
              <w:rPr>
                <w:noProof/>
                <w:lang w:val="en-US"/>
              </w:rPr>
            </w:pPr>
            <w:r>
              <w:rPr>
                <w:noProof/>
                <w:sz w:val="18"/>
                <w:szCs w:val="18"/>
                <w:lang w:val="en-IE"/>
              </w:rPr>
              <w:t>0,559</w:t>
            </w:r>
          </w:p>
        </w:tc>
      </w:tr>
      <w:tr>
        <w:tc>
          <w:tcPr>
            <w:tcW w:w="1023" w:type="dxa"/>
            <w:shd w:val="clear" w:color="auto" w:fill="BDD6EE" w:themeFill="accent1" w:themeFillTint="66"/>
          </w:tcPr>
          <w:p>
            <w:pPr>
              <w:pStyle w:val="Text1"/>
              <w:numPr>
                <w:ilvl w:val="0"/>
                <w:numId w:val="0"/>
              </w:numPr>
              <w:spacing w:before="0" w:after="0"/>
              <w:jc w:val="center"/>
              <w:rPr>
                <w:noProof/>
                <w:lang w:val="en-US"/>
              </w:rPr>
            </w:pPr>
            <w:r>
              <w:rPr>
                <w:b/>
                <w:noProof/>
                <w:sz w:val="18"/>
                <w:szCs w:val="18"/>
                <w:lang w:val="en-IE"/>
              </w:rPr>
              <w:t>22</w:t>
            </w:r>
          </w:p>
        </w:tc>
        <w:tc>
          <w:tcPr>
            <w:tcW w:w="1023" w:type="dxa"/>
            <w:shd w:val="clear" w:color="auto" w:fill="BDD6EE" w:themeFill="accent1" w:themeFillTint="66"/>
          </w:tcPr>
          <w:p>
            <w:pPr>
              <w:pStyle w:val="Text1"/>
              <w:numPr>
                <w:ilvl w:val="0"/>
                <w:numId w:val="0"/>
              </w:numPr>
              <w:spacing w:before="0" w:after="0"/>
              <w:jc w:val="center"/>
              <w:rPr>
                <w:noProof/>
                <w:lang w:val="en-US"/>
              </w:rPr>
            </w:pPr>
            <w:r>
              <w:rPr>
                <w:noProof/>
                <w:sz w:val="18"/>
                <w:szCs w:val="18"/>
                <w:lang w:val="en-IE"/>
              </w:rPr>
              <w:t>61,8</w:t>
            </w:r>
          </w:p>
        </w:tc>
        <w:tc>
          <w:tcPr>
            <w:tcW w:w="1023" w:type="dxa"/>
            <w:shd w:val="clear" w:color="auto" w:fill="BDD6EE" w:themeFill="accent1" w:themeFillTint="66"/>
          </w:tcPr>
          <w:p>
            <w:pPr>
              <w:pStyle w:val="Text1"/>
              <w:numPr>
                <w:ilvl w:val="0"/>
                <w:numId w:val="0"/>
              </w:numPr>
              <w:spacing w:before="0" w:after="0"/>
              <w:jc w:val="center"/>
              <w:rPr>
                <w:noProof/>
                <w:lang w:val="en-US"/>
              </w:rPr>
            </w:pPr>
            <w:r>
              <w:rPr>
                <w:noProof/>
                <w:sz w:val="18"/>
                <w:szCs w:val="18"/>
                <w:lang w:val="en-IE"/>
              </w:rPr>
              <w:t>61,9</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lang w:val="en-US"/>
              </w:rPr>
            </w:pPr>
            <w:r>
              <w:rPr>
                <w:noProof/>
                <w:sz w:val="18"/>
                <w:szCs w:val="18"/>
                <w:lang w:val="en-IE"/>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noProof/>
                <w:lang w:val="en-US"/>
              </w:rPr>
            </w:pPr>
            <w:r>
              <w:rPr>
                <w:b/>
                <w:noProof/>
                <w:sz w:val="18"/>
                <w:szCs w:val="18"/>
                <w:lang w:val="en-IE"/>
              </w:rPr>
              <w:t>22</w:t>
            </w:r>
          </w:p>
        </w:tc>
        <w:tc>
          <w:tcPr>
            <w:tcW w:w="1024" w:type="dxa"/>
            <w:shd w:val="clear" w:color="auto" w:fill="BDD6EE" w:themeFill="accent1" w:themeFillTint="66"/>
          </w:tcPr>
          <w:p>
            <w:pPr>
              <w:pStyle w:val="Text1"/>
              <w:numPr>
                <w:ilvl w:val="0"/>
                <w:numId w:val="0"/>
              </w:numPr>
              <w:spacing w:before="0" w:after="0"/>
              <w:jc w:val="center"/>
              <w:rPr>
                <w:noProof/>
                <w:lang w:val="en-US"/>
              </w:rPr>
            </w:pPr>
            <w:r>
              <w:rPr>
                <w:noProof/>
                <w:sz w:val="18"/>
                <w:szCs w:val="18"/>
                <w:lang w:val="en-IE"/>
              </w:rPr>
              <w:t>63,8</w:t>
            </w:r>
          </w:p>
        </w:tc>
        <w:tc>
          <w:tcPr>
            <w:tcW w:w="1024" w:type="dxa"/>
            <w:shd w:val="clear" w:color="auto" w:fill="BDD6EE" w:themeFill="accent1" w:themeFillTint="66"/>
          </w:tcPr>
          <w:p>
            <w:pPr>
              <w:pStyle w:val="Text1"/>
              <w:numPr>
                <w:ilvl w:val="0"/>
                <w:numId w:val="0"/>
              </w:numPr>
              <w:spacing w:before="0" w:after="0"/>
              <w:jc w:val="center"/>
              <w:rPr>
                <w:noProof/>
                <w:lang w:val="en-US"/>
              </w:rPr>
            </w:pPr>
            <w:r>
              <w:rPr>
                <w:noProof/>
                <w:sz w:val="18"/>
                <w:szCs w:val="18"/>
                <w:lang w:val="en-IE"/>
              </w:rPr>
              <w:t>64,4</w:t>
            </w:r>
          </w:p>
        </w:tc>
        <w:tc>
          <w:tcPr>
            <w:tcW w:w="1024" w:type="dxa"/>
            <w:shd w:val="clear" w:color="auto" w:fill="BDD6EE" w:themeFill="accent1" w:themeFillTint="66"/>
          </w:tcPr>
          <w:p>
            <w:pPr>
              <w:pStyle w:val="Text1"/>
              <w:numPr>
                <w:ilvl w:val="0"/>
                <w:numId w:val="0"/>
              </w:numPr>
              <w:spacing w:before="0" w:after="0"/>
              <w:jc w:val="center"/>
              <w:rPr>
                <w:noProof/>
                <w:lang w:val="en-US"/>
              </w:rPr>
            </w:pPr>
            <w:r>
              <w:rPr>
                <w:noProof/>
                <w:sz w:val="18"/>
                <w:szCs w:val="18"/>
                <w:lang w:val="en-IE"/>
              </w:rPr>
              <w:t>0,559</w:t>
            </w:r>
          </w:p>
        </w:tc>
      </w:tr>
      <w:tr>
        <w:tc>
          <w:tcPr>
            <w:tcW w:w="1023" w:type="dxa"/>
            <w:shd w:val="clear" w:color="auto" w:fill="BDD6EE" w:themeFill="accent1" w:themeFillTint="66"/>
          </w:tcPr>
          <w:p>
            <w:pPr>
              <w:pStyle w:val="Text1"/>
              <w:numPr>
                <w:ilvl w:val="0"/>
                <w:numId w:val="0"/>
              </w:numPr>
              <w:spacing w:before="0" w:after="0"/>
              <w:jc w:val="center"/>
              <w:rPr>
                <w:noProof/>
                <w:lang w:val="en-US"/>
              </w:rPr>
            </w:pPr>
            <w:r>
              <w:rPr>
                <w:b/>
                <w:noProof/>
                <w:sz w:val="18"/>
                <w:szCs w:val="18"/>
                <w:lang w:val="en-IE"/>
              </w:rPr>
              <w:t>23</w:t>
            </w:r>
          </w:p>
        </w:tc>
        <w:tc>
          <w:tcPr>
            <w:tcW w:w="1023" w:type="dxa"/>
            <w:shd w:val="clear" w:color="auto" w:fill="BDD6EE" w:themeFill="accent1" w:themeFillTint="66"/>
          </w:tcPr>
          <w:p>
            <w:pPr>
              <w:pStyle w:val="Text1"/>
              <w:numPr>
                <w:ilvl w:val="0"/>
                <w:numId w:val="0"/>
              </w:numPr>
              <w:spacing w:before="0" w:after="0"/>
              <w:jc w:val="center"/>
              <w:rPr>
                <w:noProof/>
                <w:lang w:val="en-US"/>
              </w:rPr>
            </w:pPr>
            <w:r>
              <w:rPr>
                <w:noProof/>
                <w:sz w:val="18"/>
                <w:szCs w:val="18"/>
                <w:lang w:val="en-IE"/>
              </w:rPr>
              <w:t>60,8</w:t>
            </w:r>
          </w:p>
        </w:tc>
        <w:tc>
          <w:tcPr>
            <w:tcW w:w="1023" w:type="dxa"/>
            <w:shd w:val="clear" w:color="auto" w:fill="BDD6EE" w:themeFill="accent1" w:themeFillTint="66"/>
          </w:tcPr>
          <w:p>
            <w:pPr>
              <w:pStyle w:val="Text1"/>
              <w:numPr>
                <w:ilvl w:val="0"/>
                <w:numId w:val="0"/>
              </w:numPr>
              <w:spacing w:before="0" w:after="0"/>
              <w:jc w:val="center"/>
              <w:rPr>
                <w:noProof/>
                <w:lang w:val="en-US"/>
              </w:rPr>
            </w:pPr>
            <w:r>
              <w:rPr>
                <w:noProof/>
                <w:sz w:val="18"/>
                <w:szCs w:val="18"/>
                <w:lang w:val="en-IE"/>
              </w:rPr>
              <w:t>60,9</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lang w:val="en-US"/>
              </w:rPr>
            </w:pPr>
            <w:r>
              <w:rPr>
                <w:noProof/>
                <w:sz w:val="18"/>
                <w:szCs w:val="18"/>
                <w:lang w:val="en-IE"/>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noProof/>
                <w:lang w:val="en-US"/>
              </w:rPr>
            </w:pPr>
            <w:r>
              <w:rPr>
                <w:b/>
                <w:noProof/>
                <w:sz w:val="18"/>
                <w:szCs w:val="18"/>
                <w:lang w:val="en-IE"/>
              </w:rPr>
              <w:t>23</w:t>
            </w:r>
          </w:p>
        </w:tc>
        <w:tc>
          <w:tcPr>
            <w:tcW w:w="1024" w:type="dxa"/>
            <w:shd w:val="clear" w:color="auto" w:fill="BDD6EE" w:themeFill="accent1" w:themeFillTint="66"/>
          </w:tcPr>
          <w:p>
            <w:pPr>
              <w:pStyle w:val="Text1"/>
              <w:numPr>
                <w:ilvl w:val="0"/>
                <w:numId w:val="0"/>
              </w:numPr>
              <w:spacing w:before="0" w:after="0"/>
              <w:jc w:val="center"/>
              <w:rPr>
                <w:noProof/>
                <w:lang w:val="en-US"/>
              </w:rPr>
            </w:pPr>
            <w:r>
              <w:rPr>
                <w:noProof/>
                <w:sz w:val="18"/>
                <w:szCs w:val="18"/>
                <w:lang w:val="en-IE"/>
              </w:rPr>
              <w:t>62,8</w:t>
            </w:r>
          </w:p>
        </w:tc>
        <w:tc>
          <w:tcPr>
            <w:tcW w:w="1024" w:type="dxa"/>
            <w:shd w:val="clear" w:color="auto" w:fill="BDD6EE" w:themeFill="accent1" w:themeFillTint="66"/>
          </w:tcPr>
          <w:p>
            <w:pPr>
              <w:pStyle w:val="Text1"/>
              <w:numPr>
                <w:ilvl w:val="0"/>
                <w:numId w:val="0"/>
              </w:numPr>
              <w:spacing w:before="0" w:after="0"/>
              <w:jc w:val="center"/>
              <w:rPr>
                <w:noProof/>
                <w:lang w:val="en-US"/>
              </w:rPr>
            </w:pPr>
            <w:r>
              <w:rPr>
                <w:noProof/>
                <w:sz w:val="18"/>
                <w:szCs w:val="18"/>
                <w:lang w:val="en-IE"/>
              </w:rPr>
              <w:t>63,4</w:t>
            </w:r>
          </w:p>
        </w:tc>
        <w:tc>
          <w:tcPr>
            <w:tcW w:w="1024" w:type="dxa"/>
            <w:shd w:val="clear" w:color="auto" w:fill="BDD6EE" w:themeFill="accent1" w:themeFillTint="66"/>
          </w:tcPr>
          <w:p>
            <w:pPr>
              <w:pStyle w:val="Text1"/>
              <w:numPr>
                <w:ilvl w:val="0"/>
                <w:numId w:val="0"/>
              </w:numPr>
              <w:spacing w:before="0" w:after="0"/>
              <w:jc w:val="center"/>
              <w:rPr>
                <w:noProof/>
                <w:lang w:val="en-US"/>
              </w:rPr>
            </w:pPr>
            <w:r>
              <w:rPr>
                <w:noProof/>
                <w:sz w:val="18"/>
                <w:szCs w:val="18"/>
                <w:lang w:val="en-IE"/>
              </w:rPr>
              <w:t>0,559</w:t>
            </w:r>
          </w:p>
        </w:tc>
      </w:tr>
      <w:tr>
        <w:tc>
          <w:tcPr>
            <w:tcW w:w="1023" w:type="dxa"/>
            <w:shd w:val="clear" w:color="auto" w:fill="BDD6EE" w:themeFill="accent1" w:themeFillTint="66"/>
          </w:tcPr>
          <w:p>
            <w:pPr>
              <w:pStyle w:val="Text1"/>
              <w:numPr>
                <w:ilvl w:val="0"/>
                <w:numId w:val="0"/>
              </w:numPr>
              <w:spacing w:before="0" w:after="0"/>
              <w:jc w:val="center"/>
              <w:rPr>
                <w:noProof/>
                <w:lang w:val="en-US"/>
              </w:rPr>
            </w:pPr>
            <w:r>
              <w:rPr>
                <w:b/>
                <w:noProof/>
                <w:sz w:val="18"/>
                <w:szCs w:val="18"/>
                <w:lang w:val="en-IE"/>
              </w:rPr>
              <w:t>24</w:t>
            </w:r>
          </w:p>
        </w:tc>
        <w:tc>
          <w:tcPr>
            <w:tcW w:w="1023" w:type="dxa"/>
            <w:shd w:val="clear" w:color="auto" w:fill="BDD6EE" w:themeFill="accent1" w:themeFillTint="66"/>
          </w:tcPr>
          <w:p>
            <w:pPr>
              <w:pStyle w:val="Text1"/>
              <w:numPr>
                <w:ilvl w:val="0"/>
                <w:numId w:val="0"/>
              </w:numPr>
              <w:spacing w:before="0" w:after="0"/>
              <w:jc w:val="center"/>
              <w:rPr>
                <w:noProof/>
                <w:lang w:val="en-US"/>
              </w:rPr>
            </w:pPr>
            <w:r>
              <w:rPr>
                <w:noProof/>
                <w:sz w:val="18"/>
                <w:szCs w:val="18"/>
                <w:lang w:val="en-IE"/>
              </w:rPr>
              <w:t>59,8</w:t>
            </w:r>
          </w:p>
        </w:tc>
        <w:tc>
          <w:tcPr>
            <w:tcW w:w="1023" w:type="dxa"/>
            <w:shd w:val="clear" w:color="auto" w:fill="BDD6EE" w:themeFill="accent1" w:themeFillTint="66"/>
          </w:tcPr>
          <w:p>
            <w:pPr>
              <w:pStyle w:val="Text1"/>
              <w:numPr>
                <w:ilvl w:val="0"/>
                <w:numId w:val="0"/>
              </w:numPr>
              <w:spacing w:before="0" w:after="0"/>
              <w:jc w:val="center"/>
              <w:rPr>
                <w:noProof/>
                <w:lang w:val="en-US"/>
              </w:rPr>
            </w:pPr>
            <w:r>
              <w:rPr>
                <w:noProof/>
                <w:sz w:val="18"/>
                <w:szCs w:val="18"/>
                <w:lang w:val="en-IE"/>
              </w:rPr>
              <w:t>59,9</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lang w:val="en-US"/>
              </w:rPr>
            </w:pPr>
            <w:r>
              <w:rPr>
                <w:noProof/>
                <w:sz w:val="18"/>
                <w:szCs w:val="18"/>
                <w:lang w:val="en-IE"/>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noProof/>
                <w:lang w:val="en-US"/>
              </w:rPr>
            </w:pPr>
            <w:r>
              <w:rPr>
                <w:b/>
                <w:noProof/>
                <w:sz w:val="18"/>
                <w:szCs w:val="18"/>
                <w:lang w:val="en-IE"/>
              </w:rPr>
              <w:t>24</w:t>
            </w:r>
          </w:p>
        </w:tc>
        <w:tc>
          <w:tcPr>
            <w:tcW w:w="1024" w:type="dxa"/>
            <w:shd w:val="clear" w:color="auto" w:fill="BDD6EE" w:themeFill="accent1" w:themeFillTint="66"/>
          </w:tcPr>
          <w:p>
            <w:pPr>
              <w:pStyle w:val="Text1"/>
              <w:numPr>
                <w:ilvl w:val="0"/>
                <w:numId w:val="0"/>
              </w:numPr>
              <w:spacing w:before="0" w:after="0"/>
              <w:jc w:val="center"/>
              <w:rPr>
                <w:noProof/>
                <w:lang w:val="en-US"/>
              </w:rPr>
            </w:pPr>
            <w:r>
              <w:rPr>
                <w:noProof/>
                <w:sz w:val="18"/>
                <w:szCs w:val="18"/>
                <w:lang w:val="en-IE"/>
              </w:rPr>
              <w:t>61,8</w:t>
            </w:r>
          </w:p>
        </w:tc>
        <w:tc>
          <w:tcPr>
            <w:tcW w:w="1024" w:type="dxa"/>
            <w:shd w:val="clear" w:color="auto" w:fill="BDD6EE" w:themeFill="accent1" w:themeFillTint="66"/>
          </w:tcPr>
          <w:p>
            <w:pPr>
              <w:pStyle w:val="Text1"/>
              <w:numPr>
                <w:ilvl w:val="0"/>
                <w:numId w:val="0"/>
              </w:numPr>
              <w:spacing w:before="0" w:after="0"/>
              <w:jc w:val="center"/>
              <w:rPr>
                <w:noProof/>
                <w:lang w:val="en-US"/>
              </w:rPr>
            </w:pPr>
            <w:r>
              <w:rPr>
                <w:noProof/>
                <w:sz w:val="18"/>
                <w:szCs w:val="18"/>
                <w:lang w:val="en-IE"/>
              </w:rPr>
              <w:t>62,4</w:t>
            </w:r>
          </w:p>
        </w:tc>
        <w:tc>
          <w:tcPr>
            <w:tcW w:w="1024" w:type="dxa"/>
            <w:shd w:val="clear" w:color="auto" w:fill="BDD6EE" w:themeFill="accent1" w:themeFillTint="66"/>
          </w:tcPr>
          <w:p>
            <w:pPr>
              <w:pStyle w:val="Text1"/>
              <w:numPr>
                <w:ilvl w:val="0"/>
                <w:numId w:val="0"/>
              </w:numPr>
              <w:spacing w:before="0" w:after="0"/>
              <w:jc w:val="center"/>
              <w:rPr>
                <w:noProof/>
                <w:lang w:val="en-US"/>
              </w:rPr>
            </w:pPr>
            <w:r>
              <w:rPr>
                <w:noProof/>
                <w:sz w:val="18"/>
                <w:szCs w:val="18"/>
                <w:lang w:val="en-IE"/>
              </w:rPr>
              <w:t>0,559</w:t>
            </w:r>
          </w:p>
        </w:tc>
      </w:tr>
      <w:tr>
        <w:tc>
          <w:tcPr>
            <w:tcW w:w="1023" w:type="dxa"/>
            <w:shd w:val="clear" w:color="auto" w:fill="BDD6EE" w:themeFill="accent1" w:themeFillTint="66"/>
          </w:tcPr>
          <w:p>
            <w:pPr>
              <w:pStyle w:val="Text1"/>
              <w:numPr>
                <w:ilvl w:val="0"/>
                <w:numId w:val="0"/>
              </w:numPr>
              <w:spacing w:before="0" w:after="0"/>
              <w:jc w:val="center"/>
              <w:rPr>
                <w:b/>
                <w:noProof/>
                <w:sz w:val="18"/>
                <w:szCs w:val="18"/>
                <w:lang w:val="en-IE"/>
              </w:rPr>
            </w:pPr>
            <w:r>
              <w:rPr>
                <w:b/>
                <w:noProof/>
                <w:sz w:val="18"/>
                <w:szCs w:val="18"/>
                <w:lang w:val="en-IE"/>
              </w:rPr>
              <w:t>25</w:t>
            </w:r>
          </w:p>
        </w:tc>
        <w:tc>
          <w:tcPr>
            <w:tcW w:w="1023" w:type="dxa"/>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58,8</w:t>
            </w:r>
          </w:p>
        </w:tc>
        <w:tc>
          <w:tcPr>
            <w:tcW w:w="1023" w:type="dxa"/>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58,9</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lang w:val="en-IE"/>
              </w:rPr>
            </w:pPr>
            <w:r>
              <w:rPr>
                <w:b/>
                <w:noProof/>
                <w:sz w:val="18"/>
                <w:szCs w:val="18"/>
                <w:lang w:val="en-IE"/>
              </w:rPr>
              <w:t>25</w:t>
            </w:r>
          </w:p>
        </w:tc>
        <w:tc>
          <w:tcPr>
            <w:tcW w:w="1024" w:type="dxa"/>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60,8</w:t>
            </w:r>
          </w:p>
        </w:tc>
        <w:tc>
          <w:tcPr>
            <w:tcW w:w="1024" w:type="dxa"/>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61,4</w:t>
            </w:r>
          </w:p>
        </w:tc>
        <w:tc>
          <w:tcPr>
            <w:tcW w:w="1024" w:type="dxa"/>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0,559</w:t>
            </w:r>
          </w:p>
        </w:tc>
      </w:tr>
      <w:tr>
        <w:tc>
          <w:tcPr>
            <w:tcW w:w="1023" w:type="dxa"/>
            <w:shd w:val="clear" w:color="auto" w:fill="BDD6EE" w:themeFill="accent1" w:themeFillTint="66"/>
          </w:tcPr>
          <w:p>
            <w:pPr>
              <w:pStyle w:val="Text1"/>
              <w:numPr>
                <w:ilvl w:val="0"/>
                <w:numId w:val="0"/>
              </w:numPr>
              <w:spacing w:before="0" w:after="0"/>
              <w:jc w:val="center"/>
              <w:rPr>
                <w:b/>
                <w:noProof/>
                <w:sz w:val="18"/>
                <w:szCs w:val="18"/>
                <w:lang w:val="en-IE"/>
              </w:rPr>
            </w:pPr>
            <w:r>
              <w:rPr>
                <w:b/>
                <w:noProof/>
                <w:sz w:val="18"/>
                <w:szCs w:val="18"/>
                <w:lang w:val="en-IE"/>
              </w:rPr>
              <w:t>26</w:t>
            </w:r>
          </w:p>
        </w:tc>
        <w:tc>
          <w:tcPr>
            <w:tcW w:w="1023" w:type="dxa"/>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rPr>
              <w:t>57,9</w:t>
            </w:r>
          </w:p>
        </w:tc>
        <w:tc>
          <w:tcPr>
            <w:tcW w:w="1023" w:type="dxa"/>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rPr>
              <w:t>57,9</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lang w:val="en-IE"/>
              </w:rPr>
            </w:pPr>
            <w:r>
              <w:rPr>
                <w:b/>
                <w:noProof/>
                <w:sz w:val="18"/>
                <w:szCs w:val="18"/>
                <w:lang w:val="en-IE"/>
              </w:rPr>
              <w:t>26</w:t>
            </w:r>
          </w:p>
        </w:tc>
        <w:tc>
          <w:tcPr>
            <w:tcW w:w="1024" w:type="dxa"/>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rPr>
              <w:t>59,8</w:t>
            </w:r>
          </w:p>
        </w:tc>
        <w:tc>
          <w:tcPr>
            <w:tcW w:w="1024" w:type="dxa"/>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rPr>
              <w:t>60,4</w:t>
            </w:r>
          </w:p>
        </w:tc>
        <w:tc>
          <w:tcPr>
            <w:tcW w:w="1024" w:type="dxa"/>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0,559</w:t>
            </w:r>
          </w:p>
        </w:tc>
      </w:tr>
      <w:tr>
        <w:tc>
          <w:tcPr>
            <w:tcW w:w="1023" w:type="dxa"/>
            <w:shd w:val="clear" w:color="auto" w:fill="BDD6EE" w:themeFill="accent1" w:themeFillTint="66"/>
          </w:tcPr>
          <w:p>
            <w:pPr>
              <w:pStyle w:val="Text1"/>
              <w:numPr>
                <w:ilvl w:val="0"/>
                <w:numId w:val="0"/>
              </w:numPr>
              <w:spacing w:before="0" w:after="0"/>
              <w:jc w:val="center"/>
              <w:rPr>
                <w:b/>
                <w:noProof/>
                <w:sz w:val="18"/>
                <w:szCs w:val="18"/>
                <w:lang w:val="en-IE"/>
              </w:rPr>
            </w:pPr>
            <w:r>
              <w:rPr>
                <w:b/>
                <w:noProof/>
                <w:sz w:val="18"/>
                <w:szCs w:val="18"/>
              </w:rPr>
              <w:t>27</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56,9</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57,0</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lang w:val="en-IE"/>
              </w:rPr>
            </w:pPr>
            <w:r>
              <w:rPr>
                <w:b/>
                <w:noProof/>
                <w:sz w:val="18"/>
                <w:szCs w:val="18"/>
              </w:rPr>
              <w:t>27</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58,9</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59,4</w:t>
            </w:r>
          </w:p>
        </w:tc>
        <w:tc>
          <w:tcPr>
            <w:tcW w:w="1024" w:type="dxa"/>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0,559</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28</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55,9</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56,0</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28</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57,9</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58,4</w:t>
            </w:r>
          </w:p>
        </w:tc>
        <w:tc>
          <w:tcPr>
            <w:tcW w:w="1024" w:type="dxa"/>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0,560</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29</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54,9</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55,0</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29</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56,9</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57,4</w:t>
            </w:r>
          </w:p>
        </w:tc>
        <w:tc>
          <w:tcPr>
            <w:tcW w:w="1024" w:type="dxa"/>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0,560</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30</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53,9</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54,0</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30</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55,9</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56,4</w:t>
            </w:r>
          </w:p>
        </w:tc>
        <w:tc>
          <w:tcPr>
            <w:tcW w:w="1024" w:type="dxa"/>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0,560</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31</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52,9</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53,0</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31</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54,9</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55,5</w:t>
            </w:r>
          </w:p>
        </w:tc>
        <w:tc>
          <w:tcPr>
            <w:tcW w:w="1024" w:type="dxa"/>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0,560</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32</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51,9</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52,0</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32</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53,9</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54,5</w:t>
            </w:r>
          </w:p>
        </w:tc>
        <w:tc>
          <w:tcPr>
            <w:tcW w:w="1024" w:type="dxa"/>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0,560</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33</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51,0</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51,0</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33</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52,9</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53,5</w:t>
            </w:r>
          </w:p>
        </w:tc>
        <w:tc>
          <w:tcPr>
            <w:tcW w:w="1024" w:type="dxa"/>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0,560</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34</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50,0</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50,1</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34</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51,9</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52,5</w:t>
            </w:r>
          </w:p>
        </w:tc>
        <w:tc>
          <w:tcPr>
            <w:tcW w:w="1024" w:type="dxa"/>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0,560</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35</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49,0</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49,1</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35</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50,9</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51,5</w:t>
            </w:r>
          </w:p>
        </w:tc>
        <w:tc>
          <w:tcPr>
            <w:tcW w:w="1024" w:type="dxa"/>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0,560</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36</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48,0</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48,1</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36</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50,0</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50,5</w:t>
            </w:r>
          </w:p>
        </w:tc>
        <w:tc>
          <w:tcPr>
            <w:tcW w:w="1024" w:type="dxa"/>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0,560</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37</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47,0</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47,1</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37</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49,0</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49,5</w:t>
            </w:r>
          </w:p>
        </w:tc>
        <w:tc>
          <w:tcPr>
            <w:tcW w:w="1024" w:type="dxa"/>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0,560</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38</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46,0</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46,1</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0,078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38</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48,0</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48,5</w:t>
            </w:r>
          </w:p>
        </w:tc>
        <w:tc>
          <w:tcPr>
            <w:tcW w:w="1024" w:type="dxa"/>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0,560</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39</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45,1</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45,1</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0,079</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39</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47,0</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47,6</w:t>
            </w:r>
          </w:p>
        </w:tc>
        <w:tc>
          <w:tcPr>
            <w:tcW w:w="1024" w:type="dxa"/>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0,560</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40</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44,1</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44,2</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0,079</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40</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46,0</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46,6</w:t>
            </w:r>
          </w:p>
        </w:tc>
        <w:tc>
          <w:tcPr>
            <w:tcW w:w="1024" w:type="dxa"/>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0,560</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41</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43,1</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43,2</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0,079</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41</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45,0</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45,6</w:t>
            </w:r>
          </w:p>
        </w:tc>
        <w:tc>
          <w:tcPr>
            <w:tcW w:w="1024" w:type="dxa"/>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0,560</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42</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42,1</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42,2</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0,079</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42</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44,1</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44,6</w:t>
            </w:r>
          </w:p>
        </w:tc>
        <w:tc>
          <w:tcPr>
            <w:tcW w:w="1024" w:type="dxa"/>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0,560</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43</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41,2</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41,2</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0,079</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43</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43,1</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43,6</w:t>
            </w:r>
          </w:p>
        </w:tc>
        <w:tc>
          <w:tcPr>
            <w:tcW w:w="1024" w:type="dxa"/>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0,561</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44</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40,2</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40,3</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0,080</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44</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42,1</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42,7</w:t>
            </w:r>
          </w:p>
        </w:tc>
        <w:tc>
          <w:tcPr>
            <w:tcW w:w="1024" w:type="dxa"/>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0,561</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45</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39,2</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39,3</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0,081</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45</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41,1</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41,7</w:t>
            </w:r>
          </w:p>
        </w:tc>
        <w:tc>
          <w:tcPr>
            <w:tcW w:w="1024" w:type="dxa"/>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0,562</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46</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38,3</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38,3</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0,082</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46</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40,1</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40,7</w:t>
            </w:r>
          </w:p>
        </w:tc>
        <w:tc>
          <w:tcPr>
            <w:tcW w:w="1024" w:type="dxa"/>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0,563</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47</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37,3</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37,4</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0,083</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47</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39,2</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39,7</w:t>
            </w:r>
          </w:p>
        </w:tc>
        <w:tc>
          <w:tcPr>
            <w:tcW w:w="1024" w:type="dxa"/>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0,564</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48</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36,3</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36,4</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0,084</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48</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38,2</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38,8</w:t>
            </w:r>
          </w:p>
        </w:tc>
        <w:tc>
          <w:tcPr>
            <w:tcW w:w="1024" w:type="dxa"/>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0,566</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49</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35,4</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35,5</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0,086</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49</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37,2</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37,8</w:t>
            </w:r>
          </w:p>
        </w:tc>
        <w:tc>
          <w:tcPr>
            <w:tcW w:w="1024" w:type="dxa"/>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0,568</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50</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34,4</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34,5</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0,087</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50</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36,3</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36,9</w:t>
            </w:r>
          </w:p>
        </w:tc>
        <w:tc>
          <w:tcPr>
            <w:tcW w:w="1024" w:type="dxa"/>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0,570</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51</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33,5</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33,6</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0,090</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51</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35,3</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35,9</w:t>
            </w:r>
          </w:p>
        </w:tc>
        <w:tc>
          <w:tcPr>
            <w:tcW w:w="1024" w:type="dxa"/>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0,573</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52</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32,5</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32,6</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0,092</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52</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34,4</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34,9</w:t>
            </w:r>
          </w:p>
        </w:tc>
        <w:tc>
          <w:tcPr>
            <w:tcW w:w="1024" w:type="dxa"/>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0,577</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53</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31,6</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31,7</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0,096</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53</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33,4</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34,0</w:t>
            </w:r>
          </w:p>
        </w:tc>
        <w:tc>
          <w:tcPr>
            <w:tcW w:w="1024" w:type="dxa"/>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0,582</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54</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30,6</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30,7</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0,100</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54</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32,5</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33,0</w:t>
            </w:r>
          </w:p>
        </w:tc>
        <w:tc>
          <w:tcPr>
            <w:tcW w:w="1024" w:type="dxa"/>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0,588</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55</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29,7</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29,8</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rPr>
              <w:t>0,105</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55</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31,5</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32,1</w:t>
            </w:r>
          </w:p>
        </w:tc>
        <w:tc>
          <w:tcPr>
            <w:tcW w:w="1024" w:type="dxa"/>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0,596</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56</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28,8</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28,9</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0,112</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56</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30,6</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31,2</w:t>
            </w:r>
          </w:p>
        </w:tc>
        <w:tc>
          <w:tcPr>
            <w:tcW w:w="1024" w:type="dxa"/>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0,605</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57</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27,8</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28,0</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0,120</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57</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29,6</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30,2</w:t>
            </w:r>
          </w:p>
        </w:tc>
        <w:tc>
          <w:tcPr>
            <w:tcW w:w="1024" w:type="dxa"/>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0,616</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58</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26,9</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27,0</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0,129</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58</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28,7</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29,3</w:t>
            </w:r>
          </w:p>
        </w:tc>
        <w:tc>
          <w:tcPr>
            <w:tcW w:w="1024" w:type="dxa"/>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0,629</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59</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26,0</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26,1</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0,138</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59</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27,8</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28,4</w:t>
            </w:r>
          </w:p>
        </w:tc>
        <w:tc>
          <w:tcPr>
            <w:tcW w:w="1024" w:type="dxa"/>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0,645</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60</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25,1</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25,2</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0,146</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60</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26,8</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27,5</w:t>
            </w:r>
          </w:p>
        </w:tc>
        <w:tc>
          <w:tcPr>
            <w:tcW w:w="1024" w:type="dxa"/>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0,659</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61</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24,2</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24,3</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0,155</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61</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25,9</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26,6</w:t>
            </w:r>
          </w:p>
        </w:tc>
        <w:tc>
          <w:tcPr>
            <w:tcW w:w="1024" w:type="dxa"/>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0,672</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62</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23,3</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23,5</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0,163</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62</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25,0</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25,7</w:t>
            </w:r>
          </w:p>
        </w:tc>
        <w:tc>
          <w:tcPr>
            <w:tcW w:w="1024" w:type="dxa"/>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0,682</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63</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22,4</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22,6</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0,172</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63</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24,1</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24,8</w:t>
            </w:r>
          </w:p>
        </w:tc>
        <w:tc>
          <w:tcPr>
            <w:tcW w:w="1024" w:type="dxa"/>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0,690</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64</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21,5</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21,7</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0,179</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64</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23,2</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23,9</w:t>
            </w:r>
          </w:p>
        </w:tc>
        <w:tc>
          <w:tcPr>
            <w:tcW w:w="1024" w:type="dxa"/>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0,695</w:t>
            </w:r>
          </w:p>
        </w:tc>
      </w:tr>
      <w:t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65</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20,7</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20,8</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0,184</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65</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22,3</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23,0</w:t>
            </w:r>
          </w:p>
        </w:tc>
        <w:tc>
          <w:tcPr>
            <w:tcW w:w="1024" w:type="dxa"/>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0,697</w:t>
            </w:r>
          </w:p>
        </w:tc>
      </w:tr>
      <w:tr>
        <w:trPr>
          <w:trHeight w:val="54"/>
        </w:trPr>
        <w:tc>
          <w:tcPr>
            <w:tcW w:w="1023" w:type="dxa"/>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66</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19,8</w:t>
            </w:r>
          </w:p>
        </w:tc>
        <w:tc>
          <w:tcPr>
            <w:tcW w:w="1023"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20,0</w:t>
            </w:r>
          </w:p>
        </w:tc>
        <w:tc>
          <w:tcPr>
            <w:tcW w:w="1023" w:type="dxa"/>
            <w:tcBorders>
              <w:right w:val="single" w:sz="4" w:space="0" w:color="auto"/>
            </w:tcBorders>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0,183</w:t>
            </w:r>
          </w:p>
        </w:tc>
        <w:tc>
          <w:tcPr>
            <w:tcW w:w="1023" w:type="dxa"/>
            <w:vMerge/>
            <w:tcBorders>
              <w:top w:val="nil"/>
              <w:left w:val="single" w:sz="4" w:space="0" w:color="auto"/>
              <w:bottom w:val="nil"/>
              <w:right w:val="single" w:sz="4" w:space="0" w:color="auto"/>
            </w:tcBorders>
            <w:shd w:val="clear" w:color="auto" w:fill="FFFFFF" w:themeFill="background1"/>
          </w:tcPr>
          <w:p>
            <w:pPr>
              <w:pStyle w:val="Text1"/>
              <w:numPr>
                <w:ilvl w:val="0"/>
                <w:numId w:val="0"/>
              </w:numPr>
              <w:spacing w:before="0" w:after="0"/>
              <w:jc w:val="center"/>
              <w:rPr>
                <w:noProof/>
                <w:lang w:val="en-US"/>
              </w:rPr>
            </w:pPr>
          </w:p>
        </w:tc>
        <w:tc>
          <w:tcPr>
            <w:tcW w:w="1024" w:type="dxa"/>
            <w:tcBorders>
              <w:left w:val="single" w:sz="4" w:space="0" w:color="auto"/>
            </w:tcBorders>
            <w:shd w:val="clear" w:color="auto" w:fill="BDD6EE" w:themeFill="accent1" w:themeFillTint="66"/>
          </w:tcPr>
          <w:p>
            <w:pPr>
              <w:pStyle w:val="Text1"/>
              <w:numPr>
                <w:ilvl w:val="0"/>
                <w:numId w:val="0"/>
              </w:numPr>
              <w:spacing w:before="0" w:after="0"/>
              <w:jc w:val="center"/>
              <w:rPr>
                <w:b/>
                <w:noProof/>
                <w:sz w:val="18"/>
                <w:szCs w:val="18"/>
              </w:rPr>
            </w:pPr>
            <w:r>
              <w:rPr>
                <w:b/>
                <w:noProof/>
                <w:sz w:val="18"/>
                <w:szCs w:val="18"/>
              </w:rPr>
              <w:t>66</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21,5</w:t>
            </w:r>
          </w:p>
        </w:tc>
        <w:tc>
          <w:tcPr>
            <w:tcW w:w="1024" w:type="dxa"/>
            <w:shd w:val="clear" w:color="auto" w:fill="BDD6EE" w:themeFill="accent1" w:themeFillTint="66"/>
          </w:tcPr>
          <w:p>
            <w:pPr>
              <w:pStyle w:val="Text1"/>
              <w:numPr>
                <w:ilvl w:val="0"/>
                <w:numId w:val="0"/>
              </w:numPr>
              <w:spacing w:before="0" w:after="0"/>
              <w:jc w:val="center"/>
              <w:rPr>
                <w:noProof/>
                <w:sz w:val="18"/>
                <w:szCs w:val="18"/>
              </w:rPr>
            </w:pPr>
            <w:r>
              <w:rPr>
                <w:noProof/>
                <w:sz w:val="18"/>
                <w:szCs w:val="18"/>
              </w:rPr>
              <w:t>22,2</w:t>
            </w:r>
          </w:p>
        </w:tc>
        <w:tc>
          <w:tcPr>
            <w:tcW w:w="1024" w:type="dxa"/>
            <w:shd w:val="clear" w:color="auto" w:fill="BDD6EE" w:themeFill="accent1" w:themeFillTint="66"/>
          </w:tcPr>
          <w:p>
            <w:pPr>
              <w:pStyle w:val="Text1"/>
              <w:numPr>
                <w:ilvl w:val="0"/>
                <w:numId w:val="0"/>
              </w:numPr>
              <w:spacing w:before="0" w:after="0"/>
              <w:jc w:val="center"/>
              <w:rPr>
                <w:noProof/>
                <w:sz w:val="18"/>
                <w:szCs w:val="18"/>
                <w:lang w:val="en-IE"/>
              </w:rPr>
            </w:pPr>
            <w:r>
              <w:rPr>
                <w:noProof/>
                <w:sz w:val="18"/>
                <w:szCs w:val="18"/>
                <w:lang w:val="en-IE"/>
              </w:rPr>
              <w:t>0,696</w:t>
            </w:r>
          </w:p>
        </w:tc>
      </w:tr>
    </w:tbl>
    <w:p>
      <w:pPr>
        <w:pStyle w:val="Text1"/>
        <w:numPr>
          <w:ilvl w:val="0"/>
          <w:numId w:val="0"/>
        </w:numPr>
        <w:rPr>
          <w:noProof/>
          <w:lang w:val="en-US"/>
        </w:rPr>
      </w:pPr>
    </w:p>
    <w:p>
      <w:pPr>
        <w:pStyle w:val="Text1"/>
        <w:numPr>
          <w:ilvl w:val="0"/>
          <w:numId w:val="0"/>
        </w:numPr>
        <w:rPr>
          <w:noProof/>
          <w:lang w:val="en-US"/>
        </w:rPr>
      </w:pPr>
      <w:r>
        <w:rPr>
          <w:noProof/>
          <w:lang w:val="en-US"/>
        </w:rPr>
        <w:t>The comparison of the 2013 and 2018 life expectancy for staff members in active status (18 to 66</w:t>
      </w:r>
      <w:r>
        <w:rPr>
          <w:noProof/>
          <w:vertAlign w:val="superscript"/>
          <w:lang w:val="en-US"/>
        </w:rPr>
        <w:footnoteReference w:id="10"/>
      </w:r>
      <w:r>
        <w:rPr>
          <w:noProof/>
          <w:lang w:val="en-US"/>
        </w:rPr>
        <w:t xml:space="preserve">) shows a limited increase of the life expectancy. </w:t>
      </w:r>
    </w:p>
    <w:p>
      <w:pPr>
        <w:pStyle w:val="Text1"/>
        <w:numPr>
          <w:ilvl w:val="0"/>
          <w:numId w:val="0"/>
        </w:numPr>
        <w:rPr>
          <w:noProof/>
          <w:lang w:val="en-US"/>
        </w:rPr>
      </w:pPr>
      <w:r>
        <w:rPr>
          <w:noProof/>
          <w:lang w:val="en-US"/>
        </w:rPr>
        <w:t xml:space="preserve">The 2018 life table for men shows a very limited increase of the life expectancy ranging from 0,078 years (28 days) at younger active ages to 0,184 years (2 months, 6 days) at normal pensionable age. </w:t>
      </w:r>
    </w:p>
    <w:p>
      <w:pPr>
        <w:pStyle w:val="Text1"/>
        <w:numPr>
          <w:ilvl w:val="0"/>
          <w:numId w:val="0"/>
        </w:numPr>
        <w:rPr>
          <w:noProof/>
          <w:lang w:val="en-US"/>
        </w:rPr>
      </w:pPr>
      <w:r>
        <w:rPr>
          <w:noProof/>
          <w:lang w:val="en-US"/>
        </w:rPr>
        <w:t xml:space="preserve">The 2018 life table for women shows a limited increase of the life expectancy ranging from 0,559 years (6 months, 24 days) at younger active ages, to 0,697 years (8 months, 14 days) at retirement ages. </w:t>
      </w:r>
    </w:p>
    <w:p>
      <w:pPr>
        <w:pStyle w:val="Text1"/>
        <w:numPr>
          <w:ilvl w:val="0"/>
          <w:numId w:val="0"/>
        </w:numPr>
        <w:rPr>
          <w:noProof/>
          <w:lang w:val="en-US"/>
        </w:rPr>
      </w:pPr>
      <w:r>
        <w:rPr>
          <w:noProof/>
          <w:lang w:val="en-US"/>
        </w:rPr>
        <w:t>On average, the evolution of the EU life table shows a limited increased life expectancy of staff members of the institutions, i.e. 4 months at younger age and 5 months at normal pensionable age.</w:t>
      </w:r>
    </w:p>
    <w:p>
      <w:pPr>
        <w:pStyle w:val="Heading1"/>
        <w:numPr>
          <w:ilvl w:val="0"/>
          <w:numId w:val="3"/>
        </w:numPr>
        <w:rPr>
          <w:noProof/>
        </w:rPr>
      </w:pPr>
      <w:bookmarkStart w:id="4" w:name="_Toc197163709"/>
      <w:r>
        <w:rPr>
          <w:noProof/>
        </w:rPr>
        <w:t>Developments in the Member States</w:t>
      </w:r>
    </w:p>
    <w:p>
      <w:pPr>
        <w:spacing w:before="120" w:after="120" w:line="240" w:lineRule="auto"/>
        <w:jc w:val="both"/>
        <w:rPr>
          <w:rFonts w:ascii="Times New Roman" w:eastAsia="Times New Roman" w:hAnsi="Times New Roman" w:cs="Times New Roman"/>
          <w:noProof/>
          <w:sz w:val="24"/>
          <w:szCs w:val="24"/>
          <w:lang w:val="en-US" w:eastAsia="de-DE"/>
        </w:rPr>
      </w:pPr>
      <w:r>
        <w:rPr>
          <w:rFonts w:ascii="Times New Roman" w:eastAsia="Times New Roman" w:hAnsi="Times New Roman" w:cs="Times New Roman"/>
          <w:noProof/>
          <w:sz w:val="24"/>
          <w:szCs w:val="24"/>
          <w:lang w:val="en-US" w:eastAsia="de-DE"/>
        </w:rPr>
        <w:t>In addition to the assessment under points 3 and 4 of the present report, the Commission has also considered developments in the pension systems of the Member States.</w:t>
      </w:r>
    </w:p>
    <w:p>
      <w:pPr>
        <w:pStyle w:val="Heading2"/>
        <w:numPr>
          <w:ilvl w:val="1"/>
          <w:numId w:val="3"/>
        </w:numPr>
        <w:tabs>
          <w:tab w:val="clear" w:pos="850"/>
          <w:tab w:val="num" w:pos="1202"/>
        </w:tabs>
        <w:spacing w:before="0" w:after="240"/>
        <w:ind w:left="1202" w:hanging="720"/>
        <w:rPr>
          <w:noProof/>
          <w:lang w:eastAsia="fr-BE"/>
        </w:rPr>
      </w:pPr>
      <w:r>
        <w:rPr>
          <w:noProof/>
          <w:lang w:eastAsia="fr-BE"/>
        </w:rPr>
        <w:t>Update of the pensionable age in light of the evolution of life expectancy</w:t>
      </w:r>
    </w:p>
    <w:p>
      <w:pPr>
        <w:pStyle w:val="Text1"/>
        <w:numPr>
          <w:ilvl w:val="0"/>
          <w:numId w:val="0"/>
        </w:numPr>
        <w:rPr>
          <w:noProof/>
          <w:lang w:val="en-US"/>
        </w:rPr>
      </w:pPr>
      <w:r>
        <w:rPr>
          <w:noProof/>
          <w:lang w:val="en-US"/>
        </w:rPr>
        <w:t xml:space="preserve">In most Member States, the pensionable age is updated, either regularly or occasionally, to reflect life expectancy’s developments. </w:t>
      </w:r>
    </w:p>
    <w:p>
      <w:pPr>
        <w:pStyle w:val="Text1"/>
        <w:numPr>
          <w:ilvl w:val="0"/>
          <w:numId w:val="0"/>
        </w:numPr>
        <w:rPr>
          <w:noProof/>
        </w:rPr>
      </w:pPr>
      <w:r>
        <w:rPr>
          <w:noProof/>
          <w:lang w:val="en-US"/>
        </w:rPr>
        <w:t>Based on the information provided by the responding Member States in the framework of the Article 83 Working Group, different methods have been identified among Member States as regards the practice of updating pensionable age in light of the evolution of life expectancy.</w:t>
      </w:r>
      <w:r>
        <w:rPr>
          <w:noProof/>
        </w:rPr>
        <w:t xml:space="preserve"> </w:t>
      </w:r>
    </w:p>
    <w:p>
      <w:pPr>
        <w:pStyle w:val="Text1"/>
        <w:numPr>
          <w:ilvl w:val="0"/>
          <w:numId w:val="0"/>
        </w:numPr>
        <w:rPr>
          <w:noProof/>
        </w:rPr>
      </w:pPr>
      <w:r>
        <w:rPr>
          <w:noProof/>
          <w:lang w:eastAsia="en-GB"/>
        </w:rPr>
        <w:drawing>
          <wp:inline distT="0" distB="0" distL="0" distR="0">
            <wp:extent cx="5822950" cy="3200400"/>
            <wp:effectExtent l="0" t="0" r="63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Heading2"/>
        <w:numPr>
          <w:ilvl w:val="1"/>
          <w:numId w:val="3"/>
        </w:numPr>
        <w:tabs>
          <w:tab w:val="clear" w:pos="850"/>
          <w:tab w:val="num" w:pos="1202"/>
        </w:tabs>
        <w:spacing w:before="0" w:after="240"/>
        <w:ind w:left="1202" w:hanging="720"/>
        <w:rPr>
          <w:noProof/>
          <w:lang w:eastAsia="fr-BE"/>
        </w:rPr>
      </w:pPr>
      <w:r>
        <w:rPr>
          <w:noProof/>
          <w:lang w:eastAsia="fr-BE"/>
        </w:rPr>
        <w:t>Observed developments in the pension systems of the Member States</w:t>
      </w:r>
    </w:p>
    <w:p>
      <w:pPr>
        <w:pStyle w:val="Text1"/>
        <w:numPr>
          <w:ilvl w:val="0"/>
          <w:numId w:val="0"/>
        </w:numPr>
        <w:rPr>
          <w:noProof/>
          <w:lang w:val="en-US"/>
        </w:rPr>
      </w:pPr>
      <w:r>
        <w:rPr>
          <w:noProof/>
          <w:lang w:val="en-US"/>
        </w:rPr>
        <w:t>In the wake of the global financial crisis, many countries had taken measures to improve the financial sustainability of their pension systems. In particular, in line with the pattern of crisis and post-crisis reforms observed in the 2015 and 2018 Pension Adequacy Reports, improving pension sustainability continued to be a key focus of pension reforms during the reference period. This was done mostly by means of adjusting the pension duration to life expectancy. Yet, different Member States have done this from different starting points, with different levels of ambition and different gender emphasis</w:t>
      </w:r>
      <w:r>
        <w:rPr>
          <w:rStyle w:val="FootnoteReference"/>
          <w:noProof/>
          <w:lang w:val="en-US"/>
        </w:rPr>
        <w:footnoteReference w:id="11"/>
      </w:r>
      <w:r>
        <w:rPr>
          <w:noProof/>
          <w:lang w:val="en-US"/>
        </w:rPr>
        <w:t>. In 2020, the vast majority of Member States have a pensionable age lower than EU staff pensionable age.</w:t>
      </w:r>
    </w:p>
    <w:p>
      <w:pPr>
        <w:pStyle w:val="Text1"/>
        <w:numPr>
          <w:ilvl w:val="0"/>
          <w:numId w:val="0"/>
        </w:numPr>
        <w:rPr>
          <w:noProof/>
          <w:lang w:val="en-US"/>
        </w:rPr>
      </w:pPr>
      <w:r>
        <w:rPr>
          <w:noProof/>
          <w:lang w:val="en-US"/>
        </w:rPr>
        <w:t>In addition, some recent pension reforms focused on loosening age requirements to receive a pension, increasing pension benefits including first-tier pensions and expanding pension coverage</w:t>
      </w:r>
      <w:r>
        <w:rPr>
          <w:rStyle w:val="FootnoteReference"/>
          <w:noProof/>
          <w:lang w:val="en-US"/>
        </w:rPr>
        <w:footnoteReference w:id="12"/>
      </w:r>
      <w:r>
        <w:rPr>
          <w:noProof/>
          <w:lang w:val="en-US"/>
        </w:rPr>
        <w:t>. In some cases, the impact of legislated reforms was suspended or postponed (e.g. the application of the ‘index for pension revaluation’ and the sustainability factor) or new temporary possibilities to retire early were created</w:t>
      </w:r>
      <w:r>
        <w:rPr>
          <w:rStyle w:val="FootnoteReference"/>
          <w:noProof/>
          <w:lang w:val="en-US"/>
        </w:rPr>
        <w:footnoteReference w:id="13"/>
      </w:r>
      <w:r>
        <w:rPr>
          <w:noProof/>
          <w:lang w:val="en-US"/>
        </w:rPr>
        <w:t>. In other cases, the reform momentum generated by the 2008-2012 financial crisis has recently waned and several Member States have even reversed already legislated reforms and, in some cases, reintroduced lower pensionable ages for women and men.</w:t>
      </w:r>
    </w:p>
    <w:p>
      <w:pPr>
        <w:pStyle w:val="Text1"/>
        <w:numPr>
          <w:ilvl w:val="0"/>
          <w:numId w:val="0"/>
        </w:numPr>
        <w:rPr>
          <w:noProof/>
          <w:lang w:val="en-US"/>
        </w:rPr>
      </w:pPr>
      <w:r>
        <w:rPr>
          <w:noProof/>
          <w:lang w:val="en-US"/>
        </w:rPr>
        <w:t>Furthermore, long-term projections reported by most Member States do not anticipate for increases in pensionable age beyond 66 years before 2030 at the earliest</w:t>
      </w:r>
      <w:r>
        <w:rPr>
          <w:rStyle w:val="FootnoteReference"/>
          <w:noProof/>
          <w:lang w:val="en-US"/>
        </w:rPr>
        <w:footnoteReference w:id="14"/>
      </w:r>
      <w:r>
        <w:rPr>
          <w:noProof/>
          <w:lang w:val="en-US"/>
        </w:rPr>
        <w:t>.</w:t>
      </w:r>
    </w:p>
    <w:p>
      <w:pPr>
        <w:pStyle w:val="Text1"/>
        <w:numPr>
          <w:ilvl w:val="0"/>
          <w:numId w:val="0"/>
        </w:numPr>
        <w:rPr>
          <w:noProof/>
          <w:lang w:val="en-US"/>
        </w:rPr>
      </w:pPr>
      <w:r>
        <w:rPr>
          <w:noProof/>
          <w:lang w:val="en-US"/>
        </w:rPr>
        <w:t>Finally, it appears that flexible retirement rules aimed at facilitating longer working lives and smoothing the transition into retirement have been recently adopted in several Member States, including flexible forms of transition from employment to full retirement</w:t>
      </w:r>
      <w:r>
        <w:rPr>
          <w:rStyle w:val="FootnoteReference"/>
          <w:noProof/>
          <w:lang w:val="en-US"/>
        </w:rPr>
        <w:footnoteReference w:id="15"/>
      </w:r>
      <w:r>
        <w:rPr>
          <w:noProof/>
          <w:lang w:val="en-US"/>
        </w:rPr>
        <w:t>.</w:t>
      </w:r>
    </w:p>
    <w:p>
      <w:pPr>
        <w:pStyle w:val="Heading1"/>
        <w:rPr>
          <w:noProof/>
        </w:rPr>
      </w:pPr>
      <w:r>
        <w:rPr>
          <w:noProof/>
        </w:rPr>
        <w:t>Conclusions</w:t>
      </w:r>
    </w:p>
    <w:bookmarkEnd w:id="4"/>
    <w:p>
      <w:pPr>
        <w:pStyle w:val="Text1"/>
        <w:numPr>
          <w:ilvl w:val="0"/>
          <w:numId w:val="9"/>
        </w:numPr>
        <w:rPr>
          <w:noProof/>
        </w:rPr>
      </w:pPr>
      <w:r>
        <w:rPr>
          <w:noProof/>
        </w:rPr>
        <w:t xml:space="preserve">Since 2014, some Member States increased the normal pensionable age applicable to their central civil servants. Yet at the end of 2018, more than 89% of the responding Member States had a normal pensionable age equal or inferior to the statutory pensionable age of 66 years for EU staff members. </w:t>
      </w:r>
    </w:p>
    <w:p>
      <w:pPr>
        <w:pStyle w:val="ListParagraph"/>
        <w:numPr>
          <w:ilvl w:val="0"/>
          <w:numId w:val="9"/>
        </w:numPr>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The evolution of the EU life tables, based on a methodology corresponding to the best actuarial practices, shows a very limited average increase of life expectancy of staff members of the institutions during the reference period. </w:t>
      </w:r>
    </w:p>
    <w:p>
      <w:pPr>
        <w:pStyle w:val="Text1"/>
        <w:numPr>
          <w:ilvl w:val="0"/>
          <w:numId w:val="9"/>
        </w:numPr>
        <w:rPr>
          <w:noProof/>
          <w:lang w:val="en-US"/>
        </w:rPr>
      </w:pPr>
      <w:r>
        <w:rPr>
          <w:noProof/>
        </w:rPr>
        <w:t xml:space="preserve">Given the observed evolution of pensionable ages in national central civil services and the limited increase of EU staff members’ life expectancy, </w:t>
      </w:r>
      <w:r>
        <w:rPr>
          <w:noProof/>
          <w:lang w:val="en-US"/>
        </w:rPr>
        <w:t xml:space="preserve">the current pensionable age of 66 years for EU staff is assessed as appropriate and corresponding to the highest standards applicable in the national civil services of the Member States. </w:t>
      </w:r>
    </w:p>
    <w:p>
      <w:pPr>
        <w:pStyle w:val="Text1"/>
        <w:numPr>
          <w:ilvl w:val="0"/>
          <w:numId w:val="9"/>
        </w:numPr>
        <w:rPr>
          <w:noProof/>
        </w:rPr>
      </w:pPr>
      <w:r>
        <w:rPr>
          <w:noProof/>
        </w:rPr>
        <w:t>The above assessment is also confirmed by the analysis in the developments in the Member States. The EU staff pensionable age remains among the highest applicable compared to those in force in the national pension systems of the Member States. In addition, recent developments show a trend of reversing some past decisions on increasing the normal pensionable age.</w:t>
      </w:r>
    </w:p>
    <w:p>
      <w:pPr>
        <w:pStyle w:val="Text1"/>
        <w:numPr>
          <w:ilvl w:val="0"/>
          <w:numId w:val="9"/>
        </w:numPr>
        <w:rPr>
          <w:noProof/>
          <w:lang w:val="en-US"/>
        </w:rPr>
      </w:pPr>
      <w:r>
        <w:rPr>
          <w:noProof/>
          <w:lang w:val="en-US"/>
        </w:rPr>
        <w:t>Therefore, at this stage there are no grounds to submit a proposal amending the statutory pensionable age of 66 years under Article 77 of the Staff Regulations.</w:t>
      </w:r>
    </w:p>
    <w:p>
      <w:pPr>
        <w:pStyle w:val="Text1"/>
        <w:numPr>
          <w:ilvl w:val="0"/>
          <w:numId w:val="0"/>
        </w:numPr>
        <w:ind w:left="1210" w:hanging="360"/>
        <w:rPr>
          <w:noProof/>
          <w:lang w:val="en-US"/>
        </w:rPr>
      </w:pPr>
    </w:p>
    <w:p>
      <w:pPr>
        <w:spacing w:after="160" w:line="259" w:lineRule="auto"/>
        <w:rPr>
          <w:rFonts w:ascii="Times New Roman" w:eastAsia="Times New Roman" w:hAnsi="Times New Roman" w:cs="Times New Roman"/>
          <w:noProof/>
          <w:sz w:val="24"/>
          <w:szCs w:val="24"/>
          <w:highlight w:val="yellow"/>
          <w:lang w:val="en-US" w:eastAsia="de-DE"/>
        </w:rPr>
      </w:pPr>
    </w:p>
    <w:sectPr>
      <w:headerReference w:type="even" r:id="rId23"/>
      <w:headerReference w:type="default" r:id="rId24"/>
      <w:footerReference w:type="even" r:id="rId25"/>
      <w:footerReference w:type="default" r:id="rId26"/>
      <w:headerReference w:type="first" r:id="rId27"/>
      <w:footerReference w:type="first" r:id="rId28"/>
      <w:pgSz w:w="11907" w:h="16839"/>
      <w:pgMar w:top="1134" w:right="1418" w:bottom="1134" w:left="1418" w:header="709" w:footer="709"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018B94B" w16cex:dateUtc="2020-11-09T07:18:09.85Z"/>
  <w16cex:commentExtensible w16cex:durableId="01EE5134" w16cex:dateUtc="2020-11-09T07:18:36.073Z"/>
  <w16cex:commentExtensible w16cex:durableId="494D4824" w16cex:dateUtc="2020-11-09T07:31:57.508Z"/>
  <w16cex:commentExtensible w16cex:durableId="225B80B2" w16cex:dateUtc="2020-11-09T07:35:52.398Z"/>
  <w16cex:commentExtensible w16cex:durableId="0B22E38A" w16cex:dateUtc="2020-11-09T08:57:18.869Z"/>
</w16cex:commentsExtensible>
</file>

<file path=word/commentsIds.xml><?xml version="1.0" encoding="utf-8"?>
<w16cid:commentsIds xmlns:mc="http://schemas.openxmlformats.org/markup-compatibility/2006" xmlns:w16cid="http://schemas.microsoft.com/office/word/2016/wordml/cid" mc:Ignorable="w16cid">
  <w16cid:commentId w16cid:paraId="64815B3F" w16cid:durableId="7C9C7DCC"/>
  <w16cid:commentId w16cid:paraId="4DF589C7" w16cid:durableId="63BAB1F7"/>
  <w16cid:commentId w16cid:paraId="60999D82" w16cid:durableId="7D2C2547"/>
  <w16cid:commentId w16cid:paraId="2F7FE835" w16cid:durableId="33863232"/>
  <w16cid:commentId w16cid:paraId="58FBF725" w16cid:durableId="771C21D0"/>
  <w16cid:commentId w16cid:paraId="017D8FE2" w16cid:durableId="4AA6C5A8"/>
  <w16cid:commentId w16cid:paraId="55AB911C" w16cid:durableId="5018B94B"/>
  <w16cid:commentId w16cid:paraId="45E33EF7" w16cid:durableId="01EE5134"/>
  <w16cid:commentId w16cid:paraId="202D7A36" w16cid:durableId="494D4824"/>
  <w16cid:commentId w16cid:paraId="75D45674" w16cid:durableId="225B80B2"/>
  <w16cid:commentId w16cid:paraId="473E660B" w16cid:durableId="0B22E38A"/>
  <w16cid:commentId w16cid:paraId="581658B4" w16cid:durableId="642B587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t>Regulation (EU, Euratom) No 1023/2013 of the European Parliament and of the Council of 22 October 2013.</w:t>
      </w:r>
    </w:p>
  </w:footnote>
  <w:footnote w:id="2">
    <w:p>
      <w:pPr>
        <w:pStyle w:val="FootnoteText"/>
      </w:pPr>
      <w:r>
        <w:rPr>
          <w:rStyle w:val="FootnoteReference"/>
        </w:rPr>
        <w:footnoteRef/>
      </w:r>
      <w:r>
        <w:t xml:space="preserve"> </w:t>
      </w:r>
      <w:r>
        <w:tab/>
        <w:t xml:space="preserve">See, notably Case F-105/05 </w:t>
      </w:r>
      <w:r>
        <w:rPr>
          <w:i/>
          <w:iCs/>
        </w:rPr>
        <w:t>Wils v Parliament</w:t>
      </w:r>
      <w:r>
        <w:t xml:space="preserve">, point 85 and Case T-439/09 </w:t>
      </w:r>
      <w:r>
        <w:rPr>
          <w:i/>
          <w:iCs/>
        </w:rPr>
        <w:t>Purvis v Parliament</w:t>
      </w:r>
      <w:r>
        <w:t xml:space="preserve">, point 45. </w:t>
      </w:r>
    </w:p>
  </w:footnote>
  <w:footnote w:id="3">
    <w:p>
      <w:pPr>
        <w:pStyle w:val="FootnoteText"/>
      </w:pPr>
      <w:r>
        <w:rPr>
          <w:rStyle w:val="FootnoteReference"/>
        </w:rPr>
        <w:footnoteRef/>
      </w:r>
      <w:r>
        <w:t xml:space="preserve"> </w:t>
      </w:r>
      <w:r>
        <w:tab/>
        <w:t>Report from the Commission to the European Parliament and the Council on the application of Annex XII to the Staff Regulations, COM(2018) 829 final.</w:t>
      </w:r>
    </w:p>
  </w:footnote>
  <w:footnote w:id="4">
    <w:p>
      <w:pPr>
        <w:pStyle w:val="FootnoteText"/>
      </w:pPr>
      <w:r>
        <w:rPr>
          <w:rStyle w:val="FootnoteReference"/>
        </w:rPr>
        <w:footnoteRef/>
      </w:r>
      <w:r>
        <w:t xml:space="preserve"> </w:t>
      </w:r>
      <w:r>
        <w:tab/>
        <w:t xml:space="preserve">Under Article 9 of Annex VIII to the Staff Regulations, </w:t>
      </w:r>
      <w:r>
        <w:rPr>
          <w:lang w:val="en-US"/>
        </w:rPr>
        <w:t>the related pension is reduced by 3.5 % per year of difference between the normal and the effective retirement ages.</w:t>
      </w:r>
    </w:p>
  </w:footnote>
  <w:footnote w:id="5">
    <w:p>
      <w:pPr>
        <w:pStyle w:val="FootnoteText"/>
        <w:rPr>
          <w:lang w:val="en-IE"/>
        </w:rPr>
      </w:pPr>
      <w:r>
        <w:rPr>
          <w:rStyle w:val="FootnoteReference"/>
        </w:rPr>
        <w:footnoteRef/>
      </w:r>
      <w:r>
        <w:t xml:space="preserve"> </w:t>
      </w:r>
      <w:r>
        <w:tab/>
      </w:r>
      <w:r>
        <w:rPr>
          <w:lang w:val="en-IE"/>
        </w:rPr>
        <w:t xml:space="preserve">In cases where Member States provided data in brackets (i.e. minimum pensionable age between 56 and 60), the highest value is referred to in the charts. </w:t>
      </w:r>
    </w:p>
  </w:footnote>
  <w:footnote w:id="6">
    <w:p>
      <w:pPr>
        <w:pStyle w:val="FootnoteText"/>
      </w:pPr>
      <w:r>
        <w:rPr>
          <w:rStyle w:val="FootnoteReference"/>
        </w:rPr>
        <w:footnoteRef/>
      </w:r>
      <w:r>
        <w:rPr>
          <w:rStyle w:val="FootnoteReference"/>
        </w:rPr>
        <w:t xml:space="preserve"> </w:t>
      </w:r>
      <w:r>
        <w:tab/>
        <w:t xml:space="preserve">It should be recalled that as of 2014, early retirement always results in a significant financial penalty as the related pension is reduced by 3.5 % per year of difference between the </w:t>
      </w:r>
      <w:r>
        <w:rPr>
          <w:lang w:val="en-US"/>
        </w:rPr>
        <w:t>normal and the effective retirement ages</w:t>
      </w:r>
      <w:r>
        <w:t>.</w:t>
      </w:r>
    </w:p>
  </w:footnote>
  <w:footnote w:id="7">
    <w:p>
      <w:pPr>
        <w:pStyle w:val="FootnoteText"/>
      </w:pPr>
      <w:r>
        <w:rPr>
          <w:rStyle w:val="FootnoteReference"/>
        </w:rPr>
        <w:footnoteRef/>
      </w:r>
      <w:r>
        <w:t xml:space="preserve"> </w:t>
      </w:r>
      <w:r>
        <w:tab/>
        <w:t>Article 9 of Annex XII to the Staff Regulations.</w:t>
      </w:r>
    </w:p>
  </w:footnote>
  <w:footnote w:id="8">
    <w:p>
      <w:pPr>
        <w:pStyle w:val="FootnoteText"/>
        <w:rPr>
          <w:lang w:val="en-IE"/>
        </w:rPr>
      </w:pPr>
      <w:r>
        <w:rPr>
          <w:rStyle w:val="FootnoteReference"/>
        </w:rPr>
        <w:footnoteRef/>
      </w:r>
      <w:r>
        <w:t xml:space="preserve"> </w:t>
      </w:r>
      <w:r>
        <w:tab/>
      </w:r>
      <w:r>
        <w:rPr>
          <w:lang w:val="en-US"/>
        </w:rPr>
        <w:t>For example, life expectancy at age 65 years in 2018 would be updated using the observed mortality rate for age 65 years in 2018 and the expected mortality rates for age 66 years in 2019, for age 67 years in 2020 and so on, thereby anticipating future changes in the mortality pattern.</w:t>
      </w:r>
    </w:p>
  </w:footnote>
  <w:footnote w:id="9">
    <w:p>
      <w:pPr>
        <w:pStyle w:val="FootnoteText"/>
        <w:rPr>
          <w:lang w:val="en-IE"/>
        </w:rPr>
      </w:pPr>
      <w:r>
        <w:rPr>
          <w:rStyle w:val="FootnoteReference"/>
        </w:rPr>
        <w:footnoteRef/>
      </w:r>
      <w:r>
        <w:t xml:space="preserve"> </w:t>
      </w:r>
      <w:r>
        <w:tab/>
      </w:r>
      <w:r>
        <w:rPr>
          <w:lang w:val="en-US"/>
        </w:rPr>
        <w:t>A period life table is therefore the average number of additional years a person would live if he or she experienced the age-specific mortality rates of the given area and time period for the rest of his or her life. While the tables account for the fact that mortality on average increases with age, they do not reflect mortality evolution with time. In this case, the future mortality is supposed to be exactly the same as the observed mortality today.</w:t>
      </w:r>
    </w:p>
  </w:footnote>
  <w:footnote w:id="10">
    <w:p>
      <w:pPr>
        <w:pStyle w:val="FootnoteText"/>
        <w:rPr>
          <w:lang w:val="en-IE"/>
        </w:rPr>
      </w:pPr>
      <w:r>
        <w:rPr>
          <w:rStyle w:val="FootnoteReference"/>
        </w:rPr>
        <w:footnoteRef/>
      </w:r>
      <w:r>
        <w:t xml:space="preserve"> </w:t>
      </w:r>
      <w:r>
        <w:tab/>
        <w:t xml:space="preserve">It shall be noted that under Article 52 of the </w:t>
      </w:r>
      <w:r>
        <w:rPr>
          <w:lang w:val="en-IE"/>
        </w:rPr>
        <w:t>Staff Regulations it is possible to work until the age 67 (if justified in the interests of the service) and 70 (exceptionally).</w:t>
      </w:r>
    </w:p>
  </w:footnote>
  <w:footnote w:id="11">
    <w:p>
      <w:pPr>
        <w:pStyle w:val="FootnoteText"/>
      </w:pPr>
      <w:r>
        <w:rPr>
          <w:rStyle w:val="FootnoteReference"/>
        </w:rPr>
        <w:footnoteRef/>
      </w:r>
      <w:r>
        <w:t xml:space="preserve"> </w:t>
      </w:r>
      <w:r>
        <w:tab/>
        <w:t xml:space="preserve">European </w:t>
      </w:r>
      <w:r>
        <w:rPr>
          <w:lang w:val="en-US"/>
        </w:rPr>
        <w:t>Commission and Social Protection Committee,</w:t>
      </w:r>
      <w:r>
        <w:rPr>
          <w:i/>
          <w:iCs/>
          <w:lang w:val="en-US"/>
        </w:rPr>
        <w:t xml:space="preserve"> 2018 Pension Adequacy report</w:t>
      </w:r>
      <w:r>
        <w:rPr>
          <w:lang w:val="en-US"/>
        </w:rPr>
        <w:t xml:space="preserve">, </w:t>
      </w:r>
      <w:r>
        <w:t>pages 101 - 102.</w:t>
      </w:r>
    </w:p>
  </w:footnote>
  <w:footnote w:id="12">
    <w:p>
      <w:pPr>
        <w:pStyle w:val="FootnoteText"/>
        <w:rPr>
          <w:lang w:val="en-IE"/>
        </w:rPr>
      </w:pPr>
      <w:r>
        <w:rPr>
          <w:rStyle w:val="FootnoteReference"/>
        </w:rPr>
        <w:footnoteRef/>
      </w:r>
      <w:r>
        <w:t xml:space="preserve"> </w:t>
      </w:r>
      <w:r>
        <w:tab/>
        <w:t>OECD,</w:t>
      </w:r>
      <w:r>
        <w:rPr>
          <w:i/>
          <w:iCs/>
        </w:rPr>
        <w:t xml:space="preserve"> Pensions at a Glance 2019</w:t>
      </w:r>
      <w:r>
        <w:t xml:space="preserve">. </w:t>
      </w:r>
      <w:r>
        <w:rPr>
          <w:lang w:val="en-IE"/>
        </w:rPr>
        <w:t>In its Council conclusions on the European Court of Auditors' Special Report No 15/2019 entitled ‘Implementation of the 2014 staff reform package at the Commission - Big savings but not without consequences for staff’, 8 June 2020, 8635/20, the Council invited the Commission to monitor the development of the effective retirement age using up-to-date comparative data regarding Member States’ pension systems by referring to the OECD study Pension at glance</w:t>
      </w:r>
      <w:r>
        <w:t>.</w:t>
      </w:r>
    </w:p>
  </w:footnote>
  <w:footnote w:id="13">
    <w:p>
      <w:pPr>
        <w:pStyle w:val="FootnoteText"/>
      </w:pPr>
      <w:r>
        <w:rPr>
          <w:rStyle w:val="FootnoteReference"/>
        </w:rPr>
        <w:footnoteRef/>
      </w:r>
      <w:r>
        <w:t xml:space="preserve"> </w:t>
      </w:r>
      <w:r>
        <w:tab/>
        <w:t xml:space="preserve">European Commission and Economic Policy Committee, </w:t>
      </w:r>
      <w:r>
        <w:rPr>
          <w:i/>
          <w:iCs/>
        </w:rPr>
        <w:t>2021 Ageing Report</w:t>
      </w:r>
      <w:r>
        <w:t xml:space="preserve">, underlying assumptions &amp; projection methodologies, page 35. </w:t>
      </w:r>
    </w:p>
  </w:footnote>
  <w:footnote w:id="14">
    <w:p>
      <w:pPr>
        <w:pStyle w:val="FootnoteText"/>
        <w:rPr>
          <w:lang w:val="en-IE"/>
        </w:rPr>
      </w:pPr>
      <w:r>
        <w:rPr>
          <w:rStyle w:val="FootnoteReference"/>
        </w:rPr>
        <w:footnoteRef/>
      </w:r>
      <w:r>
        <w:t xml:space="preserve"> </w:t>
      </w:r>
      <w:r>
        <w:rPr>
          <w:lang w:val="en-IE"/>
        </w:rPr>
        <w:tab/>
      </w:r>
      <w:r>
        <w:t xml:space="preserve">European </w:t>
      </w:r>
      <w:r>
        <w:rPr>
          <w:lang w:val="en-US"/>
        </w:rPr>
        <w:t>Commission and Social Protection Committee,</w:t>
      </w:r>
      <w:r>
        <w:t xml:space="preserve"> </w:t>
      </w:r>
      <w:r>
        <w:rPr>
          <w:i/>
          <w:iCs/>
        </w:rPr>
        <w:t>2018 Pension Adequacy report</w:t>
      </w:r>
      <w:r>
        <w:t>, page 126, Table 10.</w:t>
      </w:r>
    </w:p>
  </w:footnote>
  <w:footnote w:id="15">
    <w:p>
      <w:pPr>
        <w:pStyle w:val="FootnoteText"/>
        <w:rPr>
          <w:lang w:val="en-IE"/>
        </w:rPr>
      </w:pPr>
      <w:r>
        <w:rPr>
          <w:rStyle w:val="FootnoteReference"/>
        </w:rPr>
        <w:footnoteRef/>
      </w:r>
      <w:r>
        <w:t xml:space="preserve"> </w:t>
      </w:r>
      <w:r>
        <w:rPr>
          <w:lang w:val="en-IE"/>
        </w:rPr>
        <w:tab/>
      </w:r>
      <w:r>
        <w:t xml:space="preserve">European </w:t>
      </w:r>
      <w:r>
        <w:rPr>
          <w:lang w:val="en-US"/>
        </w:rPr>
        <w:t>Commission and Social Protection Committee,</w:t>
      </w:r>
      <w:r>
        <w:t xml:space="preserve"> </w:t>
      </w:r>
      <w:r>
        <w:rPr>
          <w:i/>
          <w:iCs/>
        </w:rPr>
        <w:t>2018 Pension Adequacy report</w:t>
      </w:r>
      <w:r>
        <w:t>, page 103.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024FA4E"/>
    <w:lvl w:ilvl="0">
      <w:start w:val="1"/>
      <w:numFmt w:val="bullet"/>
      <w:lvlText w:val=""/>
      <w:lvlJc w:val="left"/>
      <w:pPr>
        <w:tabs>
          <w:tab w:val="num" w:pos="360"/>
        </w:tabs>
        <w:ind w:left="360" w:hanging="360"/>
      </w:pPr>
      <w:rPr>
        <w:rFonts w:ascii="Symbol" w:hAnsi="Symbol" w:hint="default"/>
      </w:rPr>
    </w:lvl>
  </w:abstractNum>
  <w:abstractNum w:abstractNumId="1">
    <w:nsid w:val="1F320486"/>
    <w:multiLevelType w:val="hybridMultilevel"/>
    <w:tmpl w:val="C3B4620E"/>
    <w:name w:val="List Bullet__1"/>
    <w:lvl w:ilvl="0" w:tplc="62D86A76">
      <w:start w:val="1"/>
      <w:numFmt w:val="bullet"/>
      <w:lvlRestart w:val="0"/>
      <w:pStyle w:val="ListBullet"/>
      <w:lvlText w:val=""/>
      <w:lvlJc w:val="left"/>
      <w:pPr>
        <w:tabs>
          <w:tab w:val="num" w:pos="283"/>
        </w:tabs>
        <w:ind w:left="283" w:hanging="283"/>
      </w:pPr>
      <w:rPr>
        <w:rFonts w:ascii="Symbol" w:hAnsi="Symbol" w:hint="default"/>
      </w:rPr>
    </w:lvl>
    <w:lvl w:ilvl="1" w:tplc="BBE60D98">
      <w:numFmt w:val="decimal"/>
      <w:lvlText w:val=""/>
      <w:lvlJc w:val="left"/>
    </w:lvl>
    <w:lvl w:ilvl="2" w:tplc="E8582114">
      <w:numFmt w:val="decimal"/>
      <w:lvlText w:val=""/>
      <w:lvlJc w:val="left"/>
    </w:lvl>
    <w:lvl w:ilvl="3" w:tplc="86F4C7D6">
      <w:numFmt w:val="decimal"/>
      <w:lvlText w:val=""/>
      <w:lvlJc w:val="left"/>
    </w:lvl>
    <w:lvl w:ilvl="4" w:tplc="10D41558">
      <w:numFmt w:val="decimal"/>
      <w:lvlText w:val=""/>
      <w:lvlJc w:val="left"/>
    </w:lvl>
    <w:lvl w:ilvl="5" w:tplc="30B28252">
      <w:numFmt w:val="decimal"/>
      <w:lvlText w:val=""/>
      <w:lvlJc w:val="left"/>
    </w:lvl>
    <w:lvl w:ilvl="6" w:tplc="152EF93C">
      <w:numFmt w:val="decimal"/>
      <w:lvlText w:val=""/>
      <w:lvlJc w:val="left"/>
    </w:lvl>
    <w:lvl w:ilvl="7" w:tplc="1A1E46E4">
      <w:numFmt w:val="decimal"/>
      <w:lvlText w:val=""/>
      <w:lvlJc w:val="left"/>
    </w:lvl>
    <w:lvl w:ilvl="8" w:tplc="1D4C761A">
      <w:numFmt w:val="decimal"/>
      <w:lvlText w:val=""/>
      <w:lvlJc w:val="left"/>
    </w:lvl>
  </w:abstractNum>
  <w:abstractNum w:abstractNumId="2">
    <w:nsid w:val="23FD5BBE"/>
    <w:multiLevelType w:val="hybridMultilevel"/>
    <w:tmpl w:val="53E03D46"/>
    <w:lvl w:ilvl="0" w:tplc="1B18B37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39B762B3"/>
    <w:multiLevelType w:val="hybridMultilevel"/>
    <w:tmpl w:val="6ECC2390"/>
    <w:lvl w:ilvl="0" w:tplc="B640368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3BC1264B"/>
    <w:multiLevelType w:val="hybridMultilevel"/>
    <w:tmpl w:val="FBE88142"/>
    <w:lvl w:ilvl="0" w:tplc="CC185C9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485F29F3"/>
    <w:multiLevelType w:val="hybridMultilevel"/>
    <w:tmpl w:val="E432F000"/>
    <w:lvl w:ilvl="0" w:tplc="E3FCED5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565071B7"/>
    <w:multiLevelType w:val="hybridMultilevel"/>
    <w:tmpl w:val="F1342230"/>
    <w:lvl w:ilvl="0" w:tplc="220EB492">
      <w:start w:val="201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56CB74B4"/>
    <w:multiLevelType w:val="multilevel"/>
    <w:tmpl w:val="B518EDC2"/>
    <w:lvl w:ilvl="0">
      <w:start w:val="1"/>
      <w:numFmt w:val="decimal"/>
      <w:lvlRestart w:val="0"/>
      <w:lvlText w:val="%1."/>
      <w:lvlJc w:val="left"/>
      <w:pPr>
        <w:tabs>
          <w:tab w:val="num" w:pos="850"/>
        </w:tabs>
        <w:ind w:left="850" w:hanging="850"/>
      </w:pPr>
      <w:rPr>
        <w:rFonts w:ascii="Times New Roman" w:hAnsi="Times New Roman" w:cs="Times New Roman" w:hint="default"/>
      </w:rPr>
    </w:lvl>
    <w:lvl w:ilvl="1">
      <w:start w:val="1"/>
      <w:numFmt w:val="decimal"/>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70C385B"/>
    <w:multiLevelType w:val="hybridMultilevel"/>
    <w:tmpl w:val="919A40D6"/>
    <w:lvl w:ilvl="0" w:tplc="AB42927A">
      <w:start w:val="1"/>
      <w:numFmt w:val="decimal"/>
      <w:lvlText w:val="%1."/>
      <w:lvlJc w:val="left"/>
      <w:pPr>
        <w:ind w:left="720" w:hanging="360"/>
      </w:pPr>
    </w:lvl>
    <w:lvl w:ilvl="1" w:tplc="E1CA91B4">
      <w:start w:val="1"/>
      <w:numFmt w:val="lowerLetter"/>
      <w:lvlText w:val="%2."/>
      <w:lvlJc w:val="left"/>
      <w:pPr>
        <w:ind w:left="1440" w:hanging="360"/>
      </w:pPr>
    </w:lvl>
    <w:lvl w:ilvl="2" w:tplc="3832371A">
      <w:start w:val="1"/>
      <w:numFmt w:val="lowerRoman"/>
      <w:lvlText w:val="%3."/>
      <w:lvlJc w:val="right"/>
      <w:pPr>
        <w:ind w:left="2160" w:hanging="180"/>
      </w:pPr>
    </w:lvl>
    <w:lvl w:ilvl="3" w:tplc="5CD4B5B4">
      <w:start w:val="1"/>
      <w:numFmt w:val="decimal"/>
      <w:lvlText w:val="%4."/>
      <w:lvlJc w:val="left"/>
      <w:pPr>
        <w:ind w:left="2880" w:hanging="360"/>
      </w:pPr>
    </w:lvl>
    <w:lvl w:ilvl="4" w:tplc="66B8007A">
      <w:start w:val="1"/>
      <w:numFmt w:val="lowerLetter"/>
      <w:lvlText w:val="%5."/>
      <w:lvlJc w:val="left"/>
      <w:pPr>
        <w:ind w:left="3600" w:hanging="360"/>
      </w:pPr>
    </w:lvl>
    <w:lvl w:ilvl="5" w:tplc="B3764476">
      <w:start w:val="1"/>
      <w:numFmt w:val="lowerRoman"/>
      <w:lvlText w:val="%6."/>
      <w:lvlJc w:val="right"/>
      <w:pPr>
        <w:ind w:left="4320" w:hanging="180"/>
      </w:pPr>
    </w:lvl>
    <w:lvl w:ilvl="6" w:tplc="EC9484B0">
      <w:start w:val="1"/>
      <w:numFmt w:val="decimal"/>
      <w:lvlText w:val="%7."/>
      <w:lvlJc w:val="left"/>
      <w:pPr>
        <w:ind w:left="5040" w:hanging="360"/>
      </w:pPr>
    </w:lvl>
    <w:lvl w:ilvl="7" w:tplc="C3088BB4">
      <w:start w:val="1"/>
      <w:numFmt w:val="lowerLetter"/>
      <w:lvlText w:val="%8."/>
      <w:lvlJc w:val="left"/>
      <w:pPr>
        <w:ind w:left="5760" w:hanging="360"/>
      </w:pPr>
    </w:lvl>
    <w:lvl w:ilvl="8" w:tplc="103E6D08">
      <w:start w:val="1"/>
      <w:numFmt w:val="lowerRoman"/>
      <w:lvlText w:val="%9."/>
      <w:lvlJc w:val="right"/>
      <w:pPr>
        <w:ind w:left="6480" w:hanging="180"/>
      </w:pPr>
    </w:lvl>
  </w:abstractNum>
  <w:abstractNum w:abstractNumId="9">
    <w:nsid w:val="59607BA3"/>
    <w:multiLevelType w:val="hybridMultilevel"/>
    <w:tmpl w:val="FFF2A4AE"/>
    <w:lvl w:ilvl="0" w:tplc="28E40F9E">
      <w:start w:val="1"/>
      <w:numFmt w:val="bullet"/>
      <w:lvlText w:val=""/>
      <w:lvlJc w:val="left"/>
      <w:pPr>
        <w:ind w:left="720" w:hanging="360"/>
      </w:pPr>
      <w:rPr>
        <w:rFonts w:ascii="Symbol" w:hAnsi="Symbol" w:hint="default"/>
      </w:rPr>
    </w:lvl>
    <w:lvl w:ilvl="1" w:tplc="7A14EBC2">
      <w:start w:val="1"/>
      <w:numFmt w:val="bullet"/>
      <w:lvlText w:val="o"/>
      <w:lvlJc w:val="left"/>
      <w:pPr>
        <w:ind w:left="1440" w:hanging="360"/>
      </w:pPr>
      <w:rPr>
        <w:rFonts w:ascii="Courier New" w:hAnsi="Courier New" w:hint="default"/>
      </w:rPr>
    </w:lvl>
    <w:lvl w:ilvl="2" w:tplc="EE4A2B1C">
      <w:start w:val="1"/>
      <w:numFmt w:val="bullet"/>
      <w:lvlText w:val=""/>
      <w:lvlJc w:val="left"/>
      <w:pPr>
        <w:ind w:left="2160" w:hanging="360"/>
      </w:pPr>
      <w:rPr>
        <w:rFonts w:ascii="Wingdings" w:hAnsi="Wingdings" w:hint="default"/>
      </w:rPr>
    </w:lvl>
    <w:lvl w:ilvl="3" w:tplc="43A8155C">
      <w:start w:val="1"/>
      <w:numFmt w:val="bullet"/>
      <w:lvlText w:val=""/>
      <w:lvlJc w:val="left"/>
      <w:pPr>
        <w:ind w:left="2880" w:hanging="360"/>
      </w:pPr>
      <w:rPr>
        <w:rFonts w:ascii="Symbol" w:hAnsi="Symbol" w:hint="default"/>
      </w:rPr>
    </w:lvl>
    <w:lvl w:ilvl="4" w:tplc="E12C17F2">
      <w:start w:val="1"/>
      <w:numFmt w:val="bullet"/>
      <w:lvlText w:val="o"/>
      <w:lvlJc w:val="left"/>
      <w:pPr>
        <w:ind w:left="3600" w:hanging="360"/>
      </w:pPr>
      <w:rPr>
        <w:rFonts w:ascii="Courier New" w:hAnsi="Courier New" w:hint="default"/>
      </w:rPr>
    </w:lvl>
    <w:lvl w:ilvl="5" w:tplc="281650F2">
      <w:start w:val="1"/>
      <w:numFmt w:val="bullet"/>
      <w:lvlText w:val=""/>
      <w:lvlJc w:val="left"/>
      <w:pPr>
        <w:ind w:left="4320" w:hanging="360"/>
      </w:pPr>
      <w:rPr>
        <w:rFonts w:ascii="Wingdings" w:hAnsi="Wingdings" w:hint="default"/>
      </w:rPr>
    </w:lvl>
    <w:lvl w:ilvl="6" w:tplc="B132655E">
      <w:start w:val="1"/>
      <w:numFmt w:val="bullet"/>
      <w:lvlText w:val=""/>
      <w:lvlJc w:val="left"/>
      <w:pPr>
        <w:ind w:left="5040" w:hanging="360"/>
      </w:pPr>
      <w:rPr>
        <w:rFonts w:ascii="Symbol" w:hAnsi="Symbol" w:hint="default"/>
      </w:rPr>
    </w:lvl>
    <w:lvl w:ilvl="7" w:tplc="5CB867BE">
      <w:start w:val="1"/>
      <w:numFmt w:val="bullet"/>
      <w:lvlText w:val="o"/>
      <w:lvlJc w:val="left"/>
      <w:pPr>
        <w:ind w:left="5760" w:hanging="360"/>
      </w:pPr>
      <w:rPr>
        <w:rFonts w:ascii="Courier New" w:hAnsi="Courier New" w:hint="default"/>
      </w:rPr>
    </w:lvl>
    <w:lvl w:ilvl="8" w:tplc="7E6A2FF2">
      <w:start w:val="1"/>
      <w:numFmt w:val="bullet"/>
      <w:lvlText w:val=""/>
      <w:lvlJc w:val="left"/>
      <w:pPr>
        <w:ind w:left="6480" w:hanging="360"/>
      </w:pPr>
      <w:rPr>
        <w:rFonts w:ascii="Wingdings" w:hAnsi="Wingdings" w:hint="default"/>
      </w:rPr>
    </w:lvl>
  </w:abstractNum>
  <w:abstractNum w:abstractNumId="10">
    <w:nsid w:val="5A1B0D41"/>
    <w:multiLevelType w:val="hybridMultilevel"/>
    <w:tmpl w:val="7644A8C0"/>
    <w:lvl w:ilvl="0" w:tplc="D4B4B2C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62A8042C"/>
    <w:multiLevelType w:val="hybridMultilevel"/>
    <w:tmpl w:val="CCF20C06"/>
    <w:name w:val="List Dash 2__2"/>
    <w:lvl w:ilvl="0" w:tplc="E0B4E274">
      <w:start w:val="1"/>
      <w:numFmt w:val="bullet"/>
      <w:lvlRestart w:val="0"/>
      <w:pStyle w:val="ListDash1"/>
      <w:lvlText w:val="–"/>
      <w:lvlJc w:val="left"/>
      <w:pPr>
        <w:tabs>
          <w:tab w:val="num" w:pos="1134"/>
        </w:tabs>
        <w:ind w:left="1134" w:hanging="283"/>
      </w:pPr>
      <w:rPr>
        <w:rFonts w:ascii="Times New Roman" w:hAnsi="Times New Roman" w:cs="Times New Roman"/>
      </w:rPr>
    </w:lvl>
    <w:lvl w:ilvl="1" w:tplc="176019DC">
      <w:numFmt w:val="decimal"/>
      <w:lvlText w:val=""/>
      <w:lvlJc w:val="left"/>
    </w:lvl>
    <w:lvl w:ilvl="2" w:tplc="7CAC78F2">
      <w:numFmt w:val="decimal"/>
      <w:lvlText w:val=""/>
      <w:lvlJc w:val="left"/>
    </w:lvl>
    <w:lvl w:ilvl="3" w:tplc="65B2CAAC">
      <w:numFmt w:val="decimal"/>
      <w:lvlText w:val=""/>
      <w:lvlJc w:val="left"/>
    </w:lvl>
    <w:lvl w:ilvl="4" w:tplc="B442E8BE">
      <w:numFmt w:val="decimal"/>
      <w:lvlText w:val=""/>
      <w:lvlJc w:val="left"/>
    </w:lvl>
    <w:lvl w:ilvl="5" w:tplc="6FDA64DA">
      <w:numFmt w:val="decimal"/>
      <w:lvlText w:val=""/>
      <w:lvlJc w:val="left"/>
    </w:lvl>
    <w:lvl w:ilvl="6" w:tplc="88E8BC38">
      <w:numFmt w:val="decimal"/>
      <w:lvlText w:val=""/>
      <w:lvlJc w:val="left"/>
    </w:lvl>
    <w:lvl w:ilvl="7" w:tplc="3BFC9FC2">
      <w:numFmt w:val="decimal"/>
      <w:lvlText w:val=""/>
      <w:lvlJc w:val="left"/>
    </w:lvl>
    <w:lvl w:ilvl="8" w:tplc="714032EE">
      <w:numFmt w:val="decimal"/>
      <w:lvlText w:val=""/>
      <w:lvlJc w:val="left"/>
    </w:lvl>
  </w:abstractNum>
  <w:abstractNum w:abstractNumId="12">
    <w:nsid w:val="713C5876"/>
    <w:multiLevelType w:val="hybridMultilevel"/>
    <w:tmpl w:val="69102960"/>
    <w:lvl w:ilvl="0" w:tplc="D6CAC5FC">
      <w:numFmt w:val="bullet"/>
      <w:pStyle w:val="Text1"/>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3">
    <w:nsid w:val="71EC29D1"/>
    <w:multiLevelType w:val="hybridMultilevel"/>
    <w:tmpl w:val="E81C1E06"/>
    <w:lvl w:ilvl="0" w:tplc="DFB0EBC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768D5598"/>
    <w:multiLevelType w:val="hybridMultilevel"/>
    <w:tmpl w:val="7D943080"/>
    <w:lvl w:ilvl="0" w:tplc="F012611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79C96D36"/>
    <w:multiLevelType w:val="hybridMultilevel"/>
    <w:tmpl w:val="BE983CE4"/>
    <w:name w:val="List Bullet 3__2"/>
    <w:lvl w:ilvl="0" w:tplc="6DB2A594">
      <w:start w:val="1"/>
      <w:numFmt w:val="decimal"/>
      <w:lvlRestart w:val="0"/>
      <w:pStyle w:val="ListNumber1"/>
      <w:lvlText w:val="(%1)"/>
      <w:lvlJc w:val="left"/>
      <w:pPr>
        <w:tabs>
          <w:tab w:val="num" w:pos="1560"/>
        </w:tabs>
        <w:ind w:left="1560" w:hanging="709"/>
      </w:pPr>
    </w:lvl>
    <w:lvl w:ilvl="1" w:tplc="C2DE406C">
      <w:start w:val="1"/>
      <w:numFmt w:val="lowerLetter"/>
      <w:pStyle w:val="ListNumber1Level2"/>
      <w:lvlText w:val="(%2)"/>
      <w:lvlJc w:val="left"/>
      <w:pPr>
        <w:tabs>
          <w:tab w:val="num" w:pos="2268"/>
        </w:tabs>
        <w:ind w:left="2268" w:hanging="708"/>
      </w:pPr>
    </w:lvl>
    <w:lvl w:ilvl="2" w:tplc="C3C02466">
      <w:start w:val="1"/>
      <w:numFmt w:val="bullet"/>
      <w:pStyle w:val="ListNumber1Level3"/>
      <w:lvlText w:val="–"/>
      <w:lvlJc w:val="left"/>
      <w:pPr>
        <w:tabs>
          <w:tab w:val="num" w:pos="2977"/>
        </w:tabs>
        <w:ind w:left="2977" w:hanging="709"/>
      </w:pPr>
      <w:rPr>
        <w:rFonts w:ascii="Times New Roman" w:hAnsi="Times New Roman" w:cs="Times New Roman"/>
      </w:rPr>
    </w:lvl>
    <w:lvl w:ilvl="3" w:tplc="CB0C2488">
      <w:start w:val="1"/>
      <w:numFmt w:val="bullet"/>
      <w:pStyle w:val="ListNumber1Level4"/>
      <w:lvlText w:val=""/>
      <w:lvlJc w:val="left"/>
      <w:pPr>
        <w:tabs>
          <w:tab w:val="num" w:pos="3686"/>
        </w:tabs>
        <w:ind w:left="3686" w:hanging="709"/>
      </w:pPr>
      <w:rPr>
        <w:rFonts w:ascii="Symbol" w:hAnsi="Symbol" w:hint="default"/>
      </w:rPr>
    </w:lvl>
    <w:lvl w:ilvl="4" w:tplc="DA94226E">
      <w:start w:val="1"/>
      <w:numFmt w:val="lowerLetter"/>
      <w:lvlText w:val="(%5)"/>
      <w:lvlJc w:val="left"/>
      <w:pPr>
        <w:tabs>
          <w:tab w:val="num" w:pos="1800"/>
        </w:tabs>
        <w:ind w:left="1800" w:hanging="360"/>
      </w:pPr>
    </w:lvl>
    <w:lvl w:ilvl="5" w:tplc="5ED6BBF0">
      <w:start w:val="1"/>
      <w:numFmt w:val="lowerRoman"/>
      <w:lvlText w:val="(%6)"/>
      <w:lvlJc w:val="left"/>
      <w:pPr>
        <w:tabs>
          <w:tab w:val="num" w:pos="2160"/>
        </w:tabs>
        <w:ind w:left="2160" w:hanging="360"/>
      </w:pPr>
    </w:lvl>
    <w:lvl w:ilvl="6" w:tplc="8A6CE43E">
      <w:start w:val="1"/>
      <w:numFmt w:val="decimal"/>
      <w:lvlText w:val="%7."/>
      <w:lvlJc w:val="left"/>
      <w:pPr>
        <w:tabs>
          <w:tab w:val="num" w:pos="2520"/>
        </w:tabs>
        <w:ind w:left="2520" w:hanging="360"/>
      </w:pPr>
    </w:lvl>
    <w:lvl w:ilvl="7" w:tplc="C150C3BC">
      <w:start w:val="1"/>
      <w:numFmt w:val="lowerLetter"/>
      <w:lvlText w:val="%8."/>
      <w:lvlJc w:val="left"/>
      <w:pPr>
        <w:tabs>
          <w:tab w:val="num" w:pos="2880"/>
        </w:tabs>
        <w:ind w:left="2880" w:hanging="360"/>
      </w:pPr>
    </w:lvl>
    <w:lvl w:ilvl="8" w:tplc="838AB850">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11"/>
  </w:num>
  <w:num w:numId="5">
    <w:abstractNumId w:val="15"/>
  </w:num>
  <w:num w:numId="6">
    <w:abstractNumId w:val="12"/>
  </w:num>
  <w:num w:numId="7">
    <w:abstractNumId w:val="0"/>
  </w:num>
  <w:num w:numId="8">
    <w:abstractNumId w:val="1"/>
  </w:num>
  <w:num w:numId="9">
    <w:abstractNumId w:val="13"/>
  </w:num>
  <w:num w:numId="10">
    <w:abstractNumId w:val="3"/>
  </w:num>
  <w:num w:numId="11">
    <w:abstractNumId w:val="4"/>
  </w:num>
  <w:num w:numId="12">
    <w:abstractNumId w:val="2"/>
  </w:num>
  <w:num w:numId="13">
    <w:abstractNumId w:val="10"/>
  </w:num>
  <w:num w:numId="14">
    <w:abstractNumId w:val="5"/>
  </w:num>
  <w:num w:numId="15">
    <w:abstractNumId w:val="14"/>
  </w:num>
  <w:num w:numId="16">
    <w:abstractNumId w:val="7"/>
  </w:num>
  <w:num w:numId="17">
    <w:abstractNumId w:val="6"/>
  </w:num>
  <w:num w:numId="18">
    <w:abstractNumId w:val="7"/>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revisionView w:markup="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69BDFEA-976F-4E14-A741-7928CCF19091"/>
    <w:docVar w:name="LW_COVERPAGE_TYPE" w:val="1"/>
    <w:docVar w:name="LW_CROSSREFERENCE" w:val="&lt;UNUSED&gt;"/>
    <w:docVar w:name="LW_DocType" w:val="NORMAL"/>
    <w:docVar w:name="LW_EMISSION" w:val="2.3.2021"/>
    <w:docVar w:name="LW_EMISSION_ISODATE" w:val="2021-03-02"/>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ursuant to Article 77 of the Staff Regulations of Officials"/>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GB"/>
    </w:rPr>
  </w:style>
  <w:style w:type="paragraph" w:styleId="Heading1">
    <w:name w:val="heading 1"/>
    <w:basedOn w:val="Normal"/>
    <w:next w:val="Text1"/>
    <w:link w:val="Heading1Char"/>
    <w:uiPriority w:val="1"/>
    <w:qFormat/>
    <w:pPr>
      <w:keepNext/>
      <w:spacing w:before="360" w:after="120" w:line="240" w:lineRule="auto"/>
      <w:jc w:val="both"/>
      <w:outlineLvl w:val="0"/>
    </w:pPr>
    <w:rPr>
      <w:rFonts w:ascii="Times New Roman" w:eastAsia="Times New Roman" w:hAnsi="Times New Roman" w:cs="Times New Roman"/>
      <w:b/>
      <w:bCs/>
      <w:smallCaps/>
      <w:sz w:val="24"/>
      <w:szCs w:val="32"/>
      <w:lang w:eastAsia="de-DE"/>
    </w:rPr>
  </w:style>
  <w:style w:type="paragraph" w:styleId="Heading2">
    <w:name w:val="heading 2"/>
    <w:basedOn w:val="Normal"/>
    <w:next w:val="Normal"/>
    <w:link w:val="Heading2Char"/>
    <w:uiPriority w:val="1"/>
    <w:qFormat/>
    <w:pPr>
      <w:keepNext/>
      <w:spacing w:before="120" w:after="120" w:line="240" w:lineRule="auto"/>
      <w:jc w:val="both"/>
      <w:outlineLvl w:val="1"/>
    </w:pPr>
    <w:rPr>
      <w:rFonts w:ascii="Times New Roman" w:eastAsia="Times New Roman" w:hAnsi="Times New Roman" w:cs="Times New Roman"/>
      <w:b/>
      <w:bCs/>
      <w:iCs/>
      <w:sz w:val="24"/>
      <w:szCs w:val="28"/>
      <w:lang w:eastAsia="de-DE"/>
    </w:rPr>
  </w:style>
  <w:style w:type="paragraph" w:styleId="Heading3">
    <w:name w:val="heading 3"/>
    <w:basedOn w:val="Normal"/>
    <w:next w:val="Text3"/>
    <w:link w:val="Heading3Char"/>
    <w:qFormat/>
    <w:pPr>
      <w:keepNext/>
      <w:numPr>
        <w:ilvl w:val="2"/>
        <w:numId w:val="3"/>
      </w:numPr>
      <w:spacing w:before="120" w:after="120" w:line="240" w:lineRule="auto"/>
      <w:jc w:val="both"/>
      <w:outlineLvl w:val="2"/>
    </w:pPr>
    <w:rPr>
      <w:rFonts w:ascii="Times New Roman" w:eastAsia="Times New Roman" w:hAnsi="Times New Roman" w:cs="Times New Roman"/>
      <w:bCs/>
      <w:i/>
      <w:sz w:val="24"/>
      <w:szCs w:val="26"/>
      <w:lang w:eastAsia="de-DE"/>
    </w:rPr>
  </w:style>
  <w:style w:type="paragraph" w:styleId="Heading4">
    <w:name w:val="heading 4"/>
    <w:basedOn w:val="Normal"/>
    <w:next w:val="Normal"/>
    <w:link w:val="Heading4Char"/>
    <w:qFormat/>
    <w:pPr>
      <w:keepNext/>
      <w:numPr>
        <w:ilvl w:val="3"/>
        <w:numId w:val="3"/>
      </w:numPr>
      <w:spacing w:before="120" w:after="120" w:line="240" w:lineRule="auto"/>
      <w:jc w:val="both"/>
      <w:outlineLvl w:val="3"/>
    </w:pPr>
    <w:rPr>
      <w:rFonts w:ascii="Times New Roman" w:eastAsia="Times New Roman" w:hAnsi="Times New Roman" w:cs="Times New Roman"/>
      <w:bCs/>
      <w:sz w:val="24"/>
      <w:szCs w:val="28"/>
      <w:lang w:eastAsia="de-DE"/>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val="en-GB" w:eastAsia="de-DE"/>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val="en-GB" w:eastAsia="de-DE"/>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val="en-GB" w:eastAsia="de-DE"/>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en-GB" w:eastAsia="de-DE"/>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lang w:val="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rPr>
      <w:lang w:val="en-GB"/>
    </w:rPr>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rPr>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customStyle="1" w:styleId="Text1">
    <w:name w:val="Text 1"/>
    <w:basedOn w:val="Normal"/>
    <w:pPr>
      <w:numPr>
        <w:numId w:val="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Text3">
    <w:name w:val="Text 3"/>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styleId="FootnoteText">
    <w:name w:val="footnote text"/>
    <w:basedOn w:val="Normal"/>
    <w:link w:val="FootnoteTextChar"/>
    <w:uiPriority w:val="99"/>
    <w:pPr>
      <w:spacing w:after="0" w:line="240" w:lineRule="auto"/>
      <w:ind w:left="340" w:hanging="34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en-GB" w:eastAsia="de-DE"/>
    </w:rPr>
  </w:style>
  <w:style w:type="character" w:styleId="FootnoteReference">
    <w:name w:val="footnote reference"/>
    <w:rPr>
      <w:rFonts w:ascii="Times New Roman" w:hAnsi="Times New Roman"/>
      <w:sz w:val="20"/>
      <w:vertAlign w:val="superscript"/>
    </w:rPr>
  </w:style>
  <w:style w:type="paragraph" w:customStyle="1" w:styleId="ListDash1">
    <w:name w:val="List Dash 1"/>
    <w:basedOn w:val="Normal"/>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pPr>
      <w:numPr>
        <w:numId w:val="5"/>
      </w:numPr>
    </w:pPr>
  </w:style>
  <w:style w:type="paragraph" w:customStyle="1" w:styleId="ListNumber1Level2">
    <w:name w:val="List Number 1 (Level 2)"/>
    <w:basedOn w:val="Text1"/>
    <w:pPr>
      <w:numPr>
        <w:ilvl w:val="1"/>
        <w:numId w:val="5"/>
      </w:numPr>
    </w:pPr>
  </w:style>
  <w:style w:type="paragraph" w:customStyle="1" w:styleId="ListNumber1Level3">
    <w:name w:val="List Number 1 (Level 3)"/>
    <w:basedOn w:val="Text1"/>
    <w:pPr>
      <w:numPr>
        <w:ilvl w:val="2"/>
        <w:numId w:val="5"/>
      </w:numPr>
    </w:pPr>
  </w:style>
  <w:style w:type="paragraph" w:customStyle="1" w:styleId="ListNumber1Level4">
    <w:name w:val="List Number 1 (Level 4)"/>
    <w:basedOn w:val="Text1"/>
    <w:pPr>
      <w:numPr>
        <w:ilvl w:val="3"/>
        <w:numId w:val="5"/>
      </w:numPr>
    </w:p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Rfrenceinterne">
    <w:name w:val="Référence interne"/>
    <w:basedOn w:val="Normal"/>
    <w:next w:val="Normal"/>
    <w:link w:val="RfrenceinterneChar"/>
    <w:pPr>
      <w:spacing w:after="600" w:line="240" w:lineRule="auto"/>
      <w:jc w:val="center"/>
    </w:pPr>
    <w:rPr>
      <w:rFonts w:ascii="Times New Roman" w:eastAsia="Times New Roman" w:hAnsi="Times New Roman" w:cs="Times New Roman"/>
      <w:b/>
      <w:sz w:val="24"/>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lang w:eastAsia="de-DE"/>
    </w:rPr>
  </w:style>
  <w:style w:type="character" w:styleId="Hyperlink">
    <w:name w:val="Hyperlink"/>
    <w:rPr>
      <w:rFonts w:cs="Times New Roman"/>
      <w:color w:val="0000FF"/>
      <w:u w:val="single"/>
    </w:rPr>
  </w:style>
  <w:style w:type="paragraph" w:styleId="List">
    <w:name w:val="List"/>
    <w:basedOn w:val="Normal"/>
    <w:uiPriority w:val="99"/>
    <w:unhideWhenUsed/>
    <w:pPr>
      <w:ind w:left="283" w:hanging="283"/>
      <w:contextualSpacing/>
    </w:pPr>
  </w:style>
  <w:style w:type="paragraph" w:styleId="ListBullet">
    <w:name w:val="List Bullet"/>
    <w:basedOn w:val="Normal"/>
    <w:pPr>
      <w:numPr>
        <w:numId w:val="8"/>
      </w:numPr>
      <w:spacing w:before="120" w:after="120" w:line="240" w:lineRule="auto"/>
      <w:jc w:val="both"/>
    </w:pPr>
    <w:rPr>
      <w:rFonts w:ascii="Times New Roman" w:eastAsia="Times New Roman" w:hAnsi="Times New Roman" w:cs="Times New Roman"/>
      <w:sz w:val="24"/>
      <w:szCs w:val="24"/>
      <w:lang w:eastAsia="de-DE"/>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table" w:styleId="TableGrid">
    <w:name w:val="Table Grid"/>
    <w:basedOn w:val="TableNormal"/>
    <w:uiPriority w:val="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lang w:val="en-GB"/>
    </w:rPr>
  </w:style>
  <w:style w:type="paragraph" w:styleId="ListParagraph">
    <w:name w:val="List Paragraph"/>
    <w:basedOn w:val="Normal"/>
    <w:uiPriority w:val="34"/>
    <w:qFormat/>
    <w:pPr>
      <w:ind w:left="720"/>
      <w:contextualSpacing/>
    </w:p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RfrenceinterneChar">
    <w:name w:val="Référence interne Char"/>
    <w:basedOn w:val="DefaultParagraphFont"/>
    <w:link w:val="Rfrenceinterne"/>
    <w:rPr>
      <w:rFonts w:ascii="Times New Roman" w:eastAsia="Times New Roman" w:hAnsi="Times New Roman" w:cs="Times New Roman"/>
      <w:b/>
      <w:sz w:val="24"/>
      <w:szCs w:val="24"/>
      <w:lang w:val="en-GB" w:eastAsia="de-DE"/>
    </w:rPr>
  </w:style>
  <w:style w:type="character" w:customStyle="1" w:styleId="HeaderSensitivityRightChar">
    <w:name w:val="Header Sensitivity Right Char"/>
    <w:basedOn w:val="RfrenceinterneChar"/>
    <w:link w:val="HeaderSensitivityRight"/>
    <w:rPr>
      <w:rFonts w:ascii="Times New Roman" w:eastAsia="Times New Roman" w:hAnsi="Times New Roman" w:cs="Times New Roman"/>
      <w:b w:val="0"/>
      <w:sz w:val="28"/>
      <w:szCs w:val="24"/>
      <w:lang w:val="en-GB" w:eastAsia="de-D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GB"/>
    </w:rPr>
  </w:style>
  <w:style w:type="paragraph" w:styleId="Heading1">
    <w:name w:val="heading 1"/>
    <w:basedOn w:val="Normal"/>
    <w:next w:val="Text1"/>
    <w:link w:val="Heading1Char"/>
    <w:uiPriority w:val="1"/>
    <w:qFormat/>
    <w:pPr>
      <w:keepNext/>
      <w:spacing w:before="360" w:after="120" w:line="240" w:lineRule="auto"/>
      <w:jc w:val="both"/>
      <w:outlineLvl w:val="0"/>
    </w:pPr>
    <w:rPr>
      <w:rFonts w:ascii="Times New Roman" w:eastAsia="Times New Roman" w:hAnsi="Times New Roman" w:cs="Times New Roman"/>
      <w:b/>
      <w:bCs/>
      <w:smallCaps/>
      <w:sz w:val="24"/>
      <w:szCs w:val="32"/>
      <w:lang w:eastAsia="de-DE"/>
    </w:rPr>
  </w:style>
  <w:style w:type="paragraph" w:styleId="Heading2">
    <w:name w:val="heading 2"/>
    <w:basedOn w:val="Normal"/>
    <w:next w:val="Normal"/>
    <w:link w:val="Heading2Char"/>
    <w:uiPriority w:val="1"/>
    <w:qFormat/>
    <w:pPr>
      <w:keepNext/>
      <w:spacing w:before="120" w:after="120" w:line="240" w:lineRule="auto"/>
      <w:jc w:val="both"/>
      <w:outlineLvl w:val="1"/>
    </w:pPr>
    <w:rPr>
      <w:rFonts w:ascii="Times New Roman" w:eastAsia="Times New Roman" w:hAnsi="Times New Roman" w:cs="Times New Roman"/>
      <w:b/>
      <w:bCs/>
      <w:iCs/>
      <w:sz w:val="24"/>
      <w:szCs w:val="28"/>
      <w:lang w:eastAsia="de-DE"/>
    </w:rPr>
  </w:style>
  <w:style w:type="paragraph" w:styleId="Heading3">
    <w:name w:val="heading 3"/>
    <w:basedOn w:val="Normal"/>
    <w:next w:val="Text3"/>
    <w:link w:val="Heading3Char"/>
    <w:qFormat/>
    <w:pPr>
      <w:keepNext/>
      <w:numPr>
        <w:ilvl w:val="2"/>
        <w:numId w:val="3"/>
      </w:numPr>
      <w:spacing w:before="120" w:after="120" w:line="240" w:lineRule="auto"/>
      <w:jc w:val="both"/>
      <w:outlineLvl w:val="2"/>
    </w:pPr>
    <w:rPr>
      <w:rFonts w:ascii="Times New Roman" w:eastAsia="Times New Roman" w:hAnsi="Times New Roman" w:cs="Times New Roman"/>
      <w:bCs/>
      <w:i/>
      <w:sz w:val="24"/>
      <w:szCs w:val="26"/>
      <w:lang w:eastAsia="de-DE"/>
    </w:rPr>
  </w:style>
  <w:style w:type="paragraph" w:styleId="Heading4">
    <w:name w:val="heading 4"/>
    <w:basedOn w:val="Normal"/>
    <w:next w:val="Normal"/>
    <w:link w:val="Heading4Char"/>
    <w:qFormat/>
    <w:pPr>
      <w:keepNext/>
      <w:numPr>
        <w:ilvl w:val="3"/>
        <w:numId w:val="3"/>
      </w:numPr>
      <w:spacing w:before="120" w:after="120" w:line="240" w:lineRule="auto"/>
      <w:jc w:val="both"/>
      <w:outlineLvl w:val="3"/>
    </w:pPr>
    <w:rPr>
      <w:rFonts w:ascii="Times New Roman" w:eastAsia="Times New Roman" w:hAnsi="Times New Roman" w:cs="Times New Roman"/>
      <w:bCs/>
      <w:sz w:val="24"/>
      <w:szCs w:val="28"/>
      <w:lang w:eastAsia="de-DE"/>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val="en-GB" w:eastAsia="de-DE"/>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val="en-GB" w:eastAsia="de-DE"/>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val="en-GB" w:eastAsia="de-DE"/>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en-GB" w:eastAsia="de-DE"/>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lang w:val="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rPr>
      <w:lang w:val="en-GB"/>
    </w:rPr>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rPr>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n-GB"/>
    </w:rPr>
  </w:style>
  <w:style w:type="paragraph" w:customStyle="1" w:styleId="Text1">
    <w:name w:val="Text 1"/>
    <w:basedOn w:val="Normal"/>
    <w:pPr>
      <w:numPr>
        <w:numId w:val="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Text3">
    <w:name w:val="Text 3"/>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styleId="FootnoteText">
    <w:name w:val="footnote text"/>
    <w:basedOn w:val="Normal"/>
    <w:link w:val="FootnoteTextChar"/>
    <w:uiPriority w:val="99"/>
    <w:pPr>
      <w:spacing w:after="0" w:line="240" w:lineRule="auto"/>
      <w:ind w:left="340" w:hanging="34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en-GB" w:eastAsia="de-DE"/>
    </w:rPr>
  </w:style>
  <w:style w:type="character" w:styleId="FootnoteReference">
    <w:name w:val="footnote reference"/>
    <w:rPr>
      <w:rFonts w:ascii="Times New Roman" w:hAnsi="Times New Roman"/>
      <w:sz w:val="20"/>
      <w:vertAlign w:val="superscript"/>
    </w:rPr>
  </w:style>
  <w:style w:type="paragraph" w:customStyle="1" w:styleId="ListDash1">
    <w:name w:val="List Dash 1"/>
    <w:basedOn w:val="Normal"/>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pPr>
      <w:numPr>
        <w:numId w:val="5"/>
      </w:numPr>
    </w:pPr>
  </w:style>
  <w:style w:type="paragraph" w:customStyle="1" w:styleId="ListNumber1Level2">
    <w:name w:val="List Number 1 (Level 2)"/>
    <w:basedOn w:val="Text1"/>
    <w:pPr>
      <w:numPr>
        <w:ilvl w:val="1"/>
        <w:numId w:val="5"/>
      </w:numPr>
    </w:pPr>
  </w:style>
  <w:style w:type="paragraph" w:customStyle="1" w:styleId="ListNumber1Level3">
    <w:name w:val="List Number 1 (Level 3)"/>
    <w:basedOn w:val="Text1"/>
    <w:pPr>
      <w:numPr>
        <w:ilvl w:val="2"/>
        <w:numId w:val="5"/>
      </w:numPr>
    </w:pPr>
  </w:style>
  <w:style w:type="paragraph" w:customStyle="1" w:styleId="ListNumber1Level4">
    <w:name w:val="List Number 1 (Level 4)"/>
    <w:basedOn w:val="Text1"/>
    <w:pPr>
      <w:numPr>
        <w:ilvl w:val="3"/>
        <w:numId w:val="5"/>
      </w:numPr>
    </w:p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Rfrenceinterne">
    <w:name w:val="Référence interne"/>
    <w:basedOn w:val="Normal"/>
    <w:next w:val="Normal"/>
    <w:link w:val="RfrenceinterneChar"/>
    <w:pPr>
      <w:spacing w:after="600" w:line="240" w:lineRule="auto"/>
      <w:jc w:val="center"/>
    </w:pPr>
    <w:rPr>
      <w:rFonts w:ascii="Times New Roman" w:eastAsia="Times New Roman" w:hAnsi="Times New Roman" w:cs="Times New Roman"/>
      <w:b/>
      <w:sz w:val="24"/>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lang w:eastAsia="de-DE"/>
    </w:rPr>
  </w:style>
  <w:style w:type="character" w:styleId="Hyperlink">
    <w:name w:val="Hyperlink"/>
    <w:rPr>
      <w:rFonts w:cs="Times New Roman"/>
      <w:color w:val="0000FF"/>
      <w:u w:val="single"/>
    </w:rPr>
  </w:style>
  <w:style w:type="paragraph" w:styleId="List">
    <w:name w:val="List"/>
    <w:basedOn w:val="Normal"/>
    <w:uiPriority w:val="99"/>
    <w:unhideWhenUsed/>
    <w:pPr>
      <w:ind w:left="283" w:hanging="283"/>
      <w:contextualSpacing/>
    </w:pPr>
  </w:style>
  <w:style w:type="paragraph" w:styleId="ListBullet">
    <w:name w:val="List Bullet"/>
    <w:basedOn w:val="Normal"/>
    <w:pPr>
      <w:numPr>
        <w:numId w:val="8"/>
      </w:numPr>
      <w:spacing w:before="120" w:after="120" w:line="240" w:lineRule="auto"/>
      <w:jc w:val="both"/>
    </w:pPr>
    <w:rPr>
      <w:rFonts w:ascii="Times New Roman" w:eastAsia="Times New Roman" w:hAnsi="Times New Roman" w:cs="Times New Roman"/>
      <w:sz w:val="24"/>
      <w:szCs w:val="24"/>
      <w:lang w:eastAsia="de-DE"/>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table" w:styleId="TableGrid">
    <w:name w:val="Table Grid"/>
    <w:basedOn w:val="TableNormal"/>
    <w:uiPriority w:val="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lang w:val="en-GB"/>
    </w:rPr>
  </w:style>
  <w:style w:type="paragraph" w:styleId="ListParagraph">
    <w:name w:val="List Paragraph"/>
    <w:basedOn w:val="Normal"/>
    <w:uiPriority w:val="34"/>
    <w:qFormat/>
    <w:pPr>
      <w:ind w:left="720"/>
      <w:contextualSpacing/>
    </w:p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RfrenceinterneChar">
    <w:name w:val="Référence interne Char"/>
    <w:basedOn w:val="DefaultParagraphFont"/>
    <w:link w:val="Rfrenceinterne"/>
    <w:rPr>
      <w:rFonts w:ascii="Times New Roman" w:eastAsia="Times New Roman" w:hAnsi="Times New Roman" w:cs="Times New Roman"/>
      <w:b/>
      <w:sz w:val="24"/>
      <w:szCs w:val="24"/>
      <w:lang w:val="en-GB" w:eastAsia="de-DE"/>
    </w:rPr>
  </w:style>
  <w:style w:type="character" w:customStyle="1" w:styleId="HeaderSensitivityRightChar">
    <w:name w:val="Header Sensitivity Right Char"/>
    <w:basedOn w:val="RfrenceinterneChar"/>
    <w:link w:val="HeaderSensitivityRight"/>
    <w:rPr>
      <w:rFonts w:ascii="Times New Roman" w:eastAsia="Times New Roman" w:hAnsi="Times New Roman" w:cs="Times New Roman"/>
      <w:b w:val="0"/>
      <w:sz w:val="28"/>
      <w:szCs w:val="24"/>
      <w:lang w:val="en-GB" w:eastAsia="de-D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jpe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google.com/url?sa=i&amp;url=https://www.amazon.com/European-Union-EU-Flag-Polyester/dp/B000K62UEI&amp;psig=AOvVaw0bnLH6L1hx6mVPcKP0b9IN&amp;ust=1600348737485000&amp;source=images&amp;cd=vfe&amp;ved=0CAIQjRxqFwoTCIDkpeLh7esCFQAAAAAdAAAAABAN" TargetMode="External"/><Relationship Id="rId25" Type="http://schemas.openxmlformats.org/officeDocument/2006/relationships/footer" Target="footer4.xml"/><Relationship Id="R252835e2fb2d450e"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hart" Target="charts/chart5.xml"/><Relationship Id="rId27" Type="http://schemas.openxmlformats.org/officeDocument/2006/relationships/header" Target="header6.xml"/><Relationship Id="rId30" Type="http://schemas.openxmlformats.org/officeDocument/2006/relationships/theme" Target="theme/theme1.xml"/><Relationship Id="R8333163682414636" Type="http://schemas.microsoft.com/office/2016/09/relationships/commentsIds" Target="commentsId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chartUserShapes" Target="../drawings/drawing1.xml"/><Relationship Id="rId1" Type="http://schemas.openxmlformats.org/officeDocument/2006/relationships/package" Target="../embeddings/Microsoft_Excel_Worksheet1.xlsx"/><Relationship Id="rId4"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openxmlformats.org/officeDocument/2006/relationships/chartUserShapes" Target="../drawings/drawing2.xml"/><Relationship Id="rId1" Type="http://schemas.openxmlformats.org/officeDocument/2006/relationships/package" Target="../embeddings/Microsoft_Excel_Worksheet3.xlsx"/><Relationship Id="rId4"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openxmlformats.org/officeDocument/2006/relationships/chartUserShapes" Target="../drawings/drawing3.xml"/><Relationship Id="rId1" Type="http://schemas.openxmlformats.org/officeDocument/2006/relationships/package" Target="../embeddings/Microsoft_Excel_Worksheet4.xlsx"/><Relationship Id="rId4"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microsoft.com/office/2011/relationships/chartStyle" Target="style5.xml"/><Relationship Id="rId2" Type="http://schemas.microsoft.com/office/2011/relationships/chartColorStyle" Target="colors5.xml"/><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Normal pensionable age applicable in </a:t>
            </a:r>
          </a:p>
          <a:p>
            <a:pPr>
              <a:defRPr sz="1400" b="0" i="0" u="none" strike="noStrike" kern="1200" spc="0" baseline="0">
                <a:solidFill>
                  <a:schemeClr val="tx1">
                    <a:lumMod val="65000"/>
                    <a:lumOff val="35000"/>
                  </a:schemeClr>
                </a:solidFill>
                <a:latin typeface="+mn-lt"/>
                <a:ea typeface="+mn-ea"/>
                <a:cs typeface="+mn-cs"/>
              </a:defRPr>
            </a:pPr>
            <a:r>
              <a:rPr lang="fr-BE"/>
              <a:t>national central civil services</a:t>
            </a:r>
          </a:p>
        </c:rich>
      </c:tx>
      <c:overlay val="0"/>
      <c:spPr>
        <a:noFill/>
        <a:ln>
          <a:noFill/>
        </a:ln>
        <a:effectLst/>
      </c:spPr>
    </c:title>
    <c:autoTitleDeleted val="0"/>
    <c:plotArea>
      <c:layout/>
      <c:barChart>
        <c:barDir val="bar"/>
        <c:grouping val="clustered"/>
        <c:varyColors val="0"/>
        <c:ser>
          <c:idx val="0"/>
          <c:order val="0"/>
          <c:tx>
            <c:strRef>
              <c:f>Sheet1!$B$1</c:f>
              <c:strCache>
                <c:ptCount val="1"/>
                <c:pt idx="0">
                  <c:v>2014</c:v>
                </c:pt>
              </c:strCache>
            </c:strRef>
          </c:tx>
          <c:spPr>
            <a:solidFill>
              <a:schemeClr val="accent5">
                <a:lumMod val="60000"/>
                <a:lumOff val="40000"/>
              </a:schemeClr>
            </a:solidFill>
            <a:ln>
              <a:noFill/>
            </a:ln>
            <a:effectLst/>
          </c:spPr>
          <c:invertIfNegative val="0"/>
          <c:cat>
            <c:strRef>
              <c:f>Sheet1!$A$2:$A$36</c:f>
              <c:strCache>
                <c:ptCount val="35"/>
                <c:pt idx="0">
                  <c:v>SK</c:v>
                </c:pt>
                <c:pt idx="1">
                  <c:v>SI</c:v>
                </c:pt>
                <c:pt idx="2">
                  <c:v>SE</c:v>
                </c:pt>
                <c:pt idx="3">
                  <c:v>RO (w)</c:v>
                </c:pt>
                <c:pt idx="4">
                  <c:v>RO (m)</c:v>
                </c:pt>
                <c:pt idx="5">
                  <c:v>PT</c:v>
                </c:pt>
                <c:pt idx="6">
                  <c:v>PL(w)</c:v>
                </c:pt>
                <c:pt idx="7">
                  <c:v>PL(m)</c:v>
                </c:pt>
                <c:pt idx="8">
                  <c:v>NL</c:v>
                </c:pt>
                <c:pt idx="9">
                  <c:v>MT</c:v>
                </c:pt>
                <c:pt idx="10">
                  <c:v>LV</c:v>
                </c:pt>
                <c:pt idx="11">
                  <c:v>LU</c:v>
                </c:pt>
                <c:pt idx="12">
                  <c:v>LT (w)</c:v>
                </c:pt>
                <c:pt idx="13">
                  <c:v>LT (m)</c:v>
                </c:pt>
                <c:pt idx="14">
                  <c:v>IT</c:v>
                </c:pt>
                <c:pt idx="15">
                  <c:v>IE</c:v>
                </c:pt>
                <c:pt idx="16">
                  <c:v>HU</c:v>
                </c:pt>
                <c:pt idx="17">
                  <c:v>HR (w)</c:v>
                </c:pt>
                <c:pt idx="18">
                  <c:v>HR (m)</c:v>
                </c:pt>
                <c:pt idx="19">
                  <c:v>FR</c:v>
                </c:pt>
                <c:pt idx="20">
                  <c:v>FI</c:v>
                </c:pt>
                <c:pt idx="21">
                  <c:v>EU</c:v>
                </c:pt>
                <c:pt idx="22">
                  <c:v>ES</c:v>
                </c:pt>
                <c:pt idx="23">
                  <c:v>EL</c:v>
                </c:pt>
                <c:pt idx="24">
                  <c:v>EE (w)</c:v>
                </c:pt>
                <c:pt idx="25">
                  <c:v>EE (m)</c:v>
                </c:pt>
                <c:pt idx="26">
                  <c:v>DK</c:v>
                </c:pt>
                <c:pt idx="27">
                  <c:v>DE</c:v>
                </c:pt>
                <c:pt idx="28">
                  <c:v>CZ (w)</c:v>
                </c:pt>
                <c:pt idx="29">
                  <c:v>CZ (m)</c:v>
                </c:pt>
                <c:pt idx="30">
                  <c:v>CY</c:v>
                </c:pt>
                <c:pt idx="31">
                  <c:v>BG (w)</c:v>
                </c:pt>
                <c:pt idx="32">
                  <c:v>BG (m)</c:v>
                </c:pt>
                <c:pt idx="33">
                  <c:v>BE</c:v>
                </c:pt>
                <c:pt idx="34">
                  <c:v>AT</c:v>
                </c:pt>
              </c:strCache>
            </c:strRef>
          </c:cat>
          <c:val>
            <c:numRef>
              <c:f>Sheet1!$B$2:$B$36</c:f>
              <c:numCache>
                <c:formatCode>General</c:formatCode>
                <c:ptCount val="35"/>
                <c:pt idx="0">
                  <c:v>62</c:v>
                </c:pt>
                <c:pt idx="1">
                  <c:v>61</c:v>
                </c:pt>
                <c:pt idx="2">
                  <c:v>65</c:v>
                </c:pt>
                <c:pt idx="3">
                  <c:v>60</c:v>
                </c:pt>
                <c:pt idx="4">
                  <c:v>65</c:v>
                </c:pt>
                <c:pt idx="5">
                  <c:v>66</c:v>
                </c:pt>
                <c:pt idx="6">
                  <c:v>60</c:v>
                </c:pt>
                <c:pt idx="7">
                  <c:v>65</c:v>
                </c:pt>
                <c:pt idx="8">
                  <c:v>65</c:v>
                </c:pt>
                <c:pt idx="9">
                  <c:v>62</c:v>
                </c:pt>
                <c:pt idx="10">
                  <c:v>62</c:v>
                </c:pt>
                <c:pt idx="11">
                  <c:v>60</c:v>
                </c:pt>
                <c:pt idx="12">
                  <c:v>61</c:v>
                </c:pt>
                <c:pt idx="13">
                  <c:v>63</c:v>
                </c:pt>
                <c:pt idx="14">
                  <c:v>66</c:v>
                </c:pt>
                <c:pt idx="15">
                  <c:v>66</c:v>
                </c:pt>
                <c:pt idx="16">
                  <c:v>62</c:v>
                </c:pt>
                <c:pt idx="17">
                  <c:v>61</c:v>
                </c:pt>
                <c:pt idx="18">
                  <c:v>65</c:v>
                </c:pt>
                <c:pt idx="19">
                  <c:v>62</c:v>
                </c:pt>
                <c:pt idx="20">
                  <c:v>63</c:v>
                </c:pt>
                <c:pt idx="21">
                  <c:v>66</c:v>
                </c:pt>
                <c:pt idx="22">
                  <c:v>60</c:v>
                </c:pt>
                <c:pt idx="23">
                  <c:v>67</c:v>
                </c:pt>
                <c:pt idx="24">
                  <c:v>62</c:v>
                </c:pt>
                <c:pt idx="25">
                  <c:v>63</c:v>
                </c:pt>
                <c:pt idx="26">
                  <c:v>65</c:v>
                </c:pt>
                <c:pt idx="27">
                  <c:v>65</c:v>
                </c:pt>
                <c:pt idx="28">
                  <c:v>58</c:v>
                </c:pt>
                <c:pt idx="29">
                  <c:v>63</c:v>
                </c:pt>
                <c:pt idx="30">
                  <c:v>63</c:v>
                </c:pt>
                <c:pt idx="31">
                  <c:v>60</c:v>
                </c:pt>
                <c:pt idx="32">
                  <c:v>63</c:v>
                </c:pt>
                <c:pt idx="33">
                  <c:v>61</c:v>
                </c:pt>
                <c:pt idx="34">
                  <c:v>64</c:v>
                </c:pt>
              </c:numCache>
            </c:numRef>
          </c:val>
          <c:extLst xmlns:c16r2="http://schemas.microsoft.com/office/drawing/2015/06/chart">
            <c:ext xmlns:c16="http://schemas.microsoft.com/office/drawing/2014/chart" uri="{C3380CC4-5D6E-409C-BE32-E72D297353CC}">
              <c16:uniqueId val="{00000000-A19C-4E6C-981A-7A5849ED740F}"/>
            </c:ext>
          </c:extLst>
        </c:ser>
        <c:ser>
          <c:idx val="1"/>
          <c:order val="1"/>
          <c:tx>
            <c:strRef>
              <c:f>Sheet1!$C$1</c:f>
              <c:strCache>
                <c:ptCount val="1"/>
                <c:pt idx="0">
                  <c:v>2018</c:v>
                </c:pt>
              </c:strCache>
            </c:strRef>
          </c:tx>
          <c:spPr>
            <a:solidFill>
              <a:schemeClr val="accent5">
                <a:lumMod val="75000"/>
              </a:schemeClr>
            </a:solidFill>
            <a:ln>
              <a:noFill/>
            </a:ln>
            <a:effectLst/>
          </c:spPr>
          <c:invertIfNegative val="0"/>
          <c:cat>
            <c:strRef>
              <c:f>Sheet1!$A$2:$A$36</c:f>
              <c:strCache>
                <c:ptCount val="35"/>
                <c:pt idx="0">
                  <c:v>SK</c:v>
                </c:pt>
                <c:pt idx="1">
                  <c:v>SI</c:v>
                </c:pt>
                <c:pt idx="2">
                  <c:v>SE</c:v>
                </c:pt>
                <c:pt idx="3">
                  <c:v>RO (w)</c:v>
                </c:pt>
                <c:pt idx="4">
                  <c:v>RO (m)</c:v>
                </c:pt>
                <c:pt idx="5">
                  <c:v>PT</c:v>
                </c:pt>
                <c:pt idx="6">
                  <c:v>PL(w)</c:v>
                </c:pt>
                <c:pt idx="7">
                  <c:v>PL(m)</c:v>
                </c:pt>
                <c:pt idx="8">
                  <c:v>NL</c:v>
                </c:pt>
                <c:pt idx="9">
                  <c:v>MT</c:v>
                </c:pt>
                <c:pt idx="10">
                  <c:v>LV</c:v>
                </c:pt>
                <c:pt idx="11">
                  <c:v>LU</c:v>
                </c:pt>
                <c:pt idx="12">
                  <c:v>LT (w)</c:v>
                </c:pt>
                <c:pt idx="13">
                  <c:v>LT (m)</c:v>
                </c:pt>
                <c:pt idx="14">
                  <c:v>IT</c:v>
                </c:pt>
                <c:pt idx="15">
                  <c:v>IE</c:v>
                </c:pt>
                <c:pt idx="16">
                  <c:v>HU</c:v>
                </c:pt>
                <c:pt idx="17">
                  <c:v>HR (w)</c:v>
                </c:pt>
                <c:pt idx="18">
                  <c:v>HR (m)</c:v>
                </c:pt>
                <c:pt idx="19">
                  <c:v>FR</c:v>
                </c:pt>
                <c:pt idx="20">
                  <c:v>FI</c:v>
                </c:pt>
                <c:pt idx="21">
                  <c:v>EU</c:v>
                </c:pt>
                <c:pt idx="22">
                  <c:v>ES</c:v>
                </c:pt>
                <c:pt idx="23">
                  <c:v>EL</c:v>
                </c:pt>
                <c:pt idx="24">
                  <c:v>EE (w)</c:v>
                </c:pt>
                <c:pt idx="25">
                  <c:v>EE (m)</c:v>
                </c:pt>
                <c:pt idx="26">
                  <c:v>DK</c:v>
                </c:pt>
                <c:pt idx="27">
                  <c:v>DE</c:v>
                </c:pt>
                <c:pt idx="28">
                  <c:v>CZ (w)</c:v>
                </c:pt>
                <c:pt idx="29">
                  <c:v>CZ (m)</c:v>
                </c:pt>
                <c:pt idx="30">
                  <c:v>CY</c:v>
                </c:pt>
                <c:pt idx="31">
                  <c:v>BG (w)</c:v>
                </c:pt>
                <c:pt idx="32">
                  <c:v>BG (m)</c:v>
                </c:pt>
                <c:pt idx="33">
                  <c:v>BE</c:v>
                </c:pt>
                <c:pt idx="34">
                  <c:v>AT</c:v>
                </c:pt>
              </c:strCache>
            </c:strRef>
          </c:cat>
          <c:val>
            <c:numRef>
              <c:f>Sheet1!$C$2:$C$36</c:f>
              <c:numCache>
                <c:formatCode>General</c:formatCode>
                <c:ptCount val="35"/>
                <c:pt idx="0">
                  <c:v>62</c:v>
                </c:pt>
                <c:pt idx="1">
                  <c:v>61</c:v>
                </c:pt>
                <c:pt idx="2">
                  <c:v>65</c:v>
                </c:pt>
                <c:pt idx="3">
                  <c:v>61</c:v>
                </c:pt>
                <c:pt idx="4">
                  <c:v>65</c:v>
                </c:pt>
                <c:pt idx="5">
                  <c:v>66</c:v>
                </c:pt>
                <c:pt idx="6">
                  <c:v>65</c:v>
                </c:pt>
                <c:pt idx="7">
                  <c:v>65</c:v>
                </c:pt>
                <c:pt idx="8">
                  <c:v>66</c:v>
                </c:pt>
                <c:pt idx="9">
                  <c:v>62</c:v>
                </c:pt>
                <c:pt idx="10">
                  <c:v>63</c:v>
                </c:pt>
                <c:pt idx="11">
                  <c:v>60</c:v>
                </c:pt>
                <c:pt idx="12">
                  <c:v>62</c:v>
                </c:pt>
                <c:pt idx="13">
                  <c:v>64</c:v>
                </c:pt>
                <c:pt idx="14">
                  <c:v>67</c:v>
                </c:pt>
                <c:pt idx="15">
                  <c:v>66</c:v>
                </c:pt>
                <c:pt idx="16">
                  <c:v>63</c:v>
                </c:pt>
                <c:pt idx="17">
                  <c:v>62</c:v>
                </c:pt>
                <c:pt idx="18">
                  <c:v>65</c:v>
                </c:pt>
                <c:pt idx="19">
                  <c:v>62</c:v>
                </c:pt>
                <c:pt idx="20">
                  <c:v>63</c:v>
                </c:pt>
                <c:pt idx="21">
                  <c:v>66</c:v>
                </c:pt>
                <c:pt idx="22">
                  <c:v>60</c:v>
                </c:pt>
                <c:pt idx="23">
                  <c:v>67</c:v>
                </c:pt>
                <c:pt idx="24">
                  <c:v>64</c:v>
                </c:pt>
                <c:pt idx="25">
                  <c:v>64</c:v>
                </c:pt>
                <c:pt idx="26">
                  <c:v>67</c:v>
                </c:pt>
                <c:pt idx="27">
                  <c:v>65</c:v>
                </c:pt>
                <c:pt idx="28">
                  <c:v>59</c:v>
                </c:pt>
                <c:pt idx="29">
                  <c:v>63</c:v>
                </c:pt>
                <c:pt idx="30">
                  <c:v>65</c:v>
                </c:pt>
                <c:pt idx="31">
                  <c:v>61</c:v>
                </c:pt>
                <c:pt idx="32">
                  <c:v>64</c:v>
                </c:pt>
                <c:pt idx="33">
                  <c:v>63</c:v>
                </c:pt>
                <c:pt idx="34">
                  <c:v>65</c:v>
                </c:pt>
              </c:numCache>
            </c:numRef>
          </c:val>
          <c:extLst xmlns:c16r2="http://schemas.microsoft.com/office/drawing/2015/06/chart">
            <c:ext xmlns:c16="http://schemas.microsoft.com/office/drawing/2014/chart" uri="{C3380CC4-5D6E-409C-BE32-E72D297353CC}">
              <c16:uniqueId val="{00000001-A19C-4E6C-981A-7A5849ED740F}"/>
            </c:ext>
          </c:extLst>
        </c:ser>
        <c:dLbls>
          <c:showLegendKey val="0"/>
          <c:showVal val="0"/>
          <c:showCatName val="0"/>
          <c:showSerName val="0"/>
          <c:showPercent val="0"/>
          <c:showBubbleSize val="0"/>
        </c:dLbls>
        <c:gapWidth val="182"/>
        <c:axId val="83741696"/>
        <c:axId val="83747584"/>
      </c:barChart>
      <c:catAx>
        <c:axId val="837416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747584"/>
        <c:crosses val="autoZero"/>
        <c:auto val="1"/>
        <c:lblAlgn val="ctr"/>
        <c:lblOffset val="100"/>
        <c:noMultiLvlLbl val="0"/>
      </c:catAx>
      <c:valAx>
        <c:axId val="83747584"/>
        <c:scaling>
          <c:orientation val="minMax"/>
          <c:max val="68"/>
          <c:min val="56"/>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741696"/>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Minimum</a:t>
            </a:r>
            <a:r>
              <a:rPr lang="fr-BE" baseline="0"/>
              <a:t> pensionable age</a:t>
            </a:r>
            <a:endParaRPr lang="fr-BE"/>
          </a:p>
        </c:rich>
      </c:tx>
      <c:overlay val="0"/>
      <c:spPr>
        <a:noFill/>
        <a:ln>
          <a:noFill/>
        </a:ln>
        <a:effectLst/>
      </c:spPr>
    </c:title>
    <c:autoTitleDeleted val="0"/>
    <c:plotArea>
      <c:layout/>
      <c:barChart>
        <c:barDir val="bar"/>
        <c:grouping val="clustered"/>
        <c:varyColors val="0"/>
        <c:ser>
          <c:idx val="0"/>
          <c:order val="0"/>
          <c:tx>
            <c:strRef>
              <c:f>Sheet1!$B$1</c:f>
              <c:strCache>
                <c:ptCount val="1"/>
                <c:pt idx="0">
                  <c:v>2014</c:v>
                </c:pt>
              </c:strCache>
            </c:strRef>
          </c:tx>
          <c:spPr>
            <a:solidFill>
              <a:schemeClr val="accent5">
                <a:lumMod val="60000"/>
                <a:lumOff val="40000"/>
              </a:schemeClr>
            </a:solidFill>
            <a:ln>
              <a:noFill/>
            </a:ln>
            <a:effectLst/>
          </c:spPr>
          <c:invertIfNegative val="0"/>
          <c:cat>
            <c:strRef>
              <c:f>Sheet1!$A$2:$A$29</c:f>
              <c:strCache>
                <c:ptCount val="28"/>
                <c:pt idx="0">
                  <c:v>SK</c:v>
                </c:pt>
                <c:pt idx="1">
                  <c:v>SI</c:v>
                </c:pt>
                <c:pt idx="2">
                  <c:v>SE</c:v>
                </c:pt>
                <c:pt idx="3">
                  <c:v>RO (w)</c:v>
                </c:pt>
                <c:pt idx="4">
                  <c:v>RO (m)</c:v>
                </c:pt>
                <c:pt idx="5">
                  <c:v>PT</c:v>
                </c:pt>
                <c:pt idx="6">
                  <c:v>NL</c:v>
                </c:pt>
                <c:pt idx="7">
                  <c:v>MT</c:v>
                </c:pt>
                <c:pt idx="8">
                  <c:v>LV</c:v>
                </c:pt>
                <c:pt idx="9">
                  <c:v>LU</c:v>
                </c:pt>
                <c:pt idx="10">
                  <c:v>LT (w)</c:v>
                </c:pt>
                <c:pt idx="11">
                  <c:v>LT (m)</c:v>
                </c:pt>
                <c:pt idx="12">
                  <c:v>IT</c:v>
                </c:pt>
                <c:pt idx="13">
                  <c:v>IE</c:v>
                </c:pt>
                <c:pt idx="14">
                  <c:v>FR</c:v>
                </c:pt>
                <c:pt idx="15">
                  <c:v>FI</c:v>
                </c:pt>
                <c:pt idx="16">
                  <c:v>EU</c:v>
                </c:pt>
                <c:pt idx="17">
                  <c:v>ES</c:v>
                </c:pt>
                <c:pt idx="18">
                  <c:v>EL</c:v>
                </c:pt>
                <c:pt idx="19">
                  <c:v>EE</c:v>
                </c:pt>
                <c:pt idx="20">
                  <c:v>DK</c:v>
                </c:pt>
                <c:pt idx="21">
                  <c:v>DE</c:v>
                </c:pt>
                <c:pt idx="22">
                  <c:v>CZ (w)</c:v>
                </c:pt>
                <c:pt idx="23">
                  <c:v>CZ (m)</c:v>
                </c:pt>
                <c:pt idx="24">
                  <c:v>CY</c:v>
                </c:pt>
                <c:pt idx="25">
                  <c:v>BG (w)</c:v>
                </c:pt>
                <c:pt idx="26">
                  <c:v>BG (m)</c:v>
                </c:pt>
                <c:pt idx="27">
                  <c:v>BE</c:v>
                </c:pt>
              </c:strCache>
            </c:strRef>
          </c:cat>
          <c:val>
            <c:numRef>
              <c:f>Sheet1!$B$2:$B$29</c:f>
              <c:numCache>
                <c:formatCode>General</c:formatCode>
                <c:ptCount val="28"/>
                <c:pt idx="0">
                  <c:v>59</c:v>
                </c:pt>
                <c:pt idx="2">
                  <c:v>61</c:v>
                </c:pt>
                <c:pt idx="3">
                  <c:v>59</c:v>
                </c:pt>
                <c:pt idx="4">
                  <c:v>60</c:v>
                </c:pt>
                <c:pt idx="5">
                  <c:v>55</c:v>
                </c:pt>
                <c:pt idx="6">
                  <c:v>60</c:v>
                </c:pt>
                <c:pt idx="7">
                  <c:v>61</c:v>
                </c:pt>
                <c:pt idx="8">
                  <c:v>60</c:v>
                </c:pt>
                <c:pt idx="9">
                  <c:v>59</c:v>
                </c:pt>
                <c:pt idx="10">
                  <c:v>56</c:v>
                </c:pt>
                <c:pt idx="11">
                  <c:v>58</c:v>
                </c:pt>
                <c:pt idx="12">
                  <c:v>63</c:v>
                </c:pt>
                <c:pt idx="13">
                  <c:v>54</c:v>
                </c:pt>
                <c:pt idx="14">
                  <c:v>54</c:v>
                </c:pt>
                <c:pt idx="15">
                  <c:v>60</c:v>
                </c:pt>
                <c:pt idx="16">
                  <c:v>58</c:v>
                </c:pt>
                <c:pt idx="17">
                  <c:v>60</c:v>
                </c:pt>
                <c:pt idx="18">
                  <c:v>62</c:v>
                </c:pt>
                <c:pt idx="19">
                  <c:v>55</c:v>
                </c:pt>
                <c:pt idx="20">
                  <c:v>60</c:v>
                </c:pt>
                <c:pt idx="21">
                  <c:v>63</c:v>
                </c:pt>
                <c:pt idx="22">
                  <c:v>55</c:v>
                </c:pt>
                <c:pt idx="23">
                  <c:v>60</c:v>
                </c:pt>
                <c:pt idx="24">
                  <c:v>45</c:v>
                </c:pt>
                <c:pt idx="27">
                  <c:v>61</c:v>
                </c:pt>
              </c:numCache>
            </c:numRef>
          </c:val>
          <c:extLst xmlns:c16r2="http://schemas.microsoft.com/office/drawing/2015/06/chart">
            <c:ext xmlns:c16="http://schemas.microsoft.com/office/drawing/2014/chart" uri="{C3380CC4-5D6E-409C-BE32-E72D297353CC}">
              <c16:uniqueId val="{00000000-DC62-4235-9687-1BA3CBBEABD4}"/>
            </c:ext>
          </c:extLst>
        </c:ser>
        <c:ser>
          <c:idx val="1"/>
          <c:order val="1"/>
          <c:tx>
            <c:strRef>
              <c:f>Sheet1!$C$1</c:f>
              <c:strCache>
                <c:ptCount val="1"/>
                <c:pt idx="0">
                  <c:v>2018</c:v>
                </c:pt>
              </c:strCache>
            </c:strRef>
          </c:tx>
          <c:spPr>
            <a:solidFill>
              <a:schemeClr val="accent5">
                <a:lumMod val="75000"/>
              </a:schemeClr>
            </a:solidFill>
            <a:ln>
              <a:noFill/>
            </a:ln>
            <a:effectLst/>
          </c:spPr>
          <c:invertIfNegative val="0"/>
          <c:cat>
            <c:strRef>
              <c:f>Sheet1!$A$2:$A$29</c:f>
              <c:strCache>
                <c:ptCount val="28"/>
                <c:pt idx="0">
                  <c:v>SK</c:v>
                </c:pt>
                <c:pt idx="1">
                  <c:v>SI</c:v>
                </c:pt>
                <c:pt idx="2">
                  <c:v>SE</c:v>
                </c:pt>
                <c:pt idx="3">
                  <c:v>RO (w)</c:v>
                </c:pt>
                <c:pt idx="4">
                  <c:v>RO (m)</c:v>
                </c:pt>
                <c:pt idx="5">
                  <c:v>PT</c:v>
                </c:pt>
                <c:pt idx="6">
                  <c:v>NL</c:v>
                </c:pt>
                <c:pt idx="7">
                  <c:v>MT</c:v>
                </c:pt>
                <c:pt idx="8">
                  <c:v>LV</c:v>
                </c:pt>
                <c:pt idx="9">
                  <c:v>LU</c:v>
                </c:pt>
                <c:pt idx="10">
                  <c:v>LT (w)</c:v>
                </c:pt>
                <c:pt idx="11">
                  <c:v>LT (m)</c:v>
                </c:pt>
                <c:pt idx="12">
                  <c:v>IT</c:v>
                </c:pt>
                <c:pt idx="13">
                  <c:v>IE</c:v>
                </c:pt>
                <c:pt idx="14">
                  <c:v>FR</c:v>
                </c:pt>
                <c:pt idx="15">
                  <c:v>FI</c:v>
                </c:pt>
                <c:pt idx="16">
                  <c:v>EU</c:v>
                </c:pt>
                <c:pt idx="17">
                  <c:v>ES</c:v>
                </c:pt>
                <c:pt idx="18">
                  <c:v>EL</c:v>
                </c:pt>
                <c:pt idx="19">
                  <c:v>EE</c:v>
                </c:pt>
                <c:pt idx="20">
                  <c:v>DK</c:v>
                </c:pt>
                <c:pt idx="21">
                  <c:v>DE</c:v>
                </c:pt>
                <c:pt idx="22">
                  <c:v>CZ (w)</c:v>
                </c:pt>
                <c:pt idx="23">
                  <c:v>CZ (m)</c:v>
                </c:pt>
                <c:pt idx="24">
                  <c:v>CY</c:v>
                </c:pt>
                <c:pt idx="25">
                  <c:v>BG (w)</c:v>
                </c:pt>
                <c:pt idx="26">
                  <c:v>BG (m)</c:v>
                </c:pt>
                <c:pt idx="27">
                  <c:v>BE</c:v>
                </c:pt>
              </c:strCache>
            </c:strRef>
          </c:cat>
          <c:val>
            <c:numRef>
              <c:f>Sheet1!$C$2:$C$29</c:f>
              <c:numCache>
                <c:formatCode>General</c:formatCode>
                <c:ptCount val="28"/>
                <c:pt idx="1">
                  <c:v>61</c:v>
                </c:pt>
                <c:pt idx="2">
                  <c:v>61</c:v>
                </c:pt>
                <c:pt idx="3">
                  <c:v>59</c:v>
                </c:pt>
                <c:pt idx="4">
                  <c:v>60</c:v>
                </c:pt>
                <c:pt idx="5">
                  <c:v>59</c:v>
                </c:pt>
                <c:pt idx="6">
                  <c:v>60</c:v>
                </c:pt>
                <c:pt idx="7">
                  <c:v>61</c:v>
                </c:pt>
                <c:pt idx="8">
                  <c:v>61</c:v>
                </c:pt>
                <c:pt idx="9">
                  <c:v>59</c:v>
                </c:pt>
                <c:pt idx="12">
                  <c:v>64</c:v>
                </c:pt>
                <c:pt idx="13">
                  <c:v>54</c:v>
                </c:pt>
                <c:pt idx="14">
                  <c:v>54</c:v>
                </c:pt>
                <c:pt idx="15">
                  <c:v>61</c:v>
                </c:pt>
                <c:pt idx="16">
                  <c:v>58</c:v>
                </c:pt>
                <c:pt idx="17">
                  <c:v>60</c:v>
                </c:pt>
                <c:pt idx="18">
                  <c:v>62</c:v>
                </c:pt>
                <c:pt idx="19">
                  <c:v>61</c:v>
                </c:pt>
                <c:pt idx="20">
                  <c:v>59</c:v>
                </c:pt>
                <c:pt idx="21">
                  <c:v>63</c:v>
                </c:pt>
                <c:pt idx="22">
                  <c:v>56</c:v>
                </c:pt>
                <c:pt idx="23">
                  <c:v>58</c:v>
                </c:pt>
                <c:pt idx="24">
                  <c:v>48</c:v>
                </c:pt>
                <c:pt idx="25">
                  <c:v>60</c:v>
                </c:pt>
                <c:pt idx="26">
                  <c:v>63</c:v>
                </c:pt>
                <c:pt idx="27">
                  <c:v>63</c:v>
                </c:pt>
              </c:numCache>
            </c:numRef>
          </c:val>
          <c:extLst xmlns:c16r2="http://schemas.microsoft.com/office/drawing/2015/06/chart">
            <c:ext xmlns:c16="http://schemas.microsoft.com/office/drawing/2014/chart" uri="{C3380CC4-5D6E-409C-BE32-E72D297353CC}">
              <c16:uniqueId val="{00000001-DC62-4235-9687-1BA3CBBEABD4}"/>
            </c:ext>
          </c:extLst>
        </c:ser>
        <c:dLbls>
          <c:showLegendKey val="0"/>
          <c:showVal val="0"/>
          <c:showCatName val="0"/>
          <c:showSerName val="0"/>
          <c:showPercent val="0"/>
          <c:showBubbleSize val="0"/>
        </c:dLbls>
        <c:gapWidth val="182"/>
        <c:axId val="100009856"/>
        <c:axId val="100011392"/>
      </c:barChart>
      <c:catAx>
        <c:axId val="1000098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011392"/>
        <c:crosses val="autoZero"/>
        <c:auto val="1"/>
        <c:lblAlgn val="ctr"/>
        <c:lblOffset val="100"/>
        <c:noMultiLvlLbl val="0"/>
      </c:catAx>
      <c:valAx>
        <c:axId val="100011392"/>
        <c:scaling>
          <c:orientation val="minMax"/>
          <c:min val="44"/>
        </c:scaling>
        <c:delete val="0"/>
        <c:axPos val="b"/>
        <c:majorGridlines>
          <c:spPr>
            <a:ln w="9525" cap="flat" cmpd="sng" algn="ctr">
              <a:solidFill>
                <a:schemeClr val="tx1">
                  <a:lumMod val="15000"/>
                  <a:lumOff val="85000"/>
                </a:schemeClr>
              </a:solidFill>
              <a:round/>
            </a:ln>
            <a:effectLst/>
          </c:spPr>
        </c:majorGridlines>
        <c:minorGridlines>
          <c:spPr>
            <a:ln w="9525" cap="flat" cmpd="sng" algn="ctr">
              <a:noFill/>
              <a:round/>
            </a:ln>
            <a:effectLst/>
          </c:spPr>
        </c:minorGridlines>
        <c:numFmt formatCode="General"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009856"/>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baseline="0"/>
              <a:t>Maximum p</a:t>
            </a:r>
            <a:r>
              <a:rPr lang="fr-BE"/>
              <a:t>ensionable</a:t>
            </a:r>
            <a:r>
              <a:rPr lang="fr-BE" baseline="0"/>
              <a:t> age applicable</a:t>
            </a:r>
            <a:endParaRPr lang="fr-BE"/>
          </a:p>
        </c:rich>
      </c:tx>
      <c:overlay val="0"/>
      <c:spPr>
        <a:noFill/>
        <a:ln>
          <a:noFill/>
        </a:ln>
        <a:effectLst/>
      </c:spPr>
    </c:title>
    <c:autoTitleDeleted val="0"/>
    <c:plotArea>
      <c:layout/>
      <c:barChart>
        <c:barDir val="bar"/>
        <c:grouping val="clustered"/>
        <c:varyColors val="0"/>
        <c:ser>
          <c:idx val="0"/>
          <c:order val="0"/>
          <c:tx>
            <c:strRef>
              <c:f>Sheet1!$B$1</c:f>
              <c:strCache>
                <c:ptCount val="1"/>
                <c:pt idx="0">
                  <c:v>2014</c:v>
                </c:pt>
              </c:strCache>
            </c:strRef>
          </c:tx>
          <c:spPr>
            <a:solidFill>
              <a:schemeClr val="accent5">
                <a:lumMod val="60000"/>
                <a:lumOff val="40000"/>
              </a:schemeClr>
            </a:solidFill>
            <a:ln>
              <a:noFill/>
            </a:ln>
            <a:effectLst/>
          </c:spPr>
          <c:invertIfNegative val="0"/>
          <c:cat>
            <c:strRef>
              <c:f>Sheet1!$A$2:$A$20</c:f>
              <c:strCache>
                <c:ptCount val="19"/>
                <c:pt idx="0">
                  <c:v>RO (w)</c:v>
                </c:pt>
                <c:pt idx="1">
                  <c:v>RO (m)</c:v>
                </c:pt>
                <c:pt idx="2">
                  <c:v>PT</c:v>
                </c:pt>
                <c:pt idx="3">
                  <c:v>MT</c:v>
                </c:pt>
                <c:pt idx="4">
                  <c:v>LU</c:v>
                </c:pt>
                <c:pt idx="5">
                  <c:v>LT </c:v>
                </c:pt>
                <c:pt idx="6">
                  <c:v>IT</c:v>
                </c:pt>
                <c:pt idx="7">
                  <c:v>IE</c:v>
                </c:pt>
                <c:pt idx="8">
                  <c:v>HU</c:v>
                </c:pt>
                <c:pt idx="9">
                  <c:v>HR</c:v>
                </c:pt>
                <c:pt idx="10">
                  <c:v>FR</c:v>
                </c:pt>
                <c:pt idx="11">
                  <c:v>FI</c:v>
                </c:pt>
                <c:pt idx="12">
                  <c:v>EU</c:v>
                </c:pt>
                <c:pt idx="13">
                  <c:v>ES</c:v>
                </c:pt>
                <c:pt idx="14">
                  <c:v>EL</c:v>
                </c:pt>
                <c:pt idx="15">
                  <c:v>DE</c:v>
                </c:pt>
                <c:pt idx="16">
                  <c:v>CY</c:v>
                </c:pt>
                <c:pt idx="17">
                  <c:v>BE</c:v>
                </c:pt>
                <c:pt idx="18">
                  <c:v>AT</c:v>
                </c:pt>
              </c:strCache>
            </c:strRef>
          </c:cat>
          <c:val>
            <c:numRef>
              <c:f>Sheet1!$B$2:$B$20</c:f>
              <c:numCache>
                <c:formatCode>General</c:formatCode>
                <c:ptCount val="19"/>
                <c:pt idx="0">
                  <c:v>60</c:v>
                </c:pt>
                <c:pt idx="1">
                  <c:v>65</c:v>
                </c:pt>
                <c:pt idx="2">
                  <c:v>70</c:v>
                </c:pt>
                <c:pt idx="3">
                  <c:v>65</c:v>
                </c:pt>
                <c:pt idx="4">
                  <c:v>65</c:v>
                </c:pt>
                <c:pt idx="5">
                  <c:v>65</c:v>
                </c:pt>
                <c:pt idx="6">
                  <c:v>66</c:v>
                </c:pt>
                <c:pt idx="7">
                  <c:v>70</c:v>
                </c:pt>
                <c:pt idx="8">
                  <c:v>62</c:v>
                </c:pt>
                <c:pt idx="10">
                  <c:v>67</c:v>
                </c:pt>
                <c:pt idx="11">
                  <c:v>68</c:v>
                </c:pt>
                <c:pt idx="12">
                  <c:v>70</c:v>
                </c:pt>
                <c:pt idx="13">
                  <c:v>70</c:v>
                </c:pt>
                <c:pt idx="14">
                  <c:v>67</c:v>
                </c:pt>
                <c:pt idx="15">
                  <c:v>65</c:v>
                </c:pt>
                <c:pt idx="16">
                  <c:v>63</c:v>
                </c:pt>
                <c:pt idx="17">
                  <c:v>65</c:v>
                </c:pt>
                <c:pt idx="18">
                  <c:v>65</c:v>
                </c:pt>
              </c:numCache>
            </c:numRef>
          </c:val>
          <c:extLst xmlns:c16r2="http://schemas.microsoft.com/office/drawing/2015/06/chart">
            <c:ext xmlns:c16="http://schemas.microsoft.com/office/drawing/2014/chart" uri="{C3380CC4-5D6E-409C-BE32-E72D297353CC}">
              <c16:uniqueId val="{00000000-E69D-4CC9-90F2-173C0AD0D7CD}"/>
            </c:ext>
          </c:extLst>
        </c:ser>
        <c:ser>
          <c:idx val="1"/>
          <c:order val="1"/>
          <c:tx>
            <c:strRef>
              <c:f>Sheet1!$C$1</c:f>
              <c:strCache>
                <c:ptCount val="1"/>
                <c:pt idx="0">
                  <c:v>2018</c:v>
                </c:pt>
              </c:strCache>
            </c:strRef>
          </c:tx>
          <c:spPr>
            <a:solidFill>
              <a:schemeClr val="accent5">
                <a:lumMod val="75000"/>
              </a:schemeClr>
            </a:solidFill>
            <a:ln>
              <a:noFill/>
            </a:ln>
            <a:effectLst/>
          </c:spPr>
          <c:invertIfNegative val="0"/>
          <c:cat>
            <c:strRef>
              <c:f>Sheet1!$A$2:$A$20</c:f>
              <c:strCache>
                <c:ptCount val="19"/>
                <c:pt idx="0">
                  <c:v>RO (w)</c:v>
                </c:pt>
                <c:pt idx="1">
                  <c:v>RO (m)</c:v>
                </c:pt>
                <c:pt idx="2">
                  <c:v>PT</c:v>
                </c:pt>
                <c:pt idx="3">
                  <c:v>MT</c:v>
                </c:pt>
                <c:pt idx="4">
                  <c:v>LU</c:v>
                </c:pt>
                <c:pt idx="5">
                  <c:v>LT </c:v>
                </c:pt>
                <c:pt idx="6">
                  <c:v>IT</c:v>
                </c:pt>
                <c:pt idx="7">
                  <c:v>IE</c:v>
                </c:pt>
                <c:pt idx="8">
                  <c:v>HU</c:v>
                </c:pt>
                <c:pt idx="9">
                  <c:v>HR</c:v>
                </c:pt>
                <c:pt idx="10">
                  <c:v>FR</c:v>
                </c:pt>
                <c:pt idx="11">
                  <c:v>FI</c:v>
                </c:pt>
                <c:pt idx="12">
                  <c:v>EU</c:v>
                </c:pt>
                <c:pt idx="13">
                  <c:v>ES</c:v>
                </c:pt>
                <c:pt idx="14">
                  <c:v>EL</c:v>
                </c:pt>
                <c:pt idx="15">
                  <c:v>DE</c:v>
                </c:pt>
                <c:pt idx="16">
                  <c:v>CY</c:v>
                </c:pt>
                <c:pt idx="17">
                  <c:v>BE</c:v>
                </c:pt>
                <c:pt idx="18">
                  <c:v>AT</c:v>
                </c:pt>
              </c:strCache>
            </c:strRef>
          </c:cat>
          <c:val>
            <c:numRef>
              <c:f>Sheet1!$C$2:$C$20</c:f>
              <c:numCache>
                <c:formatCode>General</c:formatCode>
                <c:ptCount val="19"/>
                <c:pt idx="0">
                  <c:v>61</c:v>
                </c:pt>
                <c:pt idx="1">
                  <c:v>65</c:v>
                </c:pt>
                <c:pt idx="2">
                  <c:v>70</c:v>
                </c:pt>
                <c:pt idx="3">
                  <c:v>65</c:v>
                </c:pt>
                <c:pt idx="4">
                  <c:v>65</c:v>
                </c:pt>
                <c:pt idx="5">
                  <c:v>65</c:v>
                </c:pt>
                <c:pt idx="6">
                  <c:v>67</c:v>
                </c:pt>
                <c:pt idx="7">
                  <c:v>70</c:v>
                </c:pt>
                <c:pt idx="8">
                  <c:v>63</c:v>
                </c:pt>
                <c:pt idx="9">
                  <c:v>65</c:v>
                </c:pt>
                <c:pt idx="10">
                  <c:v>67</c:v>
                </c:pt>
                <c:pt idx="12">
                  <c:v>70</c:v>
                </c:pt>
                <c:pt idx="13">
                  <c:v>70</c:v>
                </c:pt>
                <c:pt idx="14">
                  <c:v>67</c:v>
                </c:pt>
                <c:pt idx="15">
                  <c:v>65</c:v>
                </c:pt>
                <c:pt idx="16">
                  <c:v>65</c:v>
                </c:pt>
                <c:pt idx="17">
                  <c:v>65</c:v>
                </c:pt>
                <c:pt idx="18">
                  <c:v>65</c:v>
                </c:pt>
              </c:numCache>
            </c:numRef>
          </c:val>
          <c:extLst xmlns:c16r2="http://schemas.microsoft.com/office/drawing/2015/06/chart">
            <c:ext xmlns:c16="http://schemas.microsoft.com/office/drawing/2014/chart" uri="{C3380CC4-5D6E-409C-BE32-E72D297353CC}">
              <c16:uniqueId val="{00000001-E69D-4CC9-90F2-173C0AD0D7CD}"/>
            </c:ext>
          </c:extLst>
        </c:ser>
        <c:dLbls>
          <c:showLegendKey val="0"/>
          <c:showVal val="0"/>
          <c:showCatName val="0"/>
          <c:showSerName val="0"/>
          <c:showPercent val="0"/>
          <c:showBubbleSize val="0"/>
        </c:dLbls>
        <c:gapWidth val="182"/>
        <c:axId val="100082048"/>
        <c:axId val="100083584"/>
      </c:barChart>
      <c:catAx>
        <c:axId val="1000820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083584"/>
        <c:crosses val="autoZero"/>
        <c:auto val="1"/>
        <c:lblAlgn val="ctr"/>
        <c:lblOffset val="100"/>
        <c:noMultiLvlLbl val="0"/>
      </c:catAx>
      <c:valAx>
        <c:axId val="100083584"/>
        <c:scaling>
          <c:orientation val="minMax"/>
          <c:max val="71"/>
          <c:min val="58"/>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082048"/>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BE"/>
              <a:t>Evolution of the normal pensionable age in EU</a:t>
            </a:r>
            <a:r>
              <a:rPr lang="fr-BE" baseline="0"/>
              <a:t> Member States between 2014 - 2018*</a:t>
            </a:r>
            <a:endParaRPr lang="fr-BE"/>
          </a:p>
        </c:rich>
      </c:tx>
      <c:overlay val="0"/>
      <c:spPr>
        <a:noFill/>
        <a:ln>
          <a:noFill/>
        </a:ln>
        <a:effectLst/>
      </c:spPr>
    </c:title>
    <c:autoTitleDeleted val="0"/>
    <c:plotArea>
      <c:layout/>
      <c:barChart>
        <c:barDir val="col"/>
        <c:grouping val="clustered"/>
        <c:varyColors val="0"/>
        <c:ser>
          <c:idx val="0"/>
          <c:order val="0"/>
          <c:tx>
            <c:strRef>
              <c:f>Sheet1!$B$1</c:f>
              <c:strCache>
                <c:ptCount val="1"/>
                <c:pt idx="0">
                  <c:v>2014</c:v>
                </c:pt>
              </c:strCache>
            </c:strRef>
          </c:tx>
          <c:spPr>
            <a:solidFill>
              <a:schemeClr val="accent5">
                <a:lumMod val="60000"/>
                <a:lumOff val="40000"/>
              </a:schemeClr>
            </a:solidFill>
            <a:ln>
              <a:noFill/>
            </a:ln>
            <a:effectLst/>
          </c:spPr>
          <c:invertIfNegative val="0"/>
          <c:cat>
            <c:strRef>
              <c:f>Sheet1!$A$2:$A$9</c:f>
              <c:strCache>
                <c:ptCount val="8"/>
                <c:pt idx="0">
                  <c:v>60 or &lt;</c:v>
                </c:pt>
                <c:pt idx="1">
                  <c:v>61</c:v>
                </c:pt>
                <c:pt idx="2">
                  <c:v>62</c:v>
                </c:pt>
                <c:pt idx="3">
                  <c:v>63</c:v>
                </c:pt>
                <c:pt idx="4">
                  <c:v>64</c:v>
                </c:pt>
                <c:pt idx="5">
                  <c:v>65</c:v>
                </c:pt>
                <c:pt idx="6">
                  <c:v>66</c:v>
                </c:pt>
                <c:pt idx="7">
                  <c:v>67</c:v>
                </c:pt>
              </c:strCache>
            </c:strRef>
          </c:cat>
          <c:val>
            <c:numRef>
              <c:f>Sheet1!$B$2:$B$9</c:f>
              <c:numCache>
                <c:formatCode>General</c:formatCode>
                <c:ptCount val="8"/>
                <c:pt idx="0">
                  <c:v>2</c:v>
                </c:pt>
                <c:pt idx="1">
                  <c:v>2</c:v>
                </c:pt>
                <c:pt idx="2">
                  <c:v>5</c:v>
                </c:pt>
                <c:pt idx="3">
                  <c:v>6</c:v>
                </c:pt>
                <c:pt idx="4">
                  <c:v>1</c:v>
                </c:pt>
                <c:pt idx="5">
                  <c:v>7</c:v>
                </c:pt>
                <c:pt idx="6">
                  <c:v>3</c:v>
                </c:pt>
                <c:pt idx="7">
                  <c:v>1</c:v>
                </c:pt>
              </c:numCache>
            </c:numRef>
          </c:val>
          <c:extLst xmlns:c16r2="http://schemas.microsoft.com/office/drawing/2015/06/chart">
            <c:ext xmlns:c16="http://schemas.microsoft.com/office/drawing/2014/chart" uri="{C3380CC4-5D6E-409C-BE32-E72D297353CC}">
              <c16:uniqueId val="{00000000-6853-4D92-8D3F-4819E0DB4F7F}"/>
            </c:ext>
          </c:extLst>
        </c:ser>
        <c:ser>
          <c:idx val="1"/>
          <c:order val="1"/>
          <c:tx>
            <c:strRef>
              <c:f>Sheet1!$C$1</c:f>
              <c:strCache>
                <c:ptCount val="1"/>
                <c:pt idx="0">
                  <c:v>2018</c:v>
                </c:pt>
              </c:strCache>
            </c:strRef>
          </c:tx>
          <c:spPr>
            <a:solidFill>
              <a:schemeClr val="accent5">
                <a:lumMod val="75000"/>
              </a:schemeClr>
            </a:solidFill>
            <a:ln>
              <a:noFill/>
            </a:ln>
            <a:effectLst/>
          </c:spPr>
          <c:invertIfNegative val="0"/>
          <c:cat>
            <c:strRef>
              <c:f>Sheet1!$A$2:$A$9</c:f>
              <c:strCache>
                <c:ptCount val="8"/>
                <c:pt idx="0">
                  <c:v>60 or &lt;</c:v>
                </c:pt>
                <c:pt idx="1">
                  <c:v>61</c:v>
                </c:pt>
                <c:pt idx="2">
                  <c:v>62</c:v>
                </c:pt>
                <c:pt idx="3">
                  <c:v>63</c:v>
                </c:pt>
                <c:pt idx="4">
                  <c:v>64</c:v>
                </c:pt>
                <c:pt idx="5">
                  <c:v>65</c:v>
                </c:pt>
                <c:pt idx="6">
                  <c:v>66</c:v>
                </c:pt>
                <c:pt idx="7">
                  <c:v>67</c:v>
                </c:pt>
              </c:strCache>
            </c:strRef>
          </c:cat>
          <c:val>
            <c:numRef>
              <c:f>Sheet1!$C$2:$C$9</c:f>
              <c:numCache>
                <c:formatCode>General</c:formatCode>
                <c:ptCount val="8"/>
                <c:pt idx="0">
                  <c:v>2</c:v>
                </c:pt>
                <c:pt idx="1">
                  <c:v>1</c:v>
                </c:pt>
                <c:pt idx="2">
                  <c:v>3</c:v>
                </c:pt>
                <c:pt idx="3">
                  <c:v>5</c:v>
                </c:pt>
                <c:pt idx="4">
                  <c:v>3</c:v>
                </c:pt>
                <c:pt idx="5">
                  <c:v>7</c:v>
                </c:pt>
                <c:pt idx="6">
                  <c:v>3</c:v>
                </c:pt>
                <c:pt idx="7">
                  <c:v>3</c:v>
                </c:pt>
              </c:numCache>
            </c:numRef>
          </c:val>
          <c:extLst xmlns:c16r2="http://schemas.microsoft.com/office/drawing/2015/06/chart">
            <c:ext xmlns:c16="http://schemas.microsoft.com/office/drawing/2014/chart" uri="{C3380CC4-5D6E-409C-BE32-E72D297353CC}">
              <c16:uniqueId val="{00000001-6853-4D92-8D3F-4819E0DB4F7F}"/>
            </c:ext>
          </c:extLst>
        </c:ser>
        <c:dLbls>
          <c:showLegendKey val="0"/>
          <c:showVal val="0"/>
          <c:showCatName val="0"/>
          <c:showSerName val="0"/>
          <c:showPercent val="0"/>
          <c:showBubbleSize val="0"/>
        </c:dLbls>
        <c:gapWidth val="219"/>
        <c:overlap val="-27"/>
        <c:axId val="100130176"/>
        <c:axId val="100136448"/>
      </c:barChart>
      <c:catAx>
        <c:axId val="1001301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E"/>
                  <a:t>Normal pensionable age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136448"/>
        <c:crosses val="autoZero"/>
        <c:auto val="1"/>
        <c:lblAlgn val="ctr"/>
        <c:lblOffset val="100"/>
        <c:noMultiLvlLbl val="0"/>
      </c:catAx>
      <c:valAx>
        <c:axId val="1001364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IE"/>
                  <a:t>Number of EU Member States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130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Update of pensionable age of civil servants in light of life expectancy's evolution - situation in 2018</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No data available
RO</c:v>
                </c:pt>
                <c:pt idx="1">
                  <c:v>No update AT, BG, CZ, DE, EE, ES, HU, LU, LV, SE, </c:v>
                </c:pt>
                <c:pt idx="2">
                  <c:v>Planned updates
BE, FR, HR, IE, 
LT, MT, PL, SI</c:v>
                </c:pt>
                <c:pt idx="3">
                  <c:v>Regular update
CY, DK, EL, FI, 
IT, NL, PT, SK</c:v>
                </c:pt>
              </c:strCache>
            </c:strRef>
          </c:cat>
          <c:val>
            <c:numRef>
              <c:f>Sheet1!$B$2:$B$5</c:f>
              <c:numCache>
                <c:formatCode>General</c:formatCode>
                <c:ptCount val="4"/>
                <c:pt idx="0">
                  <c:v>1</c:v>
                </c:pt>
                <c:pt idx="1">
                  <c:v>10</c:v>
                </c:pt>
                <c:pt idx="2">
                  <c:v>8</c:v>
                </c:pt>
                <c:pt idx="3">
                  <c:v>8</c:v>
                </c:pt>
              </c:numCache>
            </c:numRef>
          </c:val>
          <c:extLst xmlns:c16r2="http://schemas.microsoft.com/office/drawing/2015/06/chart">
            <c:ext xmlns:c16="http://schemas.microsoft.com/office/drawing/2014/chart" uri="{C3380CC4-5D6E-409C-BE32-E72D297353CC}">
              <c16:uniqueId val="{00000000-298D-4CA2-AA7B-3578944445F7}"/>
            </c:ext>
          </c:extLst>
        </c:ser>
        <c:dLbls>
          <c:showLegendKey val="0"/>
          <c:showVal val="0"/>
          <c:showCatName val="0"/>
          <c:showSerName val="0"/>
          <c:showPercent val="0"/>
          <c:showBubbleSize val="0"/>
        </c:dLbls>
        <c:gapWidth val="219"/>
        <c:overlap val="-27"/>
        <c:axId val="83632512"/>
        <c:axId val="83634432"/>
      </c:barChart>
      <c:catAx>
        <c:axId val="836325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BE"/>
                  <a:t>Frequency of update </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634432"/>
        <c:crosses val="autoZero"/>
        <c:auto val="1"/>
        <c:lblAlgn val="ctr"/>
        <c:lblOffset val="100"/>
        <c:noMultiLvlLbl val="0"/>
      </c:catAx>
      <c:valAx>
        <c:axId val="83634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IE"/>
                  <a:t>Number</a:t>
                </a:r>
                <a:r>
                  <a:rPr lang="en-IE" baseline="0"/>
                  <a:t> of EU Member States</a:t>
                </a:r>
                <a:endParaRPr lang="en-IE"/>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632512"/>
        <c:crosses val="autoZero"/>
        <c:crossBetween val="between"/>
      </c:valAx>
      <c:spPr>
        <a:no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Reversed" id="25">
  <a:schemeClr val="accent5"/>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google.com/url?sa=i&amp;url=https://www.amazon.com/European-Union-EU-Flag-Polyester/dp/B000K62UEI&amp;psig=AOvVaw0bnLH6L1hx6mVPcKP0b9IN&amp;ust=1600348737485000&amp;source=images&amp;cd=vfe&amp;ved=0CAIQjRxqFwoTCIDkpeLh7esCFQAAAAAdAAAAABAN" TargetMode="External"/></Relationships>
</file>

<file path=word/drawings/_rels/drawing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google.com/url?sa=i&amp;url=https://www.amazon.com/European-Union-EU-Flag-Polyester/dp/B000K62UEI&amp;psig=AOvVaw0bnLH6L1hx6mVPcKP0b9IN&amp;ust=1600348737485000&amp;source=images&amp;cd=vfe&amp;ved=0CAIQjRxqFwoTCIDkpeLh7esCFQAAAAAdAAAAABAN" TargetMode="External"/></Relationships>
</file>

<file path=word/drawings/_rels/drawing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google.com/url?sa=i&amp;url=https://www.amazon.com/European-Union-EU-Flag-Polyester/dp/B000K62UEI&amp;psig=AOvVaw0bnLH6L1hx6mVPcKP0b9IN&amp;ust=1600348737485000&amp;source=images&amp;cd=vfe&amp;ved=0CAIQjRxqFwoTCIDkpeLh7esCFQAAAAAdAAAAABAN" TargetMode="External"/></Relationships>
</file>

<file path=word/drawings/drawing1.xml><?xml version="1.0" encoding="utf-8"?>
<c:userShapes xmlns:c="http://schemas.openxmlformats.org/drawingml/2006/chart">
  <cdr:relSizeAnchor xmlns:cdr="http://schemas.openxmlformats.org/drawingml/2006/chartDrawing">
    <cdr:from>
      <cdr:x>1.5001E-7</cdr:x>
      <cdr:y>0.39947</cdr:y>
    </cdr:from>
    <cdr:to>
      <cdr:x>0.03195</cdr:x>
      <cdr:y>0.4186</cdr:y>
    </cdr:to>
    <cdr:pic>
      <cdr:nvPicPr>
        <cdr:cNvPr id="3" name="Picture 2" descr="Amazon.com : European Union (EU) Flag - 3 foot by 5 foot Polyester (New) :  Garden &amp; Outdoor">
          <a:hlinkClick xmlns:a="http://schemas.openxmlformats.org/drawingml/2006/main" xmlns:r="http://schemas.openxmlformats.org/officeDocument/2006/relationships" r:id="rId1" tgtFrame="&quot;_blank&quot;"/>
        </cdr:cNvPr>
        <cdr:cNvPicPr/>
      </cdr:nvPicPr>
      <cdr:blipFill>
        <a:blip xmlns:a="http://schemas.openxmlformats.org/drawingml/2006/main" xmlns:r="http://schemas.openxmlformats.org/officeDocument/2006/relationships" r:embed="rId2"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1" y="2989691"/>
          <a:ext cx="212985" cy="143123"/>
        </a:xfrm>
        <a:prstGeom xmlns:a="http://schemas.openxmlformats.org/drawingml/2006/main" prst="rect">
          <a:avLst/>
        </a:prstGeom>
        <a:noFill xmlns:a="http://schemas.openxmlformats.org/drawingml/2006/main"/>
        <a:ln xmlns:a="http://schemas.openxmlformats.org/drawingml/2006/main">
          <a:noFill/>
        </a:ln>
      </cdr:spPr>
    </cdr:pic>
  </cdr:relSizeAnchor>
</c:userShapes>
</file>

<file path=word/drawings/drawing2.xml><?xml version="1.0" encoding="utf-8"?>
<c:userShapes xmlns:c="http://schemas.openxmlformats.org/drawingml/2006/chart">
  <cdr:relSizeAnchor xmlns:cdr="http://schemas.openxmlformats.org/drawingml/2006/chartDrawing">
    <cdr:from>
      <cdr:x>0</cdr:x>
      <cdr:y>0.34175</cdr:y>
    </cdr:from>
    <cdr:to>
      <cdr:x>0.02711</cdr:x>
      <cdr:y>0.36559</cdr:y>
    </cdr:to>
    <cdr:pic>
      <cdr:nvPicPr>
        <cdr:cNvPr id="2" name="Picture 1" descr="Amazon.com : European Union (EU) Flag - 3 foot by 5 foot Polyester (New) :  Garden &amp; Outdoor">
          <a:hlinkClick xmlns:a="http://schemas.openxmlformats.org/drawingml/2006/main" xmlns:r="http://schemas.openxmlformats.org/officeDocument/2006/relationships" r:id="rId1" tgtFrame="&quot;_blank&quot;"/>
        </cdr:cNvPr>
        <cdr:cNvPicPr/>
      </cdr:nvPicPr>
      <cdr:blipFill>
        <a:blip xmlns:a="http://schemas.openxmlformats.org/drawingml/2006/main" xmlns:r="http://schemas.openxmlformats.org/officeDocument/2006/relationships" r:embed="rId2"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0" y="2743201"/>
          <a:ext cx="180754" cy="191386"/>
        </a:xfrm>
        <a:prstGeom xmlns:a="http://schemas.openxmlformats.org/drawingml/2006/main" prst="rect">
          <a:avLst/>
        </a:prstGeom>
        <a:noFill xmlns:a="http://schemas.openxmlformats.org/drawingml/2006/main"/>
        <a:ln xmlns:a="http://schemas.openxmlformats.org/drawingml/2006/main">
          <a:noFill/>
        </a:ln>
      </cdr:spPr>
    </cdr:pic>
  </cdr:relSizeAnchor>
</c:userShapes>
</file>

<file path=word/drawings/drawing3.xml><?xml version="1.0" encoding="utf-8"?>
<c:userShapes xmlns:c="http://schemas.openxmlformats.org/drawingml/2006/chart">
  <cdr:relSizeAnchor xmlns:cdr="http://schemas.openxmlformats.org/drawingml/2006/chartDrawing">
    <cdr:from>
      <cdr:x>0.78116</cdr:x>
      <cdr:y>0.89188</cdr:y>
    </cdr:from>
    <cdr:to>
      <cdr:x>0.82352</cdr:x>
      <cdr:y>0.94029</cdr:y>
    </cdr:to>
    <cdr:pic>
      <cdr:nvPicPr>
        <cdr:cNvPr id="2" name="Picture 1" descr="Amazon.com : European Union (EU) Flag - 3 foot by 5 foot Polyester (New) :  Garden &amp; Outdoor">
          <a:hlinkClick xmlns:a="http://schemas.openxmlformats.org/drawingml/2006/main" xmlns:r="http://schemas.openxmlformats.org/officeDocument/2006/relationships" r:id="rId1" tgtFrame="&quot;_blank&quot;"/>
        </cdr:cNvPr>
        <cdr:cNvPicPr/>
      </cdr:nvPicPr>
      <cdr:blipFill>
        <a:blip xmlns:a="http://schemas.openxmlformats.org/drawingml/2006/main" xmlns:r="http://schemas.openxmlformats.org/officeDocument/2006/relationships" r:embed="rId2"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4501528" y="2854368"/>
          <a:ext cx="244105" cy="154932"/>
        </a:xfrm>
        <a:prstGeom xmlns:a="http://schemas.openxmlformats.org/drawingml/2006/main" prst="rect">
          <a:avLst/>
        </a:prstGeom>
        <a:noFill xmlns:a="http://schemas.openxmlformats.org/drawingml/2006/main"/>
        <a:ln xmlns:a="http://schemas.openxmlformats.org/drawingml/2006/main">
          <a:noFill/>
        </a:ln>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8A8233D-D0DC-4D4A-8BFD-1AE393F14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3098</Words>
  <Characters>15588</Characters>
  <Application>Microsoft Office Word</Application>
  <DocSecurity>0</DocSecurity>
  <Lines>708</Lines>
  <Paragraphs>583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2021-01-22T10:04:00Z</dcterms:created>
  <dcterms:modified xsi:type="dcterms:W3CDTF">2021-02-23T09:03:00Z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CP-006</vt:lpwstr>
  </property>
</Properties>
</file>