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C6E031AF-E9BA-4B99-82EF-C1EF26B25273" style="width:450.75pt;height:435.75pt">
            <v:imagedata r:id="rId12" o:title=""/>
          </v:shape>
        </w:pict>
      </w:r>
    </w:p>
    <w:bookmarkEnd w:id="0"/>
    <w:p>
      <w:pPr>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p>
      <w:pPr>
        <w:pStyle w:val="TOC1"/>
        <w:rPr>
          <w:noProof/>
        </w:rPr>
      </w:pPr>
      <w:bookmarkStart w:id="1" w:name="_GoBack"/>
      <w:bookmarkEnd w:id="1"/>
    </w:p>
    <w:sdt>
      <w:sdtPr>
        <w:rPr>
          <w:rFonts w:eastAsiaTheme="minorHAnsi"/>
          <w:b w:val="0"/>
          <w:caps/>
          <w:noProof/>
        </w:rPr>
        <w:id w:val="-505133737"/>
        <w:docPartObj>
          <w:docPartGallery w:val="Table of Contents"/>
          <w:docPartUnique/>
        </w:docPartObj>
      </w:sdtPr>
      <w:sdtEndPr>
        <w:rPr>
          <w:rFonts w:eastAsia="Times New Roman"/>
        </w:rPr>
      </w:sdtEndPr>
      <w:sdtContent>
        <w:p>
          <w:pPr>
            <w:pStyle w:val="TOCHeading"/>
            <w:spacing w:after="480"/>
            <w:rPr>
              <w:noProof/>
            </w:rPr>
          </w:pPr>
          <w:r>
            <w:rPr>
              <w:noProof/>
            </w:rPr>
            <w:t>Contents</w:t>
          </w:r>
        </w:p>
        <w:p>
          <w:pPr>
            <w:pStyle w:val="TOC1"/>
            <w:rPr>
              <w:rFonts w:asciiTheme="minorHAnsi" w:eastAsiaTheme="minorEastAsia" w:hAnsiTheme="minorHAnsi" w:cstheme="minorBidi"/>
              <w:caps w:val="0"/>
              <w:noProof/>
              <w:sz w:val="22"/>
              <w:szCs w:val="22"/>
              <w:lang w:val="en-IE" w:eastAsia="en-IE"/>
            </w:rPr>
          </w:pPr>
          <w:r>
            <w:rPr>
              <w:b/>
              <w:caps w:val="0"/>
              <w:noProof/>
            </w:rPr>
            <w:fldChar w:fldCharType="begin"/>
          </w:r>
          <w:r>
            <w:rPr>
              <w:b/>
              <w:noProof/>
            </w:rPr>
            <w:instrText xml:space="preserve"> TOC \o "1-2" \h \z \u </w:instrText>
          </w:r>
          <w:r>
            <w:rPr>
              <w:b/>
              <w:caps w:val="0"/>
              <w:noProof/>
            </w:rPr>
            <w:fldChar w:fldCharType="separate"/>
          </w:r>
          <w:hyperlink w:anchor="_Toc59642293" w:history="1">
            <w:r>
              <w:rPr>
                <w:rStyle w:val="Hyperlink"/>
                <w:noProof/>
              </w:rPr>
              <w:t>Glossary</w:t>
            </w:r>
            <w:r>
              <w:rPr>
                <w:noProof/>
                <w:webHidden/>
              </w:rPr>
              <w:tab/>
            </w:r>
            <w:r>
              <w:rPr>
                <w:noProof/>
                <w:webHidden/>
              </w:rPr>
              <w:fldChar w:fldCharType="begin"/>
            </w:r>
            <w:r>
              <w:rPr>
                <w:noProof/>
                <w:webHidden/>
              </w:rPr>
              <w:instrText xml:space="preserve"> PAGEREF _Toc59642293 \h </w:instrText>
            </w:r>
            <w:r>
              <w:rPr>
                <w:noProof/>
                <w:webHidden/>
              </w:rPr>
            </w:r>
            <w:r>
              <w:rPr>
                <w:noProof/>
                <w:webHidden/>
              </w:rPr>
              <w:fldChar w:fldCharType="separate"/>
            </w:r>
            <w:r>
              <w:rPr>
                <w:noProof/>
                <w:webHidden/>
              </w:rPr>
              <w:t>3</w:t>
            </w:r>
            <w:r>
              <w:rPr>
                <w:noProof/>
                <w:webHidden/>
              </w:rPr>
              <w:fldChar w:fldCharType="end"/>
            </w:r>
          </w:hyperlink>
        </w:p>
        <w:p>
          <w:pPr>
            <w:pStyle w:val="TOC1"/>
            <w:rPr>
              <w:rFonts w:asciiTheme="minorHAnsi" w:eastAsiaTheme="minorEastAsia" w:hAnsiTheme="minorHAnsi" w:cstheme="minorBidi"/>
              <w:caps w:val="0"/>
              <w:noProof/>
              <w:sz w:val="22"/>
              <w:szCs w:val="22"/>
              <w:lang w:val="en-IE" w:eastAsia="en-IE"/>
            </w:rPr>
          </w:pPr>
          <w:hyperlink w:anchor="_Toc59642294" w:history="1">
            <w:r>
              <w:rPr>
                <w:rStyle w:val="Hyperlink"/>
                <w:rFonts w:ascii="Times New Roman Bold" w:hAnsi="Times New Roman Bold"/>
                <w:noProof/>
              </w:rPr>
              <w:t>1.</w:t>
            </w:r>
            <w:r>
              <w:rPr>
                <w:rFonts w:asciiTheme="minorHAnsi" w:eastAsiaTheme="minorEastAsia" w:hAnsiTheme="minorHAnsi" w:cstheme="minorBidi"/>
                <w:caps w:val="0"/>
                <w:noProof/>
                <w:sz w:val="22"/>
                <w:szCs w:val="22"/>
                <w:lang w:val="en-IE" w:eastAsia="en-IE"/>
              </w:rPr>
              <w:tab/>
            </w:r>
            <w:r>
              <w:rPr>
                <w:rStyle w:val="Hyperlink"/>
                <w:rFonts w:ascii="Times New Roman Bold" w:hAnsi="Times New Roman Bold"/>
                <w:noProof/>
              </w:rPr>
              <w:t>Introduction: Political and legal context</w:t>
            </w:r>
            <w:r>
              <w:rPr>
                <w:noProof/>
                <w:webHidden/>
              </w:rPr>
              <w:tab/>
            </w:r>
            <w:r>
              <w:rPr>
                <w:noProof/>
                <w:webHidden/>
              </w:rPr>
              <w:fldChar w:fldCharType="begin"/>
            </w:r>
            <w:r>
              <w:rPr>
                <w:noProof/>
                <w:webHidden/>
              </w:rPr>
              <w:instrText xml:space="preserve"> PAGEREF _Toc59642294 \h </w:instrText>
            </w:r>
            <w:r>
              <w:rPr>
                <w:noProof/>
                <w:webHidden/>
              </w:rPr>
            </w:r>
            <w:r>
              <w:rPr>
                <w:noProof/>
                <w:webHidden/>
              </w:rPr>
              <w:fldChar w:fldCharType="separate"/>
            </w:r>
            <w:r>
              <w:rPr>
                <w:noProof/>
                <w:webHidden/>
              </w:rPr>
              <w:t>4</w:t>
            </w:r>
            <w:r>
              <w:rPr>
                <w:noProof/>
                <w:webHidden/>
              </w:rPr>
              <w:fldChar w:fldCharType="end"/>
            </w:r>
          </w:hyperlink>
        </w:p>
        <w:p>
          <w:pPr>
            <w:pStyle w:val="TOC1"/>
            <w:rPr>
              <w:rFonts w:asciiTheme="minorHAnsi" w:eastAsiaTheme="minorEastAsia" w:hAnsiTheme="minorHAnsi" w:cstheme="minorBidi"/>
              <w:caps w:val="0"/>
              <w:noProof/>
              <w:sz w:val="22"/>
              <w:szCs w:val="22"/>
              <w:lang w:val="en-IE" w:eastAsia="en-IE"/>
            </w:rPr>
          </w:pPr>
          <w:hyperlink w:anchor="_Toc59642295" w:history="1">
            <w:r>
              <w:rPr>
                <w:rStyle w:val="Hyperlink"/>
                <w:noProof/>
              </w:rPr>
              <w:t>2.</w:t>
            </w:r>
            <w:r>
              <w:rPr>
                <w:rFonts w:asciiTheme="minorHAnsi" w:eastAsiaTheme="minorEastAsia" w:hAnsiTheme="minorHAnsi" w:cstheme="minorBidi"/>
                <w:caps w:val="0"/>
                <w:noProof/>
                <w:sz w:val="22"/>
                <w:szCs w:val="22"/>
                <w:lang w:val="en-IE" w:eastAsia="en-IE"/>
              </w:rPr>
              <w:tab/>
            </w:r>
            <w:r>
              <w:rPr>
                <w:rStyle w:val="Hyperlink"/>
                <w:noProof/>
              </w:rPr>
              <w:t>Problem definition</w:t>
            </w:r>
            <w:r>
              <w:rPr>
                <w:noProof/>
                <w:webHidden/>
              </w:rPr>
              <w:tab/>
            </w:r>
            <w:r>
              <w:rPr>
                <w:noProof/>
                <w:webHidden/>
              </w:rPr>
              <w:fldChar w:fldCharType="begin"/>
            </w:r>
            <w:r>
              <w:rPr>
                <w:noProof/>
                <w:webHidden/>
              </w:rPr>
              <w:instrText xml:space="preserve"> PAGEREF _Toc59642295 \h </w:instrText>
            </w:r>
            <w:r>
              <w:rPr>
                <w:noProof/>
                <w:webHidden/>
              </w:rPr>
            </w:r>
            <w:r>
              <w:rPr>
                <w:noProof/>
                <w:webHidden/>
              </w:rPr>
              <w:fldChar w:fldCharType="separate"/>
            </w:r>
            <w:r>
              <w:rPr>
                <w:noProof/>
                <w:webHidden/>
              </w:rPr>
              <w:t>6</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IE" w:eastAsia="en-IE"/>
            </w:rPr>
          </w:pPr>
          <w:hyperlink w:anchor="_Toc59642296" w:history="1">
            <w:r>
              <w:rPr>
                <w:rStyle w:val="Hyperlink"/>
                <w:noProof/>
              </w:rPr>
              <w:t>2.1.</w:t>
            </w:r>
            <w:r>
              <w:rPr>
                <w:rFonts w:asciiTheme="minorHAnsi" w:eastAsiaTheme="minorEastAsia" w:hAnsiTheme="minorHAnsi" w:cstheme="minorBidi"/>
                <w:noProof/>
                <w:sz w:val="22"/>
                <w:szCs w:val="22"/>
                <w:lang w:val="en-IE" w:eastAsia="en-IE"/>
              </w:rPr>
              <w:tab/>
            </w:r>
            <w:r>
              <w:rPr>
                <w:rStyle w:val="Hyperlink"/>
                <w:noProof/>
              </w:rPr>
              <w:t>What is the problem?</w:t>
            </w:r>
            <w:r>
              <w:rPr>
                <w:noProof/>
                <w:webHidden/>
              </w:rPr>
              <w:tab/>
            </w:r>
            <w:r>
              <w:rPr>
                <w:noProof/>
                <w:webHidden/>
              </w:rPr>
              <w:fldChar w:fldCharType="begin"/>
            </w:r>
            <w:r>
              <w:rPr>
                <w:noProof/>
                <w:webHidden/>
              </w:rPr>
              <w:instrText xml:space="preserve"> PAGEREF _Toc59642296 \h </w:instrText>
            </w:r>
            <w:r>
              <w:rPr>
                <w:noProof/>
                <w:webHidden/>
              </w:rPr>
            </w:r>
            <w:r>
              <w:rPr>
                <w:noProof/>
                <w:webHidden/>
              </w:rPr>
              <w:fldChar w:fldCharType="separate"/>
            </w:r>
            <w:r>
              <w:rPr>
                <w:noProof/>
                <w:webHidden/>
              </w:rPr>
              <w:t>6</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IE" w:eastAsia="en-IE"/>
            </w:rPr>
          </w:pPr>
          <w:hyperlink w:anchor="_Toc59642297" w:history="1">
            <w:r>
              <w:rPr>
                <w:rStyle w:val="Hyperlink"/>
                <w:noProof/>
              </w:rPr>
              <w:t>2.2.</w:t>
            </w:r>
            <w:r>
              <w:rPr>
                <w:rFonts w:asciiTheme="minorHAnsi" w:eastAsiaTheme="minorEastAsia" w:hAnsiTheme="minorHAnsi" w:cstheme="minorBidi"/>
                <w:noProof/>
                <w:sz w:val="22"/>
                <w:szCs w:val="22"/>
                <w:lang w:val="en-IE" w:eastAsia="en-IE"/>
              </w:rPr>
              <w:tab/>
            </w:r>
            <w:r>
              <w:rPr>
                <w:rStyle w:val="Hyperlink"/>
                <w:noProof/>
              </w:rPr>
              <w:t>What are the problem drivers?</w:t>
            </w:r>
            <w:r>
              <w:rPr>
                <w:noProof/>
                <w:webHidden/>
              </w:rPr>
              <w:tab/>
            </w:r>
            <w:r>
              <w:rPr>
                <w:noProof/>
                <w:webHidden/>
              </w:rPr>
              <w:fldChar w:fldCharType="begin"/>
            </w:r>
            <w:r>
              <w:rPr>
                <w:noProof/>
                <w:webHidden/>
              </w:rPr>
              <w:instrText xml:space="preserve"> PAGEREF _Toc59642297 \h </w:instrText>
            </w:r>
            <w:r>
              <w:rPr>
                <w:noProof/>
                <w:webHidden/>
              </w:rPr>
            </w:r>
            <w:r>
              <w:rPr>
                <w:noProof/>
                <w:webHidden/>
              </w:rPr>
              <w:fldChar w:fldCharType="separate"/>
            </w:r>
            <w:r>
              <w:rPr>
                <w:noProof/>
                <w:webHidden/>
              </w:rPr>
              <w:t>14</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IE" w:eastAsia="en-IE"/>
            </w:rPr>
          </w:pPr>
          <w:hyperlink w:anchor="_Toc59642298" w:history="1">
            <w:r>
              <w:rPr>
                <w:rStyle w:val="Hyperlink"/>
                <w:noProof/>
              </w:rPr>
              <w:t>2.3.</w:t>
            </w:r>
            <w:r>
              <w:rPr>
                <w:rFonts w:asciiTheme="minorHAnsi" w:eastAsiaTheme="minorEastAsia" w:hAnsiTheme="minorHAnsi" w:cstheme="minorBidi"/>
                <w:noProof/>
                <w:sz w:val="22"/>
                <w:szCs w:val="22"/>
                <w:lang w:val="en-IE" w:eastAsia="en-IE"/>
              </w:rPr>
              <w:tab/>
            </w:r>
            <w:r>
              <w:rPr>
                <w:rStyle w:val="Hyperlink"/>
                <w:noProof/>
              </w:rPr>
              <w:t>Why is it a problem?</w:t>
            </w:r>
            <w:r>
              <w:rPr>
                <w:noProof/>
                <w:webHidden/>
              </w:rPr>
              <w:tab/>
            </w:r>
            <w:r>
              <w:rPr>
                <w:noProof/>
                <w:webHidden/>
              </w:rPr>
              <w:fldChar w:fldCharType="begin"/>
            </w:r>
            <w:r>
              <w:rPr>
                <w:noProof/>
                <w:webHidden/>
              </w:rPr>
              <w:instrText xml:space="preserve"> PAGEREF _Toc59642298 \h </w:instrText>
            </w:r>
            <w:r>
              <w:rPr>
                <w:noProof/>
                <w:webHidden/>
              </w:rPr>
            </w:r>
            <w:r>
              <w:rPr>
                <w:noProof/>
                <w:webHidden/>
              </w:rPr>
              <w:fldChar w:fldCharType="separate"/>
            </w:r>
            <w:r>
              <w:rPr>
                <w:noProof/>
                <w:webHidden/>
              </w:rPr>
              <w:t>17</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IE" w:eastAsia="en-IE"/>
            </w:rPr>
          </w:pPr>
          <w:hyperlink w:anchor="_Toc59642299" w:history="1">
            <w:r>
              <w:rPr>
                <w:rStyle w:val="Hyperlink"/>
                <w:noProof/>
              </w:rPr>
              <w:t>2.4.</w:t>
            </w:r>
            <w:r>
              <w:rPr>
                <w:rFonts w:asciiTheme="minorHAnsi" w:eastAsiaTheme="minorEastAsia" w:hAnsiTheme="minorHAnsi" w:cstheme="minorBidi"/>
                <w:noProof/>
                <w:sz w:val="22"/>
                <w:szCs w:val="22"/>
                <w:lang w:val="en-IE" w:eastAsia="en-IE"/>
              </w:rPr>
              <w:tab/>
            </w:r>
            <w:r>
              <w:rPr>
                <w:rStyle w:val="Hyperlink"/>
                <w:noProof/>
              </w:rPr>
              <w:t>How will the problem evolve?</w:t>
            </w:r>
            <w:r>
              <w:rPr>
                <w:noProof/>
                <w:webHidden/>
              </w:rPr>
              <w:tab/>
            </w:r>
            <w:r>
              <w:rPr>
                <w:noProof/>
                <w:webHidden/>
              </w:rPr>
              <w:fldChar w:fldCharType="begin"/>
            </w:r>
            <w:r>
              <w:rPr>
                <w:noProof/>
                <w:webHidden/>
              </w:rPr>
              <w:instrText xml:space="preserve"> PAGEREF _Toc59642299 \h </w:instrText>
            </w:r>
            <w:r>
              <w:rPr>
                <w:noProof/>
                <w:webHidden/>
              </w:rPr>
            </w:r>
            <w:r>
              <w:rPr>
                <w:noProof/>
                <w:webHidden/>
              </w:rPr>
              <w:fldChar w:fldCharType="separate"/>
            </w:r>
            <w:r>
              <w:rPr>
                <w:noProof/>
                <w:webHidden/>
              </w:rPr>
              <w:t>19</w:t>
            </w:r>
            <w:r>
              <w:rPr>
                <w:noProof/>
                <w:webHidden/>
              </w:rPr>
              <w:fldChar w:fldCharType="end"/>
            </w:r>
          </w:hyperlink>
        </w:p>
        <w:p>
          <w:pPr>
            <w:pStyle w:val="TOC1"/>
            <w:rPr>
              <w:rFonts w:asciiTheme="minorHAnsi" w:eastAsiaTheme="minorEastAsia" w:hAnsiTheme="minorHAnsi" w:cstheme="minorBidi"/>
              <w:caps w:val="0"/>
              <w:noProof/>
              <w:sz w:val="22"/>
              <w:szCs w:val="22"/>
              <w:lang w:val="en-IE" w:eastAsia="en-IE"/>
            </w:rPr>
          </w:pPr>
          <w:hyperlink w:anchor="_Toc59642300" w:history="1">
            <w:r>
              <w:rPr>
                <w:rStyle w:val="Hyperlink"/>
                <w:noProof/>
              </w:rPr>
              <w:t>3.</w:t>
            </w:r>
            <w:r>
              <w:rPr>
                <w:rFonts w:asciiTheme="minorHAnsi" w:eastAsiaTheme="minorEastAsia" w:hAnsiTheme="minorHAnsi" w:cstheme="minorBidi"/>
                <w:caps w:val="0"/>
                <w:noProof/>
                <w:sz w:val="22"/>
                <w:szCs w:val="22"/>
                <w:lang w:val="en-IE" w:eastAsia="en-IE"/>
              </w:rPr>
              <w:tab/>
            </w:r>
            <w:r>
              <w:rPr>
                <w:rStyle w:val="Hyperlink"/>
                <w:noProof/>
              </w:rPr>
              <w:t>Why should the EU act?</w:t>
            </w:r>
            <w:r>
              <w:rPr>
                <w:noProof/>
                <w:webHidden/>
              </w:rPr>
              <w:tab/>
            </w:r>
            <w:r>
              <w:rPr>
                <w:noProof/>
                <w:webHidden/>
              </w:rPr>
              <w:fldChar w:fldCharType="begin"/>
            </w:r>
            <w:r>
              <w:rPr>
                <w:noProof/>
                <w:webHidden/>
              </w:rPr>
              <w:instrText xml:space="preserve"> PAGEREF _Toc59642300 \h </w:instrText>
            </w:r>
            <w:r>
              <w:rPr>
                <w:noProof/>
                <w:webHidden/>
              </w:rPr>
            </w:r>
            <w:r>
              <w:rPr>
                <w:noProof/>
                <w:webHidden/>
              </w:rPr>
              <w:fldChar w:fldCharType="separate"/>
            </w:r>
            <w:r>
              <w:rPr>
                <w:noProof/>
                <w:webHidden/>
              </w:rPr>
              <w:t>21</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IE" w:eastAsia="en-IE"/>
            </w:rPr>
          </w:pPr>
          <w:hyperlink w:anchor="_Toc59642301" w:history="1">
            <w:r>
              <w:rPr>
                <w:rStyle w:val="Hyperlink"/>
                <w:noProof/>
              </w:rPr>
              <w:t>3.1.</w:t>
            </w:r>
            <w:r>
              <w:rPr>
                <w:rFonts w:asciiTheme="minorHAnsi" w:eastAsiaTheme="minorEastAsia" w:hAnsiTheme="minorHAnsi" w:cstheme="minorBidi"/>
                <w:noProof/>
                <w:sz w:val="22"/>
                <w:szCs w:val="22"/>
                <w:lang w:val="en-IE" w:eastAsia="en-IE"/>
              </w:rPr>
              <w:tab/>
            </w:r>
            <w:r>
              <w:rPr>
                <w:rStyle w:val="Hyperlink"/>
                <w:noProof/>
              </w:rPr>
              <w:t>Legal basis</w:t>
            </w:r>
            <w:r>
              <w:rPr>
                <w:noProof/>
                <w:webHidden/>
              </w:rPr>
              <w:tab/>
            </w:r>
            <w:r>
              <w:rPr>
                <w:noProof/>
                <w:webHidden/>
              </w:rPr>
              <w:fldChar w:fldCharType="begin"/>
            </w:r>
            <w:r>
              <w:rPr>
                <w:noProof/>
                <w:webHidden/>
              </w:rPr>
              <w:instrText xml:space="preserve"> PAGEREF _Toc59642301 \h </w:instrText>
            </w:r>
            <w:r>
              <w:rPr>
                <w:noProof/>
                <w:webHidden/>
              </w:rPr>
            </w:r>
            <w:r>
              <w:rPr>
                <w:noProof/>
                <w:webHidden/>
              </w:rPr>
              <w:fldChar w:fldCharType="separate"/>
            </w:r>
            <w:r>
              <w:rPr>
                <w:noProof/>
                <w:webHidden/>
              </w:rPr>
              <w:t>21</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IE" w:eastAsia="en-IE"/>
            </w:rPr>
          </w:pPr>
          <w:hyperlink w:anchor="_Toc59642302" w:history="1">
            <w:r>
              <w:rPr>
                <w:rStyle w:val="Hyperlink"/>
                <w:noProof/>
              </w:rPr>
              <w:t>3.2.</w:t>
            </w:r>
            <w:r>
              <w:rPr>
                <w:rFonts w:asciiTheme="minorHAnsi" w:eastAsiaTheme="minorEastAsia" w:hAnsiTheme="minorHAnsi" w:cstheme="minorBidi"/>
                <w:noProof/>
                <w:sz w:val="22"/>
                <w:szCs w:val="22"/>
                <w:lang w:val="en-IE" w:eastAsia="en-IE"/>
              </w:rPr>
              <w:tab/>
            </w:r>
            <w:r>
              <w:rPr>
                <w:rStyle w:val="Hyperlink"/>
                <w:noProof/>
              </w:rPr>
              <w:t>Subsidiarity: Necessity of EU action</w:t>
            </w:r>
            <w:r>
              <w:rPr>
                <w:noProof/>
                <w:webHidden/>
              </w:rPr>
              <w:tab/>
            </w:r>
            <w:r>
              <w:rPr>
                <w:noProof/>
                <w:webHidden/>
              </w:rPr>
              <w:fldChar w:fldCharType="begin"/>
            </w:r>
            <w:r>
              <w:rPr>
                <w:noProof/>
                <w:webHidden/>
              </w:rPr>
              <w:instrText xml:space="preserve"> PAGEREF _Toc59642302 \h </w:instrText>
            </w:r>
            <w:r>
              <w:rPr>
                <w:noProof/>
                <w:webHidden/>
              </w:rPr>
            </w:r>
            <w:r>
              <w:rPr>
                <w:noProof/>
                <w:webHidden/>
              </w:rPr>
              <w:fldChar w:fldCharType="separate"/>
            </w:r>
            <w:r>
              <w:rPr>
                <w:noProof/>
                <w:webHidden/>
              </w:rPr>
              <w:t>21</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IE" w:eastAsia="en-IE"/>
            </w:rPr>
          </w:pPr>
          <w:hyperlink w:anchor="_Toc59642303" w:history="1">
            <w:r>
              <w:rPr>
                <w:rStyle w:val="Hyperlink"/>
                <w:noProof/>
              </w:rPr>
              <w:t>3.3.</w:t>
            </w:r>
            <w:r>
              <w:rPr>
                <w:rFonts w:asciiTheme="minorHAnsi" w:eastAsiaTheme="minorEastAsia" w:hAnsiTheme="minorHAnsi" w:cstheme="minorBidi"/>
                <w:noProof/>
                <w:sz w:val="22"/>
                <w:szCs w:val="22"/>
                <w:lang w:val="en-IE" w:eastAsia="en-IE"/>
              </w:rPr>
              <w:tab/>
            </w:r>
            <w:r>
              <w:rPr>
                <w:rStyle w:val="Hyperlink"/>
                <w:noProof/>
              </w:rPr>
              <w:t>Subsidiarity: Added value of EU action</w:t>
            </w:r>
            <w:r>
              <w:rPr>
                <w:noProof/>
                <w:webHidden/>
              </w:rPr>
              <w:tab/>
            </w:r>
            <w:r>
              <w:rPr>
                <w:noProof/>
                <w:webHidden/>
              </w:rPr>
              <w:fldChar w:fldCharType="begin"/>
            </w:r>
            <w:r>
              <w:rPr>
                <w:noProof/>
                <w:webHidden/>
              </w:rPr>
              <w:instrText xml:space="preserve"> PAGEREF _Toc59642303 \h </w:instrText>
            </w:r>
            <w:r>
              <w:rPr>
                <w:noProof/>
                <w:webHidden/>
              </w:rPr>
            </w:r>
            <w:r>
              <w:rPr>
                <w:noProof/>
                <w:webHidden/>
              </w:rPr>
              <w:fldChar w:fldCharType="separate"/>
            </w:r>
            <w:r>
              <w:rPr>
                <w:noProof/>
                <w:webHidden/>
              </w:rPr>
              <w:t>23</w:t>
            </w:r>
            <w:r>
              <w:rPr>
                <w:noProof/>
                <w:webHidden/>
              </w:rPr>
              <w:fldChar w:fldCharType="end"/>
            </w:r>
          </w:hyperlink>
        </w:p>
        <w:p>
          <w:pPr>
            <w:pStyle w:val="TOC1"/>
            <w:rPr>
              <w:rFonts w:asciiTheme="minorHAnsi" w:eastAsiaTheme="minorEastAsia" w:hAnsiTheme="minorHAnsi" w:cstheme="minorBidi"/>
              <w:caps w:val="0"/>
              <w:noProof/>
              <w:sz w:val="22"/>
              <w:szCs w:val="22"/>
              <w:lang w:val="en-IE" w:eastAsia="en-IE"/>
            </w:rPr>
          </w:pPr>
          <w:hyperlink w:anchor="_Toc59642304" w:history="1">
            <w:r>
              <w:rPr>
                <w:rStyle w:val="Hyperlink"/>
                <w:noProof/>
              </w:rPr>
              <w:t>4.</w:t>
            </w:r>
            <w:r>
              <w:rPr>
                <w:rFonts w:asciiTheme="minorHAnsi" w:eastAsiaTheme="minorEastAsia" w:hAnsiTheme="minorHAnsi" w:cstheme="minorBidi"/>
                <w:caps w:val="0"/>
                <w:noProof/>
                <w:sz w:val="22"/>
                <w:szCs w:val="22"/>
                <w:lang w:val="en-IE" w:eastAsia="en-IE"/>
              </w:rPr>
              <w:tab/>
            </w:r>
            <w:r>
              <w:rPr>
                <w:rStyle w:val="Hyperlink"/>
                <w:noProof/>
              </w:rPr>
              <w:t>Objectives: What is to be achieved?</w:t>
            </w:r>
            <w:r>
              <w:rPr>
                <w:noProof/>
                <w:webHidden/>
              </w:rPr>
              <w:tab/>
            </w:r>
            <w:r>
              <w:rPr>
                <w:noProof/>
                <w:webHidden/>
              </w:rPr>
              <w:fldChar w:fldCharType="begin"/>
            </w:r>
            <w:r>
              <w:rPr>
                <w:noProof/>
                <w:webHidden/>
              </w:rPr>
              <w:instrText xml:space="preserve"> PAGEREF _Toc59642304 \h </w:instrText>
            </w:r>
            <w:r>
              <w:rPr>
                <w:noProof/>
                <w:webHidden/>
              </w:rPr>
            </w:r>
            <w:r>
              <w:rPr>
                <w:noProof/>
                <w:webHidden/>
              </w:rPr>
              <w:fldChar w:fldCharType="separate"/>
            </w:r>
            <w:r>
              <w:rPr>
                <w:noProof/>
                <w:webHidden/>
              </w:rPr>
              <w:t>24</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IE" w:eastAsia="en-IE"/>
            </w:rPr>
          </w:pPr>
          <w:hyperlink w:anchor="_Toc59642305" w:history="1">
            <w:r>
              <w:rPr>
                <w:rStyle w:val="Hyperlink"/>
                <w:noProof/>
              </w:rPr>
              <w:t>4.1.</w:t>
            </w:r>
            <w:r>
              <w:rPr>
                <w:rFonts w:asciiTheme="minorHAnsi" w:eastAsiaTheme="minorEastAsia" w:hAnsiTheme="minorHAnsi" w:cstheme="minorBidi"/>
                <w:noProof/>
                <w:sz w:val="22"/>
                <w:szCs w:val="22"/>
                <w:lang w:val="en-IE" w:eastAsia="en-IE"/>
              </w:rPr>
              <w:tab/>
            </w:r>
            <w:r>
              <w:rPr>
                <w:rStyle w:val="Hyperlink"/>
                <w:noProof/>
              </w:rPr>
              <w:t>General objectives</w:t>
            </w:r>
            <w:r>
              <w:rPr>
                <w:noProof/>
                <w:webHidden/>
              </w:rPr>
              <w:tab/>
            </w:r>
            <w:r>
              <w:rPr>
                <w:noProof/>
                <w:webHidden/>
              </w:rPr>
              <w:fldChar w:fldCharType="begin"/>
            </w:r>
            <w:r>
              <w:rPr>
                <w:noProof/>
                <w:webHidden/>
              </w:rPr>
              <w:instrText xml:space="preserve"> PAGEREF _Toc59642305 \h </w:instrText>
            </w:r>
            <w:r>
              <w:rPr>
                <w:noProof/>
                <w:webHidden/>
              </w:rPr>
            </w:r>
            <w:r>
              <w:rPr>
                <w:noProof/>
                <w:webHidden/>
              </w:rPr>
              <w:fldChar w:fldCharType="separate"/>
            </w:r>
            <w:r>
              <w:rPr>
                <w:noProof/>
                <w:webHidden/>
              </w:rPr>
              <w:t>24</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IE" w:eastAsia="en-IE"/>
            </w:rPr>
          </w:pPr>
          <w:hyperlink w:anchor="_Toc59642306" w:history="1">
            <w:r>
              <w:rPr>
                <w:rStyle w:val="Hyperlink"/>
                <w:noProof/>
              </w:rPr>
              <w:t>4.2.</w:t>
            </w:r>
            <w:r>
              <w:rPr>
                <w:rFonts w:asciiTheme="minorHAnsi" w:eastAsiaTheme="minorEastAsia" w:hAnsiTheme="minorHAnsi" w:cstheme="minorBidi"/>
                <w:noProof/>
                <w:sz w:val="22"/>
                <w:szCs w:val="22"/>
                <w:lang w:val="en-IE" w:eastAsia="en-IE"/>
              </w:rPr>
              <w:tab/>
            </w:r>
            <w:r>
              <w:rPr>
                <w:rStyle w:val="Hyperlink"/>
                <w:noProof/>
              </w:rPr>
              <w:t>Specific objectives</w:t>
            </w:r>
            <w:r>
              <w:rPr>
                <w:noProof/>
                <w:webHidden/>
              </w:rPr>
              <w:tab/>
            </w:r>
            <w:r>
              <w:rPr>
                <w:noProof/>
                <w:webHidden/>
              </w:rPr>
              <w:fldChar w:fldCharType="begin"/>
            </w:r>
            <w:r>
              <w:rPr>
                <w:noProof/>
                <w:webHidden/>
              </w:rPr>
              <w:instrText xml:space="preserve"> PAGEREF _Toc59642306 \h </w:instrText>
            </w:r>
            <w:r>
              <w:rPr>
                <w:noProof/>
                <w:webHidden/>
              </w:rPr>
            </w:r>
            <w:r>
              <w:rPr>
                <w:noProof/>
                <w:webHidden/>
              </w:rPr>
              <w:fldChar w:fldCharType="separate"/>
            </w:r>
            <w:r>
              <w:rPr>
                <w:noProof/>
                <w:webHidden/>
              </w:rPr>
              <w:t>24</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IE" w:eastAsia="en-IE"/>
            </w:rPr>
          </w:pPr>
          <w:hyperlink w:anchor="_Toc59642307" w:history="1">
            <w:r>
              <w:rPr>
                <w:rStyle w:val="Hyperlink"/>
                <w:noProof/>
              </w:rPr>
              <w:t>4.3.</w:t>
            </w:r>
            <w:r>
              <w:rPr>
                <w:rFonts w:asciiTheme="minorHAnsi" w:eastAsiaTheme="minorEastAsia" w:hAnsiTheme="minorHAnsi" w:cstheme="minorBidi"/>
                <w:noProof/>
                <w:sz w:val="22"/>
                <w:szCs w:val="22"/>
                <w:lang w:val="en-IE" w:eastAsia="en-IE"/>
              </w:rPr>
              <w:tab/>
            </w:r>
            <w:r>
              <w:rPr>
                <w:rStyle w:val="Hyperlink"/>
                <w:noProof/>
              </w:rPr>
              <w:t>What is the baseline from which options are assessed?</w:t>
            </w:r>
            <w:r>
              <w:rPr>
                <w:noProof/>
                <w:webHidden/>
              </w:rPr>
              <w:tab/>
            </w:r>
            <w:r>
              <w:rPr>
                <w:noProof/>
                <w:webHidden/>
              </w:rPr>
              <w:fldChar w:fldCharType="begin"/>
            </w:r>
            <w:r>
              <w:rPr>
                <w:noProof/>
                <w:webHidden/>
              </w:rPr>
              <w:instrText xml:space="preserve"> PAGEREF _Toc59642307 \h </w:instrText>
            </w:r>
            <w:r>
              <w:rPr>
                <w:noProof/>
                <w:webHidden/>
              </w:rPr>
            </w:r>
            <w:r>
              <w:rPr>
                <w:noProof/>
                <w:webHidden/>
              </w:rPr>
              <w:fldChar w:fldCharType="separate"/>
            </w:r>
            <w:r>
              <w:rPr>
                <w:noProof/>
                <w:webHidden/>
              </w:rPr>
              <w:t>24</w:t>
            </w:r>
            <w:r>
              <w:rPr>
                <w:noProof/>
                <w:webHidden/>
              </w:rPr>
              <w:fldChar w:fldCharType="end"/>
            </w:r>
          </w:hyperlink>
        </w:p>
        <w:p>
          <w:pPr>
            <w:pStyle w:val="TOC1"/>
            <w:rPr>
              <w:rFonts w:asciiTheme="minorHAnsi" w:eastAsiaTheme="minorEastAsia" w:hAnsiTheme="minorHAnsi" w:cstheme="minorBidi"/>
              <w:caps w:val="0"/>
              <w:noProof/>
              <w:sz w:val="22"/>
              <w:szCs w:val="22"/>
              <w:lang w:val="en-IE" w:eastAsia="en-IE"/>
            </w:rPr>
          </w:pPr>
          <w:hyperlink w:anchor="_Toc59642308" w:history="1">
            <w:r>
              <w:rPr>
                <w:rStyle w:val="Hyperlink"/>
                <w:noProof/>
              </w:rPr>
              <w:t>5.</w:t>
            </w:r>
            <w:r>
              <w:rPr>
                <w:rFonts w:asciiTheme="minorHAnsi" w:eastAsiaTheme="minorEastAsia" w:hAnsiTheme="minorHAnsi" w:cstheme="minorBidi"/>
                <w:caps w:val="0"/>
                <w:noProof/>
                <w:sz w:val="22"/>
                <w:szCs w:val="22"/>
                <w:lang w:val="en-IE" w:eastAsia="en-IE"/>
              </w:rPr>
              <w:tab/>
            </w:r>
            <w:r>
              <w:rPr>
                <w:rStyle w:val="Hyperlink"/>
                <w:noProof/>
              </w:rPr>
              <w:t>SME test</w:t>
            </w:r>
            <w:r>
              <w:rPr>
                <w:noProof/>
                <w:webHidden/>
              </w:rPr>
              <w:tab/>
            </w:r>
            <w:r>
              <w:rPr>
                <w:noProof/>
                <w:webHidden/>
              </w:rPr>
              <w:fldChar w:fldCharType="begin"/>
            </w:r>
            <w:r>
              <w:rPr>
                <w:noProof/>
                <w:webHidden/>
              </w:rPr>
              <w:instrText xml:space="preserve"> PAGEREF _Toc59642308 \h </w:instrText>
            </w:r>
            <w:r>
              <w:rPr>
                <w:noProof/>
                <w:webHidden/>
              </w:rPr>
            </w:r>
            <w:r>
              <w:rPr>
                <w:noProof/>
                <w:webHidden/>
              </w:rPr>
              <w:fldChar w:fldCharType="separate"/>
            </w:r>
            <w:r>
              <w:rPr>
                <w:noProof/>
                <w:webHidden/>
              </w:rPr>
              <w:t>26</w:t>
            </w:r>
            <w:r>
              <w:rPr>
                <w:noProof/>
                <w:webHidden/>
              </w:rPr>
              <w:fldChar w:fldCharType="end"/>
            </w:r>
          </w:hyperlink>
        </w:p>
        <w:p>
          <w:pPr>
            <w:pStyle w:val="TOC1"/>
            <w:rPr>
              <w:rFonts w:asciiTheme="minorHAnsi" w:eastAsiaTheme="minorEastAsia" w:hAnsiTheme="minorHAnsi" w:cstheme="minorBidi"/>
              <w:caps w:val="0"/>
              <w:noProof/>
              <w:sz w:val="22"/>
              <w:szCs w:val="22"/>
              <w:lang w:val="en-IE" w:eastAsia="en-IE"/>
            </w:rPr>
          </w:pPr>
          <w:hyperlink w:anchor="_Toc59642309" w:history="1">
            <w:r>
              <w:rPr>
                <w:rStyle w:val="Hyperlink"/>
                <w:noProof/>
              </w:rPr>
              <w:t>6.</w:t>
            </w:r>
            <w:r>
              <w:rPr>
                <w:rFonts w:asciiTheme="minorHAnsi" w:eastAsiaTheme="minorEastAsia" w:hAnsiTheme="minorHAnsi" w:cstheme="minorBidi"/>
                <w:caps w:val="0"/>
                <w:noProof/>
                <w:sz w:val="22"/>
                <w:szCs w:val="22"/>
                <w:lang w:val="en-IE" w:eastAsia="en-IE"/>
              </w:rPr>
              <w:tab/>
            </w:r>
            <w:r>
              <w:rPr>
                <w:rStyle w:val="Hyperlink"/>
                <w:noProof/>
              </w:rPr>
              <w:t>Description of the policy options for EU level action</w:t>
            </w:r>
            <w:r>
              <w:rPr>
                <w:noProof/>
                <w:webHidden/>
              </w:rPr>
              <w:tab/>
            </w:r>
            <w:r>
              <w:rPr>
                <w:noProof/>
                <w:webHidden/>
              </w:rPr>
              <w:fldChar w:fldCharType="begin"/>
            </w:r>
            <w:r>
              <w:rPr>
                <w:noProof/>
                <w:webHidden/>
              </w:rPr>
              <w:instrText xml:space="preserve"> PAGEREF _Toc59642309 \h </w:instrText>
            </w:r>
            <w:r>
              <w:rPr>
                <w:noProof/>
                <w:webHidden/>
              </w:rPr>
            </w:r>
            <w:r>
              <w:rPr>
                <w:noProof/>
                <w:webHidden/>
              </w:rPr>
              <w:fldChar w:fldCharType="separate"/>
            </w:r>
            <w:r>
              <w:rPr>
                <w:noProof/>
                <w:webHidden/>
              </w:rPr>
              <w:t>28</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IE" w:eastAsia="en-IE"/>
            </w:rPr>
          </w:pPr>
          <w:hyperlink w:anchor="_Toc59642310" w:history="1">
            <w:r>
              <w:rPr>
                <w:rStyle w:val="Hyperlink"/>
                <w:noProof/>
              </w:rPr>
              <w:t>6.1.</w:t>
            </w:r>
            <w:r>
              <w:rPr>
                <w:rFonts w:asciiTheme="minorHAnsi" w:eastAsiaTheme="minorEastAsia" w:hAnsiTheme="minorHAnsi" w:cstheme="minorBidi"/>
                <w:noProof/>
                <w:sz w:val="22"/>
                <w:szCs w:val="22"/>
                <w:lang w:val="en-IE" w:eastAsia="en-IE"/>
              </w:rPr>
              <w:tab/>
            </w:r>
            <w:r>
              <w:rPr>
                <w:rStyle w:val="Hyperlink"/>
                <w:noProof/>
              </w:rPr>
              <w:t>Options discarded at an early stage</w:t>
            </w:r>
            <w:r>
              <w:rPr>
                <w:noProof/>
                <w:webHidden/>
              </w:rPr>
              <w:tab/>
            </w:r>
            <w:r>
              <w:rPr>
                <w:noProof/>
                <w:webHidden/>
              </w:rPr>
              <w:fldChar w:fldCharType="begin"/>
            </w:r>
            <w:r>
              <w:rPr>
                <w:noProof/>
                <w:webHidden/>
              </w:rPr>
              <w:instrText xml:space="preserve"> PAGEREF _Toc59642310 \h </w:instrText>
            </w:r>
            <w:r>
              <w:rPr>
                <w:noProof/>
                <w:webHidden/>
              </w:rPr>
            </w:r>
            <w:r>
              <w:rPr>
                <w:noProof/>
                <w:webHidden/>
              </w:rPr>
              <w:fldChar w:fldCharType="separate"/>
            </w:r>
            <w:r>
              <w:rPr>
                <w:noProof/>
                <w:webHidden/>
              </w:rPr>
              <w:t>28</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IE" w:eastAsia="en-IE"/>
            </w:rPr>
          </w:pPr>
          <w:hyperlink w:anchor="_Toc59642313" w:history="1">
            <w:r>
              <w:rPr>
                <w:rStyle w:val="Hyperlink"/>
                <w:noProof/>
              </w:rPr>
              <w:t>6.2.</w:t>
            </w:r>
            <w:r>
              <w:rPr>
                <w:rFonts w:asciiTheme="minorHAnsi" w:eastAsiaTheme="minorEastAsia" w:hAnsiTheme="minorHAnsi" w:cstheme="minorBidi"/>
                <w:noProof/>
                <w:sz w:val="22"/>
                <w:szCs w:val="22"/>
                <w:lang w:val="en-IE" w:eastAsia="en-IE"/>
              </w:rPr>
              <w:tab/>
            </w:r>
            <w:r>
              <w:rPr>
                <w:rStyle w:val="Hyperlink"/>
                <w:noProof/>
              </w:rPr>
              <w:t>Option 0: Status Quo</w:t>
            </w:r>
            <w:r>
              <w:rPr>
                <w:noProof/>
                <w:webHidden/>
              </w:rPr>
              <w:tab/>
            </w:r>
            <w:r>
              <w:rPr>
                <w:noProof/>
                <w:webHidden/>
              </w:rPr>
              <w:fldChar w:fldCharType="begin"/>
            </w:r>
            <w:r>
              <w:rPr>
                <w:noProof/>
                <w:webHidden/>
              </w:rPr>
              <w:instrText xml:space="preserve"> PAGEREF _Toc59642313 \h </w:instrText>
            </w:r>
            <w:r>
              <w:rPr>
                <w:noProof/>
                <w:webHidden/>
              </w:rPr>
            </w:r>
            <w:r>
              <w:rPr>
                <w:noProof/>
                <w:webHidden/>
              </w:rPr>
              <w:fldChar w:fldCharType="separate"/>
            </w:r>
            <w:r>
              <w:rPr>
                <w:noProof/>
                <w:webHidden/>
              </w:rPr>
              <w:t>29</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IE" w:eastAsia="en-IE"/>
            </w:rPr>
          </w:pPr>
          <w:hyperlink w:anchor="_Toc59642314" w:history="1">
            <w:r>
              <w:rPr>
                <w:rStyle w:val="Hyperlink"/>
                <w:noProof/>
              </w:rPr>
              <w:t>6.3.</w:t>
            </w:r>
            <w:r>
              <w:rPr>
                <w:rFonts w:asciiTheme="minorHAnsi" w:eastAsiaTheme="minorEastAsia" w:hAnsiTheme="minorHAnsi" w:cstheme="minorBidi"/>
                <w:noProof/>
                <w:sz w:val="22"/>
                <w:szCs w:val="22"/>
                <w:lang w:val="en-IE" w:eastAsia="en-IE"/>
              </w:rPr>
              <w:tab/>
            </w:r>
            <w:r>
              <w:rPr>
                <w:rStyle w:val="Hyperlink"/>
                <w:noProof/>
              </w:rPr>
              <w:t>Option 1: Legislative action to create transparency for individual workers</w:t>
            </w:r>
            <w:r>
              <w:rPr>
                <w:noProof/>
                <w:webHidden/>
              </w:rPr>
              <w:tab/>
            </w:r>
            <w:r>
              <w:rPr>
                <w:noProof/>
                <w:webHidden/>
              </w:rPr>
              <w:fldChar w:fldCharType="begin"/>
            </w:r>
            <w:r>
              <w:rPr>
                <w:noProof/>
                <w:webHidden/>
              </w:rPr>
              <w:instrText xml:space="preserve"> PAGEREF _Toc59642314 \h </w:instrText>
            </w:r>
            <w:r>
              <w:rPr>
                <w:noProof/>
                <w:webHidden/>
              </w:rPr>
            </w:r>
            <w:r>
              <w:rPr>
                <w:noProof/>
                <w:webHidden/>
              </w:rPr>
              <w:fldChar w:fldCharType="separate"/>
            </w:r>
            <w:r>
              <w:rPr>
                <w:noProof/>
                <w:webHidden/>
              </w:rPr>
              <w:t>29</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IE" w:eastAsia="en-IE"/>
            </w:rPr>
          </w:pPr>
          <w:hyperlink w:anchor="_Toc59642315" w:history="1">
            <w:r>
              <w:rPr>
                <w:rStyle w:val="Hyperlink"/>
                <w:noProof/>
              </w:rPr>
              <w:t>6.4.</w:t>
            </w:r>
            <w:r>
              <w:rPr>
                <w:rFonts w:asciiTheme="minorHAnsi" w:eastAsiaTheme="minorEastAsia" w:hAnsiTheme="minorHAnsi" w:cstheme="minorBidi"/>
                <w:noProof/>
                <w:sz w:val="22"/>
                <w:szCs w:val="22"/>
                <w:lang w:val="en-IE" w:eastAsia="en-IE"/>
              </w:rPr>
              <w:tab/>
            </w:r>
            <w:r>
              <w:rPr>
                <w:rStyle w:val="Hyperlink"/>
                <w:noProof/>
              </w:rPr>
              <w:t>Option 2: Legislative action to create transparency at employer level</w:t>
            </w:r>
            <w:r>
              <w:rPr>
                <w:noProof/>
                <w:webHidden/>
              </w:rPr>
              <w:tab/>
            </w:r>
            <w:r>
              <w:rPr>
                <w:noProof/>
                <w:webHidden/>
              </w:rPr>
              <w:fldChar w:fldCharType="begin"/>
            </w:r>
            <w:r>
              <w:rPr>
                <w:noProof/>
                <w:webHidden/>
              </w:rPr>
              <w:instrText xml:space="preserve"> PAGEREF _Toc59642315 \h </w:instrText>
            </w:r>
            <w:r>
              <w:rPr>
                <w:noProof/>
                <w:webHidden/>
              </w:rPr>
            </w:r>
            <w:r>
              <w:rPr>
                <w:noProof/>
                <w:webHidden/>
              </w:rPr>
              <w:fldChar w:fldCharType="separate"/>
            </w:r>
            <w:r>
              <w:rPr>
                <w:noProof/>
                <w:webHidden/>
              </w:rPr>
              <w:t>31</w:t>
            </w:r>
            <w:r>
              <w:rPr>
                <w:noProof/>
                <w:webHidden/>
              </w:rPr>
              <w:fldChar w:fldCharType="end"/>
            </w:r>
          </w:hyperlink>
        </w:p>
        <w:p>
          <w:pPr>
            <w:pStyle w:val="TOC2"/>
            <w:rPr>
              <w:rFonts w:asciiTheme="minorHAnsi" w:eastAsiaTheme="minorEastAsia" w:hAnsiTheme="minorHAnsi" w:cstheme="minorBidi"/>
              <w:noProof/>
              <w:sz w:val="22"/>
              <w:szCs w:val="22"/>
              <w:lang w:val="en-IE" w:eastAsia="en-IE"/>
            </w:rPr>
          </w:pPr>
          <w:hyperlink w:anchor="_Toc59642316" w:history="1">
            <w:r>
              <w:rPr>
                <w:rStyle w:val="Hyperlink"/>
                <w:noProof/>
              </w:rPr>
              <w:t>6.5.   Option 3: Legislative action to facilitate the application of and enforce the existing legal framework</w:t>
            </w:r>
            <w:r>
              <w:rPr>
                <w:noProof/>
                <w:webHidden/>
              </w:rPr>
              <w:tab/>
            </w:r>
            <w:r>
              <w:rPr>
                <w:noProof/>
                <w:webHidden/>
              </w:rPr>
              <w:fldChar w:fldCharType="begin"/>
            </w:r>
            <w:r>
              <w:rPr>
                <w:noProof/>
                <w:webHidden/>
              </w:rPr>
              <w:instrText xml:space="preserve"> PAGEREF _Toc59642316 \h </w:instrText>
            </w:r>
            <w:r>
              <w:rPr>
                <w:noProof/>
                <w:webHidden/>
              </w:rPr>
            </w:r>
            <w:r>
              <w:rPr>
                <w:noProof/>
                <w:webHidden/>
              </w:rPr>
              <w:fldChar w:fldCharType="separate"/>
            </w:r>
            <w:r>
              <w:rPr>
                <w:noProof/>
                <w:webHidden/>
              </w:rPr>
              <w:t>34</w:t>
            </w:r>
            <w:r>
              <w:rPr>
                <w:noProof/>
                <w:webHidden/>
              </w:rPr>
              <w:fldChar w:fldCharType="end"/>
            </w:r>
          </w:hyperlink>
        </w:p>
        <w:p>
          <w:pPr>
            <w:pStyle w:val="TOC2"/>
            <w:rPr>
              <w:rFonts w:asciiTheme="minorHAnsi" w:eastAsiaTheme="minorEastAsia" w:hAnsiTheme="minorHAnsi" w:cstheme="minorBidi"/>
              <w:noProof/>
              <w:sz w:val="22"/>
              <w:szCs w:val="22"/>
              <w:lang w:val="en-IE" w:eastAsia="en-IE"/>
            </w:rPr>
          </w:pPr>
          <w:hyperlink w:anchor="_Toc59642317" w:history="1">
            <w:r>
              <w:rPr>
                <w:rStyle w:val="Hyperlink"/>
                <w:noProof/>
              </w:rPr>
              <w:t>6.6. Overview of the policy options</w:t>
            </w:r>
            <w:r>
              <w:rPr>
                <w:noProof/>
                <w:webHidden/>
              </w:rPr>
              <w:tab/>
            </w:r>
            <w:r>
              <w:rPr>
                <w:noProof/>
                <w:webHidden/>
              </w:rPr>
              <w:fldChar w:fldCharType="begin"/>
            </w:r>
            <w:r>
              <w:rPr>
                <w:noProof/>
                <w:webHidden/>
              </w:rPr>
              <w:instrText xml:space="preserve"> PAGEREF _Toc59642317 \h </w:instrText>
            </w:r>
            <w:r>
              <w:rPr>
                <w:noProof/>
                <w:webHidden/>
              </w:rPr>
            </w:r>
            <w:r>
              <w:rPr>
                <w:noProof/>
                <w:webHidden/>
              </w:rPr>
              <w:fldChar w:fldCharType="separate"/>
            </w:r>
            <w:r>
              <w:rPr>
                <w:noProof/>
                <w:webHidden/>
              </w:rPr>
              <w:t>38</w:t>
            </w:r>
            <w:r>
              <w:rPr>
                <w:noProof/>
                <w:webHidden/>
              </w:rPr>
              <w:fldChar w:fldCharType="end"/>
            </w:r>
          </w:hyperlink>
        </w:p>
        <w:p>
          <w:pPr>
            <w:pStyle w:val="TOC1"/>
            <w:rPr>
              <w:rFonts w:asciiTheme="minorHAnsi" w:eastAsiaTheme="minorEastAsia" w:hAnsiTheme="minorHAnsi" w:cstheme="minorBidi"/>
              <w:caps w:val="0"/>
              <w:noProof/>
              <w:sz w:val="22"/>
              <w:szCs w:val="22"/>
              <w:lang w:val="en-IE" w:eastAsia="en-IE"/>
            </w:rPr>
          </w:pPr>
          <w:hyperlink w:anchor="_Toc59642318" w:history="1">
            <w:r>
              <w:rPr>
                <w:rStyle w:val="Hyperlink"/>
                <w:noProof/>
              </w:rPr>
              <w:t>7.</w:t>
            </w:r>
            <w:r>
              <w:rPr>
                <w:rFonts w:asciiTheme="minorHAnsi" w:eastAsiaTheme="minorEastAsia" w:hAnsiTheme="minorHAnsi" w:cstheme="minorBidi"/>
                <w:caps w:val="0"/>
                <w:noProof/>
                <w:sz w:val="22"/>
                <w:szCs w:val="22"/>
                <w:lang w:val="en-IE" w:eastAsia="en-IE"/>
              </w:rPr>
              <w:tab/>
            </w:r>
            <w:r>
              <w:rPr>
                <w:rStyle w:val="Hyperlink"/>
                <w:noProof/>
              </w:rPr>
              <w:t>What are the impacts of the policy options?</w:t>
            </w:r>
            <w:r>
              <w:rPr>
                <w:noProof/>
                <w:webHidden/>
              </w:rPr>
              <w:tab/>
            </w:r>
            <w:r>
              <w:rPr>
                <w:noProof/>
                <w:webHidden/>
              </w:rPr>
              <w:fldChar w:fldCharType="begin"/>
            </w:r>
            <w:r>
              <w:rPr>
                <w:noProof/>
                <w:webHidden/>
              </w:rPr>
              <w:instrText xml:space="preserve"> PAGEREF _Toc59642318 \h </w:instrText>
            </w:r>
            <w:r>
              <w:rPr>
                <w:noProof/>
                <w:webHidden/>
              </w:rPr>
            </w:r>
            <w:r>
              <w:rPr>
                <w:noProof/>
                <w:webHidden/>
              </w:rPr>
              <w:fldChar w:fldCharType="separate"/>
            </w:r>
            <w:r>
              <w:rPr>
                <w:noProof/>
                <w:webHidden/>
              </w:rPr>
              <w:t>39</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IE" w:eastAsia="en-IE"/>
            </w:rPr>
          </w:pPr>
          <w:hyperlink w:anchor="_Toc59642319" w:history="1">
            <w:r>
              <w:rPr>
                <w:rStyle w:val="Hyperlink"/>
                <w:noProof/>
              </w:rPr>
              <w:t>7.1.</w:t>
            </w:r>
            <w:r>
              <w:rPr>
                <w:rFonts w:asciiTheme="minorHAnsi" w:eastAsiaTheme="minorEastAsia" w:hAnsiTheme="minorHAnsi" w:cstheme="minorBidi"/>
                <w:noProof/>
                <w:sz w:val="22"/>
                <w:szCs w:val="22"/>
                <w:lang w:val="en-IE" w:eastAsia="en-IE"/>
              </w:rPr>
              <w:tab/>
            </w:r>
            <w:r>
              <w:rPr>
                <w:rStyle w:val="Hyperlink"/>
                <w:noProof/>
              </w:rPr>
              <w:t>Option 0: Status Quo</w:t>
            </w:r>
            <w:r>
              <w:rPr>
                <w:noProof/>
                <w:webHidden/>
              </w:rPr>
              <w:tab/>
            </w:r>
            <w:r>
              <w:rPr>
                <w:noProof/>
                <w:webHidden/>
              </w:rPr>
              <w:fldChar w:fldCharType="begin"/>
            </w:r>
            <w:r>
              <w:rPr>
                <w:noProof/>
                <w:webHidden/>
              </w:rPr>
              <w:instrText xml:space="preserve"> PAGEREF _Toc59642319 \h </w:instrText>
            </w:r>
            <w:r>
              <w:rPr>
                <w:noProof/>
                <w:webHidden/>
              </w:rPr>
            </w:r>
            <w:r>
              <w:rPr>
                <w:noProof/>
                <w:webHidden/>
              </w:rPr>
              <w:fldChar w:fldCharType="separate"/>
            </w:r>
            <w:r>
              <w:rPr>
                <w:noProof/>
                <w:webHidden/>
              </w:rPr>
              <w:t>39</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IE" w:eastAsia="en-IE"/>
            </w:rPr>
          </w:pPr>
          <w:hyperlink w:anchor="_Toc59642320" w:history="1">
            <w:r>
              <w:rPr>
                <w:rStyle w:val="Hyperlink"/>
                <w:noProof/>
              </w:rPr>
              <w:t>7.2.</w:t>
            </w:r>
            <w:r>
              <w:rPr>
                <w:rFonts w:asciiTheme="minorHAnsi" w:eastAsiaTheme="minorEastAsia" w:hAnsiTheme="minorHAnsi" w:cstheme="minorBidi"/>
                <w:noProof/>
                <w:sz w:val="22"/>
                <w:szCs w:val="22"/>
                <w:lang w:val="en-IE" w:eastAsia="en-IE"/>
              </w:rPr>
              <w:tab/>
            </w:r>
            <w:r>
              <w:rPr>
                <w:rStyle w:val="Hyperlink"/>
                <w:noProof/>
              </w:rPr>
              <w:t>Option 1: Legislative action to create transparency for individual workers</w:t>
            </w:r>
            <w:r>
              <w:rPr>
                <w:noProof/>
                <w:webHidden/>
              </w:rPr>
              <w:tab/>
            </w:r>
            <w:r>
              <w:rPr>
                <w:noProof/>
                <w:webHidden/>
              </w:rPr>
              <w:fldChar w:fldCharType="begin"/>
            </w:r>
            <w:r>
              <w:rPr>
                <w:noProof/>
                <w:webHidden/>
              </w:rPr>
              <w:instrText xml:space="preserve"> PAGEREF _Toc59642320 \h </w:instrText>
            </w:r>
            <w:r>
              <w:rPr>
                <w:noProof/>
                <w:webHidden/>
              </w:rPr>
            </w:r>
            <w:r>
              <w:rPr>
                <w:noProof/>
                <w:webHidden/>
              </w:rPr>
              <w:fldChar w:fldCharType="separate"/>
            </w:r>
            <w:r>
              <w:rPr>
                <w:noProof/>
                <w:webHidden/>
              </w:rPr>
              <w:t>39</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IE" w:eastAsia="en-IE"/>
            </w:rPr>
          </w:pPr>
          <w:hyperlink w:anchor="_Toc59642321" w:history="1">
            <w:r>
              <w:rPr>
                <w:rStyle w:val="Hyperlink"/>
                <w:noProof/>
              </w:rPr>
              <w:t>7.3.</w:t>
            </w:r>
            <w:r>
              <w:rPr>
                <w:rFonts w:asciiTheme="minorHAnsi" w:eastAsiaTheme="minorEastAsia" w:hAnsiTheme="minorHAnsi" w:cstheme="minorBidi"/>
                <w:noProof/>
                <w:sz w:val="22"/>
                <w:szCs w:val="22"/>
                <w:lang w:val="en-IE" w:eastAsia="en-IE"/>
              </w:rPr>
              <w:tab/>
            </w:r>
            <w:r>
              <w:rPr>
                <w:rStyle w:val="Hyperlink"/>
                <w:noProof/>
              </w:rPr>
              <w:t>Option 2: Legislative action to create transparency at employer level</w:t>
            </w:r>
            <w:r>
              <w:rPr>
                <w:noProof/>
                <w:webHidden/>
              </w:rPr>
              <w:tab/>
            </w:r>
            <w:r>
              <w:rPr>
                <w:noProof/>
                <w:webHidden/>
              </w:rPr>
              <w:fldChar w:fldCharType="begin"/>
            </w:r>
            <w:r>
              <w:rPr>
                <w:noProof/>
                <w:webHidden/>
              </w:rPr>
              <w:instrText xml:space="preserve"> PAGEREF _Toc59642321 \h </w:instrText>
            </w:r>
            <w:r>
              <w:rPr>
                <w:noProof/>
                <w:webHidden/>
              </w:rPr>
            </w:r>
            <w:r>
              <w:rPr>
                <w:noProof/>
                <w:webHidden/>
              </w:rPr>
              <w:fldChar w:fldCharType="separate"/>
            </w:r>
            <w:r>
              <w:rPr>
                <w:noProof/>
                <w:webHidden/>
              </w:rPr>
              <w:t>46</w:t>
            </w:r>
            <w:r>
              <w:rPr>
                <w:noProof/>
                <w:webHidden/>
              </w:rPr>
              <w:fldChar w:fldCharType="end"/>
            </w:r>
          </w:hyperlink>
        </w:p>
        <w:p>
          <w:pPr>
            <w:pStyle w:val="TOC2"/>
            <w:rPr>
              <w:rFonts w:asciiTheme="minorHAnsi" w:eastAsiaTheme="minorEastAsia" w:hAnsiTheme="minorHAnsi" w:cstheme="minorBidi"/>
              <w:noProof/>
              <w:sz w:val="22"/>
              <w:szCs w:val="22"/>
              <w:lang w:val="en-IE" w:eastAsia="en-IE"/>
            </w:rPr>
          </w:pPr>
          <w:hyperlink w:anchor="_Toc59642322" w:history="1">
            <w:r>
              <w:rPr>
                <w:rStyle w:val="Hyperlink"/>
                <w:noProof/>
              </w:rPr>
              <w:t>7.4.   Option 3: Legislative action to facilitate and enforce the existing legal framework</w:t>
            </w:r>
            <w:r>
              <w:rPr>
                <w:noProof/>
                <w:webHidden/>
              </w:rPr>
              <w:tab/>
            </w:r>
            <w:r>
              <w:rPr>
                <w:noProof/>
                <w:webHidden/>
              </w:rPr>
              <w:fldChar w:fldCharType="begin"/>
            </w:r>
            <w:r>
              <w:rPr>
                <w:noProof/>
                <w:webHidden/>
              </w:rPr>
              <w:instrText xml:space="preserve"> PAGEREF _Toc59642322 \h </w:instrText>
            </w:r>
            <w:r>
              <w:rPr>
                <w:noProof/>
                <w:webHidden/>
              </w:rPr>
            </w:r>
            <w:r>
              <w:rPr>
                <w:noProof/>
                <w:webHidden/>
              </w:rPr>
              <w:fldChar w:fldCharType="separate"/>
            </w:r>
            <w:r>
              <w:rPr>
                <w:noProof/>
                <w:webHidden/>
              </w:rPr>
              <w:t>60</w:t>
            </w:r>
            <w:r>
              <w:rPr>
                <w:noProof/>
                <w:webHidden/>
              </w:rPr>
              <w:fldChar w:fldCharType="end"/>
            </w:r>
          </w:hyperlink>
        </w:p>
        <w:p>
          <w:pPr>
            <w:pStyle w:val="TOC1"/>
            <w:rPr>
              <w:rFonts w:asciiTheme="minorHAnsi" w:eastAsiaTheme="minorEastAsia" w:hAnsiTheme="minorHAnsi" w:cstheme="minorBidi"/>
              <w:caps w:val="0"/>
              <w:noProof/>
              <w:sz w:val="22"/>
              <w:szCs w:val="22"/>
              <w:lang w:val="en-IE" w:eastAsia="en-IE"/>
            </w:rPr>
          </w:pPr>
          <w:hyperlink w:anchor="_Toc59642323" w:history="1">
            <w:r>
              <w:rPr>
                <w:rStyle w:val="Hyperlink"/>
                <w:noProof/>
              </w:rPr>
              <w:t>8.</w:t>
            </w:r>
            <w:r>
              <w:rPr>
                <w:rFonts w:asciiTheme="minorHAnsi" w:eastAsiaTheme="minorEastAsia" w:hAnsiTheme="minorHAnsi" w:cstheme="minorBidi"/>
                <w:caps w:val="0"/>
                <w:noProof/>
                <w:sz w:val="22"/>
                <w:szCs w:val="22"/>
                <w:lang w:val="en-IE" w:eastAsia="en-IE"/>
              </w:rPr>
              <w:tab/>
            </w:r>
            <w:r>
              <w:rPr>
                <w:rStyle w:val="Hyperlink"/>
                <w:noProof/>
              </w:rPr>
              <w:t>How do the options compare / preferred option</w:t>
            </w:r>
            <w:r>
              <w:rPr>
                <w:noProof/>
                <w:webHidden/>
              </w:rPr>
              <w:tab/>
            </w:r>
            <w:r>
              <w:rPr>
                <w:noProof/>
                <w:webHidden/>
              </w:rPr>
              <w:fldChar w:fldCharType="begin"/>
            </w:r>
            <w:r>
              <w:rPr>
                <w:noProof/>
                <w:webHidden/>
              </w:rPr>
              <w:instrText xml:space="preserve"> PAGEREF _Toc59642323 \h </w:instrText>
            </w:r>
            <w:r>
              <w:rPr>
                <w:noProof/>
                <w:webHidden/>
              </w:rPr>
            </w:r>
            <w:r>
              <w:rPr>
                <w:noProof/>
                <w:webHidden/>
              </w:rPr>
              <w:fldChar w:fldCharType="separate"/>
            </w:r>
            <w:r>
              <w:rPr>
                <w:noProof/>
                <w:webHidden/>
              </w:rPr>
              <w:t>67</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IE" w:eastAsia="en-IE"/>
            </w:rPr>
          </w:pPr>
          <w:hyperlink w:anchor="_Toc59642324" w:history="1">
            <w:r>
              <w:rPr>
                <w:rStyle w:val="Hyperlink"/>
                <w:noProof/>
              </w:rPr>
              <w:t>8.1.</w:t>
            </w:r>
            <w:r>
              <w:rPr>
                <w:rFonts w:asciiTheme="minorHAnsi" w:eastAsiaTheme="minorEastAsia" w:hAnsiTheme="minorHAnsi" w:cstheme="minorBidi"/>
                <w:noProof/>
                <w:sz w:val="22"/>
                <w:szCs w:val="22"/>
                <w:lang w:val="en-IE" w:eastAsia="en-IE"/>
              </w:rPr>
              <w:tab/>
            </w:r>
            <w:r>
              <w:rPr>
                <w:rStyle w:val="Hyperlink"/>
                <w:noProof/>
              </w:rPr>
              <w:t>Effectiveness</w:t>
            </w:r>
            <w:r>
              <w:rPr>
                <w:noProof/>
                <w:webHidden/>
              </w:rPr>
              <w:tab/>
            </w:r>
            <w:r>
              <w:rPr>
                <w:noProof/>
                <w:webHidden/>
              </w:rPr>
              <w:fldChar w:fldCharType="begin"/>
            </w:r>
            <w:r>
              <w:rPr>
                <w:noProof/>
                <w:webHidden/>
              </w:rPr>
              <w:instrText xml:space="preserve"> PAGEREF _Toc59642324 \h </w:instrText>
            </w:r>
            <w:r>
              <w:rPr>
                <w:noProof/>
                <w:webHidden/>
              </w:rPr>
            </w:r>
            <w:r>
              <w:rPr>
                <w:noProof/>
                <w:webHidden/>
              </w:rPr>
              <w:fldChar w:fldCharType="separate"/>
            </w:r>
            <w:r>
              <w:rPr>
                <w:noProof/>
                <w:webHidden/>
              </w:rPr>
              <w:t>67</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IE" w:eastAsia="en-IE"/>
            </w:rPr>
          </w:pPr>
          <w:hyperlink w:anchor="_Toc59642325" w:history="1">
            <w:r>
              <w:rPr>
                <w:rStyle w:val="Hyperlink"/>
                <w:noProof/>
              </w:rPr>
              <w:t>8.2.</w:t>
            </w:r>
            <w:r>
              <w:rPr>
                <w:rFonts w:asciiTheme="minorHAnsi" w:eastAsiaTheme="minorEastAsia" w:hAnsiTheme="minorHAnsi" w:cstheme="minorBidi"/>
                <w:noProof/>
                <w:sz w:val="22"/>
                <w:szCs w:val="22"/>
                <w:lang w:val="en-IE" w:eastAsia="en-IE"/>
              </w:rPr>
              <w:tab/>
            </w:r>
            <w:r>
              <w:rPr>
                <w:rStyle w:val="Hyperlink"/>
                <w:noProof/>
              </w:rPr>
              <w:t>Efficiency</w:t>
            </w:r>
            <w:r>
              <w:rPr>
                <w:noProof/>
                <w:webHidden/>
              </w:rPr>
              <w:tab/>
            </w:r>
            <w:r>
              <w:rPr>
                <w:noProof/>
                <w:webHidden/>
              </w:rPr>
              <w:fldChar w:fldCharType="begin"/>
            </w:r>
            <w:r>
              <w:rPr>
                <w:noProof/>
                <w:webHidden/>
              </w:rPr>
              <w:instrText xml:space="preserve"> PAGEREF _Toc59642325 \h </w:instrText>
            </w:r>
            <w:r>
              <w:rPr>
                <w:noProof/>
                <w:webHidden/>
              </w:rPr>
            </w:r>
            <w:r>
              <w:rPr>
                <w:noProof/>
                <w:webHidden/>
              </w:rPr>
              <w:fldChar w:fldCharType="separate"/>
            </w:r>
            <w:r>
              <w:rPr>
                <w:noProof/>
                <w:webHidden/>
              </w:rPr>
              <w:t>69</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IE" w:eastAsia="en-IE"/>
            </w:rPr>
          </w:pPr>
          <w:hyperlink w:anchor="_Toc59642326" w:history="1">
            <w:r>
              <w:rPr>
                <w:rStyle w:val="Hyperlink"/>
                <w:noProof/>
              </w:rPr>
              <w:t>8.3.</w:t>
            </w:r>
            <w:r>
              <w:rPr>
                <w:rFonts w:asciiTheme="minorHAnsi" w:eastAsiaTheme="minorEastAsia" w:hAnsiTheme="minorHAnsi" w:cstheme="minorBidi"/>
                <w:noProof/>
                <w:sz w:val="22"/>
                <w:szCs w:val="22"/>
                <w:lang w:val="en-IE" w:eastAsia="en-IE"/>
              </w:rPr>
              <w:tab/>
            </w:r>
            <w:r>
              <w:rPr>
                <w:rStyle w:val="Hyperlink"/>
                <w:noProof/>
              </w:rPr>
              <w:t>Coherence</w:t>
            </w:r>
            <w:r>
              <w:rPr>
                <w:noProof/>
                <w:webHidden/>
              </w:rPr>
              <w:tab/>
            </w:r>
            <w:r>
              <w:rPr>
                <w:noProof/>
                <w:webHidden/>
              </w:rPr>
              <w:fldChar w:fldCharType="begin"/>
            </w:r>
            <w:r>
              <w:rPr>
                <w:noProof/>
                <w:webHidden/>
              </w:rPr>
              <w:instrText xml:space="preserve"> PAGEREF _Toc59642326 \h </w:instrText>
            </w:r>
            <w:r>
              <w:rPr>
                <w:noProof/>
                <w:webHidden/>
              </w:rPr>
            </w:r>
            <w:r>
              <w:rPr>
                <w:noProof/>
                <w:webHidden/>
              </w:rPr>
              <w:fldChar w:fldCharType="separate"/>
            </w:r>
            <w:r>
              <w:rPr>
                <w:noProof/>
                <w:webHidden/>
              </w:rPr>
              <w:t>71</w:t>
            </w:r>
            <w:r>
              <w:rPr>
                <w:noProof/>
                <w:webHidden/>
              </w:rPr>
              <w:fldChar w:fldCharType="end"/>
            </w:r>
          </w:hyperlink>
        </w:p>
        <w:p>
          <w:pPr>
            <w:pStyle w:val="TOC2"/>
            <w:rPr>
              <w:rFonts w:asciiTheme="minorHAnsi" w:eastAsiaTheme="minorEastAsia" w:hAnsiTheme="minorHAnsi" w:cstheme="minorBidi"/>
              <w:noProof/>
              <w:sz w:val="22"/>
              <w:szCs w:val="22"/>
              <w:lang w:val="en-IE" w:eastAsia="en-IE"/>
            </w:rPr>
          </w:pPr>
          <w:hyperlink w:anchor="_Toc59642327" w:history="1">
            <w:r>
              <w:rPr>
                <w:rStyle w:val="Hyperlink"/>
                <w:noProof/>
              </w:rPr>
              <w:t>8.4. Comparison of options</w:t>
            </w:r>
            <w:r>
              <w:rPr>
                <w:noProof/>
                <w:webHidden/>
              </w:rPr>
              <w:tab/>
            </w:r>
            <w:r>
              <w:rPr>
                <w:noProof/>
                <w:webHidden/>
              </w:rPr>
              <w:fldChar w:fldCharType="begin"/>
            </w:r>
            <w:r>
              <w:rPr>
                <w:noProof/>
                <w:webHidden/>
              </w:rPr>
              <w:instrText xml:space="preserve"> PAGEREF _Toc59642327 \h </w:instrText>
            </w:r>
            <w:r>
              <w:rPr>
                <w:noProof/>
                <w:webHidden/>
              </w:rPr>
            </w:r>
            <w:r>
              <w:rPr>
                <w:noProof/>
                <w:webHidden/>
              </w:rPr>
              <w:fldChar w:fldCharType="separate"/>
            </w:r>
            <w:r>
              <w:rPr>
                <w:noProof/>
                <w:webHidden/>
              </w:rPr>
              <w:t>72</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IE" w:eastAsia="en-IE"/>
            </w:rPr>
          </w:pPr>
          <w:hyperlink w:anchor="_Toc59642328" w:history="1">
            <w:r>
              <w:rPr>
                <w:rStyle w:val="Hyperlink"/>
                <w:noProof/>
              </w:rPr>
              <w:t>8.5.</w:t>
            </w:r>
            <w:r>
              <w:rPr>
                <w:rFonts w:asciiTheme="minorHAnsi" w:eastAsiaTheme="minorEastAsia" w:hAnsiTheme="minorHAnsi" w:cstheme="minorBidi"/>
                <w:noProof/>
                <w:sz w:val="22"/>
                <w:szCs w:val="22"/>
                <w:lang w:val="en-IE" w:eastAsia="en-IE"/>
              </w:rPr>
              <w:tab/>
            </w:r>
            <w:r>
              <w:rPr>
                <w:rStyle w:val="Hyperlink"/>
                <w:noProof/>
              </w:rPr>
              <w:t>Possible combination of options</w:t>
            </w:r>
            <w:r>
              <w:rPr>
                <w:noProof/>
                <w:webHidden/>
              </w:rPr>
              <w:tab/>
            </w:r>
            <w:r>
              <w:rPr>
                <w:noProof/>
                <w:webHidden/>
              </w:rPr>
              <w:fldChar w:fldCharType="begin"/>
            </w:r>
            <w:r>
              <w:rPr>
                <w:noProof/>
                <w:webHidden/>
              </w:rPr>
              <w:instrText xml:space="preserve"> PAGEREF _Toc59642328 \h </w:instrText>
            </w:r>
            <w:r>
              <w:rPr>
                <w:noProof/>
                <w:webHidden/>
              </w:rPr>
            </w:r>
            <w:r>
              <w:rPr>
                <w:noProof/>
                <w:webHidden/>
              </w:rPr>
              <w:fldChar w:fldCharType="separate"/>
            </w:r>
            <w:r>
              <w:rPr>
                <w:noProof/>
                <w:webHidden/>
              </w:rPr>
              <w:t>73</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IE" w:eastAsia="en-IE"/>
            </w:rPr>
          </w:pPr>
          <w:hyperlink w:anchor="_Toc59642329" w:history="1">
            <w:r>
              <w:rPr>
                <w:rStyle w:val="Hyperlink"/>
                <w:noProof/>
              </w:rPr>
              <w:t>8.6.</w:t>
            </w:r>
            <w:r>
              <w:rPr>
                <w:rFonts w:asciiTheme="minorHAnsi" w:eastAsiaTheme="minorEastAsia" w:hAnsiTheme="minorHAnsi" w:cstheme="minorBidi"/>
                <w:noProof/>
                <w:sz w:val="22"/>
                <w:szCs w:val="22"/>
                <w:lang w:val="en-IE" w:eastAsia="en-IE"/>
              </w:rPr>
              <w:tab/>
            </w:r>
            <w:r>
              <w:rPr>
                <w:rStyle w:val="Hyperlink"/>
                <w:noProof/>
              </w:rPr>
              <w:t>Preferred Package</w:t>
            </w:r>
            <w:r>
              <w:rPr>
                <w:noProof/>
                <w:webHidden/>
              </w:rPr>
              <w:tab/>
            </w:r>
            <w:r>
              <w:rPr>
                <w:noProof/>
                <w:webHidden/>
              </w:rPr>
              <w:fldChar w:fldCharType="begin"/>
            </w:r>
            <w:r>
              <w:rPr>
                <w:noProof/>
                <w:webHidden/>
              </w:rPr>
              <w:instrText xml:space="preserve"> PAGEREF _Toc59642329 \h </w:instrText>
            </w:r>
            <w:r>
              <w:rPr>
                <w:noProof/>
                <w:webHidden/>
              </w:rPr>
            </w:r>
            <w:r>
              <w:rPr>
                <w:noProof/>
                <w:webHidden/>
              </w:rPr>
              <w:fldChar w:fldCharType="separate"/>
            </w:r>
            <w:r>
              <w:rPr>
                <w:noProof/>
                <w:webHidden/>
              </w:rPr>
              <w:t>74</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IE" w:eastAsia="en-IE"/>
            </w:rPr>
          </w:pPr>
          <w:hyperlink w:anchor="_Toc59642330" w:history="1">
            <w:r>
              <w:rPr>
                <w:rStyle w:val="Hyperlink"/>
                <w:noProof/>
              </w:rPr>
              <w:t>8.7.</w:t>
            </w:r>
            <w:r>
              <w:rPr>
                <w:rFonts w:asciiTheme="minorHAnsi" w:eastAsiaTheme="minorEastAsia" w:hAnsiTheme="minorHAnsi" w:cstheme="minorBidi"/>
                <w:noProof/>
                <w:sz w:val="22"/>
                <w:szCs w:val="22"/>
                <w:lang w:val="en-IE" w:eastAsia="en-IE"/>
              </w:rPr>
              <w:tab/>
            </w:r>
            <w:r>
              <w:rPr>
                <w:rStyle w:val="Hyperlink"/>
                <w:noProof/>
              </w:rPr>
              <w:t>Hypothetical scenario of the potential economic impact of the preferred package of measures</w:t>
            </w:r>
            <w:r>
              <w:rPr>
                <w:noProof/>
                <w:webHidden/>
              </w:rPr>
              <w:tab/>
            </w:r>
            <w:r>
              <w:rPr>
                <w:noProof/>
                <w:webHidden/>
              </w:rPr>
              <w:fldChar w:fldCharType="begin"/>
            </w:r>
            <w:r>
              <w:rPr>
                <w:noProof/>
                <w:webHidden/>
              </w:rPr>
              <w:instrText xml:space="preserve"> PAGEREF _Toc59642330 \h </w:instrText>
            </w:r>
            <w:r>
              <w:rPr>
                <w:noProof/>
                <w:webHidden/>
              </w:rPr>
            </w:r>
            <w:r>
              <w:rPr>
                <w:noProof/>
                <w:webHidden/>
              </w:rPr>
              <w:fldChar w:fldCharType="separate"/>
            </w:r>
            <w:r>
              <w:rPr>
                <w:noProof/>
                <w:webHidden/>
              </w:rPr>
              <w:t>75</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IE" w:eastAsia="en-IE"/>
            </w:rPr>
          </w:pPr>
          <w:hyperlink w:anchor="_Toc59642331" w:history="1">
            <w:r>
              <w:rPr>
                <w:rStyle w:val="Hyperlink"/>
                <w:noProof/>
              </w:rPr>
              <w:t>8.8.</w:t>
            </w:r>
            <w:r>
              <w:rPr>
                <w:rFonts w:asciiTheme="minorHAnsi" w:eastAsiaTheme="minorEastAsia" w:hAnsiTheme="minorHAnsi" w:cstheme="minorBidi"/>
                <w:noProof/>
                <w:sz w:val="22"/>
                <w:szCs w:val="22"/>
                <w:lang w:val="en-IE" w:eastAsia="en-IE"/>
              </w:rPr>
              <w:tab/>
            </w:r>
            <w:r>
              <w:rPr>
                <w:rStyle w:val="Hyperlink"/>
                <w:noProof/>
              </w:rPr>
              <w:t>Choice of legal instrument</w:t>
            </w:r>
            <w:r>
              <w:rPr>
                <w:noProof/>
                <w:webHidden/>
              </w:rPr>
              <w:tab/>
            </w:r>
            <w:r>
              <w:rPr>
                <w:noProof/>
                <w:webHidden/>
              </w:rPr>
              <w:fldChar w:fldCharType="begin"/>
            </w:r>
            <w:r>
              <w:rPr>
                <w:noProof/>
                <w:webHidden/>
              </w:rPr>
              <w:instrText xml:space="preserve"> PAGEREF _Toc59642331 \h </w:instrText>
            </w:r>
            <w:r>
              <w:rPr>
                <w:noProof/>
                <w:webHidden/>
              </w:rPr>
            </w:r>
            <w:r>
              <w:rPr>
                <w:noProof/>
                <w:webHidden/>
              </w:rPr>
              <w:fldChar w:fldCharType="separate"/>
            </w:r>
            <w:r>
              <w:rPr>
                <w:noProof/>
                <w:webHidden/>
              </w:rPr>
              <w:t>78</w:t>
            </w:r>
            <w:r>
              <w:rPr>
                <w:noProof/>
                <w:webHidden/>
              </w:rPr>
              <w:fldChar w:fldCharType="end"/>
            </w:r>
          </w:hyperlink>
        </w:p>
        <w:p>
          <w:pPr>
            <w:pStyle w:val="TOC1"/>
            <w:rPr>
              <w:rFonts w:asciiTheme="minorHAnsi" w:eastAsiaTheme="minorEastAsia" w:hAnsiTheme="minorHAnsi" w:cstheme="minorBidi"/>
              <w:caps w:val="0"/>
              <w:noProof/>
              <w:sz w:val="22"/>
              <w:szCs w:val="22"/>
              <w:lang w:val="en-IE" w:eastAsia="en-IE"/>
            </w:rPr>
          </w:pPr>
          <w:hyperlink w:anchor="_Toc59642332" w:history="1">
            <w:r>
              <w:rPr>
                <w:rStyle w:val="Hyperlink"/>
                <w:noProof/>
              </w:rPr>
              <w:t>9.</w:t>
            </w:r>
            <w:r>
              <w:rPr>
                <w:rFonts w:asciiTheme="minorHAnsi" w:eastAsiaTheme="minorEastAsia" w:hAnsiTheme="minorHAnsi" w:cstheme="minorBidi"/>
                <w:caps w:val="0"/>
                <w:noProof/>
                <w:sz w:val="22"/>
                <w:szCs w:val="22"/>
                <w:lang w:val="en-IE" w:eastAsia="en-IE"/>
              </w:rPr>
              <w:tab/>
            </w:r>
            <w:r>
              <w:rPr>
                <w:rStyle w:val="Hyperlink"/>
                <w:noProof/>
              </w:rPr>
              <w:t>How will actual impacts be monitored and evaluated?</w:t>
            </w:r>
            <w:r>
              <w:rPr>
                <w:noProof/>
                <w:webHidden/>
              </w:rPr>
              <w:tab/>
            </w:r>
            <w:r>
              <w:rPr>
                <w:noProof/>
                <w:webHidden/>
              </w:rPr>
              <w:fldChar w:fldCharType="begin"/>
            </w:r>
            <w:r>
              <w:rPr>
                <w:noProof/>
                <w:webHidden/>
              </w:rPr>
              <w:instrText xml:space="preserve"> PAGEREF _Toc59642332 \h </w:instrText>
            </w:r>
            <w:r>
              <w:rPr>
                <w:noProof/>
                <w:webHidden/>
              </w:rPr>
            </w:r>
            <w:r>
              <w:rPr>
                <w:noProof/>
                <w:webHidden/>
              </w:rPr>
              <w:fldChar w:fldCharType="separate"/>
            </w:r>
            <w:r>
              <w:rPr>
                <w:noProof/>
                <w:webHidden/>
              </w:rPr>
              <w:t>79</w:t>
            </w:r>
            <w:r>
              <w:rPr>
                <w:noProof/>
                <w:webHidden/>
              </w:rPr>
              <w:fldChar w:fldCharType="end"/>
            </w:r>
          </w:hyperlink>
        </w:p>
        <w:p>
          <w:pPr>
            <w:pStyle w:val="TOC1"/>
            <w:rPr>
              <w:rFonts w:asciiTheme="minorHAnsi" w:eastAsiaTheme="minorEastAsia" w:hAnsiTheme="minorHAnsi" w:cstheme="minorBidi"/>
              <w:caps w:val="0"/>
              <w:noProof/>
              <w:sz w:val="22"/>
              <w:szCs w:val="22"/>
              <w:lang w:val="en-IE" w:eastAsia="en-IE"/>
            </w:rPr>
          </w:pPr>
          <w:hyperlink w:anchor="_Toc59642333" w:history="1">
            <w:r>
              <w:rPr>
                <w:rStyle w:val="Hyperlink"/>
                <w:noProof/>
              </w:rPr>
              <w:t>Bibliography</w:t>
            </w:r>
            <w:r>
              <w:rPr>
                <w:noProof/>
                <w:webHidden/>
              </w:rPr>
              <w:tab/>
            </w:r>
            <w:r>
              <w:rPr>
                <w:noProof/>
                <w:webHidden/>
              </w:rPr>
              <w:fldChar w:fldCharType="begin"/>
            </w:r>
            <w:r>
              <w:rPr>
                <w:noProof/>
                <w:webHidden/>
              </w:rPr>
              <w:instrText xml:space="preserve"> PAGEREF _Toc59642333 \h </w:instrText>
            </w:r>
            <w:r>
              <w:rPr>
                <w:noProof/>
                <w:webHidden/>
              </w:rPr>
            </w:r>
            <w:r>
              <w:rPr>
                <w:noProof/>
                <w:webHidden/>
              </w:rPr>
              <w:fldChar w:fldCharType="separate"/>
            </w:r>
            <w:r>
              <w:rPr>
                <w:noProof/>
                <w:webHidden/>
              </w:rPr>
              <w:t>82</w:t>
            </w:r>
            <w:r>
              <w:rPr>
                <w:noProof/>
                <w:webHidden/>
              </w:rPr>
              <w:fldChar w:fldCharType="end"/>
            </w:r>
          </w:hyperlink>
        </w:p>
        <w:p>
          <w:pPr>
            <w:pStyle w:val="TOC1"/>
            <w:rPr>
              <w:rFonts w:asciiTheme="minorHAnsi" w:eastAsiaTheme="minorEastAsia" w:hAnsiTheme="minorHAnsi" w:cstheme="minorBidi"/>
              <w:caps w:val="0"/>
              <w:noProof/>
              <w:sz w:val="22"/>
              <w:szCs w:val="22"/>
              <w:lang w:val="en-IE" w:eastAsia="en-IE"/>
            </w:rPr>
          </w:pPr>
          <w:hyperlink w:anchor="_Toc59642334" w:history="1">
            <w:r>
              <w:rPr>
                <w:rStyle w:val="Hyperlink"/>
                <w:noProof/>
              </w:rPr>
              <w:t>Annexes</w:t>
            </w:r>
            <w:r>
              <w:rPr>
                <w:noProof/>
                <w:webHidden/>
              </w:rPr>
              <w:tab/>
            </w:r>
            <w:r>
              <w:rPr>
                <w:noProof/>
                <w:webHidden/>
              </w:rPr>
              <w:fldChar w:fldCharType="begin"/>
            </w:r>
            <w:r>
              <w:rPr>
                <w:noProof/>
                <w:webHidden/>
              </w:rPr>
              <w:instrText xml:space="preserve"> PAGEREF _Toc59642334 \h </w:instrText>
            </w:r>
            <w:r>
              <w:rPr>
                <w:noProof/>
                <w:webHidden/>
              </w:rPr>
            </w:r>
            <w:r>
              <w:rPr>
                <w:noProof/>
                <w:webHidden/>
              </w:rPr>
              <w:fldChar w:fldCharType="separate"/>
            </w:r>
            <w:r>
              <w:rPr>
                <w:noProof/>
                <w:webHidden/>
              </w:rPr>
              <w:t>92</w:t>
            </w:r>
            <w:r>
              <w:rPr>
                <w:noProof/>
                <w:webHidden/>
              </w:rPr>
              <w:fldChar w:fldCharType="end"/>
            </w:r>
          </w:hyperlink>
        </w:p>
        <w:p>
          <w:pPr>
            <w:pStyle w:val="TOC2"/>
            <w:rPr>
              <w:rFonts w:asciiTheme="minorHAnsi" w:eastAsiaTheme="minorEastAsia" w:hAnsiTheme="minorHAnsi" w:cstheme="minorBidi"/>
              <w:noProof/>
              <w:sz w:val="22"/>
              <w:szCs w:val="22"/>
              <w:lang w:val="en-IE" w:eastAsia="en-IE"/>
            </w:rPr>
          </w:pPr>
          <w:hyperlink w:anchor="_Toc59642335" w:history="1">
            <w:r>
              <w:rPr>
                <w:rStyle w:val="Hyperlink"/>
                <w:noProof/>
              </w:rPr>
              <w:t>Annex 1: Procedural information</w:t>
            </w:r>
            <w:r>
              <w:rPr>
                <w:noProof/>
                <w:webHidden/>
              </w:rPr>
              <w:tab/>
            </w:r>
            <w:r>
              <w:rPr>
                <w:noProof/>
                <w:webHidden/>
              </w:rPr>
              <w:fldChar w:fldCharType="begin"/>
            </w:r>
            <w:r>
              <w:rPr>
                <w:noProof/>
                <w:webHidden/>
              </w:rPr>
              <w:instrText xml:space="preserve"> PAGEREF _Toc59642335 \h </w:instrText>
            </w:r>
            <w:r>
              <w:rPr>
                <w:noProof/>
                <w:webHidden/>
              </w:rPr>
            </w:r>
            <w:r>
              <w:rPr>
                <w:noProof/>
                <w:webHidden/>
              </w:rPr>
              <w:fldChar w:fldCharType="separate"/>
            </w:r>
            <w:r>
              <w:rPr>
                <w:noProof/>
                <w:webHidden/>
              </w:rPr>
              <w:t>93</w:t>
            </w:r>
            <w:r>
              <w:rPr>
                <w:noProof/>
                <w:webHidden/>
              </w:rPr>
              <w:fldChar w:fldCharType="end"/>
            </w:r>
          </w:hyperlink>
        </w:p>
        <w:p>
          <w:pPr>
            <w:pStyle w:val="TOC2"/>
            <w:rPr>
              <w:rFonts w:asciiTheme="minorHAnsi" w:eastAsiaTheme="minorEastAsia" w:hAnsiTheme="minorHAnsi" w:cstheme="minorBidi"/>
              <w:noProof/>
              <w:sz w:val="22"/>
              <w:szCs w:val="22"/>
              <w:lang w:val="en-IE" w:eastAsia="en-IE"/>
            </w:rPr>
          </w:pPr>
          <w:hyperlink w:anchor="_Toc59642336" w:history="1">
            <w:r>
              <w:rPr>
                <w:rStyle w:val="Hyperlink"/>
                <w:noProof/>
              </w:rPr>
              <w:t>Annex 2: Stakeholder consultation</w:t>
            </w:r>
            <w:r>
              <w:rPr>
                <w:noProof/>
                <w:webHidden/>
              </w:rPr>
              <w:tab/>
            </w:r>
            <w:r>
              <w:rPr>
                <w:noProof/>
                <w:webHidden/>
              </w:rPr>
              <w:fldChar w:fldCharType="begin"/>
            </w:r>
            <w:r>
              <w:rPr>
                <w:noProof/>
                <w:webHidden/>
              </w:rPr>
              <w:instrText xml:space="preserve"> PAGEREF _Toc59642336 \h </w:instrText>
            </w:r>
            <w:r>
              <w:rPr>
                <w:noProof/>
                <w:webHidden/>
              </w:rPr>
            </w:r>
            <w:r>
              <w:rPr>
                <w:noProof/>
                <w:webHidden/>
              </w:rPr>
              <w:fldChar w:fldCharType="separate"/>
            </w:r>
            <w:r>
              <w:rPr>
                <w:noProof/>
                <w:webHidden/>
              </w:rPr>
              <w:t>103</w:t>
            </w:r>
            <w:r>
              <w:rPr>
                <w:noProof/>
                <w:webHidden/>
              </w:rPr>
              <w:fldChar w:fldCharType="end"/>
            </w:r>
          </w:hyperlink>
        </w:p>
        <w:p>
          <w:pPr>
            <w:pStyle w:val="TOC2"/>
            <w:rPr>
              <w:rFonts w:asciiTheme="minorHAnsi" w:eastAsiaTheme="minorEastAsia" w:hAnsiTheme="minorHAnsi" w:cstheme="minorBidi"/>
              <w:noProof/>
              <w:sz w:val="22"/>
              <w:szCs w:val="22"/>
              <w:lang w:val="en-IE" w:eastAsia="en-IE"/>
            </w:rPr>
          </w:pPr>
          <w:hyperlink w:anchor="_Toc59642337" w:history="1">
            <w:r>
              <w:rPr>
                <w:rStyle w:val="Hyperlink"/>
                <w:noProof/>
              </w:rPr>
              <w:t>Annex 3: Who is affected and how?</w:t>
            </w:r>
            <w:r>
              <w:rPr>
                <w:noProof/>
                <w:webHidden/>
              </w:rPr>
              <w:tab/>
            </w:r>
            <w:r>
              <w:rPr>
                <w:noProof/>
                <w:webHidden/>
              </w:rPr>
              <w:fldChar w:fldCharType="begin"/>
            </w:r>
            <w:r>
              <w:rPr>
                <w:noProof/>
                <w:webHidden/>
              </w:rPr>
              <w:instrText xml:space="preserve"> PAGEREF _Toc59642337 \h </w:instrText>
            </w:r>
            <w:r>
              <w:rPr>
                <w:noProof/>
                <w:webHidden/>
              </w:rPr>
            </w:r>
            <w:r>
              <w:rPr>
                <w:noProof/>
                <w:webHidden/>
              </w:rPr>
              <w:fldChar w:fldCharType="separate"/>
            </w:r>
            <w:r>
              <w:rPr>
                <w:noProof/>
                <w:webHidden/>
              </w:rPr>
              <w:t>112</w:t>
            </w:r>
            <w:r>
              <w:rPr>
                <w:noProof/>
                <w:webHidden/>
              </w:rPr>
              <w:fldChar w:fldCharType="end"/>
            </w:r>
          </w:hyperlink>
        </w:p>
        <w:p>
          <w:pPr>
            <w:pStyle w:val="TOC2"/>
            <w:rPr>
              <w:rFonts w:asciiTheme="minorHAnsi" w:eastAsiaTheme="minorEastAsia" w:hAnsiTheme="minorHAnsi" w:cstheme="minorBidi"/>
              <w:noProof/>
              <w:sz w:val="22"/>
              <w:szCs w:val="22"/>
              <w:lang w:val="en-IE" w:eastAsia="en-IE"/>
            </w:rPr>
          </w:pPr>
          <w:hyperlink w:anchor="_Toc59642338" w:history="1">
            <w:r>
              <w:rPr>
                <w:rStyle w:val="Hyperlink"/>
                <w:noProof/>
              </w:rPr>
              <w:t>Annex 4: Analytical methods</w:t>
            </w:r>
            <w:r>
              <w:rPr>
                <w:noProof/>
                <w:webHidden/>
              </w:rPr>
              <w:tab/>
            </w:r>
            <w:r>
              <w:rPr>
                <w:noProof/>
                <w:webHidden/>
              </w:rPr>
              <w:fldChar w:fldCharType="begin"/>
            </w:r>
            <w:r>
              <w:rPr>
                <w:noProof/>
                <w:webHidden/>
              </w:rPr>
              <w:instrText xml:space="preserve"> PAGEREF _Toc59642338 \h </w:instrText>
            </w:r>
            <w:r>
              <w:rPr>
                <w:noProof/>
                <w:webHidden/>
              </w:rPr>
            </w:r>
            <w:r>
              <w:rPr>
                <w:noProof/>
                <w:webHidden/>
              </w:rPr>
              <w:fldChar w:fldCharType="separate"/>
            </w:r>
            <w:r>
              <w:rPr>
                <w:noProof/>
                <w:webHidden/>
              </w:rPr>
              <w:t>119</w:t>
            </w:r>
            <w:r>
              <w:rPr>
                <w:noProof/>
                <w:webHidden/>
              </w:rPr>
              <w:fldChar w:fldCharType="end"/>
            </w:r>
          </w:hyperlink>
        </w:p>
        <w:p>
          <w:pPr>
            <w:pStyle w:val="TOC2"/>
            <w:rPr>
              <w:rFonts w:asciiTheme="minorHAnsi" w:eastAsiaTheme="minorEastAsia" w:hAnsiTheme="minorHAnsi" w:cstheme="minorBidi"/>
              <w:noProof/>
              <w:sz w:val="22"/>
              <w:szCs w:val="22"/>
              <w:lang w:val="en-IE" w:eastAsia="en-IE"/>
            </w:rPr>
          </w:pPr>
          <w:hyperlink w:anchor="_Toc59642339" w:history="1">
            <w:r>
              <w:rPr>
                <w:rStyle w:val="Hyperlink"/>
                <w:noProof/>
              </w:rPr>
              <w:t>Annex 5: Initiative specific annex</w:t>
            </w:r>
            <w:r>
              <w:rPr>
                <w:noProof/>
                <w:webHidden/>
              </w:rPr>
              <w:tab/>
            </w:r>
            <w:r>
              <w:rPr>
                <w:noProof/>
                <w:webHidden/>
              </w:rPr>
              <w:fldChar w:fldCharType="begin"/>
            </w:r>
            <w:r>
              <w:rPr>
                <w:noProof/>
                <w:webHidden/>
              </w:rPr>
              <w:instrText xml:space="preserve"> PAGEREF _Toc59642339 \h </w:instrText>
            </w:r>
            <w:r>
              <w:rPr>
                <w:noProof/>
                <w:webHidden/>
              </w:rPr>
            </w:r>
            <w:r>
              <w:rPr>
                <w:noProof/>
                <w:webHidden/>
              </w:rPr>
              <w:fldChar w:fldCharType="separate"/>
            </w:r>
            <w:r>
              <w:rPr>
                <w:noProof/>
                <w:webHidden/>
              </w:rPr>
              <w:t>139</w:t>
            </w:r>
            <w:r>
              <w:rPr>
                <w:noProof/>
                <w:webHidden/>
              </w:rPr>
              <w:fldChar w:fldCharType="end"/>
            </w:r>
          </w:hyperlink>
        </w:p>
        <w:p>
          <w:pPr>
            <w:pStyle w:val="TOC2"/>
            <w:rPr>
              <w:rFonts w:asciiTheme="minorHAnsi" w:eastAsiaTheme="minorEastAsia" w:hAnsiTheme="minorHAnsi" w:cstheme="minorBidi"/>
              <w:noProof/>
              <w:sz w:val="22"/>
              <w:szCs w:val="22"/>
              <w:lang w:val="en-IE" w:eastAsia="en-IE"/>
            </w:rPr>
          </w:pPr>
          <w:hyperlink w:anchor="_Toc59642340" w:history="1">
            <w:r>
              <w:rPr>
                <w:rStyle w:val="Hyperlink"/>
                <w:noProof/>
              </w:rPr>
              <w:t>Annex 6: Intervention logic</w:t>
            </w:r>
            <w:r>
              <w:rPr>
                <w:noProof/>
                <w:webHidden/>
              </w:rPr>
              <w:tab/>
            </w:r>
            <w:r>
              <w:rPr>
                <w:noProof/>
                <w:webHidden/>
              </w:rPr>
              <w:fldChar w:fldCharType="begin"/>
            </w:r>
            <w:r>
              <w:rPr>
                <w:noProof/>
                <w:webHidden/>
              </w:rPr>
              <w:instrText xml:space="preserve"> PAGEREF _Toc59642340 \h </w:instrText>
            </w:r>
            <w:r>
              <w:rPr>
                <w:noProof/>
                <w:webHidden/>
              </w:rPr>
            </w:r>
            <w:r>
              <w:rPr>
                <w:noProof/>
                <w:webHidden/>
              </w:rPr>
              <w:fldChar w:fldCharType="separate"/>
            </w:r>
            <w:r>
              <w:rPr>
                <w:noProof/>
                <w:webHidden/>
              </w:rPr>
              <w:t>167</w:t>
            </w:r>
            <w:r>
              <w:rPr>
                <w:noProof/>
                <w:webHidden/>
              </w:rPr>
              <w:fldChar w:fldCharType="end"/>
            </w:r>
          </w:hyperlink>
        </w:p>
        <w:p>
          <w:pPr>
            <w:pStyle w:val="TOC2"/>
            <w:rPr>
              <w:rFonts w:asciiTheme="minorHAnsi" w:eastAsiaTheme="minorEastAsia" w:hAnsiTheme="minorHAnsi" w:cstheme="minorBidi"/>
              <w:noProof/>
              <w:sz w:val="22"/>
              <w:szCs w:val="22"/>
              <w:lang w:val="en-IE" w:eastAsia="en-IE"/>
            </w:rPr>
          </w:pPr>
          <w:hyperlink w:anchor="_Toc59642341" w:history="1">
            <w:r>
              <w:rPr>
                <w:rStyle w:val="Hyperlink"/>
                <w:noProof/>
              </w:rPr>
              <w:t>Annex 7: Subsidiarity grid</w:t>
            </w:r>
            <w:r>
              <w:rPr>
                <w:noProof/>
                <w:webHidden/>
              </w:rPr>
              <w:tab/>
            </w:r>
            <w:r>
              <w:rPr>
                <w:noProof/>
                <w:webHidden/>
              </w:rPr>
              <w:fldChar w:fldCharType="begin"/>
            </w:r>
            <w:r>
              <w:rPr>
                <w:noProof/>
                <w:webHidden/>
              </w:rPr>
              <w:instrText xml:space="preserve"> PAGEREF _Toc59642341 \h </w:instrText>
            </w:r>
            <w:r>
              <w:rPr>
                <w:noProof/>
                <w:webHidden/>
              </w:rPr>
            </w:r>
            <w:r>
              <w:rPr>
                <w:noProof/>
                <w:webHidden/>
              </w:rPr>
              <w:fldChar w:fldCharType="separate"/>
            </w:r>
            <w:r>
              <w:rPr>
                <w:noProof/>
                <w:webHidden/>
              </w:rPr>
              <w:t>168</w:t>
            </w:r>
            <w:r>
              <w:rPr>
                <w:noProof/>
                <w:webHidden/>
              </w:rPr>
              <w:fldChar w:fldCharType="end"/>
            </w:r>
          </w:hyperlink>
        </w:p>
        <w:p>
          <w:pPr>
            <w:pStyle w:val="TOC2"/>
            <w:rPr>
              <w:rFonts w:asciiTheme="minorHAnsi" w:eastAsiaTheme="minorEastAsia" w:hAnsiTheme="minorHAnsi" w:cstheme="minorBidi"/>
              <w:noProof/>
              <w:sz w:val="22"/>
              <w:szCs w:val="22"/>
              <w:lang w:val="en-IE" w:eastAsia="en-IE"/>
            </w:rPr>
          </w:pPr>
          <w:hyperlink w:anchor="_Toc59642342" w:history="1">
            <w:r>
              <w:rPr>
                <w:rStyle w:val="Hyperlink"/>
                <w:noProof/>
              </w:rPr>
              <w:t>Annex 8: Job evaluation systems</w:t>
            </w:r>
            <w:r>
              <w:rPr>
                <w:noProof/>
                <w:webHidden/>
              </w:rPr>
              <w:tab/>
            </w:r>
            <w:r>
              <w:rPr>
                <w:noProof/>
                <w:webHidden/>
              </w:rPr>
              <w:fldChar w:fldCharType="begin"/>
            </w:r>
            <w:r>
              <w:rPr>
                <w:noProof/>
                <w:webHidden/>
              </w:rPr>
              <w:instrText xml:space="preserve"> PAGEREF _Toc59642342 \h </w:instrText>
            </w:r>
            <w:r>
              <w:rPr>
                <w:noProof/>
                <w:webHidden/>
              </w:rPr>
            </w:r>
            <w:r>
              <w:rPr>
                <w:noProof/>
                <w:webHidden/>
              </w:rPr>
              <w:fldChar w:fldCharType="separate"/>
            </w:r>
            <w:r>
              <w:rPr>
                <w:noProof/>
                <w:webHidden/>
              </w:rPr>
              <w:t>174</w:t>
            </w:r>
            <w:r>
              <w:rPr>
                <w:noProof/>
                <w:webHidden/>
              </w:rPr>
              <w:fldChar w:fldCharType="end"/>
            </w:r>
          </w:hyperlink>
        </w:p>
        <w:p>
          <w:pPr>
            <w:pStyle w:val="TOC1"/>
            <w:rPr>
              <w:noProof/>
            </w:rPr>
          </w:pPr>
          <w:r>
            <w:rPr>
              <w:b/>
              <w:caps w:val="0"/>
              <w:noProof/>
            </w:rPr>
            <w:fldChar w:fldCharType="end"/>
          </w:r>
        </w:p>
      </w:sdtContent>
    </w:sdt>
    <w:bookmarkStart w:id="2" w:name="_Toc54348728" w:displacedByCustomXml="prev"/>
    <w:bookmarkStart w:id="3" w:name="_Toc54345715" w:displacedByCustomXml="prev"/>
    <w:bookmarkStart w:id="4" w:name="_Toc54340613" w:displacedByCustomXml="prev"/>
    <w:bookmarkStart w:id="5" w:name="_Toc54292055" w:displacedByCustomXml="prev"/>
    <w:bookmarkStart w:id="6" w:name="_Toc54290929" w:displacedByCustomXml="prev"/>
    <w:bookmarkStart w:id="7" w:name="_Toc54290560" w:displacedByCustomXml="prev"/>
    <w:bookmarkStart w:id="8" w:name="_Toc54289089" w:displacedByCustomXml="prev"/>
    <w:bookmarkStart w:id="9" w:name="_Toc53680067" w:displacedByCustomXml="prev"/>
    <w:bookmarkStart w:id="10" w:name="_Toc53678716" w:displacedByCustomXml="prev"/>
    <w:bookmarkStart w:id="11" w:name="_Toc53678396" w:displacedByCustomXml="prev"/>
    <w:bookmarkStart w:id="12" w:name="_Toc53678176" w:displacedByCustomXml="prev"/>
    <w:bookmarkStart w:id="13" w:name="_Toc49963153" w:displacedByCustomXml="prev"/>
    <w:bookmarkStart w:id="14" w:name="_Toc49962679" w:displacedByCustomXml="prev"/>
    <w:bookmarkStart w:id="15" w:name="_Toc49962470" w:displacedByCustomXml="prev"/>
    <w:bookmarkStart w:id="16" w:name="_Toc49961966" w:displacedByCustomXml="prev"/>
    <w:bookmarkStart w:id="17" w:name="_Toc49958440" w:displacedByCustomXml="prev"/>
    <w:bookmarkStart w:id="18" w:name="_Toc49958245" w:displacedByCustomXml="prev"/>
    <w:bookmarkStart w:id="19" w:name="_Toc49955745" w:displacedByCustomXml="prev"/>
    <w:bookmarkStart w:id="20" w:name="_Toc49954728" w:displacedByCustomXml="prev"/>
    <w:bookmarkStart w:id="21" w:name="_Toc49952978" w:displacedByCustomXml="prev"/>
    <w:bookmarkStart w:id="22" w:name="_Toc49948504" w:displacedByCustomXml="prev"/>
    <w:bookmarkStart w:id="23" w:name="_Toc49942036" w:displacedByCustomXml="prev"/>
    <w:bookmarkStart w:id="24" w:name="_Toc49937823" w:displacedByCustomXml="prev"/>
    <w:bookmarkStart w:id="25" w:name="_Toc49933903" w:displacedByCustomXml="prev"/>
    <w:bookmarkStart w:id="26" w:name="_Toc49893516" w:displacedByCustomXml="prev"/>
    <w:bookmarkStart w:id="27" w:name="_Toc49884260" w:displacedByCustomXml="prev"/>
    <w:bookmarkStart w:id="28" w:name="_Toc49884184" w:displacedByCustomXml="prev"/>
    <w:bookmarkStart w:id="29" w:name="_Toc49881123" w:displacedByCustomXml="prev"/>
    <w:bookmarkStart w:id="30" w:name="_Toc49877737" w:displacedByCustomXml="prev"/>
    <w:bookmarkStart w:id="31" w:name="_Toc49806168" w:displacedByCustomXml="prev"/>
    <w:bookmarkStart w:id="32" w:name="_Toc49805456" w:displacedByCustomXml="prev"/>
    <w:bookmarkStart w:id="33" w:name="_Toc49695938" w:displacedByCustomXml="prev"/>
    <w:bookmarkStart w:id="34" w:name="_Toc49695754" w:displacedByCustomXml="prev"/>
    <w:bookmarkStart w:id="35" w:name="_Toc49532590" w:displacedByCustomXml="prev"/>
    <w:bookmarkStart w:id="36" w:name="_Toc49530640" w:displacedByCustomXml="prev"/>
    <w:bookmarkStart w:id="37" w:name="_Toc49529976" w:displacedByCustomXml="prev"/>
    <w:bookmarkStart w:id="38" w:name="_Toc49527855" w:displacedByCustomXml="prev"/>
    <w:bookmarkStart w:id="39" w:name="_Toc47455442" w:displacedByCustomXml="prev"/>
    <w:p>
      <w:pPr>
        <w:pStyle w:val="Heading1"/>
        <w:pageBreakBefore/>
        <w:tabs>
          <w:tab w:val="clear" w:pos="2640"/>
        </w:tabs>
        <w:ind w:left="3402" w:firstLine="0"/>
        <w:rPr>
          <w:noProof/>
        </w:rPr>
      </w:pPr>
      <w:bookmarkStart w:id="40" w:name="_Toc54355058"/>
      <w:bookmarkStart w:id="41" w:name="_Toc54355037"/>
      <w:bookmarkStart w:id="42" w:name="_Toc54355583"/>
      <w:bookmarkStart w:id="43" w:name="_Toc54356099"/>
      <w:bookmarkStart w:id="44" w:name="_Toc54356650"/>
      <w:bookmarkStart w:id="45" w:name="_Toc54357517"/>
      <w:bookmarkStart w:id="46" w:name="_Toc54357614"/>
      <w:bookmarkStart w:id="47" w:name="_Toc54364578"/>
      <w:bookmarkStart w:id="48" w:name="_Toc54371186"/>
      <w:bookmarkStart w:id="49" w:name="_Toc54372023"/>
      <w:bookmarkStart w:id="50" w:name="_Toc54376630"/>
      <w:bookmarkStart w:id="51" w:name="_Toc58767180"/>
      <w:bookmarkStart w:id="52" w:name="_Toc58769487"/>
      <w:bookmarkStart w:id="53" w:name="_Toc58863826"/>
      <w:bookmarkStart w:id="54" w:name="_Toc58868853"/>
      <w:bookmarkStart w:id="55" w:name="_Toc58870684"/>
      <w:bookmarkStart w:id="56" w:name="_Toc58870917"/>
      <w:bookmarkStart w:id="57" w:name="_Toc58871823"/>
      <w:bookmarkStart w:id="58" w:name="_Toc58872038"/>
      <w:bookmarkStart w:id="59" w:name="_Toc58922785"/>
      <w:bookmarkStart w:id="60" w:name="_Toc58925367"/>
      <w:bookmarkStart w:id="61" w:name="_Toc58928869"/>
      <w:bookmarkStart w:id="62" w:name="_Toc58931871"/>
      <w:bookmarkStart w:id="63" w:name="_Toc58947396"/>
      <w:bookmarkStart w:id="64" w:name="_Toc58950058"/>
      <w:bookmarkStart w:id="65" w:name="_Toc58950478"/>
      <w:bookmarkStart w:id="66" w:name="_Toc58954013"/>
      <w:bookmarkStart w:id="67" w:name="_Toc58956770"/>
      <w:bookmarkStart w:id="68" w:name="_Toc58957935"/>
      <w:bookmarkStart w:id="69" w:name="_Toc58962468"/>
      <w:bookmarkStart w:id="70" w:name="_Toc59096497"/>
      <w:bookmarkStart w:id="71" w:name="_Toc59103093"/>
      <w:bookmarkStart w:id="72" w:name="_Toc59104944"/>
      <w:bookmarkStart w:id="73" w:name="_Toc59119904"/>
      <w:bookmarkStart w:id="74" w:name="_Toc59121168"/>
      <w:bookmarkStart w:id="75" w:name="_Toc59121287"/>
      <w:bookmarkStart w:id="76" w:name="_Toc59549334"/>
      <w:bookmarkStart w:id="77" w:name="_Toc59642293"/>
      <w:r>
        <w:rPr>
          <w:noProof/>
        </w:rPr>
        <w:lastRenderedPageBreak/>
        <w:t>Glossary</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39"/>
      <w:bookmarkEnd w:id="38"/>
      <w:bookmarkEnd w:id="37"/>
      <w:bookmarkEnd w:id="36"/>
      <w:bookmarkEnd w:id="35"/>
      <w:bookmarkEnd w:id="34"/>
      <w:bookmarkEnd w:id="33"/>
      <w:bookmarkEnd w:id="32"/>
      <w:bookmarkEnd w:id="31"/>
      <w:bookmarkEnd w:id="30"/>
      <w:bookmarkEnd w:id="29"/>
      <w:bookmarkEnd w:id="28"/>
      <w:bookmarkEnd w:id="27"/>
      <w:bookmarkEnd w:id="26"/>
      <w:bookmarkEnd w:id="25"/>
      <w:bookmarkEnd w:id="24"/>
      <w:bookmarkEnd w:id="23"/>
      <w:bookmarkEnd w:id="22"/>
      <w:bookmarkEnd w:id="21"/>
      <w:bookmarkEnd w:id="20"/>
      <w:bookmarkEnd w:id="19"/>
      <w:bookmarkEnd w:id="18"/>
      <w:bookmarkEnd w:id="17"/>
      <w:bookmarkEnd w:id="16"/>
      <w:bookmarkEnd w:id="15"/>
      <w:bookmarkEnd w:id="14"/>
      <w:bookmarkEnd w:id="13"/>
      <w:bookmarkEnd w:id="12"/>
      <w:bookmarkEnd w:id="11"/>
      <w:bookmarkEnd w:id="10"/>
      <w:bookmarkEnd w:id="9"/>
      <w:bookmarkEnd w:id="8"/>
      <w:bookmarkEnd w:id="7"/>
      <w:bookmarkEnd w:id="6"/>
      <w:bookmarkEnd w:id="5"/>
      <w:bookmarkEnd w:id="4"/>
      <w:bookmarkEnd w:id="3"/>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479"/>
      </w:tblGrid>
      <w:tr>
        <w:tc>
          <w:tcPr>
            <w:tcW w:w="1129" w:type="dxa"/>
            <w:shd w:val="clear" w:color="auto" w:fill="F2F2F2" w:themeFill="background1" w:themeFillShade="F2"/>
          </w:tcPr>
          <w:p>
            <w:pPr>
              <w:spacing w:before="120" w:after="120"/>
              <w:jc w:val="center"/>
              <w:rPr>
                <w:b/>
                <w:bCs/>
                <w:i/>
                <w:iCs/>
                <w:noProof/>
                <w:sz w:val="24"/>
                <w:szCs w:val="24"/>
              </w:rPr>
            </w:pPr>
            <w:r>
              <w:rPr>
                <w:b/>
                <w:bCs/>
                <w:i/>
                <w:iCs/>
                <w:noProof/>
                <w:sz w:val="24"/>
                <w:szCs w:val="24"/>
              </w:rPr>
              <w:t>Term or acronym</w:t>
            </w:r>
          </w:p>
        </w:tc>
        <w:tc>
          <w:tcPr>
            <w:tcW w:w="7479" w:type="dxa"/>
            <w:shd w:val="clear" w:color="auto" w:fill="F2F2F2" w:themeFill="background1" w:themeFillShade="F2"/>
          </w:tcPr>
          <w:p>
            <w:pPr>
              <w:spacing w:before="120" w:after="120"/>
              <w:jc w:val="center"/>
              <w:rPr>
                <w:b/>
                <w:bCs/>
                <w:i/>
                <w:iCs/>
                <w:noProof/>
                <w:sz w:val="24"/>
                <w:szCs w:val="24"/>
              </w:rPr>
            </w:pPr>
            <w:r>
              <w:rPr>
                <w:b/>
                <w:bCs/>
                <w:i/>
                <w:iCs/>
                <w:noProof/>
                <w:sz w:val="24"/>
                <w:szCs w:val="24"/>
              </w:rPr>
              <w:t>Meaning or definition</w:t>
            </w:r>
          </w:p>
        </w:tc>
      </w:tr>
      <w:tr>
        <w:tc>
          <w:tcPr>
            <w:tcW w:w="1129" w:type="dxa"/>
            <w:tcMar>
              <w:top w:w="85" w:type="dxa"/>
              <w:left w:w="57" w:type="dxa"/>
              <w:bottom w:w="85" w:type="dxa"/>
              <w:right w:w="57" w:type="dxa"/>
            </w:tcMar>
          </w:tcPr>
          <w:p>
            <w:pPr>
              <w:rPr>
                <w:noProof/>
                <w:szCs w:val="24"/>
              </w:rPr>
            </w:pPr>
            <w:r>
              <w:rPr>
                <w:noProof/>
                <w:color w:val="000000"/>
                <w:lang w:eastAsia="fr-FR"/>
              </w:rPr>
              <w:t xml:space="preserve">CJEU </w:t>
            </w:r>
          </w:p>
        </w:tc>
        <w:tc>
          <w:tcPr>
            <w:tcW w:w="7479" w:type="dxa"/>
            <w:tcMar>
              <w:top w:w="85" w:type="dxa"/>
              <w:left w:w="57" w:type="dxa"/>
              <w:bottom w:w="85" w:type="dxa"/>
              <w:right w:w="57" w:type="dxa"/>
            </w:tcMar>
          </w:tcPr>
          <w:p>
            <w:pPr>
              <w:rPr>
                <w:noProof/>
                <w:szCs w:val="24"/>
              </w:rPr>
            </w:pPr>
            <w:r>
              <w:rPr>
                <w:noProof/>
                <w:color w:val="000000"/>
                <w:lang w:eastAsia="fr-FR"/>
              </w:rPr>
              <w:t xml:space="preserve">Court of Justice of the European Union </w:t>
            </w:r>
          </w:p>
        </w:tc>
      </w:tr>
      <w:tr>
        <w:tc>
          <w:tcPr>
            <w:tcW w:w="1129" w:type="dxa"/>
            <w:tcMar>
              <w:top w:w="85" w:type="dxa"/>
              <w:left w:w="57" w:type="dxa"/>
              <w:bottom w:w="85" w:type="dxa"/>
              <w:right w:w="57" w:type="dxa"/>
            </w:tcMar>
          </w:tcPr>
          <w:p>
            <w:pPr>
              <w:rPr>
                <w:noProof/>
                <w:szCs w:val="24"/>
              </w:rPr>
            </w:pPr>
            <w:r>
              <w:rPr>
                <w:noProof/>
                <w:color w:val="000000"/>
                <w:lang w:eastAsia="fr-FR"/>
              </w:rPr>
              <w:t xml:space="preserve">COVID-19 </w:t>
            </w:r>
          </w:p>
        </w:tc>
        <w:tc>
          <w:tcPr>
            <w:tcW w:w="7479" w:type="dxa"/>
            <w:tcMar>
              <w:top w:w="85" w:type="dxa"/>
              <w:left w:w="57" w:type="dxa"/>
              <w:bottom w:w="85" w:type="dxa"/>
              <w:right w:w="57" w:type="dxa"/>
            </w:tcMar>
          </w:tcPr>
          <w:p>
            <w:pPr>
              <w:rPr>
                <w:noProof/>
                <w:szCs w:val="24"/>
              </w:rPr>
            </w:pPr>
            <w:r>
              <w:rPr>
                <w:noProof/>
                <w:color w:val="000000"/>
                <w:lang w:eastAsia="fr-FR"/>
              </w:rPr>
              <w:t>Severe acute respiratory syndrome coronavirus disease 2019</w:t>
            </w:r>
          </w:p>
        </w:tc>
      </w:tr>
      <w:tr>
        <w:tc>
          <w:tcPr>
            <w:tcW w:w="1129" w:type="dxa"/>
            <w:tcMar>
              <w:top w:w="85" w:type="dxa"/>
              <w:left w:w="57" w:type="dxa"/>
              <w:bottom w:w="85" w:type="dxa"/>
              <w:right w:w="57" w:type="dxa"/>
            </w:tcMar>
          </w:tcPr>
          <w:p>
            <w:pPr>
              <w:rPr>
                <w:noProof/>
                <w:szCs w:val="24"/>
              </w:rPr>
            </w:pPr>
            <w:r>
              <w:rPr>
                <w:noProof/>
                <w:color w:val="000000"/>
                <w:lang w:eastAsia="fr-FR"/>
              </w:rPr>
              <w:t xml:space="preserve">DG JUST </w:t>
            </w:r>
          </w:p>
        </w:tc>
        <w:tc>
          <w:tcPr>
            <w:tcW w:w="7479" w:type="dxa"/>
            <w:tcMar>
              <w:top w:w="85" w:type="dxa"/>
              <w:left w:w="57" w:type="dxa"/>
              <w:bottom w:w="85" w:type="dxa"/>
              <w:right w:w="57" w:type="dxa"/>
            </w:tcMar>
          </w:tcPr>
          <w:p>
            <w:pPr>
              <w:rPr>
                <w:noProof/>
                <w:szCs w:val="24"/>
              </w:rPr>
            </w:pPr>
            <w:r>
              <w:rPr>
                <w:noProof/>
                <w:color w:val="000000"/>
                <w:lang w:eastAsia="fr-FR"/>
              </w:rPr>
              <w:t>Directorate-General for Justice and Consumers of the European Commission</w:t>
            </w:r>
          </w:p>
        </w:tc>
      </w:tr>
      <w:tr>
        <w:tc>
          <w:tcPr>
            <w:tcW w:w="1129" w:type="dxa"/>
            <w:tcMar>
              <w:top w:w="85" w:type="dxa"/>
              <w:left w:w="57" w:type="dxa"/>
              <w:bottom w:w="85" w:type="dxa"/>
              <w:right w:w="57" w:type="dxa"/>
            </w:tcMar>
          </w:tcPr>
          <w:p>
            <w:pPr>
              <w:rPr>
                <w:noProof/>
                <w:color w:val="000000"/>
                <w:lang w:eastAsia="fr-FR"/>
              </w:rPr>
            </w:pPr>
            <w:r>
              <w:rPr>
                <w:noProof/>
                <w:color w:val="000000"/>
                <w:lang w:eastAsia="fr-FR"/>
              </w:rPr>
              <w:t>ECSR</w:t>
            </w:r>
          </w:p>
        </w:tc>
        <w:tc>
          <w:tcPr>
            <w:tcW w:w="7479" w:type="dxa"/>
            <w:tcMar>
              <w:top w:w="85" w:type="dxa"/>
              <w:left w:w="57" w:type="dxa"/>
              <w:bottom w:w="85" w:type="dxa"/>
              <w:right w:w="57" w:type="dxa"/>
            </w:tcMar>
          </w:tcPr>
          <w:p>
            <w:pPr>
              <w:rPr>
                <w:noProof/>
                <w:color w:val="000000"/>
                <w:lang w:eastAsia="fr-FR"/>
              </w:rPr>
            </w:pPr>
            <w:r>
              <w:rPr>
                <w:noProof/>
                <w:color w:val="000000"/>
                <w:lang w:eastAsia="fr-FR"/>
              </w:rPr>
              <w:t>European Committee of Social Rights of the Council of Europe</w:t>
            </w:r>
          </w:p>
        </w:tc>
      </w:tr>
      <w:tr>
        <w:tc>
          <w:tcPr>
            <w:tcW w:w="1129" w:type="dxa"/>
            <w:tcMar>
              <w:top w:w="85" w:type="dxa"/>
              <w:left w:w="57" w:type="dxa"/>
              <w:bottom w:w="85" w:type="dxa"/>
              <w:right w:w="57" w:type="dxa"/>
            </w:tcMar>
          </w:tcPr>
          <w:p>
            <w:pPr>
              <w:rPr>
                <w:noProof/>
                <w:szCs w:val="24"/>
              </w:rPr>
            </w:pPr>
            <w:r>
              <w:rPr>
                <w:noProof/>
                <w:color w:val="000000"/>
                <w:lang w:eastAsia="fr-FR"/>
              </w:rPr>
              <w:t xml:space="preserve">EIGE </w:t>
            </w:r>
          </w:p>
        </w:tc>
        <w:tc>
          <w:tcPr>
            <w:tcW w:w="7479" w:type="dxa"/>
            <w:tcMar>
              <w:top w:w="85" w:type="dxa"/>
              <w:left w:w="57" w:type="dxa"/>
              <w:bottom w:w="85" w:type="dxa"/>
              <w:right w:w="57" w:type="dxa"/>
            </w:tcMar>
          </w:tcPr>
          <w:p>
            <w:pPr>
              <w:rPr>
                <w:noProof/>
                <w:szCs w:val="24"/>
              </w:rPr>
            </w:pPr>
            <w:r>
              <w:rPr>
                <w:noProof/>
                <w:color w:val="000000"/>
                <w:lang w:eastAsia="fr-FR"/>
              </w:rPr>
              <w:t xml:space="preserve">European Institute for Gender Equality </w:t>
            </w:r>
          </w:p>
        </w:tc>
      </w:tr>
      <w:tr>
        <w:tc>
          <w:tcPr>
            <w:tcW w:w="1129" w:type="dxa"/>
            <w:tcMar>
              <w:top w:w="85" w:type="dxa"/>
              <w:left w:w="57" w:type="dxa"/>
              <w:bottom w:w="85" w:type="dxa"/>
              <w:right w:w="57" w:type="dxa"/>
            </w:tcMar>
          </w:tcPr>
          <w:p>
            <w:pPr>
              <w:rPr>
                <w:noProof/>
                <w:szCs w:val="24"/>
              </w:rPr>
            </w:pPr>
            <w:r>
              <w:rPr>
                <w:noProof/>
                <w:color w:val="000000"/>
                <w:lang w:eastAsia="fr-FR"/>
              </w:rPr>
              <w:t xml:space="preserve">ETUC </w:t>
            </w:r>
          </w:p>
        </w:tc>
        <w:tc>
          <w:tcPr>
            <w:tcW w:w="7479" w:type="dxa"/>
            <w:tcMar>
              <w:top w:w="85" w:type="dxa"/>
              <w:left w:w="57" w:type="dxa"/>
              <w:bottom w:w="85" w:type="dxa"/>
              <w:right w:w="57" w:type="dxa"/>
            </w:tcMar>
          </w:tcPr>
          <w:p>
            <w:pPr>
              <w:rPr>
                <w:noProof/>
                <w:szCs w:val="24"/>
              </w:rPr>
            </w:pPr>
            <w:r>
              <w:rPr>
                <w:noProof/>
                <w:color w:val="000000"/>
                <w:lang w:eastAsia="fr-FR"/>
              </w:rPr>
              <w:t xml:space="preserve">European Trade Union Confederation </w:t>
            </w:r>
          </w:p>
        </w:tc>
      </w:tr>
      <w:tr>
        <w:tc>
          <w:tcPr>
            <w:tcW w:w="1129" w:type="dxa"/>
            <w:tcMar>
              <w:top w:w="85" w:type="dxa"/>
              <w:left w:w="57" w:type="dxa"/>
              <w:bottom w:w="85" w:type="dxa"/>
              <w:right w:w="57" w:type="dxa"/>
            </w:tcMar>
          </w:tcPr>
          <w:p>
            <w:pPr>
              <w:rPr>
                <w:noProof/>
                <w:szCs w:val="24"/>
              </w:rPr>
            </w:pPr>
            <w:r>
              <w:rPr>
                <w:noProof/>
                <w:color w:val="000000"/>
                <w:lang w:eastAsia="fr-FR"/>
              </w:rPr>
              <w:t xml:space="preserve">FTE </w:t>
            </w:r>
          </w:p>
        </w:tc>
        <w:tc>
          <w:tcPr>
            <w:tcW w:w="7479" w:type="dxa"/>
            <w:tcMar>
              <w:top w:w="85" w:type="dxa"/>
              <w:left w:w="57" w:type="dxa"/>
              <w:bottom w:w="85" w:type="dxa"/>
              <w:right w:w="57" w:type="dxa"/>
            </w:tcMar>
          </w:tcPr>
          <w:p>
            <w:pPr>
              <w:rPr>
                <w:noProof/>
                <w:szCs w:val="24"/>
              </w:rPr>
            </w:pPr>
            <w:r>
              <w:rPr>
                <w:noProof/>
                <w:color w:val="000000"/>
                <w:lang w:eastAsia="fr-FR"/>
              </w:rPr>
              <w:t xml:space="preserve">Full-Time Employment </w:t>
            </w:r>
          </w:p>
        </w:tc>
      </w:tr>
      <w:tr>
        <w:tc>
          <w:tcPr>
            <w:tcW w:w="1129" w:type="dxa"/>
            <w:tcMar>
              <w:top w:w="85" w:type="dxa"/>
              <w:left w:w="57" w:type="dxa"/>
              <w:bottom w:w="85" w:type="dxa"/>
              <w:right w:w="57" w:type="dxa"/>
            </w:tcMar>
          </w:tcPr>
          <w:p>
            <w:pPr>
              <w:rPr>
                <w:noProof/>
                <w:color w:val="000000"/>
                <w:lang w:eastAsia="fr-FR"/>
              </w:rPr>
            </w:pPr>
            <w:r>
              <w:rPr>
                <w:noProof/>
                <w:color w:val="000000"/>
                <w:lang w:eastAsia="fr-FR"/>
              </w:rPr>
              <w:t>FRA</w:t>
            </w:r>
          </w:p>
        </w:tc>
        <w:tc>
          <w:tcPr>
            <w:tcW w:w="7479" w:type="dxa"/>
            <w:tcMar>
              <w:top w:w="85" w:type="dxa"/>
              <w:left w:w="57" w:type="dxa"/>
              <w:bottom w:w="85" w:type="dxa"/>
              <w:right w:w="57" w:type="dxa"/>
            </w:tcMar>
          </w:tcPr>
          <w:p>
            <w:pPr>
              <w:rPr>
                <w:noProof/>
                <w:color w:val="000000"/>
                <w:lang w:eastAsia="fr-FR"/>
              </w:rPr>
            </w:pPr>
            <w:r>
              <w:rPr>
                <w:noProof/>
                <w:color w:val="000000"/>
                <w:lang w:eastAsia="fr-FR"/>
              </w:rPr>
              <w:t>European Union Agency for Fundamental Rights</w:t>
            </w:r>
          </w:p>
        </w:tc>
      </w:tr>
      <w:tr>
        <w:tc>
          <w:tcPr>
            <w:tcW w:w="1129" w:type="dxa"/>
            <w:tcMar>
              <w:top w:w="85" w:type="dxa"/>
              <w:left w:w="57" w:type="dxa"/>
              <w:bottom w:w="85" w:type="dxa"/>
              <w:right w:w="57" w:type="dxa"/>
            </w:tcMar>
          </w:tcPr>
          <w:p>
            <w:pPr>
              <w:rPr>
                <w:noProof/>
                <w:szCs w:val="24"/>
              </w:rPr>
            </w:pPr>
            <w:r>
              <w:rPr>
                <w:noProof/>
                <w:color w:val="000000"/>
                <w:lang w:eastAsia="fr-FR"/>
              </w:rPr>
              <w:t xml:space="preserve">GDPR </w:t>
            </w:r>
          </w:p>
        </w:tc>
        <w:tc>
          <w:tcPr>
            <w:tcW w:w="7479" w:type="dxa"/>
            <w:tcMar>
              <w:top w:w="85" w:type="dxa"/>
              <w:left w:w="57" w:type="dxa"/>
              <w:bottom w:w="85" w:type="dxa"/>
              <w:right w:w="57" w:type="dxa"/>
            </w:tcMar>
          </w:tcPr>
          <w:p>
            <w:pPr>
              <w:rPr>
                <w:noProof/>
                <w:szCs w:val="24"/>
              </w:rPr>
            </w:pPr>
            <w:r>
              <w:rPr>
                <w:noProof/>
                <w:color w:val="000000"/>
                <w:lang w:eastAsia="fr-FR"/>
              </w:rPr>
              <w:t>General Data Protection Regulation</w:t>
            </w:r>
          </w:p>
        </w:tc>
      </w:tr>
      <w:tr>
        <w:tc>
          <w:tcPr>
            <w:tcW w:w="1129" w:type="dxa"/>
            <w:tcMar>
              <w:top w:w="85" w:type="dxa"/>
              <w:left w:w="57" w:type="dxa"/>
              <w:bottom w:w="85" w:type="dxa"/>
              <w:right w:w="57" w:type="dxa"/>
            </w:tcMar>
          </w:tcPr>
          <w:p>
            <w:pPr>
              <w:rPr>
                <w:noProof/>
                <w:szCs w:val="24"/>
              </w:rPr>
            </w:pPr>
            <w:r>
              <w:rPr>
                <w:noProof/>
                <w:color w:val="000000"/>
                <w:lang w:eastAsia="fr-FR"/>
              </w:rPr>
              <w:t xml:space="preserve">GPG </w:t>
            </w:r>
          </w:p>
        </w:tc>
        <w:tc>
          <w:tcPr>
            <w:tcW w:w="7479" w:type="dxa"/>
            <w:tcMar>
              <w:top w:w="85" w:type="dxa"/>
              <w:left w:w="57" w:type="dxa"/>
              <w:bottom w:w="85" w:type="dxa"/>
              <w:right w:w="57" w:type="dxa"/>
            </w:tcMar>
          </w:tcPr>
          <w:p>
            <w:pPr>
              <w:rPr>
                <w:noProof/>
                <w:szCs w:val="24"/>
              </w:rPr>
            </w:pPr>
            <w:r>
              <w:rPr>
                <w:noProof/>
                <w:color w:val="000000"/>
                <w:lang w:eastAsia="fr-FR"/>
              </w:rPr>
              <w:t xml:space="preserve">Gender Pay Gap </w:t>
            </w:r>
          </w:p>
        </w:tc>
      </w:tr>
      <w:tr>
        <w:tc>
          <w:tcPr>
            <w:tcW w:w="1129" w:type="dxa"/>
            <w:tcMar>
              <w:top w:w="85" w:type="dxa"/>
              <w:left w:w="57" w:type="dxa"/>
              <w:bottom w:w="85" w:type="dxa"/>
              <w:right w:w="57" w:type="dxa"/>
            </w:tcMar>
          </w:tcPr>
          <w:p>
            <w:pPr>
              <w:rPr>
                <w:noProof/>
                <w:szCs w:val="24"/>
              </w:rPr>
            </w:pPr>
            <w:r>
              <w:rPr>
                <w:noProof/>
                <w:color w:val="000000"/>
                <w:lang w:eastAsia="fr-FR"/>
              </w:rPr>
              <w:t xml:space="preserve">ILO </w:t>
            </w:r>
          </w:p>
        </w:tc>
        <w:tc>
          <w:tcPr>
            <w:tcW w:w="7479" w:type="dxa"/>
            <w:tcMar>
              <w:top w:w="85" w:type="dxa"/>
              <w:left w:w="57" w:type="dxa"/>
              <w:bottom w:w="85" w:type="dxa"/>
              <w:right w:w="57" w:type="dxa"/>
            </w:tcMar>
          </w:tcPr>
          <w:p>
            <w:pPr>
              <w:rPr>
                <w:noProof/>
                <w:szCs w:val="24"/>
              </w:rPr>
            </w:pPr>
            <w:r>
              <w:rPr>
                <w:noProof/>
                <w:color w:val="000000"/>
                <w:lang w:eastAsia="fr-FR"/>
              </w:rPr>
              <w:t xml:space="preserve">International Labour Organisation </w:t>
            </w:r>
          </w:p>
        </w:tc>
      </w:tr>
      <w:tr>
        <w:tc>
          <w:tcPr>
            <w:tcW w:w="1129" w:type="dxa"/>
            <w:tcMar>
              <w:top w:w="85" w:type="dxa"/>
              <w:left w:w="57" w:type="dxa"/>
              <w:bottom w:w="85" w:type="dxa"/>
              <w:right w:w="57" w:type="dxa"/>
            </w:tcMar>
          </w:tcPr>
          <w:p>
            <w:pPr>
              <w:rPr>
                <w:noProof/>
                <w:szCs w:val="24"/>
              </w:rPr>
            </w:pPr>
            <w:r>
              <w:rPr>
                <w:noProof/>
                <w:color w:val="000000"/>
                <w:lang w:eastAsia="fr-FR"/>
              </w:rPr>
              <w:t xml:space="preserve">ISCED </w:t>
            </w:r>
          </w:p>
        </w:tc>
        <w:tc>
          <w:tcPr>
            <w:tcW w:w="7479" w:type="dxa"/>
            <w:tcMar>
              <w:top w:w="85" w:type="dxa"/>
              <w:left w:w="57" w:type="dxa"/>
              <w:bottom w:w="85" w:type="dxa"/>
              <w:right w:w="57" w:type="dxa"/>
            </w:tcMar>
          </w:tcPr>
          <w:p>
            <w:pPr>
              <w:rPr>
                <w:noProof/>
                <w:szCs w:val="24"/>
              </w:rPr>
            </w:pPr>
            <w:r>
              <w:rPr>
                <w:noProof/>
                <w:color w:val="000000"/>
                <w:lang w:eastAsia="fr-FR"/>
              </w:rPr>
              <w:t xml:space="preserve">International Standard Classification of Education  </w:t>
            </w:r>
          </w:p>
        </w:tc>
      </w:tr>
      <w:tr>
        <w:tc>
          <w:tcPr>
            <w:tcW w:w="1129" w:type="dxa"/>
            <w:tcMar>
              <w:top w:w="85" w:type="dxa"/>
              <w:left w:w="57" w:type="dxa"/>
              <w:bottom w:w="85" w:type="dxa"/>
              <w:right w:w="57" w:type="dxa"/>
            </w:tcMar>
          </w:tcPr>
          <w:p>
            <w:pPr>
              <w:rPr>
                <w:noProof/>
                <w:szCs w:val="24"/>
              </w:rPr>
            </w:pPr>
            <w:r>
              <w:rPr>
                <w:noProof/>
                <w:color w:val="000000"/>
                <w:lang w:eastAsia="fr-FR"/>
              </w:rPr>
              <w:t xml:space="preserve">ISCO-08 </w:t>
            </w:r>
          </w:p>
        </w:tc>
        <w:tc>
          <w:tcPr>
            <w:tcW w:w="7479" w:type="dxa"/>
            <w:tcMar>
              <w:top w:w="85" w:type="dxa"/>
              <w:left w:w="57" w:type="dxa"/>
              <w:bottom w:w="85" w:type="dxa"/>
              <w:right w:w="57" w:type="dxa"/>
            </w:tcMar>
          </w:tcPr>
          <w:p>
            <w:pPr>
              <w:rPr>
                <w:noProof/>
                <w:szCs w:val="24"/>
              </w:rPr>
            </w:pPr>
            <w:r>
              <w:rPr>
                <w:noProof/>
                <w:color w:val="000000"/>
                <w:lang w:eastAsia="fr-FR"/>
              </w:rPr>
              <w:t xml:space="preserve">International Standard Classification of Occupations </w:t>
            </w:r>
          </w:p>
        </w:tc>
      </w:tr>
      <w:tr>
        <w:tc>
          <w:tcPr>
            <w:tcW w:w="1129" w:type="dxa"/>
            <w:tcMar>
              <w:top w:w="85" w:type="dxa"/>
              <w:left w:w="57" w:type="dxa"/>
              <w:bottom w:w="85" w:type="dxa"/>
              <w:right w:w="57" w:type="dxa"/>
            </w:tcMar>
          </w:tcPr>
          <w:p>
            <w:pPr>
              <w:rPr>
                <w:noProof/>
                <w:color w:val="000000"/>
                <w:lang w:eastAsia="fr-FR"/>
              </w:rPr>
            </w:pPr>
            <w:r>
              <w:rPr>
                <w:noProof/>
                <w:color w:val="000000"/>
                <w:lang w:eastAsia="fr-FR"/>
              </w:rPr>
              <w:t>JRC</w:t>
            </w:r>
          </w:p>
        </w:tc>
        <w:tc>
          <w:tcPr>
            <w:tcW w:w="7479" w:type="dxa"/>
            <w:tcMar>
              <w:top w:w="85" w:type="dxa"/>
              <w:left w:w="57" w:type="dxa"/>
              <w:bottom w:w="85" w:type="dxa"/>
              <w:right w:w="57" w:type="dxa"/>
            </w:tcMar>
          </w:tcPr>
          <w:p>
            <w:pPr>
              <w:rPr>
                <w:noProof/>
                <w:color w:val="000000"/>
                <w:lang w:eastAsia="fr-FR"/>
              </w:rPr>
            </w:pPr>
            <w:r>
              <w:rPr>
                <w:noProof/>
                <w:color w:val="000000"/>
                <w:lang w:eastAsia="fr-FR"/>
              </w:rPr>
              <w:t xml:space="preserve">Joint Research Center </w:t>
            </w:r>
          </w:p>
        </w:tc>
      </w:tr>
      <w:tr>
        <w:tc>
          <w:tcPr>
            <w:tcW w:w="1129" w:type="dxa"/>
            <w:tcMar>
              <w:top w:w="85" w:type="dxa"/>
              <w:left w:w="57" w:type="dxa"/>
              <w:bottom w:w="85" w:type="dxa"/>
              <w:right w:w="57" w:type="dxa"/>
            </w:tcMar>
          </w:tcPr>
          <w:p>
            <w:pPr>
              <w:rPr>
                <w:noProof/>
                <w:szCs w:val="24"/>
              </w:rPr>
            </w:pPr>
            <w:r>
              <w:rPr>
                <w:noProof/>
                <w:color w:val="000000"/>
                <w:lang w:eastAsia="fr-FR"/>
              </w:rPr>
              <w:t xml:space="preserve">LFS </w:t>
            </w:r>
          </w:p>
        </w:tc>
        <w:tc>
          <w:tcPr>
            <w:tcW w:w="7479" w:type="dxa"/>
            <w:tcMar>
              <w:top w:w="85" w:type="dxa"/>
              <w:left w:w="57" w:type="dxa"/>
              <w:bottom w:w="85" w:type="dxa"/>
              <w:right w:w="57" w:type="dxa"/>
            </w:tcMar>
          </w:tcPr>
          <w:p>
            <w:pPr>
              <w:rPr>
                <w:noProof/>
                <w:szCs w:val="24"/>
              </w:rPr>
            </w:pPr>
            <w:r>
              <w:rPr>
                <w:noProof/>
                <w:color w:val="000000"/>
                <w:lang w:eastAsia="fr-FR"/>
              </w:rPr>
              <w:t xml:space="preserve">Labour Force Survey </w:t>
            </w:r>
          </w:p>
        </w:tc>
      </w:tr>
      <w:tr>
        <w:tc>
          <w:tcPr>
            <w:tcW w:w="1129" w:type="dxa"/>
            <w:tcMar>
              <w:top w:w="85" w:type="dxa"/>
              <w:left w:w="57" w:type="dxa"/>
              <w:bottom w:w="85" w:type="dxa"/>
              <w:right w:w="57" w:type="dxa"/>
            </w:tcMar>
          </w:tcPr>
          <w:p>
            <w:pPr>
              <w:rPr>
                <w:noProof/>
                <w:szCs w:val="24"/>
              </w:rPr>
            </w:pPr>
            <w:r>
              <w:rPr>
                <w:noProof/>
                <w:color w:val="000000"/>
                <w:lang w:eastAsia="fr-FR"/>
              </w:rPr>
              <w:t xml:space="preserve">NACE </w:t>
            </w:r>
          </w:p>
        </w:tc>
        <w:tc>
          <w:tcPr>
            <w:tcW w:w="7479" w:type="dxa"/>
            <w:tcMar>
              <w:top w:w="85" w:type="dxa"/>
              <w:left w:w="57" w:type="dxa"/>
              <w:bottom w:w="85" w:type="dxa"/>
              <w:right w:w="57" w:type="dxa"/>
            </w:tcMar>
          </w:tcPr>
          <w:p>
            <w:pPr>
              <w:rPr>
                <w:noProof/>
                <w:lang w:val="fr-BE"/>
              </w:rPr>
            </w:pPr>
            <w:r>
              <w:rPr>
                <w:noProof/>
                <w:color w:val="000000"/>
                <w:lang w:val="fr-BE" w:eastAsia="fr-FR"/>
              </w:rPr>
              <w:t xml:space="preserve">Statistical Classification of Economic Activities in the European Community (Nomenclature statistique des Activités économiques dans la Communauté Européenne) </w:t>
            </w:r>
          </w:p>
        </w:tc>
      </w:tr>
      <w:tr>
        <w:tc>
          <w:tcPr>
            <w:tcW w:w="1129" w:type="dxa"/>
            <w:tcMar>
              <w:top w:w="85" w:type="dxa"/>
              <w:left w:w="57" w:type="dxa"/>
              <w:bottom w:w="85" w:type="dxa"/>
              <w:right w:w="57" w:type="dxa"/>
            </w:tcMar>
          </w:tcPr>
          <w:p>
            <w:pPr>
              <w:rPr>
                <w:noProof/>
                <w:color w:val="000000"/>
                <w:lang w:eastAsia="fr-FR"/>
              </w:rPr>
            </w:pPr>
            <w:r>
              <w:rPr>
                <w:noProof/>
                <w:color w:val="000000"/>
                <w:lang w:eastAsia="fr-FR"/>
              </w:rPr>
              <w:t>NFRD</w:t>
            </w:r>
          </w:p>
        </w:tc>
        <w:tc>
          <w:tcPr>
            <w:tcW w:w="7479" w:type="dxa"/>
            <w:tcMar>
              <w:top w:w="85" w:type="dxa"/>
              <w:left w:w="57" w:type="dxa"/>
              <w:bottom w:w="85" w:type="dxa"/>
              <w:right w:w="57" w:type="dxa"/>
            </w:tcMar>
          </w:tcPr>
          <w:p>
            <w:pPr>
              <w:rPr>
                <w:noProof/>
                <w:color w:val="000000"/>
                <w:lang w:eastAsia="fr-FR"/>
              </w:rPr>
            </w:pPr>
            <w:r>
              <w:rPr>
                <w:noProof/>
              </w:rPr>
              <w:t>Non-Financial Reporting Directive</w:t>
            </w:r>
          </w:p>
        </w:tc>
      </w:tr>
      <w:tr>
        <w:tc>
          <w:tcPr>
            <w:tcW w:w="1129" w:type="dxa"/>
            <w:tcMar>
              <w:top w:w="85" w:type="dxa"/>
              <w:left w:w="57" w:type="dxa"/>
              <w:bottom w:w="85" w:type="dxa"/>
              <w:right w:w="57" w:type="dxa"/>
            </w:tcMar>
          </w:tcPr>
          <w:p>
            <w:pPr>
              <w:rPr>
                <w:noProof/>
                <w:szCs w:val="24"/>
              </w:rPr>
            </w:pPr>
            <w:r>
              <w:rPr>
                <w:noProof/>
                <w:color w:val="000000"/>
                <w:lang w:eastAsia="fr-FR"/>
              </w:rPr>
              <w:t xml:space="preserve">RSB </w:t>
            </w:r>
          </w:p>
        </w:tc>
        <w:tc>
          <w:tcPr>
            <w:tcW w:w="7479" w:type="dxa"/>
            <w:tcMar>
              <w:top w:w="85" w:type="dxa"/>
              <w:left w:w="57" w:type="dxa"/>
              <w:bottom w:w="85" w:type="dxa"/>
              <w:right w:w="57" w:type="dxa"/>
            </w:tcMar>
          </w:tcPr>
          <w:p>
            <w:pPr>
              <w:rPr>
                <w:noProof/>
                <w:szCs w:val="24"/>
              </w:rPr>
            </w:pPr>
            <w:r>
              <w:rPr>
                <w:noProof/>
                <w:color w:val="000000"/>
                <w:lang w:eastAsia="fr-FR"/>
              </w:rPr>
              <w:t xml:space="preserve">Regulatory Scrutiny Board </w:t>
            </w:r>
          </w:p>
        </w:tc>
      </w:tr>
      <w:tr>
        <w:tc>
          <w:tcPr>
            <w:tcW w:w="1129" w:type="dxa"/>
            <w:tcMar>
              <w:top w:w="85" w:type="dxa"/>
              <w:left w:w="57" w:type="dxa"/>
              <w:bottom w:w="85" w:type="dxa"/>
              <w:right w:w="57" w:type="dxa"/>
            </w:tcMar>
          </w:tcPr>
          <w:p>
            <w:pPr>
              <w:rPr>
                <w:noProof/>
                <w:szCs w:val="24"/>
              </w:rPr>
            </w:pPr>
            <w:r>
              <w:rPr>
                <w:noProof/>
                <w:color w:val="000000"/>
                <w:lang w:eastAsia="fr-FR"/>
              </w:rPr>
              <w:t xml:space="preserve">SCM </w:t>
            </w:r>
          </w:p>
        </w:tc>
        <w:tc>
          <w:tcPr>
            <w:tcW w:w="7479" w:type="dxa"/>
            <w:tcMar>
              <w:top w:w="85" w:type="dxa"/>
              <w:left w:w="57" w:type="dxa"/>
              <w:bottom w:w="85" w:type="dxa"/>
              <w:right w:w="57" w:type="dxa"/>
            </w:tcMar>
          </w:tcPr>
          <w:p>
            <w:pPr>
              <w:rPr>
                <w:noProof/>
                <w:szCs w:val="24"/>
              </w:rPr>
            </w:pPr>
            <w:r>
              <w:rPr>
                <w:noProof/>
                <w:color w:val="000000"/>
                <w:lang w:eastAsia="fr-FR"/>
              </w:rPr>
              <w:t xml:space="preserve">Standard Cost Model </w:t>
            </w:r>
          </w:p>
        </w:tc>
      </w:tr>
      <w:tr>
        <w:tc>
          <w:tcPr>
            <w:tcW w:w="1129" w:type="dxa"/>
            <w:tcMar>
              <w:top w:w="85" w:type="dxa"/>
              <w:left w:w="57" w:type="dxa"/>
              <w:bottom w:w="85" w:type="dxa"/>
              <w:right w:w="57" w:type="dxa"/>
            </w:tcMar>
          </w:tcPr>
          <w:p>
            <w:pPr>
              <w:rPr>
                <w:noProof/>
                <w:szCs w:val="24"/>
              </w:rPr>
            </w:pPr>
            <w:r>
              <w:rPr>
                <w:noProof/>
                <w:color w:val="000000"/>
                <w:lang w:eastAsia="fr-FR"/>
              </w:rPr>
              <w:t xml:space="preserve">SES </w:t>
            </w:r>
          </w:p>
        </w:tc>
        <w:tc>
          <w:tcPr>
            <w:tcW w:w="7479" w:type="dxa"/>
            <w:tcMar>
              <w:top w:w="85" w:type="dxa"/>
              <w:left w:w="57" w:type="dxa"/>
              <w:bottom w:w="85" w:type="dxa"/>
              <w:right w:w="57" w:type="dxa"/>
            </w:tcMar>
          </w:tcPr>
          <w:p>
            <w:pPr>
              <w:rPr>
                <w:noProof/>
                <w:szCs w:val="24"/>
              </w:rPr>
            </w:pPr>
            <w:r>
              <w:rPr>
                <w:noProof/>
                <w:color w:val="000000"/>
                <w:lang w:eastAsia="fr-FR"/>
              </w:rPr>
              <w:t xml:space="preserve">Structure of Earnings Survey </w:t>
            </w:r>
          </w:p>
        </w:tc>
      </w:tr>
      <w:tr>
        <w:tc>
          <w:tcPr>
            <w:tcW w:w="1129" w:type="dxa"/>
            <w:tcMar>
              <w:top w:w="85" w:type="dxa"/>
              <w:left w:w="57" w:type="dxa"/>
              <w:bottom w:w="85" w:type="dxa"/>
              <w:right w:w="57" w:type="dxa"/>
            </w:tcMar>
          </w:tcPr>
          <w:p>
            <w:pPr>
              <w:rPr>
                <w:noProof/>
                <w:szCs w:val="24"/>
              </w:rPr>
            </w:pPr>
            <w:r>
              <w:rPr>
                <w:noProof/>
                <w:color w:val="000000"/>
                <w:lang w:eastAsia="fr-FR"/>
              </w:rPr>
              <w:t xml:space="preserve">SMEs </w:t>
            </w:r>
          </w:p>
        </w:tc>
        <w:tc>
          <w:tcPr>
            <w:tcW w:w="7479" w:type="dxa"/>
            <w:tcMar>
              <w:top w:w="85" w:type="dxa"/>
              <w:left w:w="57" w:type="dxa"/>
              <w:bottom w:w="85" w:type="dxa"/>
              <w:right w:w="57" w:type="dxa"/>
            </w:tcMar>
          </w:tcPr>
          <w:p>
            <w:pPr>
              <w:rPr>
                <w:noProof/>
                <w:szCs w:val="24"/>
              </w:rPr>
            </w:pPr>
            <w:r>
              <w:rPr>
                <w:noProof/>
                <w:color w:val="000000"/>
                <w:lang w:eastAsia="fr-FR"/>
              </w:rPr>
              <w:t xml:space="preserve">Small and Medium Enterprises </w:t>
            </w:r>
          </w:p>
        </w:tc>
      </w:tr>
      <w:tr>
        <w:tc>
          <w:tcPr>
            <w:tcW w:w="1129" w:type="dxa"/>
            <w:tcMar>
              <w:top w:w="85" w:type="dxa"/>
              <w:left w:w="57" w:type="dxa"/>
              <w:bottom w:w="85" w:type="dxa"/>
              <w:right w:w="57" w:type="dxa"/>
            </w:tcMar>
          </w:tcPr>
          <w:p>
            <w:pPr>
              <w:rPr>
                <w:noProof/>
                <w:szCs w:val="24"/>
              </w:rPr>
            </w:pPr>
            <w:r>
              <w:rPr>
                <w:noProof/>
                <w:color w:val="000000"/>
                <w:lang w:eastAsia="fr-FR"/>
              </w:rPr>
              <w:t xml:space="preserve">STEM </w:t>
            </w:r>
          </w:p>
        </w:tc>
        <w:tc>
          <w:tcPr>
            <w:tcW w:w="7479" w:type="dxa"/>
            <w:tcMar>
              <w:top w:w="85" w:type="dxa"/>
              <w:left w:w="57" w:type="dxa"/>
              <w:bottom w:w="85" w:type="dxa"/>
              <w:right w:w="57" w:type="dxa"/>
            </w:tcMar>
          </w:tcPr>
          <w:p>
            <w:pPr>
              <w:rPr>
                <w:noProof/>
                <w:szCs w:val="24"/>
              </w:rPr>
            </w:pPr>
            <w:r>
              <w:rPr>
                <w:noProof/>
                <w:color w:val="000000"/>
                <w:lang w:eastAsia="fr-FR"/>
              </w:rPr>
              <w:t xml:space="preserve">Science, Technology, Engineering and Math </w:t>
            </w:r>
          </w:p>
        </w:tc>
      </w:tr>
      <w:tr>
        <w:tc>
          <w:tcPr>
            <w:tcW w:w="1129" w:type="dxa"/>
            <w:tcMar>
              <w:top w:w="85" w:type="dxa"/>
              <w:left w:w="57" w:type="dxa"/>
              <w:bottom w:w="85" w:type="dxa"/>
              <w:right w:w="57" w:type="dxa"/>
            </w:tcMar>
          </w:tcPr>
          <w:p>
            <w:pPr>
              <w:rPr>
                <w:noProof/>
                <w:szCs w:val="24"/>
              </w:rPr>
            </w:pPr>
            <w:r>
              <w:rPr>
                <w:noProof/>
                <w:color w:val="000000"/>
                <w:lang w:eastAsia="fr-FR"/>
              </w:rPr>
              <w:t xml:space="preserve">TFEU </w:t>
            </w:r>
          </w:p>
        </w:tc>
        <w:tc>
          <w:tcPr>
            <w:tcW w:w="7479" w:type="dxa"/>
            <w:tcMar>
              <w:top w:w="85" w:type="dxa"/>
              <w:left w:w="57" w:type="dxa"/>
              <w:bottom w:w="85" w:type="dxa"/>
              <w:right w:w="57" w:type="dxa"/>
            </w:tcMar>
          </w:tcPr>
          <w:p>
            <w:pPr>
              <w:rPr>
                <w:noProof/>
                <w:szCs w:val="24"/>
              </w:rPr>
            </w:pPr>
            <w:r>
              <w:rPr>
                <w:noProof/>
                <w:color w:val="000000"/>
                <w:lang w:eastAsia="fr-FR"/>
              </w:rPr>
              <w:t>Treaty on the Functioning of the European Union</w:t>
            </w:r>
          </w:p>
        </w:tc>
      </w:tr>
    </w:tbl>
    <w:p>
      <w:pPr>
        <w:rPr>
          <w:rFonts w:ascii="Times New Roman" w:hAnsi="Times New Roman" w:cs="Times New Roman"/>
          <w:noProof/>
          <w:sz w:val="24"/>
          <w:szCs w:val="24"/>
        </w:rPr>
      </w:pPr>
    </w:p>
    <w:p>
      <w:pPr>
        <w:rPr>
          <w:rFonts w:ascii="Times New Roman" w:hAnsi="Times New Roman" w:cs="Times New Roman"/>
          <w:noProof/>
          <w:sz w:val="24"/>
          <w:szCs w:val="24"/>
        </w:rPr>
      </w:pPr>
      <w:r>
        <w:rPr>
          <w:rFonts w:ascii="Times New Roman" w:hAnsi="Times New Roman" w:cs="Times New Roman"/>
          <w:noProof/>
          <w:sz w:val="24"/>
          <w:szCs w:val="24"/>
        </w:rPr>
        <w:br w:type="page"/>
      </w:r>
    </w:p>
    <w:p>
      <w:pPr>
        <w:pStyle w:val="Heading1"/>
        <w:numPr>
          <w:ilvl w:val="0"/>
          <w:numId w:val="1"/>
        </w:numPr>
        <w:tabs>
          <w:tab w:val="clear" w:pos="2640"/>
          <w:tab w:val="num" w:pos="567"/>
        </w:tabs>
        <w:spacing w:before="120" w:after="120" w:line="276" w:lineRule="auto"/>
        <w:ind w:left="2642" w:hanging="2642"/>
        <w:rPr>
          <w:rFonts w:ascii="Times New Roman Bold" w:hAnsi="Times New Roman Bold"/>
          <w:smallCaps w:val="0"/>
          <w:noProof/>
        </w:rPr>
      </w:pPr>
      <w:bookmarkStart w:id="78" w:name="_Toc47455443"/>
      <w:bookmarkStart w:id="79" w:name="_Toc49527856"/>
      <w:bookmarkStart w:id="80" w:name="_Toc49529977"/>
      <w:bookmarkStart w:id="81" w:name="_Toc49530641"/>
      <w:bookmarkStart w:id="82" w:name="_Toc49532591"/>
      <w:bookmarkStart w:id="83" w:name="_Toc49695755"/>
      <w:bookmarkStart w:id="84" w:name="_Toc49695939"/>
      <w:bookmarkStart w:id="85" w:name="_Toc49805457"/>
      <w:bookmarkStart w:id="86" w:name="_Toc49806169"/>
      <w:bookmarkStart w:id="87" w:name="_Toc49877738"/>
      <w:bookmarkStart w:id="88" w:name="_Toc49881124"/>
      <w:bookmarkStart w:id="89" w:name="_Toc49884185"/>
      <w:bookmarkStart w:id="90" w:name="_Toc49884261"/>
      <w:bookmarkStart w:id="91" w:name="_Toc49893517"/>
      <w:bookmarkStart w:id="92" w:name="_Toc49933904"/>
      <w:bookmarkStart w:id="93" w:name="_Toc49937824"/>
      <w:bookmarkStart w:id="94" w:name="_Toc49942037"/>
      <w:bookmarkStart w:id="95" w:name="_Toc49948505"/>
      <w:bookmarkStart w:id="96" w:name="_Toc49952979"/>
      <w:bookmarkStart w:id="97" w:name="_Toc49954729"/>
      <w:bookmarkStart w:id="98" w:name="_Toc49955746"/>
      <w:bookmarkStart w:id="99" w:name="_Toc49958246"/>
      <w:bookmarkStart w:id="100" w:name="_Toc49958441"/>
      <w:bookmarkStart w:id="101" w:name="_Toc49961967"/>
      <w:bookmarkStart w:id="102" w:name="_Toc49962471"/>
      <w:bookmarkStart w:id="103" w:name="_Toc49962680"/>
      <w:bookmarkStart w:id="104" w:name="_Toc49963154"/>
      <w:bookmarkStart w:id="105" w:name="_Toc53678177"/>
      <w:bookmarkStart w:id="106" w:name="_Toc53678397"/>
      <w:bookmarkStart w:id="107" w:name="_Toc53678717"/>
      <w:bookmarkStart w:id="108" w:name="_Toc53680068"/>
      <w:bookmarkStart w:id="109" w:name="_Toc54289090"/>
      <w:bookmarkStart w:id="110" w:name="_Toc54290561"/>
      <w:bookmarkStart w:id="111" w:name="_Toc54290930"/>
      <w:bookmarkStart w:id="112" w:name="_Toc54292056"/>
      <w:bookmarkStart w:id="113" w:name="_Toc54340614"/>
      <w:bookmarkStart w:id="114" w:name="_Toc54345716"/>
      <w:bookmarkStart w:id="115" w:name="_Toc54348729"/>
      <w:bookmarkStart w:id="116" w:name="_Toc54355059"/>
      <w:bookmarkStart w:id="117" w:name="_Toc54355038"/>
      <w:bookmarkStart w:id="118" w:name="_Toc54355584"/>
      <w:bookmarkStart w:id="119" w:name="_Toc54356100"/>
      <w:bookmarkStart w:id="120" w:name="_Toc54356651"/>
      <w:bookmarkStart w:id="121" w:name="_Toc54357518"/>
      <w:bookmarkStart w:id="122" w:name="_Toc54357615"/>
      <w:bookmarkStart w:id="123" w:name="_Toc54364579"/>
      <w:bookmarkStart w:id="124" w:name="_Toc54371187"/>
      <w:bookmarkStart w:id="125" w:name="_Toc54372024"/>
      <w:bookmarkStart w:id="126" w:name="_Toc54376631"/>
      <w:bookmarkStart w:id="127" w:name="_Toc58767181"/>
      <w:bookmarkStart w:id="128" w:name="_Toc58769488"/>
      <w:bookmarkStart w:id="129" w:name="_Toc58863827"/>
      <w:bookmarkStart w:id="130" w:name="_Toc58868854"/>
      <w:bookmarkStart w:id="131" w:name="_Toc58870685"/>
      <w:bookmarkStart w:id="132" w:name="_Toc58870918"/>
      <w:bookmarkStart w:id="133" w:name="_Toc58871824"/>
      <w:bookmarkStart w:id="134" w:name="_Toc58872039"/>
      <w:bookmarkStart w:id="135" w:name="_Toc58922786"/>
      <w:bookmarkStart w:id="136" w:name="_Toc58925368"/>
      <w:bookmarkStart w:id="137" w:name="_Toc58928870"/>
      <w:bookmarkStart w:id="138" w:name="_Toc58931872"/>
      <w:bookmarkStart w:id="139" w:name="_Toc58947397"/>
      <w:bookmarkStart w:id="140" w:name="_Toc58950059"/>
      <w:bookmarkStart w:id="141" w:name="_Toc58950479"/>
      <w:bookmarkStart w:id="142" w:name="_Toc58956771"/>
      <w:bookmarkStart w:id="143" w:name="_Toc58957936"/>
      <w:bookmarkStart w:id="144" w:name="_Toc58962469"/>
      <w:bookmarkStart w:id="145" w:name="_Toc59096498"/>
      <w:bookmarkStart w:id="146" w:name="_Toc59103094"/>
      <w:bookmarkStart w:id="147" w:name="_Toc59104945"/>
      <w:bookmarkStart w:id="148" w:name="_Toc59119905"/>
      <w:bookmarkStart w:id="149" w:name="_Toc59121169"/>
      <w:bookmarkStart w:id="150" w:name="_Toc59121288"/>
      <w:bookmarkStart w:id="151" w:name="_Toc59549335"/>
      <w:bookmarkStart w:id="152" w:name="_Toc59642294"/>
      <w:r>
        <w:rPr>
          <w:rFonts w:ascii="Times New Roman Bold" w:hAnsi="Times New Roman Bold"/>
          <w:smallCaps w:val="0"/>
          <w:noProof/>
        </w:rPr>
        <w:t>Introduction: Political and legal context</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The right to equal pay between women and men for equal work or work of equal value has been a founding principle of the European Union since the Treaty of Rome in 1957. The requirement to ensure equal pay is set out in Article 157 TFEU and in Directive 2006/54/EC</w:t>
      </w:r>
      <w:r>
        <w:rPr>
          <w:rStyle w:val="FootnoteReference"/>
          <w:rFonts w:ascii="Times New Roman" w:hAnsi="Times New Roman" w:cs="Times New Roman"/>
          <w:noProof/>
          <w:sz w:val="24"/>
          <w:szCs w:val="24"/>
        </w:rPr>
        <w:footnoteReference w:id="2"/>
      </w:r>
      <w:r>
        <w:rPr>
          <w:rFonts w:ascii="Times New Roman" w:hAnsi="Times New Roman" w:cs="Times New Roman"/>
          <w:noProof/>
          <w:sz w:val="24"/>
          <w:szCs w:val="24"/>
        </w:rPr>
        <w:t xml:space="preserve"> (the ‘Recast Directive’), as complemented in 2014 by a Commission Recommendation on Pay Transparency</w:t>
      </w:r>
      <w:r>
        <w:rPr>
          <w:rStyle w:val="FootnoteReference"/>
          <w:rFonts w:ascii="Times New Roman" w:hAnsi="Times New Roman" w:cs="Times New Roman"/>
          <w:noProof/>
          <w:sz w:val="24"/>
          <w:szCs w:val="24"/>
        </w:rPr>
        <w:footnoteReference w:id="3"/>
      </w:r>
      <w:r>
        <w:rPr>
          <w:rFonts w:ascii="Times New Roman" w:hAnsi="Times New Roman" w:cs="Times New Roman"/>
          <w:noProof/>
          <w:sz w:val="24"/>
          <w:szCs w:val="24"/>
        </w:rPr>
        <w:t xml:space="preserve"> (the ‘2014 Recommendation’). Despite this legal framework, the effective implementation and enforcement of this principle in practice remains a major challenge in the European Union. In 2019, the European Committee of Social Rights identified the lack of pay transparency as one of the key obstacles to the implementation of the principle of equal pay</w:t>
      </w:r>
      <w:r>
        <w:rPr>
          <w:rFonts w:ascii="Times New Roman" w:hAnsi="Times New Roman" w:cs="Times New Roman"/>
          <w:noProof/>
          <w:sz w:val="24"/>
          <w:szCs w:val="24"/>
          <w:vertAlign w:val="superscript"/>
        </w:rPr>
        <w:footnoteReference w:id="4"/>
      </w:r>
      <w:r>
        <w:rPr>
          <w:rFonts w:ascii="Times New Roman" w:hAnsi="Times New Roman" w:cs="Times New Roman"/>
          <w:noProof/>
          <w:sz w:val="24"/>
          <w:szCs w:val="24"/>
        </w:rPr>
        <w:t xml:space="preserve">. </w:t>
      </w:r>
    </w:p>
    <w:p>
      <w:pPr>
        <w:spacing w:after="120"/>
        <w:jc w:val="both"/>
        <w:rPr>
          <w:rFonts w:ascii="Times New Roman" w:eastAsia="Calibri" w:hAnsi="Times New Roman" w:cs="Times New Roman"/>
          <w:noProof/>
          <w:sz w:val="24"/>
          <w:szCs w:val="24"/>
          <w:lang w:eastAsia="en-IE"/>
        </w:rPr>
      </w:pPr>
      <w:r>
        <w:rPr>
          <w:rFonts w:ascii="Times New Roman" w:eastAsia="Calibri" w:hAnsi="Times New Roman" w:cs="Times New Roman"/>
          <w:noProof/>
          <w:sz w:val="24"/>
          <w:szCs w:val="24"/>
          <w:lang w:eastAsia="en-IE"/>
        </w:rPr>
        <w:t>The European Parliament has repeatedly called for more action at EU level to enhance the application of the equal pay provisions</w:t>
      </w:r>
      <w:r>
        <w:rPr>
          <w:rStyle w:val="FootnoteReference"/>
          <w:rFonts w:ascii="Times New Roman" w:eastAsia="Calibri" w:hAnsi="Times New Roman" w:cs="Times New Roman"/>
          <w:noProof/>
          <w:sz w:val="24"/>
          <w:szCs w:val="24"/>
          <w:lang w:eastAsia="en-IE"/>
        </w:rPr>
        <w:footnoteReference w:id="5"/>
      </w:r>
      <w:r>
        <w:rPr>
          <w:rFonts w:ascii="Times New Roman" w:eastAsia="Calibri" w:hAnsi="Times New Roman" w:cs="Times New Roman"/>
          <w:noProof/>
          <w:sz w:val="24"/>
          <w:szCs w:val="24"/>
          <w:lang w:eastAsia="en-IE"/>
        </w:rPr>
        <w:t xml:space="preserve">. </w:t>
      </w:r>
      <w:r>
        <w:rPr>
          <w:rFonts w:ascii="Times New Roman" w:eastAsia="Times New Roman" w:hAnsi="Times New Roman" w:cs="Times New Roman"/>
          <w:noProof/>
          <w:sz w:val="24"/>
          <w:szCs w:val="24"/>
        </w:rPr>
        <w:t>Also the Council has asked for action both on the side of Member States and on the side of the Commission. I</w:t>
      </w:r>
      <w:r>
        <w:rPr>
          <w:rFonts w:ascii="Times New Roman" w:eastAsia="Calibri" w:hAnsi="Times New Roman" w:cs="Times New Roman"/>
          <w:noProof/>
          <w:sz w:val="24"/>
          <w:szCs w:val="24"/>
          <w:lang w:eastAsia="en-IE"/>
        </w:rPr>
        <w:t>n June 2019, the Council</w:t>
      </w:r>
      <w:r>
        <w:rPr>
          <w:rFonts w:ascii="Times New Roman" w:eastAsia="Calibri" w:hAnsi="Times New Roman" w:cs="Times New Roman"/>
          <w:noProof/>
          <w:sz w:val="24"/>
          <w:szCs w:val="24"/>
          <w:vertAlign w:val="superscript"/>
          <w:lang w:eastAsia="en-IE"/>
        </w:rPr>
        <w:t xml:space="preserve"> </w:t>
      </w:r>
      <w:r>
        <w:rPr>
          <w:rFonts w:ascii="Times New Roman" w:eastAsia="Calibri" w:hAnsi="Times New Roman" w:cs="Times New Roman"/>
          <w:noProof/>
          <w:sz w:val="24"/>
          <w:szCs w:val="24"/>
          <w:lang w:eastAsia="en-IE"/>
        </w:rPr>
        <w:t xml:space="preserve">called on the Commission to develop concrete measures to increase pay transparency. </w:t>
      </w:r>
    </w:p>
    <w:p>
      <w:pPr>
        <w:spacing w:after="120"/>
        <w:jc w:val="both"/>
        <w:rPr>
          <w:rFonts w:ascii="Times New Roman" w:hAnsi="Times New Roman" w:cs="Times New Roman"/>
          <w:noProof/>
          <w:sz w:val="24"/>
          <w:szCs w:val="24"/>
        </w:rPr>
      </w:pPr>
      <w:r>
        <w:rPr>
          <w:rFonts w:ascii="Times New Roman" w:eastAsia="Calibri" w:hAnsi="Times New Roman" w:cs="Times New Roman"/>
          <w:noProof/>
          <w:sz w:val="24"/>
          <w:szCs w:val="24"/>
          <w:lang w:eastAsia="en-IE"/>
        </w:rPr>
        <w:t>The European Pillar of social rights includes gender equality and the right to equal pay among its 20 principles</w:t>
      </w:r>
      <w:r>
        <w:rPr>
          <w:rStyle w:val="FootnoteReference"/>
          <w:rFonts w:ascii="Times New Roman" w:eastAsia="Calibri" w:hAnsi="Times New Roman" w:cs="Times New Roman"/>
          <w:noProof/>
          <w:sz w:val="24"/>
          <w:szCs w:val="24"/>
          <w:lang w:eastAsia="en-IE"/>
        </w:rPr>
        <w:footnoteReference w:id="6"/>
      </w:r>
      <w:r>
        <w:rPr>
          <w:rFonts w:ascii="Times New Roman" w:eastAsia="Calibri" w:hAnsi="Times New Roman" w:cs="Times New Roman"/>
          <w:noProof/>
          <w:sz w:val="24"/>
          <w:szCs w:val="24"/>
          <w:lang w:eastAsia="en-IE"/>
        </w:rPr>
        <w:t>. The EU Action Plan for 2017-2019 on tackling the gender pay gap</w:t>
      </w:r>
      <w:r>
        <w:rPr>
          <w:rFonts w:ascii="Times New Roman" w:eastAsia="Calibri" w:hAnsi="Times New Roman" w:cs="Times New Roman"/>
          <w:noProof/>
          <w:sz w:val="24"/>
          <w:szCs w:val="24"/>
          <w:vertAlign w:val="superscript"/>
          <w:lang w:eastAsia="en-IE"/>
        </w:rPr>
        <w:footnoteReference w:id="7"/>
      </w:r>
      <w:r>
        <w:rPr>
          <w:rFonts w:ascii="Times New Roman" w:eastAsia="Calibri" w:hAnsi="Times New Roman" w:cs="Times New Roman"/>
          <w:noProof/>
          <w:sz w:val="24"/>
          <w:szCs w:val="24"/>
          <w:lang w:eastAsia="en-IE"/>
        </w:rPr>
        <w:t xml:space="preserve"> specified that the Commission will assess the opportunities for improving pay transparency. </w:t>
      </w:r>
      <w:r>
        <w:rPr>
          <w:rFonts w:ascii="Times New Roman" w:hAnsi="Times New Roman" w:cs="Times New Roman"/>
          <w:noProof/>
          <w:sz w:val="24"/>
          <w:szCs w:val="24"/>
        </w:rPr>
        <w:t>Following European Commission’s President von der Leyen’s announcement in her political guidelines</w:t>
      </w:r>
      <w:r>
        <w:rPr>
          <w:rStyle w:val="FootnoteReference"/>
          <w:rFonts w:ascii="Times New Roman" w:hAnsi="Times New Roman" w:cs="Times New Roman"/>
          <w:noProof/>
          <w:sz w:val="24"/>
          <w:szCs w:val="24"/>
        </w:rPr>
        <w:footnoteReference w:id="8"/>
      </w:r>
      <w:r>
        <w:rPr>
          <w:rFonts w:ascii="Times New Roman" w:hAnsi="Times New Roman" w:cs="Times New Roman"/>
          <w:noProof/>
          <w:sz w:val="24"/>
          <w:szCs w:val="24"/>
        </w:rPr>
        <w:t xml:space="preserve"> to introduce binding pay transparency measures, the Commission reaffirmed its commitment to present this initiative in the Gender Equality Strategy 2020-2025</w:t>
      </w:r>
      <w:r>
        <w:rPr>
          <w:rStyle w:val="FootnoteReference"/>
          <w:rFonts w:ascii="Times New Roman" w:hAnsi="Times New Roman" w:cs="Times New Roman"/>
          <w:noProof/>
          <w:sz w:val="24"/>
          <w:szCs w:val="24"/>
        </w:rPr>
        <w:footnoteReference w:id="9"/>
      </w:r>
      <w:r>
        <w:rPr>
          <w:rFonts w:ascii="Times New Roman" w:hAnsi="Times New Roman" w:cs="Times New Roman"/>
          <w:noProof/>
          <w:sz w:val="24"/>
          <w:szCs w:val="24"/>
        </w:rPr>
        <w:t xml:space="preserve">. </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The present initiative follows on the Commission’s evaluation</w:t>
      </w:r>
      <w:r>
        <w:rPr>
          <w:rFonts w:ascii="Times New Roman" w:eastAsia="Calibri" w:hAnsi="Times New Roman" w:cs="Times New Roman"/>
          <w:noProof/>
          <w:sz w:val="24"/>
          <w:szCs w:val="24"/>
          <w:vertAlign w:val="superscript"/>
          <w:lang w:eastAsia="en-IE"/>
        </w:rPr>
        <w:footnoteReference w:id="10"/>
      </w:r>
      <w:r>
        <w:rPr>
          <w:rFonts w:ascii="Times New Roman" w:hAnsi="Times New Roman" w:cs="Times New Roman"/>
          <w:noProof/>
          <w:sz w:val="24"/>
          <w:szCs w:val="24"/>
        </w:rPr>
        <w:t xml:space="preserve"> of the relevant legal provisions (the ‘2020 evaluation’) </w:t>
      </w:r>
      <w:r>
        <w:rPr>
          <w:rFonts w:ascii="Times New Roman" w:eastAsia="Times New Roman" w:hAnsi="Times New Roman" w:cs="Times New Roman"/>
          <w:noProof/>
          <w:color w:val="000000"/>
          <w:sz w:val="24"/>
          <w:szCs w:val="24"/>
          <w:lang w:eastAsia="en-GB"/>
        </w:rPr>
        <w:t>and previous Commission work</w:t>
      </w:r>
      <w:r>
        <w:rPr>
          <w:rFonts w:ascii="Times New Roman" w:hAnsi="Times New Roman" w:cs="Times New Roman"/>
          <w:noProof/>
          <w:sz w:val="24"/>
          <w:szCs w:val="24"/>
          <w:vertAlign w:val="superscript"/>
        </w:rPr>
        <w:footnoteReference w:id="11"/>
      </w:r>
      <w:r>
        <w:rPr>
          <w:rFonts w:ascii="Times New Roman" w:eastAsia="Times New Roman" w:hAnsi="Times New Roman" w:cs="Times New Roman"/>
          <w:noProof/>
          <w:color w:val="000000"/>
          <w:sz w:val="24"/>
          <w:szCs w:val="24"/>
          <w:lang w:eastAsia="en-GB"/>
        </w:rPr>
        <w:t xml:space="preserve">. These assessments </w:t>
      </w:r>
      <w:r>
        <w:rPr>
          <w:rFonts w:ascii="Times New Roman" w:hAnsi="Times New Roman" w:cs="Times New Roman"/>
          <w:noProof/>
          <w:sz w:val="24"/>
          <w:szCs w:val="24"/>
        </w:rPr>
        <w:t xml:space="preserve">concluded that there was </w:t>
      </w:r>
      <w:r>
        <w:rPr>
          <w:rFonts w:ascii="Times New Roman" w:eastAsia="Calibri" w:hAnsi="Times New Roman" w:cs="Times New Roman"/>
          <w:noProof/>
          <w:sz w:val="24"/>
          <w:szCs w:val="24"/>
          <w:lang w:eastAsia="en-IE"/>
        </w:rPr>
        <w:t>limited progress on enforcing the right to equal pay in Member States</w:t>
      </w:r>
      <w:r>
        <w:rPr>
          <w:rFonts w:ascii="Times New Roman" w:hAnsi="Times New Roman" w:cs="Times New Roman"/>
          <w:noProof/>
          <w:sz w:val="24"/>
          <w:szCs w:val="24"/>
        </w:rPr>
        <w:t xml:space="preserve"> and evidenced, in particular, vastly distinct and largely inefficient systems operating in most Member States – making equal pay an inert legal provision. The evaluation pointed to a number of problems deterring victims of pay discrimination from enforcing their right and deemed to require further action: despite the 2014 Recommendation, a very limited number of countries put forward measures to improve transparency in pay setting systems within organisations; key legal definitions and concepts are not applied uniformly in practice and are insufficiently implemented across national legislations; victims have difficulties to claim their rights. </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This initiative aims at tackling the persisting inadequate implementation and enforcement of the fundamental right to equal pay and ensuring the respect of this right across the EU by establishing transparency on pay. It is part of a broader package of measures and initiatives that focus on tackling the root causes of the gender pay gap, such as the adoption and implementation of the Work-Life Balance Directive 2019/1158, sectoral initiatives fighting stereotypes and ensuring better gender balance, and the proposed Directive on improving gender balance on company boards of large EU listed companies</w:t>
      </w:r>
      <w:r>
        <w:rPr>
          <w:rStyle w:val="FootnoteReference"/>
          <w:rFonts w:ascii="Times New Roman" w:hAnsi="Times New Roman" w:cs="Times New Roman"/>
          <w:noProof/>
          <w:sz w:val="24"/>
          <w:szCs w:val="24"/>
        </w:rPr>
        <w:footnoteReference w:id="12"/>
      </w:r>
      <w:r>
        <w:rPr>
          <w:rFonts w:ascii="Times New Roman" w:hAnsi="Times New Roman" w:cs="Times New Roman"/>
          <w:noProof/>
          <w:sz w:val="24"/>
          <w:szCs w:val="24"/>
        </w:rPr>
        <w:t>. In addition, the initiative is coherent with the initiative aimed at increasing re</w:t>
      </w:r>
      <w:r>
        <w:rPr>
          <w:rFonts w:ascii="Times New Roman" w:eastAsia="Calibri" w:hAnsi="Times New Roman" w:cs="Times New Roman"/>
          <w:noProof/>
          <w:sz w:val="24"/>
          <w:szCs w:val="24"/>
          <w:lang w:eastAsia="en-IE"/>
        </w:rPr>
        <w:t>porting by companies of relevant non-financial information.</w:t>
      </w:r>
      <w:r>
        <w:rPr>
          <w:rStyle w:val="FootnoteReference"/>
          <w:rFonts w:ascii="Times New Roman" w:eastAsia="Calibri" w:hAnsi="Times New Roman" w:cs="Times New Roman"/>
          <w:noProof/>
          <w:sz w:val="24"/>
          <w:szCs w:val="24"/>
          <w:lang w:eastAsia="en-IE"/>
        </w:rPr>
        <w:footnoteReference w:id="13"/>
      </w:r>
      <w:r>
        <w:rPr>
          <w:rFonts w:ascii="Times New Roman" w:eastAsia="Calibri" w:hAnsi="Times New Roman" w:cs="Times New Roman"/>
          <w:noProof/>
          <w:sz w:val="24"/>
          <w:szCs w:val="24"/>
          <w:lang w:eastAsia="en-IE"/>
        </w:rPr>
        <w:t xml:space="preserve"> It is also consistent with and supported by </w:t>
      </w:r>
      <w:r>
        <w:rPr>
          <w:rFonts w:ascii="Times New Roman" w:hAnsi="Times New Roman" w:cs="Times New Roman"/>
          <w:noProof/>
          <w:sz w:val="24"/>
          <w:szCs w:val="24"/>
        </w:rPr>
        <w:t>the EU Minimum Wage initiative</w:t>
      </w:r>
      <w:r>
        <w:rPr>
          <w:rStyle w:val="FootnoteReference"/>
          <w:rFonts w:ascii="Times New Roman" w:hAnsi="Times New Roman" w:cs="Times New Roman"/>
          <w:noProof/>
          <w:sz w:val="24"/>
          <w:szCs w:val="24"/>
        </w:rPr>
        <w:footnoteReference w:id="14"/>
      </w:r>
      <w:r>
        <w:rPr>
          <w:rFonts w:ascii="Times New Roman" w:hAnsi="Times New Roman" w:cs="Times New Roman"/>
          <w:noProof/>
          <w:sz w:val="24"/>
          <w:szCs w:val="24"/>
        </w:rPr>
        <w:t xml:space="preserve"> and the sustainable corporate governance initiative</w:t>
      </w:r>
      <w:r>
        <w:rPr>
          <w:rStyle w:val="FootnoteReference"/>
          <w:rFonts w:ascii="Times New Roman" w:hAnsi="Times New Roman" w:cs="Times New Roman"/>
          <w:noProof/>
          <w:sz w:val="24"/>
          <w:szCs w:val="24"/>
        </w:rPr>
        <w:footnoteReference w:id="15"/>
      </w:r>
      <w:r>
        <w:rPr>
          <w:rFonts w:ascii="Times New Roman" w:hAnsi="Times New Roman" w:cs="Times New Roman"/>
          <w:noProof/>
          <w:sz w:val="24"/>
          <w:szCs w:val="24"/>
        </w:rPr>
        <w:t>.</w:t>
      </w:r>
    </w:p>
    <w:p>
      <w:pPr>
        <w:spacing w:after="120"/>
        <w:jc w:val="both"/>
        <w:rPr>
          <w:rFonts w:ascii="Times New Roman" w:hAnsi="Times New Roman" w:cs="Times New Roman"/>
          <w:noProof/>
          <w:sz w:val="24"/>
          <w:szCs w:val="24"/>
          <w:shd w:val="clear" w:color="auto" w:fill="FFFFFF"/>
        </w:rPr>
      </w:pPr>
      <w:r>
        <w:rPr>
          <w:rFonts w:ascii="Times New Roman" w:hAnsi="Times New Roman" w:cs="Times New Roman"/>
          <w:noProof/>
          <w:sz w:val="24"/>
          <w:szCs w:val="24"/>
          <w:shd w:val="clear" w:color="auto" w:fill="FFFFFF"/>
        </w:rPr>
        <w:t>While addressing the implementation of the principle of equal pay through pay transparency, this initiative takes into account different features of national social dialogue and collective bargaining systems as well as the autonomy of social partners and their contractual freedom. It also recognises the important role of social partners in addressing gender pay inequalities, including through pay transparency.</w:t>
      </w:r>
    </w:p>
    <w:p>
      <w:pPr>
        <w:pStyle w:val="Heading1"/>
        <w:numPr>
          <w:ilvl w:val="0"/>
          <w:numId w:val="1"/>
        </w:numPr>
        <w:tabs>
          <w:tab w:val="clear" w:pos="2640"/>
          <w:tab w:val="num" w:pos="567"/>
        </w:tabs>
        <w:spacing w:before="120" w:after="120" w:line="276" w:lineRule="auto"/>
        <w:ind w:left="2642" w:hanging="2642"/>
        <w:rPr>
          <w:smallCaps w:val="0"/>
          <w:noProof/>
        </w:rPr>
      </w:pPr>
      <w:bookmarkStart w:id="153" w:name="_Toc47455444"/>
      <w:bookmarkStart w:id="154" w:name="_Toc49527857"/>
      <w:bookmarkStart w:id="155" w:name="_Toc49529978"/>
      <w:bookmarkStart w:id="156" w:name="_Toc49530642"/>
      <w:bookmarkStart w:id="157" w:name="_Toc49532592"/>
      <w:bookmarkStart w:id="158" w:name="_Toc49695756"/>
      <w:bookmarkStart w:id="159" w:name="_Toc49695940"/>
      <w:bookmarkStart w:id="160" w:name="_Toc49805458"/>
      <w:bookmarkStart w:id="161" w:name="_Toc49806170"/>
      <w:bookmarkStart w:id="162" w:name="_Toc49877739"/>
      <w:bookmarkStart w:id="163" w:name="_Toc49881125"/>
      <w:bookmarkStart w:id="164" w:name="_Toc49884186"/>
      <w:bookmarkStart w:id="165" w:name="_Toc49884262"/>
      <w:bookmarkStart w:id="166" w:name="_Toc49893518"/>
      <w:bookmarkStart w:id="167" w:name="_Toc49933905"/>
      <w:bookmarkStart w:id="168" w:name="_Toc49937825"/>
      <w:bookmarkStart w:id="169" w:name="_Toc49942038"/>
      <w:bookmarkStart w:id="170" w:name="_Toc49948506"/>
      <w:bookmarkStart w:id="171" w:name="_Toc49952980"/>
      <w:bookmarkStart w:id="172" w:name="_Toc49954730"/>
      <w:bookmarkStart w:id="173" w:name="_Toc49955747"/>
      <w:bookmarkStart w:id="174" w:name="_Toc49958247"/>
      <w:bookmarkStart w:id="175" w:name="_Toc49958442"/>
      <w:bookmarkStart w:id="176" w:name="_Toc49961968"/>
      <w:bookmarkStart w:id="177" w:name="_Toc49962472"/>
      <w:bookmarkStart w:id="178" w:name="_Toc49962681"/>
      <w:bookmarkStart w:id="179" w:name="_Toc49963155"/>
      <w:bookmarkStart w:id="180" w:name="_Toc53678178"/>
      <w:bookmarkStart w:id="181" w:name="_Toc53678398"/>
      <w:bookmarkStart w:id="182" w:name="_Toc53678718"/>
      <w:bookmarkStart w:id="183" w:name="_Toc53680069"/>
      <w:bookmarkStart w:id="184" w:name="_Toc54289091"/>
      <w:bookmarkStart w:id="185" w:name="_Toc54290562"/>
      <w:bookmarkStart w:id="186" w:name="_Toc54290931"/>
      <w:bookmarkStart w:id="187" w:name="_Toc54292057"/>
      <w:bookmarkStart w:id="188" w:name="_Toc54340615"/>
      <w:bookmarkStart w:id="189" w:name="_Toc54345717"/>
      <w:bookmarkStart w:id="190" w:name="_Toc54348730"/>
      <w:bookmarkStart w:id="191" w:name="_Toc54355060"/>
      <w:bookmarkStart w:id="192" w:name="_Toc54355039"/>
      <w:bookmarkStart w:id="193" w:name="_Toc54355585"/>
      <w:bookmarkStart w:id="194" w:name="_Toc54356101"/>
      <w:bookmarkStart w:id="195" w:name="_Toc54356652"/>
      <w:bookmarkStart w:id="196" w:name="_Toc54357519"/>
      <w:bookmarkStart w:id="197" w:name="_Toc54357616"/>
      <w:bookmarkStart w:id="198" w:name="_Toc54364580"/>
      <w:bookmarkStart w:id="199" w:name="_Toc54371188"/>
      <w:bookmarkStart w:id="200" w:name="_Toc54372025"/>
      <w:bookmarkStart w:id="201" w:name="_Toc54376632"/>
      <w:bookmarkStart w:id="202" w:name="_Toc58767182"/>
      <w:bookmarkStart w:id="203" w:name="_Toc58769489"/>
      <w:bookmarkStart w:id="204" w:name="_Toc58863828"/>
      <w:bookmarkStart w:id="205" w:name="_Toc58868855"/>
      <w:bookmarkStart w:id="206" w:name="_Toc58870686"/>
      <w:bookmarkStart w:id="207" w:name="_Toc58870919"/>
      <w:bookmarkStart w:id="208" w:name="_Toc58871825"/>
      <w:bookmarkStart w:id="209" w:name="_Toc58872040"/>
      <w:bookmarkStart w:id="210" w:name="_Toc58922787"/>
      <w:bookmarkStart w:id="211" w:name="_Toc58925369"/>
      <w:bookmarkStart w:id="212" w:name="_Toc58928871"/>
      <w:bookmarkStart w:id="213" w:name="_Toc58931873"/>
      <w:bookmarkStart w:id="214" w:name="_Toc58947398"/>
      <w:bookmarkStart w:id="215" w:name="_Toc58950060"/>
      <w:bookmarkStart w:id="216" w:name="_Toc58950480"/>
      <w:bookmarkStart w:id="217" w:name="_Toc58956772"/>
      <w:bookmarkStart w:id="218" w:name="_Toc58957937"/>
      <w:bookmarkStart w:id="219" w:name="_Toc58962470"/>
      <w:bookmarkStart w:id="220" w:name="_Toc59096499"/>
      <w:bookmarkStart w:id="221" w:name="_Toc59103095"/>
      <w:bookmarkStart w:id="222" w:name="_Toc59104946"/>
      <w:bookmarkStart w:id="223" w:name="_Toc59119906"/>
      <w:bookmarkStart w:id="224" w:name="_Toc59121170"/>
      <w:bookmarkStart w:id="225" w:name="_Toc59121289"/>
      <w:bookmarkStart w:id="226" w:name="_Toc59549336"/>
      <w:bookmarkStart w:id="227" w:name="_Toc59642295"/>
      <w:r>
        <w:rPr>
          <w:smallCaps w:val="0"/>
          <w:noProof/>
        </w:rPr>
        <w:t>Problem definition</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pPr>
        <w:pStyle w:val="Heading2"/>
        <w:numPr>
          <w:ilvl w:val="1"/>
          <w:numId w:val="1"/>
        </w:numPr>
        <w:spacing w:after="120"/>
        <w:ind w:left="1276" w:hanging="709"/>
        <w:rPr>
          <w:noProof/>
        </w:rPr>
      </w:pPr>
      <w:bookmarkStart w:id="228" w:name="_Toc47455445"/>
      <w:bookmarkStart w:id="229" w:name="_Toc49527858"/>
      <w:bookmarkStart w:id="230" w:name="_Toc49529979"/>
      <w:bookmarkStart w:id="231" w:name="_Toc49530643"/>
      <w:bookmarkStart w:id="232" w:name="_Toc49532593"/>
      <w:bookmarkStart w:id="233" w:name="_Toc49695757"/>
      <w:bookmarkStart w:id="234" w:name="_Toc49695941"/>
      <w:bookmarkStart w:id="235" w:name="_Toc49805459"/>
      <w:bookmarkStart w:id="236" w:name="_Toc49806171"/>
      <w:bookmarkStart w:id="237" w:name="_Toc49877740"/>
      <w:bookmarkStart w:id="238" w:name="_Toc49881126"/>
      <w:bookmarkStart w:id="239" w:name="_Toc49884187"/>
      <w:bookmarkStart w:id="240" w:name="_Toc49884263"/>
      <w:bookmarkStart w:id="241" w:name="_Toc49893519"/>
      <w:bookmarkStart w:id="242" w:name="_Toc49933906"/>
      <w:bookmarkStart w:id="243" w:name="_Toc49937826"/>
      <w:bookmarkStart w:id="244" w:name="_Toc49942039"/>
      <w:bookmarkStart w:id="245" w:name="_Toc49948507"/>
      <w:bookmarkStart w:id="246" w:name="_Toc49952981"/>
      <w:bookmarkStart w:id="247" w:name="_Toc49954731"/>
      <w:bookmarkStart w:id="248" w:name="_Toc49955748"/>
      <w:bookmarkStart w:id="249" w:name="_Toc49958248"/>
      <w:bookmarkStart w:id="250" w:name="_Toc49958443"/>
      <w:bookmarkStart w:id="251" w:name="_Toc49961969"/>
      <w:bookmarkStart w:id="252" w:name="_Toc49962473"/>
      <w:bookmarkStart w:id="253" w:name="_Toc49962682"/>
      <w:bookmarkStart w:id="254" w:name="_Toc49963156"/>
      <w:bookmarkStart w:id="255" w:name="_Toc53678179"/>
      <w:bookmarkStart w:id="256" w:name="_Toc53678399"/>
      <w:bookmarkStart w:id="257" w:name="_Toc53678719"/>
      <w:bookmarkStart w:id="258" w:name="_Toc53680070"/>
      <w:bookmarkStart w:id="259" w:name="_Toc54289092"/>
      <w:bookmarkStart w:id="260" w:name="_Toc54290563"/>
      <w:bookmarkStart w:id="261" w:name="_Toc54290932"/>
      <w:bookmarkStart w:id="262" w:name="_Toc54292058"/>
      <w:bookmarkStart w:id="263" w:name="_Toc54340616"/>
      <w:bookmarkStart w:id="264" w:name="_Toc54345718"/>
      <w:bookmarkStart w:id="265" w:name="_Toc54348731"/>
      <w:bookmarkStart w:id="266" w:name="_Toc54355061"/>
      <w:bookmarkStart w:id="267" w:name="_Toc54355040"/>
      <w:bookmarkStart w:id="268" w:name="_Toc54355586"/>
      <w:bookmarkStart w:id="269" w:name="_Toc54356102"/>
      <w:bookmarkStart w:id="270" w:name="_Toc54356653"/>
      <w:bookmarkStart w:id="271" w:name="_Toc54357520"/>
      <w:bookmarkStart w:id="272" w:name="_Toc54357617"/>
      <w:bookmarkStart w:id="273" w:name="_Toc54364581"/>
      <w:bookmarkStart w:id="274" w:name="_Toc54371189"/>
      <w:bookmarkStart w:id="275" w:name="_Toc54372026"/>
      <w:bookmarkStart w:id="276" w:name="_Toc54376633"/>
      <w:bookmarkStart w:id="277" w:name="_Toc58767183"/>
      <w:bookmarkStart w:id="278" w:name="_Toc58769490"/>
      <w:bookmarkStart w:id="279" w:name="_Toc58863829"/>
      <w:bookmarkStart w:id="280" w:name="_Toc58868856"/>
      <w:bookmarkStart w:id="281" w:name="_Toc58870687"/>
      <w:bookmarkStart w:id="282" w:name="_Toc58870920"/>
      <w:bookmarkStart w:id="283" w:name="_Toc58871826"/>
      <w:bookmarkStart w:id="284" w:name="_Toc58872041"/>
      <w:bookmarkStart w:id="285" w:name="_Toc58922788"/>
      <w:bookmarkStart w:id="286" w:name="_Toc58925370"/>
      <w:bookmarkStart w:id="287" w:name="_Toc58928872"/>
      <w:bookmarkStart w:id="288" w:name="_Toc58931874"/>
      <w:bookmarkStart w:id="289" w:name="_Toc58947399"/>
      <w:bookmarkStart w:id="290" w:name="_Toc58950061"/>
      <w:bookmarkStart w:id="291" w:name="_Toc58950481"/>
      <w:bookmarkStart w:id="292" w:name="_Toc58956773"/>
      <w:bookmarkStart w:id="293" w:name="_Toc58957938"/>
      <w:bookmarkStart w:id="294" w:name="_Toc58962471"/>
      <w:bookmarkStart w:id="295" w:name="_Toc59096500"/>
      <w:bookmarkStart w:id="296" w:name="_Toc59103096"/>
      <w:bookmarkStart w:id="297" w:name="_Toc59104947"/>
      <w:bookmarkStart w:id="298" w:name="_Toc59119907"/>
      <w:bookmarkStart w:id="299" w:name="_Toc59121171"/>
      <w:bookmarkStart w:id="300" w:name="_Toc59121290"/>
      <w:bookmarkStart w:id="301" w:name="_Toc59549337"/>
      <w:bookmarkStart w:id="302" w:name="_Toc59642296"/>
      <w:r>
        <w:rPr>
          <w:noProof/>
        </w:rPr>
        <w:t>What is the problem?</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pPr>
        <w:spacing w:after="120"/>
        <w:jc w:val="both"/>
        <w:rPr>
          <w:rFonts w:ascii="Times New Roman" w:eastAsia="Calibri" w:hAnsi="Times New Roman" w:cs="Times New Roman"/>
          <w:noProof/>
          <w:sz w:val="24"/>
          <w:szCs w:val="24"/>
          <w:lang w:eastAsia="en-IE"/>
        </w:rPr>
      </w:pPr>
      <w:bookmarkStart w:id="303" w:name="_Toc47455446"/>
      <w:r>
        <w:rPr>
          <w:rFonts w:ascii="Times New Roman" w:eastAsia="Calibri" w:hAnsi="Times New Roman" w:cs="Times New Roman"/>
          <w:noProof/>
          <w:sz w:val="24"/>
          <w:szCs w:val="24"/>
          <w:lang w:eastAsia="en-IE"/>
        </w:rPr>
        <w:t xml:space="preserve">The problem tackled in this initiative is the failure to </w:t>
      </w:r>
      <w:r>
        <w:rPr>
          <w:rFonts w:ascii="Times New Roman" w:eastAsia="Calibri" w:hAnsi="Times New Roman" w:cs="Times New Roman"/>
          <w:b/>
          <w:bCs/>
          <w:noProof/>
          <w:sz w:val="24"/>
          <w:szCs w:val="24"/>
          <w:lang w:eastAsia="en-IE"/>
        </w:rPr>
        <w:t>realise in the European Union the fundamental right to equal pay for the same work or work of equal value</w:t>
      </w:r>
      <w:r>
        <w:rPr>
          <w:rFonts w:ascii="Times New Roman" w:eastAsia="Calibri" w:hAnsi="Times New Roman" w:cs="Times New Roman"/>
          <w:noProof/>
          <w:sz w:val="24"/>
          <w:szCs w:val="24"/>
          <w:lang w:eastAsia="en-IE"/>
        </w:rPr>
        <w:t>, despite this right being enshrined in EU law for more than 60 years. The information and data presented in the 2020 evaluation</w:t>
      </w:r>
      <w:r>
        <w:rPr>
          <w:rStyle w:val="FootnoteReference"/>
          <w:rFonts w:ascii="Times New Roman" w:eastAsia="Calibri" w:hAnsi="Times New Roman" w:cs="Times New Roman"/>
          <w:noProof/>
          <w:sz w:val="24"/>
          <w:szCs w:val="24"/>
          <w:lang w:eastAsia="en-IE"/>
        </w:rPr>
        <w:footnoteReference w:id="16"/>
      </w:r>
      <w:r>
        <w:rPr>
          <w:rFonts w:ascii="Times New Roman" w:eastAsia="Calibri" w:hAnsi="Times New Roman" w:cs="Times New Roman"/>
          <w:noProof/>
          <w:sz w:val="24"/>
          <w:szCs w:val="24"/>
          <w:lang w:eastAsia="en-IE"/>
        </w:rPr>
        <w:t xml:space="preserve"> and in this chapter show that this failure persists</w:t>
      </w:r>
      <w:r>
        <w:rPr>
          <w:rFonts w:ascii="Times New Roman" w:eastAsia="Calibri" w:hAnsi="Times New Roman" w:cs="Times New Roman"/>
          <w:noProof/>
          <w:sz w:val="24"/>
          <w:szCs w:val="24"/>
          <w:vertAlign w:val="superscript"/>
          <w:lang w:eastAsia="en-IE"/>
        </w:rPr>
        <w:footnoteReference w:id="17"/>
      </w:r>
      <w:r>
        <w:rPr>
          <w:rFonts w:ascii="Times New Roman" w:eastAsia="Calibri" w:hAnsi="Times New Roman" w:cs="Times New Roman"/>
          <w:noProof/>
          <w:sz w:val="24"/>
          <w:szCs w:val="24"/>
          <w:lang w:eastAsia="en-IE"/>
        </w:rPr>
        <w:t>.</w:t>
      </w:r>
      <w:r>
        <w:rPr>
          <w:rFonts w:ascii="Times New Roman" w:hAnsi="Times New Roman" w:cs="Times New Roman"/>
          <w:noProof/>
          <w:sz w:val="24"/>
          <w:szCs w:val="24"/>
        </w:rPr>
        <w:t xml:space="preserve"> </w:t>
      </w:r>
    </w:p>
    <w:bookmarkEnd w:id="303"/>
    <w:p>
      <w:pPr>
        <w:spacing w:after="120"/>
        <w:jc w:val="both"/>
        <w:rPr>
          <w:rFonts w:ascii="Times New Roman" w:hAnsi="Times New Roman" w:cs="Times New Roman"/>
          <w:noProof/>
          <w:sz w:val="24"/>
          <w:szCs w:val="24"/>
        </w:rPr>
      </w:pPr>
      <w:r>
        <w:rPr>
          <w:rFonts w:ascii="Times New Roman" w:eastAsia="Calibri" w:hAnsi="Times New Roman" w:cs="Times New Roman"/>
          <w:noProof/>
          <w:sz w:val="24"/>
          <w:szCs w:val="24"/>
          <w:lang w:eastAsia="en-IE"/>
        </w:rPr>
        <w:t xml:space="preserve">The failure to realise the right to equal pay means that women and men may still be discriminated either directly or on the basis of pay structures that do not value the work of women and men equally, i.e. according to objective and gender-neutral criteria. </w:t>
      </w:r>
    </w:p>
    <w:p>
      <w:pPr>
        <w:spacing w:after="120"/>
        <w:jc w:val="both"/>
        <w:rPr>
          <w:rFonts w:ascii="Times New Roman" w:hAnsi="Times New Roman" w:cs="Times New Roman"/>
          <w:noProof/>
          <w:sz w:val="24"/>
          <w:szCs w:val="24"/>
        </w:rPr>
      </w:pPr>
      <w:r>
        <w:rPr>
          <w:rFonts w:ascii="Times New Roman" w:eastAsia="Calibri" w:hAnsi="Times New Roman" w:cs="Times New Roman"/>
          <w:noProof/>
          <w:sz w:val="24"/>
          <w:szCs w:val="24"/>
          <w:lang w:eastAsia="en-IE"/>
        </w:rPr>
        <w:t>In many cases, discrimination or bias is the result not of deliberate discriminatory behaviour but rather of a failure to grasp, both by workers and employers, what it means in practice to pay men and women equally for the same work or for work of equal value.</w:t>
      </w:r>
      <w:r>
        <w:rPr>
          <w:rStyle w:val="FootnoteReference"/>
          <w:rFonts w:ascii="Times New Roman" w:eastAsia="Calibri" w:hAnsi="Times New Roman" w:cs="Times New Roman"/>
          <w:noProof/>
          <w:sz w:val="24"/>
          <w:szCs w:val="24"/>
          <w:lang w:eastAsia="en-IE"/>
        </w:rPr>
        <w:t xml:space="preserve"> </w:t>
      </w:r>
      <w:r>
        <w:rPr>
          <w:rStyle w:val="FootnoteReference"/>
          <w:rFonts w:ascii="Times New Roman" w:eastAsia="Calibri" w:hAnsi="Times New Roman" w:cs="Times New Roman"/>
          <w:noProof/>
          <w:sz w:val="24"/>
          <w:szCs w:val="24"/>
          <w:lang w:eastAsia="en-IE"/>
        </w:rPr>
        <w:footnoteReference w:id="18"/>
      </w:r>
      <w:r>
        <w:rPr>
          <w:rFonts w:ascii="Times New Roman" w:eastAsia="Calibri" w:hAnsi="Times New Roman" w:cs="Times New Roman"/>
          <w:noProof/>
          <w:sz w:val="24"/>
          <w:szCs w:val="24"/>
          <w:lang w:eastAsia="en-IE"/>
        </w:rPr>
        <w:t xml:space="preserve"> This might not be straightforward, especially when it comes to ‘work of equal value’ since it must first be assessed what is the value of the jobs concerned and second whether the pay received by men and women for jobs of same value is not discriminatory on the basis of sex</w:t>
      </w:r>
      <w:r>
        <w:rPr>
          <w:rStyle w:val="FootnoteReference"/>
          <w:rFonts w:ascii="Times New Roman" w:eastAsia="Calibri" w:hAnsi="Times New Roman" w:cs="Times New Roman"/>
          <w:noProof/>
          <w:sz w:val="24"/>
          <w:szCs w:val="24"/>
          <w:lang w:eastAsia="en-IE"/>
        </w:rPr>
        <w:footnoteReference w:id="19"/>
      </w:r>
      <w:r>
        <w:rPr>
          <w:rFonts w:ascii="Times New Roman" w:eastAsia="Calibri" w:hAnsi="Times New Roman" w:cs="Times New Roman"/>
          <w:noProof/>
          <w:sz w:val="24"/>
          <w:szCs w:val="24"/>
          <w:lang w:eastAsia="en-IE"/>
        </w:rPr>
        <w:t xml:space="preserve">. </w:t>
      </w:r>
      <w:r>
        <w:rPr>
          <w:rFonts w:ascii="Times New Roman" w:hAnsi="Times New Roman" w:cs="Times New Roman"/>
          <w:noProof/>
          <w:sz w:val="24"/>
          <w:szCs w:val="24"/>
        </w:rPr>
        <w:t xml:space="preserve">It is important to stress at the outset that under the current state of the law in the EU, the concept of ‘work of equal value’ </w:t>
      </w:r>
      <w:r>
        <w:rPr>
          <w:rFonts w:ascii="Times New Roman" w:hAnsi="Times New Roman" w:cs="Times New Roman"/>
          <w:noProof/>
          <w:sz w:val="24"/>
          <w:szCs w:val="24"/>
          <w:u w:val="single"/>
        </w:rPr>
        <w:t>only</w:t>
      </w:r>
      <w:r>
        <w:rPr>
          <w:rFonts w:ascii="Times New Roman" w:hAnsi="Times New Roman" w:cs="Times New Roman"/>
          <w:noProof/>
          <w:sz w:val="24"/>
          <w:szCs w:val="24"/>
        </w:rPr>
        <w:t xml:space="preserve"> applies to different occupations defined as of equal value in the same organisation.</w:t>
      </w:r>
    </w:p>
    <w:p>
      <w:pPr>
        <w:spacing w:after="120"/>
        <w:jc w:val="both"/>
        <w:rPr>
          <w:rFonts w:ascii="Times New Roman" w:eastAsia="Calibri" w:hAnsi="Times New Roman" w:cs="Times New Roman"/>
          <w:noProof/>
          <w:sz w:val="24"/>
          <w:szCs w:val="24"/>
          <w:lang w:eastAsia="en-IE"/>
        </w:rPr>
      </w:pPr>
      <w:r>
        <w:rPr>
          <w:rFonts w:ascii="Times New Roman" w:eastAsia="Calibri" w:hAnsi="Times New Roman" w:cs="Times New Roman"/>
          <w:noProof/>
          <w:sz w:val="24"/>
          <w:szCs w:val="24"/>
          <w:lang w:eastAsia="en-IE"/>
        </w:rPr>
        <w:t>A number of legal cases illustrate the matter at stake. For instance, in a landmark case in Belgium regarding equal pay for the same work, a female researcher in the European Trade Union Institute did not receive the same automatic promotion going with seniority as her male counterparts. The Labour Court of Appeal of Brussels found the employer’s pay system opaque and, referring to the CJEU’s decision in Case 109/88 Danfoss</w:t>
      </w:r>
      <w:r>
        <w:rPr>
          <w:rStyle w:val="FootnoteReference"/>
          <w:rFonts w:ascii="Times New Roman" w:eastAsia="Calibri" w:hAnsi="Times New Roman" w:cs="Times New Roman"/>
          <w:noProof/>
          <w:sz w:val="24"/>
          <w:szCs w:val="24"/>
          <w:lang w:eastAsia="en-IE"/>
        </w:rPr>
        <w:footnoteReference w:id="20"/>
      </w:r>
      <w:r>
        <w:rPr>
          <w:rFonts w:ascii="Times New Roman" w:eastAsia="Calibri" w:hAnsi="Times New Roman" w:cs="Times New Roman"/>
          <w:noProof/>
          <w:sz w:val="24"/>
          <w:szCs w:val="24"/>
          <w:lang w:eastAsia="en-IE"/>
        </w:rPr>
        <w:t>, concluded that there had been gender-based pay discrimination.</w:t>
      </w:r>
      <w:r>
        <w:rPr>
          <w:rStyle w:val="FootnoteReference"/>
          <w:rFonts w:ascii="Times New Roman" w:eastAsia="Calibri" w:hAnsi="Times New Roman" w:cs="Times New Roman"/>
          <w:noProof/>
          <w:sz w:val="24"/>
          <w:szCs w:val="24"/>
          <w:lang w:eastAsia="en-IE"/>
        </w:rPr>
        <w:footnoteReference w:id="21"/>
      </w:r>
    </w:p>
    <w:p>
      <w:pPr>
        <w:spacing w:after="120"/>
        <w:jc w:val="both"/>
        <w:rPr>
          <w:rFonts w:ascii="Times New Roman" w:eastAsia="Calibri" w:hAnsi="Times New Roman" w:cs="Times New Roman"/>
          <w:noProof/>
          <w:sz w:val="24"/>
          <w:szCs w:val="24"/>
          <w:lang w:eastAsia="en-IE"/>
        </w:rPr>
      </w:pPr>
      <w:r>
        <w:rPr>
          <w:rFonts w:ascii="Times New Roman" w:eastAsia="Calibri" w:hAnsi="Times New Roman" w:cs="Times New Roman"/>
          <w:noProof/>
          <w:sz w:val="24"/>
          <w:szCs w:val="24"/>
          <w:lang w:eastAsia="en-IE"/>
        </w:rPr>
        <w:t>In another case, the French Supreme Court</w:t>
      </w:r>
      <w:r>
        <w:rPr>
          <w:rFonts w:ascii="Times New Roman" w:hAnsi="Times New Roman" w:cs="Times New Roman"/>
          <w:noProof/>
          <w:color w:val="000000"/>
          <w:sz w:val="24"/>
          <w:szCs w:val="24"/>
        </w:rPr>
        <w:t xml:space="preserve"> was faced with an equal pay claim from a female mushroom packer comparing her work with more highly paid male packers</w:t>
      </w:r>
      <w:r>
        <w:rPr>
          <w:rStyle w:val="FootnoteReference"/>
          <w:rFonts w:ascii="Times New Roman" w:eastAsia="Calibri" w:hAnsi="Times New Roman" w:cs="Times New Roman"/>
          <w:noProof/>
          <w:sz w:val="24"/>
          <w:szCs w:val="24"/>
          <w:lang w:eastAsia="en-IE"/>
        </w:rPr>
        <w:footnoteReference w:id="22"/>
      </w:r>
      <w:r>
        <w:rPr>
          <w:rFonts w:ascii="Times New Roman" w:hAnsi="Times New Roman" w:cs="Times New Roman"/>
          <w:noProof/>
          <w:color w:val="000000"/>
          <w:sz w:val="24"/>
          <w:szCs w:val="24"/>
        </w:rPr>
        <w:t>. The Court noted that it was clear that women packers were systematically paid less than their male equivalents and that the employer could not produce any objective reasons for such difference between men and women doing the same work.</w:t>
      </w:r>
    </w:p>
    <w:p>
      <w:pPr>
        <w:spacing w:after="120"/>
        <w:jc w:val="both"/>
        <w:rPr>
          <w:rFonts w:ascii="Times New Roman" w:eastAsia="Calibri" w:hAnsi="Times New Roman" w:cs="Times New Roman"/>
          <w:noProof/>
          <w:sz w:val="24"/>
          <w:szCs w:val="24"/>
          <w:lang w:eastAsia="en-IE"/>
        </w:rPr>
      </w:pPr>
      <w:r>
        <w:rPr>
          <w:rFonts w:ascii="Times New Roman" w:eastAsia="Calibri" w:hAnsi="Times New Roman" w:cs="Times New Roman"/>
          <w:noProof/>
          <w:sz w:val="24"/>
          <w:szCs w:val="24"/>
          <w:lang w:eastAsia="en-IE"/>
        </w:rPr>
        <w:t xml:space="preserve">A UK landmark case from 2018 concerned the right to equal pay for work of equal value. In this case, </w:t>
      </w:r>
      <w:bookmarkStart w:id="304" w:name="para1"/>
      <w:r>
        <w:rPr>
          <w:rFonts w:ascii="Times New Roman" w:eastAsia="Calibri" w:hAnsi="Times New Roman" w:cs="Times New Roman"/>
          <w:noProof/>
          <w:sz w:val="24"/>
          <w:szCs w:val="24"/>
          <w:lang w:eastAsia="en-IE"/>
        </w:rPr>
        <w:t>a</w:t>
      </w:r>
      <w:r>
        <w:rPr>
          <w:rFonts w:ascii="Times New Roman" w:hAnsi="Times New Roman" w:cs="Times New Roman"/>
          <w:noProof/>
          <w:color w:val="000000"/>
          <w:sz w:val="24"/>
          <w:szCs w:val="24"/>
        </w:rPr>
        <w:t>bout 30,000 claimants, mostly women working in ASDA supermarkets as shop-floor staff, brought equal pay claims against their employer on the basis of comparisons with the pay of male workers employed at depots as part of ASDA's distribution operation</w:t>
      </w:r>
      <w:bookmarkEnd w:id="304"/>
      <w:r>
        <w:rPr>
          <w:rFonts w:ascii="Times New Roman" w:hAnsi="Times New Roman" w:cs="Times New Roman"/>
          <w:noProof/>
          <w:color w:val="000000"/>
          <w:sz w:val="24"/>
          <w:szCs w:val="24"/>
        </w:rPr>
        <w:t>. The Court of Appeal of England and Wales held that the women were discriminated as the work of the shop-floor staff should be considered of equal value as the work in the distribution center.</w:t>
      </w:r>
      <w:r>
        <w:rPr>
          <w:rStyle w:val="FootnoteReference"/>
          <w:rFonts w:ascii="Times New Roman" w:eastAsia="Calibri" w:hAnsi="Times New Roman" w:cs="Times New Roman"/>
          <w:noProof/>
          <w:sz w:val="24"/>
          <w:szCs w:val="24"/>
          <w:lang w:eastAsia="en-IE"/>
        </w:rPr>
        <w:footnoteReference w:id="23"/>
      </w:r>
      <w:r>
        <w:rPr>
          <w:rFonts w:ascii="Times New Roman" w:eastAsia="Calibri" w:hAnsi="Times New Roman" w:cs="Times New Roman"/>
          <w:noProof/>
          <w:sz w:val="24"/>
          <w:szCs w:val="24"/>
          <w:lang w:eastAsia="en-IE"/>
        </w:rPr>
        <w:t xml:space="preserve"> </w:t>
      </w:r>
    </w:p>
    <w:p>
      <w:pPr>
        <w:spacing w:after="120"/>
        <w:jc w:val="both"/>
        <w:rPr>
          <w:rFonts w:ascii="Times New Roman" w:eastAsia="Calibri" w:hAnsi="Times New Roman" w:cs="Times New Roman"/>
          <w:noProof/>
          <w:sz w:val="24"/>
          <w:szCs w:val="24"/>
          <w:lang w:eastAsia="en-IE"/>
        </w:rPr>
      </w:pPr>
      <w:r>
        <w:rPr>
          <w:rFonts w:ascii="Times New Roman" w:eastAsia="Calibri" w:hAnsi="Times New Roman" w:cs="Times New Roman"/>
          <w:noProof/>
          <w:sz w:val="24"/>
          <w:szCs w:val="24"/>
          <w:lang w:eastAsia="en-IE"/>
        </w:rPr>
        <w:t>It was only possible for the claimants in the above cases to claim their right because they had the necessary information on the average pay levels of their male colleagues and because, in the UK case, they were able to group their 30,000 claims. Landmark cases like these only show a small top of a possible iceberg. Many women in the EU having salaries below those of their male colleagues doing the same work or work of equal value, do not necessarily know about it as they do not have the necessary information about average pay levels. This means they cannot enforce their right to equal pay.</w:t>
      </w:r>
      <w:r>
        <w:rPr>
          <w:rFonts w:ascii="Times New Roman" w:hAnsi="Times New Roman" w:cs="Times New Roman"/>
          <w:noProof/>
          <w:sz w:val="24"/>
          <w:szCs w:val="24"/>
        </w:rPr>
        <w:t xml:space="preserve"> Lack of transparency thus hinders uncovering pay discrimination and allows discriminatory pay structures to remain in place.</w:t>
      </w:r>
    </w:p>
    <w:p>
      <w:pPr>
        <w:spacing w:before="240" w:after="120"/>
        <w:jc w:val="both"/>
        <w:rPr>
          <w:rFonts w:ascii="Times New Roman" w:eastAsia="Calibri" w:hAnsi="Times New Roman" w:cs="Times New Roman"/>
          <w:i/>
          <w:iCs/>
          <w:noProof/>
          <w:sz w:val="24"/>
          <w:szCs w:val="24"/>
          <w:lang w:eastAsia="en-IE"/>
        </w:rPr>
      </w:pPr>
      <w:r>
        <w:rPr>
          <w:rFonts w:ascii="Times New Roman" w:eastAsia="Calibri" w:hAnsi="Times New Roman" w:cs="Times New Roman"/>
          <w:i/>
          <w:iCs/>
          <w:noProof/>
          <w:sz w:val="24"/>
          <w:szCs w:val="24"/>
          <w:lang w:eastAsia="en-IE"/>
        </w:rPr>
        <w:t>Gender pay discrimination and the gender pay gap</w:t>
      </w:r>
    </w:p>
    <w:p>
      <w:pPr>
        <w:spacing w:after="120"/>
        <w:jc w:val="both"/>
        <w:rPr>
          <w:rFonts w:ascii="Times New Roman" w:eastAsia="Calibri" w:hAnsi="Times New Roman" w:cs="Times New Roman"/>
          <w:noProof/>
          <w:sz w:val="24"/>
          <w:szCs w:val="24"/>
          <w:lang w:eastAsia="en-IE"/>
        </w:rPr>
      </w:pPr>
      <w:r>
        <w:rPr>
          <w:rFonts w:ascii="Times New Roman" w:eastAsia="Calibri" w:hAnsi="Times New Roman" w:cs="Times New Roman"/>
          <w:noProof/>
          <w:sz w:val="24"/>
          <w:szCs w:val="24"/>
          <w:lang w:eastAsia="en-IE"/>
        </w:rPr>
        <w:t xml:space="preserve">Individual pay discrimination and systemic bias in pay structures are only one of </w:t>
      </w:r>
      <w:r>
        <w:rPr>
          <w:rFonts w:ascii="Times New Roman" w:eastAsia="Calibri" w:hAnsi="Times New Roman" w:cs="Times New Roman"/>
          <w:i/>
          <w:iCs/>
          <w:noProof/>
          <w:sz w:val="24"/>
          <w:szCs w:val="24"/>
          <w:lang w:eastAsia="en-IE"/>
        </w:rPr>
        <w:t>the root causes</w:t>
      </w:r>
      <w:r>
        <w:rPr>
          <w:rStyle w:val="FootnoteReference"/>
          <w:rFonts w:ascii="Times New Roman" w:eastAsia="Calibri" w:hAnsi="Times New Roman" w:cs="Times New Roman"/>
          <w:i/>
          <w:iCs/>
          <w:noProof/>
          <w:sz w:val="24"/>
          <w:szCs w:val="24"/>
          <w:lang w:eastAsia="en-IE"/>
        </w:rPr>
        <w:footnoteReference w:id="24"/>
      </w:r>
      <w:r>
        <w:rPr>
          <w:rFonts w:ascii="Times New Roman" w:eastAsia="Calibri" w:hAnsi="Times New Roman" w:cs="Times New Roman"/>
          <w:i/>
          <w:iCs/>
          <w:noProof/>
          <w:sz w:val="24"/>
          <w:szCs w:val="24"/>
          <w:lang w:eastAsia="en-IE"/>
        </w:rPr>
        <w:t xml:space="preserve"> of the gender pay gap</w:t>
      </w:r>
      <w:r>
        <w:rPr>
          <w:rFonts w:ascii="Times New Roman" w:eastAsia="Calibri" w:hAnsi="Times New Roman" w:cs="Times New Roman"/>
          <w:noProof/>
          <w:sz w:val="24"/>
          <w:szCs w:val="24"/>
          <w:lang w:eastAsia="en-IE"/>
        </w:rPr>
        <w:t>, besides other causes such as horizontal and vertical segregation. The gender pay gap accumulates to and remains at 14% in the European Union overall.</w:t>
      </w:r>
      <w:r>
        <w:rPr>
          <w:rFonts w:ascii="Times New Roman" w:eastAsia="Calibri" w:hAnsi="Times New Roman" w:cs="Times New Roman"/>
          <w:noProof/>
          <w:sz w:val="24"/>
          <w:szCs w:val="24"/>
          <w:vertAlign w:val="superscript"/>
          <w:lang w:eastAsia="en-IE"/>
        </w:rPr>
        <w:footnoteReference w:id="25"/>
      </w:r>
    </w:p>
    <w:p>
      <w:pPr>
        <w:spacing w:after="120"/>
        <w:jc w:val="both"/>
        <w:rPr>
          <w:rFonts w:ascii="Times New Roman" w:eastAsia="Calibri" w:hAnsi="Times New Roman" w:cs="Times New Roman"/>
          <w:noProof/>
          <w:sz w:val="24"/>
          <w:szCs w:val="24"/>
          <w:lang w:eastAsia="en-IE"/>
        </w:rPr>
      </w:pPr>
      <w:r>
        <w:rPr>
          <w:rFonts w:ascii="Times New Roman" w:eastAsia="Calibri" w:hAnsi="Times New Roman" w:cs="Times New Roman"/>
          <w:noProof/>
          <w:sz w:val="24"/>
          <w:szCs w:val="24"/>
          <w:lang w:eastAsia="en-IE"/>
        </w:rPr>
        <w:t xml:space="preserve">From a policy perspective, it would be useful to know in which sectors/occupations/types of employment gender-based pay discrimination is more widespread or whether pay discrimination affects some groups of workers more than others (e.g. among specific contract types or age groups). However, precisely quantifying the overall size of gender-based pay discrimination at that level is not possible as of today. </w:t>
      </w:r>
    </w:p>
    <w:p>
      <w:pPr>
        <w:spacing w:after="120"/>
        <w:jc w:val="both"/>
        <w:rPr>
          <w:rFonts w:ascii="Times New Roman" w:eastAsia="Calibri" w:hAnsi="Times New Roman" w:cs="Times New Roman"/>
          <w:noProof/>
          <w:sz w:val="24"/>
          <w:szCs w:val="24"/>
          <w:lang w:eastAsia="en-IE"/>
        </w:rPr>
      </w:pPr>
      <w:r>
        <w:rPr>
          <w:rFonts w:ascii="Times New Roman" w:eastAsia="Calibri" w:hAnsi="Times New Roman" w:cs="Times New Roman"/>
          <w:noProof/>
          <w:sz w:val="24"/>
          <w:szCs w:val="24"/>
          <w:lang w:eastAsia="en-IE"/>
        </w:rPr>
        <w:t>Indications on the existence of the problem of pay discrimination and gender bias in pay settings can be derived from</w:t>
      </w:r>
      <w:r>
        <w:rPr>
          <w:noProof/>
        </w:rPr>
        <w:t xml:space="preserve"> </w:t>
      </w:r>
      <w:r>
        <w:rPr>
          <w:rFonts w:ascii="Times New Roman" w:eastAsia="Calibri" w:hAnsi="Times New Roman" w:cs="Times New Roman"/>
          <w:noProof/>
          <w:sz w:val="24"/>
          <w:szCs w:val="24"/>
          <w:lang w:eastAsia="en-IE"/>
        </w:rPr>
        <w:t xml:space="preserve">available EU statistics on the gender pay gap at aggregate national level (e.g. the </w:t>
      </w:r>
      <w:r>
        <w:rPr>
          <w:rFonts w:ascii="Times New Roman" w:hAnsi="Times New Roman" w:cs="Times New Roman"/>
          <w:noProof/>
          <w:sz w:val="24"/>
          <w:szCs w:val="24"/>
        </w:rPr>
        <w:t>Structure of Earnings survey (SES) or other national data) and from the analysis of the related SES micro-data</w:t>
      </w:r>
      <w:r>
        <w:rPr>
          <w:rFonts w:ascii="Times New Roman" w:eastAsia="Calibri" w:hAnsi="Times New Roman" w:cs="Times New Roman"/>
          <w:noProof/>
          <w:sz w:val="24"/>
          <w:szCs w:val="24"/>
          <w:lang w:eastAsia="en-IE"/>
        </w:rPr>
        <w:t xml:space="preserve">. </w:t>
      </w:r>
    </w:p>
    <w:p>
      <w:pPr>
        <w:spacing w:after="120"/>
        <w:jc w:val="both"/>
        <w:rPr>
          <w:rFonts w:ascii="Times New Roman" w:eastAsia="Calibri" w:hAnsi="Times New Roman" w:cs="Times New Roman"/>
          <w:noProof/>
          <w:sz w:val="24"/>
          <w:szCs w:val="24"/>
          <w:lang w:eastAsia="en-IE"/>
        </w:rPr>
      </w:pPr>
      <w:r>
        <w:rPr>
          <w:rFonts w:ascii="Times New Roman" w:eastAsia="Calibri" w:hAnsi="Times New Roman" w:cs="Times New Roman"/>
          <w:noProof/>
          <w:sz w:val="24"/>
          <w:szCs w:val="24"/>
          <w:lang w:eastAsia="en-IE"/>
        </w:rPr>
        <w:t>The ‘unadjusted’</w:t>
      </w:r>
      <w:r>
        <w:rPr>
          <w:rFonts w:ascii="Times New Roman" w:eastAsia="Calibri" w:hAnsi="Times New Roman" w:cs="Times New Roman"/>
          <w:noProof/>
          <w:sz w:val="24"/>
          <w:szCs w:val="24"/>
          <w:vertAlign w:val="superscript"/>
          <w:lang w:eastAsia="en-IE"/>
        </w:rPr>
        <w:footnoteReference w:id="26"/>
      </w:r>
      <w:r>
        <w:rPr>
          <w:rFonts w:ascii="Times New Roman" w:eastAsia="Calibri" w:hAnsi="Times New Roman" w:cs="Times New Roman"/>
          <w:noProof/>
          <w:sz w:val="24"/>
          <w:szCs w:val="24"/>
          <w:lang w:eastAsia="en-IE"/>
        </w:rPr>
        <w:t xml:space="preserve"> gender pay gap can be decomposed into two parts. A first component, the ‘statistically explained’ part, is the gap between male and female average earnings due to the differences in the average characteristics (sector of activity, age, occupation, full time versus part time, etc.)</w:t>
      </w:r>
      <w:r>
        <w:rPr>
          <w:rStyle w:val="FootnoteReference"/>
          <w:rFonts w:ascii="Times New Roman" w:eastAsia="Calibri" w:hAnsi="Times New Roman" w:cs="Times New Roman"/>
          <w:noProof/>
          <w:sz w:val="24"/>
          <w:szCs w:val="24"/>
          <w:lang w:eastAsia="en-IE"/>
        </w:rPr>
        <w:footnoteReference w:id="27"/>
      </w:r>
      <w:r>
        <w:rPr>
          <w:rFonts w:ascii="Times New Roman" w:eastAsia="Calibri" w:hAnsi="Times New Roman" w:cs="Times New Roman"/>
          <w:noProof/>
          <w:sz w:val="24"/>
          <w:szCs w:val="24"/>
          <w:lang w:eastAsia="en-IE"/>
        </w:rPr>
        <w:t xml:space="preserve"> of male and female employees. </w:t>
      </w:r>
    </w:p>
    <w:p>
      <w:pPr>
        <w:spacing w:after="120"/>
        <w:jc w:val="both"/>
        <w:rPr>
          <w:rFonts w:ascii="Times New Roman" w:eastAsia="Calibri" w:hAnsi="Times New Roman" w:cs="Times New Roman"/>
          <w:noProof/>
          <w:sz w:val="24"/>
          <w:szCs w:val="24"/>
          <w:lang w:eastAsia="en-IE"/>
        </w:rPr>
      </w:pPr>
      <w:r>
        <w:rPr>
          <w:rFonts w:ascii="Times New Roman" w:eastAsia="Calibri" w:hAnsi="Times New Roman" w:cs="Times New Roman"/>
          <w:noProof/>
          <w:sz w:val="24"/>
          <w:szCs w:val="24"/>
          <w:lang w:eastAsia="en-IE"/>
        </w:rPr>
        <w:t>The second, residual component measures the difference between the financial returns to men and women with identical characteristics. It depends on any other factor for which no observable variable was available, measurable or omitted from the analysis, such as pay discrimination. This second, ‘</w:t>
      </w:r>
      <w:r>
        <w:rPr>
          <w:rFonts w:ascii="Times New Roman" w:eastAsia="Calibri" w:hAnsi="Times New Roman" w:cs="Times New Roman"/>
          <w:b/>
          <w:bCs/>
          <w:noProof/>
          <w:sz w:val="24"/>
          <w:szCs w:val="24"/>
          <w:lang w:eastAsia="en-IE"/>
        </w:rPr>
        <w:t>unexplained part’ includes gender pay discrimination</w:t>
      </w:r>
      <w:r>
        <w:rPr>
          <w:rFonts w:ascii="Times New Roman" w:eastAsia="Calibri" w:hAnsi="Times New Roman" w:cs="Times New Roman"/>
          <w:noProof/>
          <w:sz w:val="24"/>
          <w:szCs w:val="24"/>
          <w:lang w:eastAsia="en-IE"/>
        </w:rPr>
        <w:t xml:space="preserve"> and accounts for 2/3 of the gender pay gap in the EU Member States.</w:t>
      </w:r>
      <w:r>
        <w:rPr>
          <w:rStyle w:val="FootnoteReference"/>
          <w:rFonts w:ascii="Times New Roman" w:eastAsia="Calibri" w:hAnsi="Times New Roman" w:cs="Times New Roman"/>
          <w:noProof/>
          <w:sz w:val="24"/>
          <w:szCs w:val="24"/>
          <w:lang w:eastAsia="en-IE"/>
        </w:rPr>
        <w:footnoteReference w:id="28"/>
      </w:r>
      <w:r>
        <w:rPr>
          <w:rFonts w:ascii="Times New Roman" w:eastAsia="Calibri" w:hAnsi="Times New Roman" w:cs="Times New Roman"/>
          <w:noProof/>
          <w:sz w:val="24"/>
          <w:szCs w:val="24"/>
          <w:lang w:eastAsia="en-IE"/>
        </w:rPr>
        <w:t xml:space="preserve"> It is also the highest portion of the national pay gap in 21 out of 24 countries analysed in the support study</w:t>
      </w:r>
      <w:r>
        <w:rPr>
          <w:rStyle w:val="FootnoteReference"/>
          <w:rFonts w:ascii="Times New Roman" w:eastAsia="Calibri" w:hAnsi="Times New Roman" w:cs="Times New Roman"/>
          <w:noProof/>
          <w:sz w:val="24"/>
          <w:szCs w:val="24"/>
          <w:lang w:eastAsia="en-IE"/>
        </w:rPr>
        <w:footnoteReference w:id="29"/>
      </w:r>
      <w:r>
        <w:rPr>
          <w:rFonts w:ascii="Times New Roman" w:eastAsia="Calibri" w:hAnsi="Times New Roman" w:cs="Times New Roman"/>
          <w:noProof/>
          <w:sz w:val="24"/>
          <w:szCs w:val="24"/>
          <w:lang w:eastAsia="en-IE"/>
        </w:rPr>
        <w:t xml:space="preserve">. </w:t>
      </w:r>
    </w:p>
    <w:p>
      <w:pPr>
        <w:spacing w:after="120"/>
        <w:jc w:val="both"/>
        <w:rPr>
          <w:rFonts w:ascii="Times New Roman" w:eastAsia="Calibri" w:hAnsi="Times New Roman" w:cs="Times New Roman"/>
          <w:noProof/>
          <w:sz w:val="24"/>
          <w:szCs w:val="24"/>
          <w:lang w:eastAsia="en-IE"/>
        </w:rPr>
      </w:pPr>
      <w:r>
        <w:rPr>
          <w:rFonts w:ascii="Times New Roman" w:eastAsia="Calibri" w:hAnsi="Times New Roman" w:cs="Times New Roman"/>
          <w:noProof/>
          <w:sz w:val="24"/>
          <w:szCs w:val="24"/>
          <w:lang w:eastAsia="en-IE"/>
        </w:rPr>
        <w:t xml:space="preserve">The same study shows that the relevance of the unexplained part is confirmed </w:t>
      </w:r>
      <w:r>
        <w:rPr>
          <w:rFonts w:ascii="Times New Roman" w:eastAsia="Calibri" w:hAnsi="Times New Roman" w:cs="Times New Roman"/>
          <w:b/>
          <w:bCs/>
          <w:noProof/>
          <w:sz w:val="24"/>
          <w:szCs w:val="24"/>
          <w:lang w:eastAsia="en-IE"/>
        </w:rPr>
        <w:t>also at sectoral level</w:t>
      </w:r>
      <w:r>
        <w:rPr>
          <w:rFonts w:ascii="Times New Roman" w:eastAsia="Calibri" w:hAnsi="Times New Roman" w:cs="Times New Roman"/>
          <w:noProof/>
          <w:sz w:val="24"/>
          <w:szCs w:val="24"/>
          <w:lang w:eastAsia="en-IE"/>
        </w:rPr>
        <w:t xml:space="preserve">. The unexplained part, including pay discrimination, is the largest factor responsible for gender pay differences at sectoral level. It is more important than the ‘occupation’ factor, which is the second largest cause. In other words, even when excluding the statistical impact on the difference in pay related to working in different sectors and occupations (i.e. women work in sectors and occupations which are generally less paid), the analysis of pay gap data still points to a potential problem with respect of equal pay (see </w:t>
      </w:r>
      <w:r>
        <w:rPr>
          <w:rFonts w:ascii="Times New Roman" w:eastAsia="Calibri" w:hAnsi="Times New Roman" w:cs="Times New Roman"/>
          <w:i/>
          <w:iCs/>
          <w:noProof/>
          <w:sz w:val="24"/>
          <w:szCs w:val="24"/>
          <w:lang w:eastAsia="en-IE"/>
        </w:rPr>
        <w:t>Annex 5.2</w:t>
      </w:r>
      <w:r>
        <w:rPr>
          <w:rFonts w:ascii="Times New Roman" w:eastAsia="Calibri" w:hAnsi="Times New Roman" w:cs="Times New Roman"/>
          <w:noProof/>
          <w:sz w:val="24"/>
          <w:szCs w:val="24"/>
          <w:lang w:eastAsia="en-IE"/>
        </w:rPr>
        <w:t>). This finding does not necessarily apply to all employers. The only way to ascertain whether pay discrimination actually exists is to recalculate the unexplained gender pay gap at organisational/employer level and verify whether these differences subsist and why.</w:t>
      </w:r>
    </w:p>
    <w:p>
      <w:pPr>
        <w:spacing w:after="120"/>
        <w:jc w:val="both"/>
        <w:rPr>
          <w:rFonts w:ascii="Times New Roman" w:eastAsia="Calibri" w:hAnsi="Times New Roman" w:cs="Times New Roman"/>
          <w:noProof/>
          <w:sz w:val="24"/>
          <w:szCs w:val="24"/>
          <w:lang w:eastAsia="en-IE"/>
        </w:rPr>
      </w:pPr>
      <w:r>
        <w:rPr>
          <w:rFonts w:ascii="Times New Roman" w:eastAsia="Calibri" w:hAnsi="Times New Roman" w:cs="Times New Roman"/>
          <w:noProof/>
          <w:sz w:val="24"/>
          <w:szCs w:val="24"/>
          <w:lang w:val="en-IE" w:eastAsia="en-IE"/>
        </w:rPr>
        <w:t xml:space="preserve">Moreover, as explained above, under the current case </w:t>
      </w:r>
      <w:r>
        <w:rPr>
          <w:rFonts w:ascii="Times New Roman" w:eastAsia="Calibri" w:hAnsi="Times New Roman" w:cs="Times New Roman"/>
          <w:noProof/>
          <w:sz w:val="24"/>
          <w:szCs w:val="24"/>
          <w:lang w:eastAsia="en-IE"/>
        </w:rPr>
        <w:t>law of the Court of Justice of the European Union, workers can enforce their right to equal pay only in comparison to workers within the establishment in which they work or, beyond such establishment, when the wage setting is derived from a single source (e.g. a parent company in a corporate group) setting the working conditions including pay.</w:t>
      </w:r>
      <w:r>
        <w:rPr>
          <w:rStyle w:val="FootnoteReference"/>
          <w:rFonts w:ascii="Times New Roman" w:eastAsia="Calibri" w:hAnsi="Times New Roman" w:cs="Times New Roman"/>
          <w:noProof/>
          <w:sz w:val="24"/>
          <w:szCs w:val="24"/>
          <w:lang w:eastAsia="en-IE"/>
        </w:rPr>
        <w:footnoteReference w:id="30"/>
      </w:r>
      <w:r>
        <w:rPr>
          <w:rFonts w:ascii="Times New Roman" w:eastAsia="Calibri" w:hAnsi="Times New Roman" w:cs="Times New Roman"/>
          <w:noProof/>
          <w:sz w:val="24"/>
          <w:szCs w:val="24"/>
          <w:lang w:eastAsia="en-IE"/>
        </w:rPr>
        <w:t xml:space="preserve"> As a result, the occurrence and </w:t>
      </w:r>
      <w:r>
        <w:rPr>
          <w:rFonts w:ascii="Times New Roman" w:eastAsia="Calibri" w:hAnsi="Times New Roman" w:cs="Times New Roman"/>
          <w:b/>
          <w:bCs/>
          <w:noProof/>
          <w:sz w:val="24"/>
          <w:szCs w:val="24"/>
          <w:lang w:eastAsia="en-IE"/>
        </w:rPr>
        <w:t>the</w:t>
      </w:r>
      <w:r>
        <w:rPr>
          <w:rFonts w:ascii="Times New Roman" w:eastAsia="Calibri" w:hAnsi="Times New Roman" w:cs="Times New Roman"/>
          <w:noProof/>
          <w:sz w:val="24"/>
          <w:szCs w:val="24"/>
          <w:lang w:eastAsia="en-IE"/>
        </w:rPr>
        <w:t xml:space="preserve"> </w:t>
      </w:r>
      <w:r>
        <w:rPr>
          <w:rFonts w:ascii="Times New Roman" w:eastAsia="Calibri" w:hAnsi="Times New Roman" w:cs="Times New Roman"/>
          <w:b/>
          <w:bCs/>
          <w:noProof/>
          <w:sz w:val="24"/>
          <w:szCs w:val="24"/>
          <w:lang w:eastAsia="en-IE"/>
        </w:rPr>
        <w:t>extent of pay discrimination can only be measured</w:t>
      </w:r>
      <w:r>
        <w:rPr>
          <w:rFonts w:ascii="Times New Roman" w:eastAsia="Calibri" w:hAnsi="Times New Roman" w:cs="Times New Roman"/>
          <w:noProof/>
          <w:sz w:val="24"/>
          <w:szCs w:val="24"/>
          <w:lang w:eastAsia="en-IE"/>
        </w:rPr>
        <w:t xml:space="preserve"> </w:t>
      </w:r>
      <w:r>
        <w:rPr>
          <w:rFonts w:ascii="Times New Roman" w:eastAsia="Calibri" w:hAnsi="Times New Roman" w:cs="Times New Roman"/>
          <w:b/>
          <w:bCs/>
          <w:noProof/>
          <w:sz w:val="24"/>
          <w:szCs w:val="24"/>
          <w:lang w:eastAsia="en-IE"/>
        </w:rPr>
        <w:t>at employer level</w:t>
      </w:r>
      <w:r>
        <w:rPr>
          <w:rFonts w:ascii="Times New Roman" w:eastAsia="Calibri" w:hAnsi="Times New Roman" w:cs="Times New Roman"/>
          <w:noProof/>
          <w:sz w:val="24"/>
          <w:szCs w:val="24"/>
          <w:lang w:eastAsia="en-IE"/>
        </w:rPr>
        <w:t xml:space="preserve"> by comparing categories of workers doing the same work or work of equal value as defined by a given employer.</w:t>
      </w:r>
    </w:p>
    <w:p>
      <w:pPr>
        <w:spacing w:after="120"/>
        <w:jc w:val="both"/>
        <w:rPr>
          <w:rFonts w:ascii="Times New Roman" w:eastAsia="Calibri" w:hAnsi="Times New Roman" w:cs="Times New Roman"/>
          <w:noProof/>
          <w:sz w:val="24"/>
          <w:szCs w:val="24"/>
          <w:lang w:eastAsia="en-IE"/>
        </w:rPr>
      </w:pPr>
      <w:r>
        <w:rPr>
          <w:rFonts w:ascii="Times New Roman" w:eastAsia="Calibri" w:hAnsi="Times New Roman" w:cs="Times New Roman"/>
          <w:noProof/>
          <w:sz w:val="24"/>
          <w:szCs w:val="24"/>
          <w:lang w:eastAsia="en-IE"/>
        </w:rPr>
        <w:t>Other relevant indications of possible pay discrimination to be further explored at employer level, which the statistical analysis from the support study evidences at aggregate level, include:</w:t>
      </w:r>
    </w:p>
    <w:p>
      <w:pPr>
        <w:numPr>
          <w:ilvl w:val="0"/>
          <w:numId w:val="17"/>
        </w:numPr>
        <w:spacing w:after="120"/>
        <w:jc w:val="both"/>
        <w:rPr>
          <w:rFonts w:ascii="Times New Roman" w:eastAsia="Calibri" w:hAnsi="Times New Roman" w:cs="Times New Roman"/>
          <w:noProof/>
          <w:sz w:val="24"/>
          <w:szCs w:val="24"/>
          <w:lang w:eastAsia="en-IE"/>
        </w:rPr>
      </w:pPr>
      <w:r>
        <w:rPr>
          <w:rFonts w:ascii="Times New Roman" w:eastAsia="Calibri" w:hAnsi="Times New Roman" w:cs="Times New Roman"/>
          <w:noProof/>
          <w:sz w:val="24"/>
          <w:szCs w:val="24"/>
          <w:lang w:eastAsia="en-IE"/>
        </w:rPr>
        <w:t>Pay penalties in hourly pay</w:t>
      </w:r>
      <w:r>
        <w:rPr>
          <w:rFonts w:ascii="Times New Roman" w:eastAsia="Calibri" w:hAnsi="Times New Roman" w:cs="Times New Roman"/>
          <w:noProof/>
          <w:sz w:val="24"/>
          <w:szCs w:val="24"/>
          <w:vertAlign w:val="superscript"/>
          <w:lang w:eastAsia="en-IE"/>
        </w:rPr>
        <w:footnoteReference w:id="31"/>
      </w:r>
      <w:r>
        <w:rPr>
          <w:rFonts w:ascii="Times New Roman" w:eastAsia="Calibri" w:hAnsi="Times New Roman" w:cs="Times New Roman"/>
          <w:noProof/>
          <w:sz w:val="24"/>
          <w:szCs w:val="24"/>
          <w:lang w:eastAsia="en-IE"/>
        </w:rPr>
        <w:t xml:space="preserve"> for </w:t>
      </w:r>
      <w:r>
        <w:rPr>
          <w:rFonts w:ascii="Times New Roman" w:eastAsia="Calibri" w:hAnsi="Times New Roman" w:cs="Times New Roman"/>
          <w:b/>
          <w:bCs/>
          <w:noProof/>
          <w:sz w:val="24"/>
          <w:szCs w:val="24"/>
          <w:lang w:eastAsia="en-IE"/>
        </w:rPr>
        <w:t>part-time jobs</w:t>
      </w:r>
      <w:r>
        <w:rPr>
          <w:rFonts w:ascii="Times New Roman" w:eastAsia="Calibri" w:hAnsi="Times New Roman" w:cs="Times New Roman"/>
          <w:noProof/>
          <w:sz w:val="24"/>
          <w:szCs w:val="24"/>
          <w:lang w:eastAsia="en-IE"/>
        </w:rPr>
        <w:t xml:space="preserve"> (compared to full-time). Since part-time jobs are predominantly held by women</w:t>
      </w:r>
      <w:r>
        <w:rPr>
          <w:rFonts w:ascii="Times New Roman" w:eastAsia="Calibri" w:hAnsi="Times New Roman" w:cs="Times New Roman"/>
          <w:noProof/>
          <w:sz w:val="24"/>
          <w:szCs w:val="24"/>
          <w:vertAlign w:val="superscript"/>
          <w:lang w:eastAsia="en-IE"/>
        </w:rPr>
        <w:footnoteReference w:id="32"/>
      </w:r>
      <w:r>
        <w:rPr>
          <w:rFonts w:ascii="Times New Roman" w:eastAsia="Calibri" w:hAnsi="Times New Roman" w:cs="Times New Roman"/>
          <w:noProof/>
          <w:sz w:val="24"/>
          <w:szCs w:val="24"/>
          <w:lang w:eastAsia="en-IE"/>
        </w:rPr>
        <w:t>, this indicates indirect discrimination: even if penalties apply in a gender-neutral way, in practice they put women at a particular disadvantage as regards pay. At employer level, it should be checked whether this difference is justified by some factor that cannot be captured at aggregate level (e.g. in case part-time is coupled with exemption from some specific tasks performed instead by the full-time employees in the same category).</w:t>
      </w:r>
    </w:p>
    <w:p>
      <w:pPr>
        <w:numPr>
          <w:ilvl w:val="0"/>
          <w:numId w:val="17"/>
        </w:numPr>
        <w:spacing w:after="120"/>
        <w:jc w:val="both"/>
        <w:rPr>
          <w:rFonts w:ascii="Times New Roman" w:eastAsia="Calibri" w:hAnsi="Times New Roman" w:cs="Times New Roman"/>
          <w:noProof/>
          <w:sz w:val="24"/>
          <w:szCs w:val="24"/>
          <w:lang w:eastAsia="en-IE"/>
        </w:rPr>
      </w:pPr>
      <w:r>
        <w:rPr>
          <w:rFonts w:ascii="Times New Roman" w:eastAsia="Calibri" w:hAnsi="Times New Roman" w:cs="Times New Roman"/>
          <w:noProof/>
          <w:sz w:val="24"/>
          <w:szCs w:val="24"/>
          <w:lang w:eastAsia="en-IE"/>
        </w:rPr>
        <w:t xml:space="preserve">The pay gap is higher in </w:t>
      </w:r>
      <w:r>
        <w:rPr>
          <w:rFonts w:ascii="Times New Roman" w:eastAsia="Calibri" w:hAnsi="Times New Roman" w:cs="Times New Roman"/>
          <w:b/>
          <w:bCs/>
          <w:noProof/>
          <w:sz w:val="24"/>
          <w:szCs w:val="24"/>
          <w:lang w:eastAsia="en-IE"/>
        </w:rPr>
        <w:t xml:space="preserve">managerial occupations </w:t>
      </w:r>
      <w:r>
        <w:rPr>
          <w:rFonts w:ascii="Times New Roman" w:eastAsia="Calibri" w:hAnsi="Times New Roman" w:cs="Times New Roman"/>
          <w:noProof/>
          <w:sz w:val="24"/>
          <w:szCs w:val="24"/>
          <w:lang w:eastAsia="en-IE"/>
        </w:rPr>
        <w:t xml:space="preserve">and among </w:t>
      </w:r>
      <w:r>
        <w:rPr>
          <w:rFonts w:ascii="Times New Roman" w:eastAsia="Calibri" w:hAnsi="Times New Roman" w:cs="Times New Roman"/>
          <w:b/>
          <w:bCs/>
          <w:noProof/>
          <w:sz w:val="24"/>
          <w:szCs w:val="24"/>
          <w:lang w:eastAsia="en-IE"/>
        </w:rPr>
        <w:t>graduate workers</w:t>
      </w:r>
      <w:r>
        <w:rPr>
          <w:rFonts w:ascii="Times New Roman" w:eastAsia="Calibri" w:hAnsi="Times New Roman" w:cs="Times New Roman"/>
          <w:noProof/>
          <w:sz w:val="24"/>
          <w:szCs w:val="24"/>
          <w:lang w:eastAsia="en-IE"/>
        </w:rPr>
        <w:t>. The reason for this may be that women in such positions are not aware of the value of their work and do not request, negotiate or obtain their wages in the same way as men do. The peaks in high-pay occupation statistics highlight how much wage negotiation processes influence the gendered pay. At employer level, one should check whether the difference persists when everything else is equal (e.g. task performed, level of responsibilities, quality of deliverables etc.).</w:t>
      </w:r>
    </w:p>
    <w:p>
      <w:pPr>
        <w:numPr>
          <w:ilvl w:val="0"/>
          <w:numId w:val="17"/>
        </w:numPr>
        <w:spacing w:after="120"/>
        <w:jc w:val="both"/>
        <w:rPr>
          <w:rFonts w:ascii="Times New Roman" w:eastAsia="Calibri" w:hAnsi="Times New Roman" w:cs="Times New Roman"/>
          <w:noProof/>
          <w:sz w:val="24"/>
          <w:szCs w:val="24"/>
          <w:lang w:val="en-US" w:eastAsia="en-IE"/>
        </w:rPr>
      </w:pPr>
      <w:r>
        <w:rPr>
          <w:rFonts w:ascii="Times New Roman" w:eastAsia="Calibri" w:hAnsi="Times New Roman" w:cs="Times New Roman"/>
          <w:noProof/>
          <w:sz w:val="24"/>
          <w:szCs w:val="24"/>
          <w:lang w:eastAsia="en-IE"/>
        </w:rPr>
        <w:t>Women earn less and work in lower paid occupations than men do, even if working in the same sector and with otherwise identical observable characteristics; this holds true for 70 out of 72 investigated sectors (see</w:t>
      </w:r>
      <w:r>
        <w:rPr>
          <w:rFonts w:ascii="Times New Roman" w:eastAsia="Calibri" w:hAnsi="Times New Roman" w:cs="Times New Roman"/>
          <w:i/>
          <w:iCs/>
          <w:noProof/>
          <w:sz w:val="24"/>
          <w:szCs w:val="24"/>
          <w:lang w:eastAsia="en-IE"/>
        </w:rPr>
        <w:t xml:space="preserve"> Annex 5.2</w:t>
      </w:r>
      <w:r>
        <w:rPr>
          <w:rFonts w:ascii="Times New Roman" w:eastAsia="Calibri" w:hAnsi="Times New Roman" w:cs="Times New Roman"/>
          <w:noProof/>
          <w:sz w:val="24"/>
          <w:szCs w:val="24"/>
          <w:lang w:eastAsia="en-IE"/>
        </w:rPr>
        <w:t>).</w:t>
      </w:r>
      <w:r>
        <w:rPr>
          <w:rFonts w:ascii="Times New Roman" w:eastAsia="Calibri" w:hAnsi="Times New Roman" w:cs="Times New Roman"/>
          <w:noProof/>
          <w:sz w:val="24"/>
          <w:szCs w:val="24"/>
          <w:lang w:val="en-US" w:eastAsia="en-IE"/>
        </w:rPr>
        <w:t xml:space="preserve"> This puts into</w:t>
      </w:r>
      <w:r>
        <w:rPr>
          <w:rFonts w:ascii="Times New Roman" w:eastAsia="Calibri" w:hAnsi="Times New Roman" w:cs="Times New Roman"/>
          <w:noProof/>
          <w:sz w:val="24"/>
          <w:szCs w:val="24"/>
          <w:lang w:eastAsia="en-IE"/>
        </w:rPr>
        <w:t xml:space="preserve"> question the notion that women ‘have a preference’ for lower paid occupations and raises instead concerns that they are to some extent constrained into </w:t>
      </w:r>
      <w:r>
        <w:rPr>
          <w:rFonts w:ascii="Times New Roman" w:eastAsia="Calibri" w:hAnsi="Times New Roman" w:cs="Times New Roman"/>
          <w:b/>
          <w:bCs/>
          <w:noProof/>
          <w:sz w:val="24"/>
          <w:szCs w:val="24"/>
          <w:lang w:eastAsia="en-IE"/>
        </w:rPr>
        <w:t>undervalued female-dominated occupations</w:t>
      </w:r>
      <w:r>
        <w:rPr>
          <w:rFonts w:ascii="Times New Roman" w:eastAsia="Calibri" w:hAnsi="Times New Roman" w:cs="Times New Roman"/>
          <w:noProof/>
          <w:sz w:val="24"/>
          <w:szCs w:val="24"/>
          <w:lang w:eastAsia="en-IE"/>
        </w:rPr>
        <w:t xml:space="preserve">, and not only </w:t>
      </w:r>
      <w:r>
        <w:rPr>
          <w:rFonts w:ascii="Times New Roman" w:eastAsia="Calibri" w:hAnsi="Times New Roman" w:cs="Times New Roman"/>
          <w:b/>
          <w:bCs/>
          <w:noProof/>
          <w:sz w:val="24"/>
          <w:szCs w:val="24"/>
          <w:lang w:eastAsia="en-IE"/>
        </w:rPr>
        <w:t>sectors</w:t>
      </w:r>
      <w:r>
        <w:rPr>
          <w:rFonts w:ascii="Times New Roman" w:eastAsia="Calibri" w:hAnsi="Times New Roman" w:cs="Times New Roman"/>
          <w:noProof/>
          <w:sz w:val="24"/>
          <w:szCs w:val="24"/>
          <w:lang w:eastAsia="en-IE"/>
        </w:rPr>
        <w:t>. At employer level, one can verify whether this is the case by looking into job descriptions/definitions versus attributed responsibilities. In other words, checking whether e.g. the tasks performed are identical (‘same work’), but labelled differently, or require skills that are not properly recognised and valued (e.g. social skills) because of gender bias (‘equal value’).</w:t>
      </w:r>
    </w:p>
    <w:p>
      <w:pPr>
        <w:numPr>
          <w:ilvl w:val="0"/>
          <w:numId w:val="17"/>
        </w:numPr>
        <w:spacing w:after="120"/>
        <w:jc w:val="both"/>
        <w:rPr>
          <w:rFonts w:ascii="Times New Roman" w:eastAsia="Calibri" w:hAnsi="Times New Roman" w:cs="Times New Roman"/>
          <w:noProof/>
          <w:sz w:val="24"/>
          <w:szCs w:val="24"/>
          <w:lang w:eastAsia="en-IE"/>
        </w:rPr>
      </w:pPr>
      <w:r>
        <w:rPr>
          <w:rFonts w:ascii="Times New Roman" w:eastAsia="Calibri" w:hAnsi="Times New Roman" w:cs="Times New Roman"/>
          <w:noProof/>
          <w:sz w:val="24"/>
          <w:szCs w:val="24"/>
          <w:lang w:eastAsia="en-IE"/>
        </w:rPr>
        <w:t xml:space="preserve">With regard to </w:t>
      </w:r>
      <w:r>
        <w:rPr>
          <w:rFonts w:ascii="Times New Roman" w:eastAsia="Calibri" w:hAnsi="Times New Roman" w:cs="Times New Roman"/>
          <w:b/>
          <w:bCs/>
          <w:noProof/>
          <w:sz w:val="24"/>
          <w:szCs w:val="24"/>
          <w:lang w:eastAsia="en-IE"/>
        </w:rPr>
        <w:t>irregular payments</w:t>
      </w:r>
      <w:r>
        <w:rPr>
          <w:rFonts w:ascii="Times New Roman" w:eastAsia="Calibri" w:hAnsi="Times New Roman" w:cs="Times New Roman"/>
          <w:noProof/>
          <w:sz w:val="24"/>
          <w:szCs w:val="24"/>
          <w:lang w:eastAsia="en-IE"/>
        </w:rPr>
        <w:t xml:space="preserve"> (i.e. fringe benefits</w:t>
      </w:r>
      <w:r>
        <w:rPr>
          <w:rFonts w:ascii="Times New Roman" w:eastAsia="Calibri" w:hAnsi="Times New Roman" w:cs="Times New Roman"/>
          <w:noProof/>
          <w:sz w:val="24"/>
          <w:szCs w:val="24"/>
          <w:vertAlign w:val="superscript"/>
          <w:lang w:eastAsia="en-IE"/>
        </w:rPr>
        <w:footnoteReference w:id="33"/>
      </w:r>
      <w:r>
        <w:rPr>
          <w:rFonts w:ascii="Times New Roman" w:eastAsia="Calibri" w:hAnsi="Times New Roman" w:cs="Times New Roman"/>
          <w:noProof/>
          <w:sz w:val="24"/>
          <w:szCs w:val="24"/>
          <w:lang w:eastAsia="en-IE"/>
        </w:rPr>
        <w:t xml:space="preserve">), women have a lower participation in job-related cash benefits, with particularly pronounced participation gender gaps in SE and NO and the UK. Moreover, these payments drop sharply in women’s late careers in terms of payment receipts (cash and in-kind benefits) compared to men. For those who receive them, </w:t>
      </w:r>
      <w:r>
        <w:rPr>
          <w:rFonts w:ascii="Times New Roman" w:eastAsia="Calibri" w:hAnsi="Times New Roman" w:cs="Times New Roman"/>
          <w:b/>
          <w:bCs/>
          <w:noProof/>
          <w:sz w:val="24"/>
          <w:szCs w:val="24"/>
          <w:lang w:eastAsia="en-IE"/>
        </w:rPr>
        <w:t>gender gaps in</w:t>
      </w:r>
      <w:r>
        <w:rPr>
          <w:rFonts w:ascii="Times New Roman" w:eastAsia="Calibri" w:hAnsi="Times New Roman" w:cs="Times New Roman"/>
          <w:noProof/>
          <w:sz w:val="24"/>
          <w:szCs w:val="24"/>
          <w:lang w:eastAsia="en-IE"/>
        </w:rPr>
        <w:t xml:space="preserve"> </w:t>
      </w:r>
      <w:r>
        <w:rPr>
          <w:rFonts w:ascii="Times New Roman" w:eastAsia="Calibri" w:hAnsi="Times New Roman" w:cs="Times New Roman"/>
          <w:b/>
          <w:bCs/>
          <w:noProof/>
          <w:sz w:val="24"/>
          <w:szCs w:val="24"/>
          <w:lang w:eastAsia="en-IE"/>
        </w:rPr>
        <w:t>monetary fringe benefits</w:t>
      </w:r>
      <w:r>
        <w:rPr>
          <w:rFonts w:ascii="Times New Roman" w:eastAsia="Calibri" w:hAnsi="Times New Roman" w:cs="Times New Roman"/>
          <w:noProof/>
          <w:sz w:val="24"/>
          <w:szCs w:val="24"/>
          <w:lang w:eastAsia="en-IE"/>
        </w:rPr>
        <w:t xml:space="preserve"> are much higher than gender gaps in (regular) wages. In 22 countries, the magnitude is 1.5 to 10 times higher for fringe gaps than for wage gaps. A large review of research found that employers systematically under-reward women performing relatively similarly to or better than men.</w:t>
      </w:r>
      <w:r>
        <w:rPr>
          <w:rFonts w:ascii="Times New Roman" w:eastAsia="Calibri" w:hAnsi="Times New Roman" w:cs="Times New Roman"/>
          <w:noProof/>
          <w:sz w:val="24"/>
          <w:szCs w:val="24"/>
          <w:vertAlign w:val="superscript"/>
          <w:lang w:eastAsia="en-IE"/>
        </w:rPr>
        <w:footnoteReference w:id="34"/>
      </w:r>
      <w:r>
        <w:rPr>
          <w:rFonts w:ascii="Times New Roman" w:eastAsia="Calibri" w:hAnsi="Times New Roman" w:cs="Times New Roman"/>
          <w:noProof/>
          <w:sz w:val="24"/>
          <w:szCs w:val="24"/>
          <w:lang w:eastAsia="en-IE"/>
        </w:rPr>
        <w:t xml:space="preserve"> Again, the possible reasons for these differences might be found at employer level.</w:t>
      </w:r>
    </w:p>
    <w:p>
      <w:pPr>
        <w:spacing w:after="120"/>
        <w:jc w:val="both"/>
        <w:rPr>
          <w:rFonts w:ascii="Times New Roman" w:eastAsia="Calibri" w:hAnsi="Times New Roman" w:cs="Times New Roman"/>
          <w:noProof/>
          <w:sz w:val="24"/>
          <w:szCs w:val="24"/>
          <w:lang w:eastAsia="en-IE"/>
        </w:rPr>
      </w:pPr>
      <w:r>
        <w:rPr>
          <w:rFonts w:ascii="Times New Roman" w:eastAsia="Calibri" w:hAnsi="Times New Roman" w:cs="Times New Roman"/>
          <w:noProof/>
          <w:sz w:val="24"/>
          <w:szCs w:val="24"/>
          <w:lang w:eastAsia="en-IE"/>
        </w:rPr>
        <w:t>To sum up, differences in pay by gender drawn from available statistics, both at EU, national and sectoral level tend to indicate pay discrimination. These same differences might or might not turn out to be perfectly legitimate from an equal pay perspective when verified at an individual employer level. Nevertheless, in countries where pay transparency measures have been introduced, an important number of employers discovered that pay differences could not be explained from an equal pay perspective (see below).</w:t>
      </w:r>
    </w:p>
    <w:p>
      <w:pPr>
        <w:keepNext/>
        <w:spacing w:before="240" w:after="120"/>
        <w:jc w:val="both"/>
        <w:rPr>
          <w:rFonts w:ascii="Times New Roman" w:eastAsia="Calibri" w:hAnsi="Times New Roman" w:cs="Times New Roman"/>
          <w:i/>
          <w:iCs/>
          <w:noProof/>
          <w:sz w:val="24"/>
          <w:szCs w:val="24"/>
          <w:lang w:eastAsia="en-IE"/>
        </w:rPr>
      </w:pPr>
      <w:r>
        <w:rPr>
          <w:rFonts w:ascii="Times New Roman" w:eastAsia="Calibri" w:hAnsi="Times New Roman" w:cs="Times New Roman"/>
          <w:i/>
          <w:iCs/>
          <w:noProof/>
          <w:sz w:val="24"/>
          <w:szCs w:val="24"/>
          <w:lang w:eastAsia="en-IE"/>
        </w:rPr>
        <w:t>Empirical evidence of pay discrimination</w:t>
      </w:r>
    </w:p>
    <w:p>
      <w:pPr>
        <w:spacing w:after="120"/>
        <w:jc w:val="both"/>
        <w:rPr>
          <w:rFonts w:ascii="Times New Roman" w:eastAsia="Calibri" w:hAnsi="Times New Roman" w:cs="Times New Roman"/>
          <w:noProof/>
          <w:sz w:val="24"/>
          <w:szCs w:val="24"/>
          <w:lang w:eastAsia="en-IE"/>
        </w:rPr>
      </w:pPr>
      <w:r>
        <w:rPr>
          <w:rFonts w:ascii="Times New Roman" w:eastAsia="Calibri" w:hAnsi="Times New Roman" w:cs="Times New Roman"/>
          <w:noProof/>
          <w:sz w:val="24"/>
          <w:szCs w:val="24"/>
          <w:lang w:eastAsia="en-IE"/>
        </w:rPr>
        <w:t xml:space="preserve">The </w:t>
      </w:r>
      <w:r>
        <w:rPr>
          <w:rFonts w:ascii="Times New Roman" w:eastAsia="Calibri" w:hAnsi="Times New Roman" w:cs="Times New Roman"/>
          <w:b/>
          <w:bCs/>
          <w:noProof/>
          <w:sz w:val="24"/>
          <w:szCs w:val="24"/>
          <w:lang w:eastAsia="en-IE"/>
        </w:rPr>
        <w:t xml:space="preserve">empirical analyses </w:t>
      </w:r>
      <w:r>
        <w:rPr>
          <w:rFonts w:ascii="Times New Roman" w:eastAsia="Calibri" w:hAnsi="Times New Roman" w:cs="Times New Roman"/>
          <w:noProof/>
          <w:sz w:val="24"/>
          <w:szCs w:val="24"/>
          <w:lang w:eastAsia="en-IE"/>
        </w:rPr>
        <w:t>also</w:t>
      </w:r>
      <w:r>
        <w:rPr>
          <w:rFonts w:ascii="Times New Roman" w:eastAsia="Calibri" w:hAnsi="Times New Roman" w:cs="Times New Roman"/>
          <w:b/>
          <w:bCs/>
          <w:noProof/>
          <w:sz w:val="24"/>
          <w:szCs w:val="24"/>
          <w:lang w:eastAsia="en-IE"/>
        </w:rPr>
        <w:t xml:space="preserve"> </w:t>
      </w:r>
      <w:r>
        <w:rPr>
          <w:rFonts w:ascii="Times New Roman" w:eastAsia="Calibri" w:hAnsi="Times New Roman" w:cs="Times New Roman"/>
          <w:noProof/>
          <w:sz w:val="24"/>
          <w:szCs w:val="24"/>
          <w:lang w:eastAsia="en-IE"/>
        </w:rPr>
        <w:t>show indications that pay discrimination takes place even in countries with the highest gender equality ratings.</w:t>
      </w:r>
      <w:r>
        <w:rPr>
          <w:rStyle w:val="FootnoteReference"/>
          <w:rFonts w:ascii="Times New Roman" w:eastAsia="Calibri" w:hAnsi="Times New Roman" w:cs="Times New Roman"/>
          <w:noProof/>
          <w:sz w:val="24"/>
          <w:szCs w:val="24"/>
          <w:lang w:eastAsia="en-IE"/>
        </w:rPr>
        <w:footnoteReference w:id="35"/>
      </w:r>
      <w:r>
        <w:rPr>
          <w:rFonts w:ascii="Times New Roman" w:eastAsia="Calibri" w:hAnsi="Times New Roman" w:cs="Times New Roman"/>
          <w:noProof/>
          <w:sz w:val="24"/>
          <w:szCs w:val="24"/>
          <w:lang w:eastAsia="en-IE"/>
        </w:rPr>
        <w:t xml:space="preserve"> Evidence from countries that introduced pay transparency measures suggest that the latter allowed gender bias in pay to come to light (</w:t>
      </w:r>
      <w:r>
        <w:rPr>
          <w:rFonts w:ascii="Times New Roman" w:eastAsia="Calibri" w:hAnsi="Times New Roman" w:cs="Times New Roman"/>
          <w:i/>
          <w:iCs/>
          <w:noProof/>
          <w:sz w:val="24"/>
          <w:szCs w:val="24"/>
          <w:lang w:eastAsia="en-IE"/>
        </w:rPr>
        <w:t>see box below</w:t>
      </w:r>
      <w:r>
        <w:rPr>
          <w:rFonts w:ascii="Times New Roman" w:eastAsia="Calibri" w:hAnsi="Times New Roman" w:cs="Times New Roman"/>
          <w:noProof/>
          <w:sz w:val="24"/>
          <w:szCs w:val="24"/>
          <w:lang w:eastAsia="en-IE"/>
        </w:rPr>
        <w:t xml:space="preserve">). </w:t>
      </w:r>
    </w:p>
    <w:p>
      <w:pPr>
        <w:pBdr>
          <w:top w:val="single" w:sz="4" w:space="1" w:color="auto"/>
          <w:left w:val="single" w:sz="4" w:space="4" w:color="auto"/>
          <w:bottom w:val="single" w:sz="4" w:space="1" w:color="auto"/>
          <w:right w:val="single" w:sz="4" w:space="4" w:color="auto"/>
        </w:pBdr>
        <w:spacing w:after="120"/>
        <w:jc w:val="both"/>
        <w:rPr>
          <w:rFonts w:ascii="Times New Roman" w:eastAsia="Calibri" w:hAnsi="Times New Roman" w:cs="Times New Roman"/>
          <w:noProof/>
          <w:lang w:eastAsia="en-IE"/>
        </w:rPr>
      </w:pPr>
      <w:r>
        <w:rPr>
          <w:rFonts w:ascii="Times New Roman" w:eastAsia="Calibri" w:hAnsi="Times New Roman" w:cs="Times New Roman"/>
          <w:noProof/>
          <w:lang w:eastAsia="en-IE"/>
        </w:rPr>
        <w:t>After pay audits were introduced in Sweden, over 40% of (surveyed) employers identified and corrected unjustified wage differences between women and men.</w:t>
      </w:r>
      <w:r>
        <w:rPr>
          <w:rFonts w:ascii="Times New Roman" w:eastAsia="Calibri" w:hAnsi="Times New Roman" w:cs="Times New Roman"/>
          <w:noProof/>
          <w:vertAlign w:val="superscript"/>
          <w:lang w:eastAsia="en-IE"/>
        </w:rPr>
        <w:footnoteReference w:id="36"/>
      </w:r>
      <w:r>
        <w:rPr>
          <w:rFonts w:ascii="Times New Roman" w:hAnsi="Times New Roman" w:cs="Times New Roman"/>
          <w:noProof/>
        </w:rPr>
        <w:t xml:space="preserve"> </w:t>
      </w:r>
      <w:r>
        <w:rPr>
          <w:rFonts w:ascii="Times New Roman" w:eastAsia="Calibri" w:hAnsi="Times New Roman" w:cs="Times New Roman"/>
          <w:noProof/>
          <w:lang w:eastAsia="en-IE"/>
        </w:rPr>
        <w:t>In Iceland, a survey among 76 employers credited with the Equal pay standard certification revealed that the results of wage analyses prompted corrections in salaries of staff and of groups, as well as changes of job titles or reviews of perks and bonuses.</w:t>
      </w:r>
      <w:r>
        <w:rPr>
          <w:rStyle w:val="FootnoteReference"/>
          <w:rFonts w:ascii="Times New Roman" w:eastAsia="Calibri" w:hAnsi="Times New Roman" w:cs="Times New Roman"/>
          <w:noProof/>
          <w:lang w:eastAsia="en-IE"/>
        </w:rPr>
        <w:footnoteReference w:id="37"/>
      </w:r>
      <w:r>
        <w:rPr>
          <w:rFonts w:ascii="Times New Roman" w:eastAsia="Calibri" w:hAnsi="Times New Roman" w:cs="Times New Roman"/>
          <w:noProof/>
          <w:lang w:eastAsia="en-IE"/>
        </w:rPr>
        <w:t xml:space="preserve"> According to a preliminary reporting on the evaluation of the Transparency Act in Germany (Federal Republic of Germany, 2019), 43% of the employers surveyed had reviewed their pay structures as a result of assessments under the Transparency Act.</w:t>
      </w:r>
      <w:r>
        <w:rPr>
          <w:rStyle w:val="FootnoteReference"/>
          <w:rFonts w:ascii="Times New Roman" w:eastAsia="Calibri" w:hAnsi="Times New Roman" w:cs="Times New Roman"/>
          <w:noProof/>
          <w:lang w:eastAsia="en-IE"/>
        </w:rPr>
        <w:footnoteReference w:id="38"/>
      </w:r>
      <w:r>
        <w:rPr>
          <w:rFonts w:ascii="Times New Roman" w:eastAsia="Calibri" w:hAnsi="Times New Roman" w:cs="Times New Roman"/>
          <w:noProof/>
          <w:lang w:eastAsia="en-IE"/>
        </w:rPr>
        <w:t xml:space="preserve"> In France, the first phase of the implementation of the Equality Index showed that: (i) 1 out of 3 employers did not respect the legal obligation to grant the statutory salary increase to women returning from maternity leave in undertakings of over 1,000 workers which scored below 75/100; whilst (ii) 1 out of 5 employers did not respect this legal obligation in undertakings between 250 and 1,000 workers which scored below 75/100.</w:t>
      </w:r>
      <w:r>
        <w:rPr>
          <w:rFonts w:ascii="Times New Roman" w:eastAsia="Calibri" w:hAnsi="Times New Roman" w:cs="Times New Roman"/>
          <w:noProof/>
          <w:vertAlign w:val="superscript"/>
          <w:lang w:eastAsia="en-IE"/>
        </w:rPr>
        <w:footnoteReference w:id="39"/>
      </w:r>
      <w:r>
        <w:rPr>
          <w:rFonts w:ascii="Times New Roman" w:eastAsia="Calibri" w:hAnsi="Times New Roman" w:cs="Times New Roman"/>
          <w:noProof/>
          <w:lang w:eastAsia="en-IE"/>
        </w:rPr>
        <w:t xml:space="preserve"> Without transparency measures such as the Equality Index, workers and employers would not have been aware of unjustified pay differences and no further action would have been taken. Finally, the Institute for Public Policy Research reports that although equal pay cases made up 11% of all labour court cases in the UK in 2017, ‘many more cases on unequal pay go unchallenged’.</w:t>
      </w:r>
      <w:r>
        <w:rPr>
          <w:rFonts w:ascii="Times New Roman" w:eastAsia="Calibri" w:hAnsi="Times New Roman" w:cs="Times New Roman"/>
          <w:noProof/>
          <w:vertAlign w:val="superscript"/>
          <w:lang w:eastAsia="en-IE"/>
        </w:rPr>
        <w:t xml:space="preserve"> </w:t>
      </w:r>
      <w:r>
        <w:rPr>
          <w:rFonts w:ascii="Times New Roman" w:eastAsia="Calibri" w:hAnsi="Times New Roman" w:cs="Times New Roman"/>
          <w:noProof/>
          <w:vertAlign w:val="superscript"/>
          <w:lang w:eastAsia="en-IE"/>
        </w:rPr>
        <w:footnoteReference w:id="40"/>
      </w:r>
    </w:p>
    <w:p>
      <w:pPr>
        <w:spacing w:after="120"/>
        <w:jc w:val="both"/>
        <w:rPr>
          <w:rFonts w:ascii="Times New Roman" w:eastAsia="Calibri" w:hAnsi="Times New Roman" w:cs="Times New Roman"/>
          <w:i/>
          <w:iCs/>
          <w:noProof/>
          <w:sz w:val="24"/>
          <w:szCs w:val="24"/>
          <w:lang w:eastAsia="en-IE"/>
        </w:rPr>
      </w:pPr>
      <w:r>
        <w:rPr>
          <w:rFonts w:ascii="Times New Roman" w:eastAsia="Calibri" w:hAnsi="Times New Roman" w:cs="Times New Roman"/>
          <w:i/>
          <w:iCs/>
          <w:noProof/>
          <w:sz w:val="24"/>
          <w:szCs w:val="24"/>
          <w:lang w:eastAsia="en-IE"/>
        </w:rPr>
        <w:t>Public perception of gender pay discrimination</w:t>
      </w:r>
    </w:p>
    <w:p>
      <w:pPr>
        <w:spacing w:after="120"/>
        <w:jc w:val="both"/>
        <w:rPr>
          <w:rFonts w:ascii="Times New Roman" w:eastAsia="Calibri" w:hAnsi="Times New Roman" w:cs="Times New Roman"/>
          <w:noProof/>
          <w:sz w:val="24"/>
          <w:szCs w:val="24"/>
          <w:lang w:eastAsia="en-IE"/>
        </w:rPr>
      </w:pPr>
      <w:r>
        <w:rPr>
          <w:rFonts w:ascii="Times New Roman" w:eastAsia="Calibri" w:hAnsi="Times New Roman" w:cs="Times New Roman"/>
          <w:b/>
          <w:bCs/>
          <w:noProof/>
          <w:sz w:val="24"/>
          <w:szCs w:val="24"/>
          <w:lang w:eastAsia="en-IE"/>
        </w:rPr>
        <w:t>Results of recent surveys</w:t>
      </w:r>
      <w:r>
        <w:rPr>
          <w:rFonts w:ascii="Times New Roman" w:eastAsia="Calibri" w:hAnsi="Times New Roman" w:cs="Times New Roman"/>
          <w:noProof/>
          <w:sz w:val="24"/>
          <w:szCs w:val="24"/>
          <w:lang w:eastAsia="en-IE"/>
        </w:rPr>
        <w:t xml:space="preserve"> on pay discrimination show a non negligible perception of gender pay discrimination. The </w:t>
      </w:r>
      <w:r>
        <w:rPr>
          <w:rFonts w:ascii="Times New Roman" w:hAnsi="Times New Roman" w:cs="Times New Roman"/>
          <w:noProof/>
          <w:sz w:val="24"/>
          <w:szCs w:val="24"/>
        </w:rPr>
        <w:t xml:space="preserve">majority of respondents (60%) in the </w:t>
      </w:r>
      <w:r>
        <w:rPr>
          <w:rFonts w:ascii="Times New Roman" w:eastAsia="Calibri" w:hAnsi="Times New Roman" w:cs="Times New Roman"/>
          <w:noProof/>
          <w:sz w:val="24"/>
          <w:szCs w:val="24"/>
          <w:lang w:eastAsia="en-IE"/>
        </w:rPr>
        <w:t xml:space="preserve">public consultation carried out for this impact assessment, though not a representative sample, </w:t>
      </w:r>
      <w:r>
        <w:rPr>
          <w:rFonts w:ascii="Times New Roman" w:hAnsi="Times New Roman" w:cs="Times New Roman"/>
          <w:noProof/>
          <w:sz w:val="24"/>
          <w:szCs w:val="24"/>
        </w:rPr>
        <w:t xml:space="preserve">reported that they have experienced gender pay discrimination directly or know someone who has. In addition, </w:t>
      </w:r>
      <w:r>
        <w:rPr>
          <w:rFonts w:ascii="Times New Roman" w:eastAsia="Calibri" w:hAnsi="Times New Roman" w:cs="Times New Roman"/>
          <w:noProof/>
          <w:sz w:val="24"/>
          <w:szCs w:val="24"/>
          <w:lang w:eastAsia="en-IE"/>
        </w:rPr>
        <w:t xml:space="preserve">a significant number of respondents (39%) think that women and men are not paid equally in their organisation. </w:t>
      </w:r>
      <w:r>
        <w:rPr>
          <w:rFonts w:ascii="Times New Roman" w:hAnsi="Times New Roman" w:cs="Times New Roman"/>
          <w:noProof/>
          <w:sz w:val="24"/>
          <w:szCs w:val="24"/>
        </w:rPr>
        <w:t>This corresponds to data gathered in surveys on discrimination more generally.</w:t>
      </w:r>
      <w:r>
        <w:rPr>
          <w:rStyle w:val="FootnoteReference"/>
          <w:rFonts w:ascii="Times New Roman" w:eastAsia="Calibri" w:hAnsi="Times New Roman" w:cs="Times New Roman"/>
          <w:noProof/>
          <w:sz w:val="24"/>
          <w:szCs w:val="24"/>
          <w:lang w:eastAsia="en-IE"/>
        </w:rPr>
        <w:footnoteReference w:id="41"/>
      </w:r>
      <w:r>
        <w:rPr>
          <w:rFonts w:ascii="Times New Roman" w:hAnsi="Times New Roman" w:cs="Times New Roman"/>
          <w:noProof/>
          <w:sz w:val="24"/>
          <w:szCs w:val="24"/>
        </w:rPr>
        <w:t xml:space="preserve"> For instance, o</w:t>
      </w:r>
      <w:r>
        <w:rPr>
          <w:rFonts w:ascii="Times New Roman" w:eastAsia="Calibri" w:hAnsi="Times New Roman" w:cs="Times New Roman"/>
          <w:noProof/>
          <w:sz w:val="24"/>
          <w:szCs w:val="24"/>
          <w:lang w:eastAsia="en-IE"/>
        </w:rPr>
        <w:t>ver a third (35%) of respondents across the EU think discrimination based on gender is widespread in their country – ranging from over 50% in France to 16% in Bulgaria</w:t>
      </w:r>
      <w:r>
        <w:rPr>
          <w:rStyle w:val="FootnoteReference"/>
          <w:rFonts w:ascii="Times New Roman" w:eastAsia="Calibri" w:hAnsi="Times New Roman" w:cs="Times New Roman"/>
          <w:noProof/>
          <w:sz w:val="24"/>
          <w:szCs w:val="24"/>
          <w:lang w:eastAsia="en-IE"/>
        </w:rPr>
        <w:footnoteReference w:id="42"/>
      </w:r>
      <w:r>
        <w:rPr>
          <w:rFonts w:ascii="Times New Roman" w:eastAsia="Calibri" w:hAnsi="Times New Roman" w:cs="Times New Roman"/>
          <w:noProof/>
          <w:sz w:val="24"/>
          <w:szCs w:val="24"/>
          <w:lang w:eastAsia="en-IE"/>
        </w:rPr>
        <w:t>. When asked about gender equality in their company, only half of respondents in the EU believe that female and male employees are paid the same for equivalent positions by their employer – ranging from 68% in the Netherlands to 30% in Czechia</w:t>
      </w:r>
      <w:r>
        <w:rPr>
          <w:rStyle w:val="FootnoteReference"/>
          <w:rFonts w:ascii="Times New Roman" w:eastAsia="Calibri" w:hAnsi="Times New Roman" w:cs="Times New Roman"/>
          <w:noProof/>
          <w:sz w:val="24"/>
          <w:szCs w:val="24"/>
          <w:lang w:eastAsia="en-IE"/>
        </w:rPr>
        <w:footnoteReference w:id="43"/>
      </w:r>
      <w:r>
        <w:rPr>
          <w:rFonts w:ascii="Times New Roman" w:eastAsia="Calibri" w:hAnsi="Times New Roman" w:cs="Times New Roman"/>
          <w:noProof/>
          <w:sz w:val="24"/>
          <w:szCs w:val="24"/>
          <w:lang w:eastAsia="en-IE"/>
        </w:rPr>
        <w:t>.</w:t>
      </w:r>
    </w:p>
    <w:p>
      <w:pPr>
        <w:pBdr>
          <w:top w:val="single" w:sz="4" w:space="1" w:color="auto"/>
          <w:left w:val="single" w:sz="4" w:space="4" w:color="auto"/>
          <w:bottom w:val="single" w:sz="4" w:space="1" w:color="auto"/>
          <w:right w:val="single" w:sz="4" w:space="4" w:color="auto"/>
        </w:pBdr>
        <w:spacing w:after="120"/>
        <w:jc w:val="both"/>
        <w:rPr>
          <w:rFonts w:ascii="Times New Roman" w:eastAsia="Calibri" w:hAnsi="Times New Roman" w:cs="Times New Roman"/>
          <w:noProof/>
          <w:sz w:val="24"/>
          <w:szCs w:val="24"/>
          <w:lang w:eastAsia="en-IE"/>
        </w:rPr>
      </w:pPr>
      <w:r>
        <w:rPr>
          <w:rFonts w:ascii="Times New Roman" w:eastAsia="Calibri" w:hAnsi="Times New Roman" w:cs="Times New Roman"/>
          <w:noProof/>
          <w:lang w:eastAsia="en-IE"/>
        </w:rPr>
        <w:t>A</w:t>
      </w:r>
      <w:r>
        <w:rPr>
          <w:rFonts w:ascii="Times New Roman" w:eastAsia="Times New Roman" w:hAnsi="Times New Roman" w:cs="Times New Roman"/>
          <w:noProof/>
        </w:rPr>
        <w:t xml:space="preserve"> study in Belgium found that three in four women workers have faced at least one form of discrimination, prejudice or issue at work in relation to their pregnancy or maternity; 12% have been discriminated in terms of pay or career</w:t>
      </w:r>
      <w:r>
        <w:rPr>
          <w:rStyle w:val="FootnoteReference"/>
          <w:rFonts w:ascii="Times New Roman" w:eastAsia="Times New Roman" w:hAnsi="Times New Roman" w:cs="Times New Roman"/>
          <w:noProof/>
        </w:rPr>
        <w:footnoteReference w:id="44"/>
      </w:r>
      <w:r>
        <w:rPr>
          <w:rFonts w:ascii="Times New Roman" w:eastAsia="Times New Roman" w:hAnsi="Times New Roman" w:cs="Times New Roman"/>
          <w:noProof/>
        </w:rPr>
        <w:t>. A survey conducted in Ireland showed that ‘women are almost twice as likely as men to experience discrimination at work, in terms of pay and promotion’</w:t>
      </w:r>
      <w:r>
        <w:rPr>
          <w:rStyle w:val="FootnoteReference"/>
          <w:rFonts w:ascii="Times New Roman" w:eastAsia="Times New Roman" w:hAnsi="Times New Roman" w:cs="Times New Roman"/>
          <w:noProof/>
        </w:rPr>
        <w:footnoteReference w:id="45"/>
      </w:r>
      <w:r>
        <w:rPr>
          <w:rFonts w:ascii="Times New Roman" w:eastAsia="Times New Roman" w:hAnsi="Times New Roman" w:cs="Times New Roman"/>
          <w:noProof/>
        </w:rPr>
        <w:t>.</w:t>
      </w:r>
      <w:r>
        <w:rPr>
          <w:rFonts w:ascii="Times New Roman" w:hAnsi="Times New Roman" w:cs="Times New Roman"/>
          <w:noProof/>
        </w:rPr>
        <w:t xml:space="preserve"> </w:t>
      </w:r>
    </w:p>
    <w:p>
      <w:pPr>
        <w:keepNext/>
        <w:spacing w:before="240" w:after="120"/>
        <w:jc w:val="both"/>
        <w:rPr>
          <w:rFonts w:ascii="Times New Roman" w:eastAsia="Calibri" w:hAnsi="Times New Roman" w:cs="Times New Roman"/>
          <w:i/>
          <w:iCs/>
          <w:noProof/>
          <w:sz w:val="24"/>
          <w:szCs w:val="24"/>
          <w:lang w:eastAsia="en-IE"/>
        </w:rPr>
      </w:pPr>
      <w:r>
        <w:rPr>
          <w:rFonts w:ascii="Times New Roman" w:eastAsia="Calibri" w:hAnsi="Times New Roman" w:cs="Times New Roman"/>
          <w:i/>
          <w:iCs/>
          <w:noProof/>
          <w:sz w:val="24"/>
          <w:szCs w:val="24"/>
          <w:lang w:eastAsia="en-IE"/>
        </w:rPr>
        <w:t>Legal cases</w:t>
      </w:r>
    </w:p>
    <w:p>
      <w:pPr>
        <w:spacing w:after="120"/>
        <w:jc w:val="both"/>
        <w:rPr>
          <w:rFonts w:ascii="Times New Roman" w:eastAsia="Calibri" w:hAnsi="Times New Roman" w:cs="Times New Roman"/>
          <w:noProof/>
          <w:sz w:val="24"/>
          <w:szCs w:val="24"/>
          <w:lang w:eastAsia="en-IE"/>
        </w:rPr>
      </w:pPr>
      <w:r>
        <w:rPr>
          <w:rFonts w:ascii="Times New Roman" w:eastAsia="Calibri" w:hAnsi="Times New Roman" w:cs="Times New Roman"/>
          <w:noProof/>
          <w:sz w:val="24"/>
          <w:szCs w:val="24"/>
          <w:lang w:eastAsia="en-IE"/>
        </w:rPr>
        <w:t xml:space="preserve">Successful </w:t>
      </w:r>
      <w:r>
        <w:rPr>
          <w:rFonts w:ascii="Times New Roman" w:eastAsia="Calibri" w:hAnsi="Times New Roman" w:cs="Times New Roman"/>
          <w:b/>
          <w:bCs/>
          <w:noProof/>
          <w:sz w:val="24"/>
          <w:szCs w:val="24"/>
          <w:lang w:eastAsia="en-IE"/>
        </w:rPr>
        <w:t>legal cases</w:t>
      </w:r>
      <w:r>
        <w:rPr>
          <w:rFonts w:ascii="Times New Roman" w:eastAsia="Calibri" w:hAnsi="Times New Roman" w:cs="Times New Roman"/>
          <w:noProof/>
          <w:sz w:val="24"/>
          <w:szCs w:val="24"/>
          <w:vertAlign w:val="superscript"/>
          <w:lang w:eastAsia="en-IE"/>
        </w:rPr>
        <w:footnoteReference w:id="46"/>
      </w:r>
      <w:r>
        <w:rPr>
          <w:rFonts w:ascii="Times New Roman" w:eastAsia="Calibri" w:hAnsi="Times New Roman" w:cs="Times New Roman"/>
          <w:noProof/>
          <w:sz w:val="24"/>
          <w:szCs w:val="24"/>
          <w:lang w:eastAsia="en-IE"/>
        </w:rPr>
        <w:t xml:space="preserve"> equally point to gender pay discrimination. The number of cases concerning pay discrimination is extensive in the UK</w:t>
      </w:r>
      <w:r>
        <w:rPr>
          <w:rFonts w:ascii="Times New Roman" w:eastAsia="Calibri" w:hAnsi="Times New Roman" w:cs="Times New Roman"/>
          <w:noProof/>
          <w:sz w:val="24"/>
          <w:szCs w:val="24"/>
          <w:vertAlign w:val="superscript"/>
          <w:lang w:eastAsia="en-IE"/>
        </w:rPr>
        <w:footnoteReference w:id="47"/>
      </w:r>
      <w:r>
        <w:rPr>
          <w:rFonts w:ascii="Times New Roman" w:eastAsia="Calibri" w:hAnsi="Times New Roman" w:cs="Times New Roman"/>
          <w:noProof/>
          <w:sz w:val="24"/>
          <w:szCs w:val="24"/>
          <w:lang w:eastAsia="en-IE"/>
        </w:rPr>
        <w:t xml:space="preserve"> and France</w:t>
      </w:r>
      <w:r>
        <w:rPr>
          <w:rFonts w:ascii="Times New Roman" w:eastAsia="Calibri" w:hAnsi="Times New Roman" w:cs="Times New Roman"/>
          <w:noProof/>
          <w:sz w:val="24"/>
          <w:szCs w:val="24"/>
          <w:vertAlign w:val="superscript"/>
          <w:lang w:eastAsia="en-IE"/>
        </w:rPr>
        <w:footnoteReference w:id="48"/>
      </w:r>
      <w:r>
        <w:rPr>
          <w:rFonts w:ascii="Times New Roman" w:eastAsia="Calibri" w:hAnsi="Times New Roman" w:cs="Times New Roman"/>
          <w:noProof/>
          <w:sz w:val="24"/>
          <w:szCs w:val="24"/>
          <w:lang w:eastAsia="en-IE"/>
        </w:rPr>
        <w:t>, whilst being relatively rare in other countries. However, case law statistics most probably do not accurately reflect the size of the problem. In many cases, workers are not aware of the fact that they are underpaid on the basis of sex (lack of transparency). In addition, several Member States reported, in the targeted consultation, that these numbers are also under-representative due to procedural obstacles in claimants’ access to justice and to the prevalence of out of court settlements</w:t>
      </w:r>
      <w:r>
        <w:rPr>
          <w:rStyle w:val="FootnoteReference"/>
          <w:rFonts w:ascii="Times New Roman" w:eastAsia="Calibri" w:hAnsi="Times New Roman" w:cs="Times New Roman"/>
          <w:noProof/>
          <w:sz w:val="24"/>
          <w:szCs w:val="24"/>
          <w:lang w:eastAsia="en-IE"/>
        </w:rPr>
        <w:footnoteReference w:id="49"/>
      </w:r>
      <w:r>
        <w:rPr>
          <w:rFonts w:ascii="Times New Roman" w:eastAsia="Calibri" w:hAnsi="Times New Roman" w:cs="Times New Roman"/>
          <w:noProof/>
          <w:sz w:val="24"/>
          <w:szCs w:val="24"/>
          <w:lang w:eastAsia="en-IE"/>
        </w:rPr>
        <w:t xml:space="preserve">. Among trade unions, the large majority of respondents  highlighted that it is ‘difficult’ for their members to enforce equal pay rights in their country for various reasons while one third of employer associations identify that there is difficulty in assessing work of equal value without otherwise reporting difficulties to any significant level (See </w:t>
      </w:r>
      <w:r>
        <w:rPr>
          <w:rFonts w:ascii="Times New Roman" w:eastAsia="Calibri" w:hAnsi="Times New Roman" w:cs="Times New Roman"/>
          <w:i/>
          <w:noProof/>
          <w:sz w:val="24"/>
          <w:szCs w:val="24"/>
          <w:lang w:eastAsia="en-IE"/>
        </w:rPr>
        <w:t>Annex 2</w:t>
      </w:r>
      <w:r>
        <w:rPr>
          <w:rFonts w:ascii="Times New Roman" w:eastAsia="Calibri" w:hAnsi="Times New Roman" w:cs="Times New Roman"/>
          <w:noProof/>
          <w:sz w:val="24"/>
          <w:szCs w:val="24"/>
          <w:lang w:eastAsia="en-IE"/>
        </w:rPr>
        <w:t>).</w:t>
      </w:r>
    </w:p>
    <w:p>
      <w:pPr>
        <w:keepNext/>
        <w:spacing w:after="120"/>
        <w:jc w:val="both"/>
        <w:rPr>
          <w:rFonts w:ascii="Times New Roman" w:eastAsia="Calibri" w:hAnsi="Times New Roman" w:cs="Times New Roman"/>
          <w:i/>
          <w:iCs/>
          <w:noProof/>
          <w:sz w:val="24"/>
          <w:szCs w:val="24"/>
          <w:lang w:eastAsia="en-IE"/>
        </w:rPr>
      </w:pPr>
      <w:r>
        <w:rPr>
          <w:rFonts w:ascii="Times New Roman" w:eastAsia="Calibri" w:hAnsi="Times New Roman" w:cs="Times New Roman"/>
          <w:i/>
          <w:iCs/>
          <w:noProof/>
          <w:sz w:val="24"/>
          <w:szCs w:val="24"/>
          <w:lang w:eastAsia="en-IE"/>
        </w:rPr>
        <w:t>Other circumstantial evidence</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In practice, </w:t>
      </w:r>
      <w:r>
        <w:rPr>
          <w:rFonts w:ascii="Times New Roman" w:hAnsi="Times New Roman" w:cs="Times New Roman"/>
          <w:b/>
          <w:bCs/>
          <w:noProof/>
          <w:sz w:val="24"/>
          <w:szCs w:val="24"/>
        </w:rPr>
        <w:t>gender norms</w:t>
      </w:r>
      <w:r>
        <w:rPr>
          <w:rFonts w:ascii="Times New Roman" w:hAnsi="Times New Roman" w:cs="Times New Roman"/>
          <w:noProof/>
          <w:sz w:val="24"/>
          <w:szCs w:val="24"/>
        </w:rPr>
        <w:t xml:space="preserve"> in the workplace, in particular on work valuation, have been shown to result in labour market discrimination against women</w:t>
      </w:r>
      <w:r>
        <w:rPr>
          <w:rFonts w:ascii="Times New Roman" w:hAnsi="Times New Roman" w:cs="Times New Roman"/>
          <w:noProof/>
          <w:sz w:val="24"/>
          <w:szCs w:val="24"/>
          <w:vertAlign w:val="superscript"/>
        </w:rPr>
        <w:footnoteReference w:id="50"/>
      </w:r>
      <w:r>
        <w:rPr>
          <w:rFonts w:ascii="Times New Roman" w:hAnsi="Times New Roman" w:cs="Times New Roman"/>
          <w:noProof/>
          <w:sz w:val="24"/>
          <w:szCs w:val="24"/>
        </w:rPr>
        <w:t>, and therefore in differences in pay, in various ways. Not all skills relevant for today’s modern service economy are valued in more traditional job valuations. For instance, an analysis of the retail sector in France</w:t>
      </w:r>
      <w:r>
        <w:rPr>
          <w:rStyle w:val="FootnoteReference"/>
          <w:rFonts w:ascii="Times New Roman" w:hAnsi="Times New Roman" w:cs="Times New Roman"/>
          <w:noProof/>
          <w:sz w:val="24"/>
          <w:szCs w:val="24"/>
        </w:rPr>
        <w:footnoteReference w:id="51"/>
      </w:r>
      <w:r>
        <w:rPr>
          <w:rFonts w:ascii="Times New Roman" w:hAnsi="Times New Roman" w:cs="Times New Roman"/>
          <w:noProof/>
          <w:sz w:val="24"/>
          <w:szCs w:val="24"/>
        </w:rPr>
        <w:t xml:space="preserve"> showed that occupational skills such as having a sense of human relations and ability to serve with care, skills that are highly relevant in retail, are mostly considered as innate and are therefore not valued in the evaluation of the position of retail workers. Also, the estimation of potential productivity of prospective workers that employers must make in order to take decisions at hiring/evaluation point</w:t>
      </w:r>
      <w:r>
        <w:rPr>
          <w:rStyle w:val="FootnoteReference"/>
          <w:rFonts w:ascii="Times New Roman" w:hAnsi="Times New Roman" w:cs="Times New Roman"/>
          <w:noProof/>
          <w:sz w:val="24"/>
          <w:szCs w:val="24"/>
        </w:rPr>
        <w:footnoteReference w:id="52"/>
      </w:r>
      <w:r>
        <w:rPr>
          <w:rFonts w:ascii="Times New Roman" w:hAnsi="Times New Roman" w:cs="Times New Roman"/>
          <w:noProof/>
          <w:sz w:val="24"/>
          <w:szCs w:val="24"/>
        </w:rPr>
        <w:t xml:space="preserve"> can be influenced, consciously or unconsciously, by gender bias; lacking specific information, employers may tend to rely on gender biased assumptions or experiences</w:t>
      </w:r>
      <w:r>
        <w:rPr>
          <w:rStyle w:val="FootnoteReference"/>
          <w:rFonts w:ascii="Times New Roman" w:hAnsi="Times New Roman" w:cs="Times New Roman"/>
          <w:noProof/>
          <w:sz w:val="24"/>
          <w:szCs w:val="24"/>
        </w:rPr>
        <w:footnoteReference w:id="53"/>
      </w:r>
      <w:r>
        <w:rPr>
          <w:rFonts w:ascii="Times New Roman" w:hAnsi="Times New Roman" w:cs="Times New Roman"/>
          <w:noProof/>
          <w:sz w:val="24"/>
          <w:szCs w:val="24"/>
        </w:rPr>
        <w:t>. A bias towards more critical review of women, particularly as for personality aspects,</w:t>
      </w:r>
      <w:r>
        <w:rPr>
          <w:rStyle w:val="FootnoteReference"/>
          <w:rFonts w:ascii="Times New Roman" w:hAnsi="Times New Roman" w:cs="Times New Roman"/>
          <w:noProof/>
          <w:sz w:val="24"/>
          <w:szCs w:val="24"/>
        </w:rPr>
        <w:footnoteReference w:id="54"/>
      </w:r>
      <w:r>
        <w:rPr>
          <w:rFonts w:ascii="Times New Roman" w:hAnsi="Times New Roman" w:cs="Times New Roman"/>
          <w:noProof/>
          <w:sz w:val="24"/>
          <w:szCs w:val="24"/>
        </w:rPr>
        <w:t xml:space="preserve"> is especially prevalent for jobs traditionally held by men and has obvious consequences in self-perpetuating differences in pay. A gender bias has also been evidenced in wage/rise/bonus negotiations, showing that the frequency and outcomes of pay negotiations are not gender-neutral.</w:t>
      </w:r>
      <w:r>
        <w:rPr>
          <w:rStyle w:val="FootnoteReference"/>
          <w:rFonts w:ascii="Times New Roman" w:hAnsi="Times New Roman" w:cs="Times New Roman"/>
          <w:noProof/>
          <w:sz w:val="24"/>
          <w:szCs w:val="24"/>
        </w:rPr>
        <w:footnoteReference w:id="55"/>
      </w:r>
      <w:r>
        <w:rPr>
          <w:rFonts w:ascii="Times New Roman" w:hAnsi="Times New Roman" w:cs="Times New Roman"/>
          <w:noProof/>
          <w:sz w:val="24"/>
          <w:szCs w:val="24"/>
        </w:rPr>
        <w:t xml:space="preserve"> Gender norms influence both women employees (who tend to negotiate less</w:t>
      </w:r>
      <w:r>
        <w:rPr>
          <w:rStyle w:val="FootnoteReference"/>
          <w:rFonts w:ascii="Times New Roman" w:hAnsi="Times New Roman" w:cs="Times New Roman"/>
          <w:noProof/>
          <w:sz w:val="24"/>
          <w:szCs w:val="24"/>
        </w:rPr>
        <w:footnoteReference w:id="56"/>
      </w:r>
      <w:r>
        <w:rPr>
          <w:rFonts w:ascii="Times New Roman" w:hAnsi="Times New Roman" w:cs="Times New Roman"/>
          <w:noProof/>
          <w:sz w:val="24"/>
          <w:szCs w:val="24"/>
        </w:rPr>
        <w:t xml:space="preserve"> and have lower expectations as to salary level</w:t>
      </w:r>
      <w:r>
        <w:rPr>
          <w:rStyle w:val="FootnoteReference"/>
          <w:rFonts w:ascii="Times New Roman" w:hAnsi="Times New Roman" w:cs="Times New Roman"/>
          <w:noProof/>
          <w:sz w:val="24"/>
          <w:szCs w:val="24"/>
        </w:rPr>
        <w:footnoteReference w:id="57"/>
      </w:r>
      <w:r>
        <w:rPr>
          <w:rFonts w:ascii="Times New Roman" w:hAnsi="Times New Roman" w:cs="Times New Roman"/>
          <w:noProof/>
          <w:sz w:val="24"/>
          <w:szCs w:val="24"/>
        </w:rPr>
        <w:t xml:space="preserve">) and employers (e.g. expecting that women will accept lower pay offers than men; or perceiving their request differently). </w:t>
      </w:r>
    </w:p>
    <w:p>
      <w:pPr>
        <w:keepNext/>
        <w:spacing w:after="120"/>
        <w:jc w:val="both"/>
        <w:rPr>
          <w:rFonts w:ascii="Times New Roman" w:eastAsia="Calibri" w:hAnsi="Times New Roman" w:cs="Times New Roman"/>
          <w:i/>
          <w:iCs/>
          <w:noProof/>
          <w:sz w:val="24"/>
          <w:szCs w:val="24"/>
          <w:lang w:eastAsia="en-IE"/>
        </w:rPr>
      </w:pPr>
      <w:r>
        <w:rPr>
          <w:rFonts w:ascii="Times New Roman" w:hAnsi="Times New Roman" w:cs="Times New Roman"/>
          <w:i/>
          <w:iCs/>
          <w:noProof/>
          <w:sz w:val="24"/>
          <w:szCs w:val="24"/>
        </w:rPr>
        <w:t>Impact of intersectional discrimination</w:t>
      </w:r>
    </w:p>
    <w:p>
      <w:pPr>
        <w:spacing w:after="120"/>
        <w:jc w:val="both"/>
        <w:rPr>
          <w:rFonts w:ascii="Times New Roman" w:eastAsia="Calibri" w:hAnsi="Times New Roman" w:cs="Times New Roman"/>
          <w:noProof/>
          <w:sz w:val="24"/>
          <w:szCs w:val="24"/>
          <w:lang w:eastAsia="en-IE"/>
        </w:rPr>
      </w:pPr>
      <w:r>
        <w:rPr>
          <w:rFonts w:ascii="Times New Roman" w:eastAsia="Calibri" w:hAnsi="Times New Roman" w:cs="Times New Roman"/>
          <w:noProof/>
          <w:sz w:val="24"/>
          <w:szCs w:val="24"/>
          <w:lang w:eastAsia="en-IE"/>
        </w:rPr>
        <w:t xml:space="preserve">Finally, it is worth mentioning that the problem of pay discrimination is likely to be </w:t>
      </w:r>
      <w:r>
        <w:rPr>
          <w:rFonts w:ascii="Times New Roman" w:eastAsia="Calibri" w:hAnsi="Times New Roman" w:cs="Times New Roman"/>
          <w:b/>
          <w:bCs/>
          <w:noProof/>
          <w:sz w:val="24"/>
          <w:szCs w:val="24"/>
          <w:lang w:eastAsia="en-IE"/>
        </w:rPr>
        <w:t>more profound for women incurring also other types of discrimination (intersectionality)</w:t>
      </w:r>
      <w:r>
        <w:rPr>
          <w:rFonts w:ascii="Times New Roman" w:eastAsia="Calibri" w:hAnsi="Times New Roman" w:cs="Times New Roman"/>
          <w:noProof/>
          <w:sz w:val="24"/>
          <w:szCs w:val="24"/>
          <w:lang w:eastAsia="en-IE"/>
        </w:rPr>
        <w:t xml:space="preserve">, for instance for women </w:t>
      </w:r>
      <w:r>
        <w:rPr>
          <w:rFonts w:ascii="Times New Roman" w:hAnsi="Times New Roman" w:cs="Times New Roman"/>
          <w:noProof/>
          <w:sz w:val="24"/>
          <w:szCs w:val="24"/>
        </w:rPr>
        <w:t>with a minority racial</w:t>
      </w:r>
      <w:r>
        <w:rPr>
          <w:rFonts w:ascii="Times New Roman" w:eastAsia="Calibri" w:hAnsi="Times New Roman" w:cs="Times New Roman"/>
          <w:noProof/>
          <w:sz w:val="24"/>
          <w:szCs w:val="24"/>
          <w:lang w:eastAsia="en-IE"/>
        </w:rPr>
        <w:t xml:space="preserve"> or </w:t>
      </w:r>
      <w:r>
        <w:rPr>
          <w:rFonts w:ascii="Times New Roman" w:hAnsi="Times New Roman" w:cs="Times New Roman"/>
          <w:noProof/>
          <w:sz w:val="24"/>
          <w:szCs w:val="24"/>
        </w:rPr>
        <w:t>ethnic background or a disability.</w:t>
      </w:r>
      <w:r>
        <w:rPr>
          <w:rFonts w:ascii="Times New Roman" w:eastAsia="Calibri" w:hAnsi="Times New Roman" w:cs="Times New Roman"/>
          <w:noProof/>
          <w:sz w:val="24"/>
          <w:szCs w:val="24"/>
          <w:vertAlign w:val="superscript"/>
          <w:lang w:eastAsia="en-IE"/>
        </w:rPr>
        <w:footnoteReference w:id="58"/>
      </w:r>
      <w:r>
        <w:rPr>
          <w:rFonts w:ascii="Times New Roman" w:eastAsia="Calibri" w:hAnsi="Times New Roman" w:cs="Times New Roman"/>
          <w:noProof/>
          <w:sz w:val="24"/>
          <w:szCs w:val="24"/>
          <w:lang w:eastAsia="en-IE"/>
        </w:rPr>
        <w:t xml:space="preserve"> Other groups are also more likely to be affected by pay discrimination such as single parents (of which 85% are women)</w:t>
      </w:r>
      <w:r>
        <w:rPr>
          <w:rStyle w:val="FootnoteReference"/>
          <w:rFonts w:ascii="Times New Roman" w:eastAsia="Calibri" w:hAnsi="Times New Roman" w:cs="Times New Roman"/>
          <w:noProof/>
          <w:sz w:val="24"/>
          <w:szCs w:val="24"/>
          <w:lang w:eastAsia="en-IE"/>
        </w:rPr>
        <w:footnoteReference w:id="59"/>
      </w:r>
      <w:r>
        <w:rPr>
          <w:rFonts w:ascii="Times New Roman" w:eastAsia="Calibri" w:hAnsi="Times New Roman" w:cs="Times New Roman"/>
          <w:noProof/>
          <w:sz w:val="24"/>
          <w:szCs w:val="24"/>
          <w:lang w:eastAsia="en-IE"/>
        </w:rPr>
        <w:t xml:space="preserve"> and LGBTIQ people</w:t>
      </w:r>
      <w:r>
        <w:rPr>
          <w:rFonts w:ascii="Times New Roman" w:eastAsia="Calibri" w:hAnsi="Times New Roman" w:cs="Times New Roman"/>
          <w:noProof/>
          <w:sz w:val="24"/>
          <w:szCs w:val="24"/>
          <w:vertAlign w:val="superscript"/>
          <w:lang w:eastAsia="en-IE"/>
        </w:rPr>
        <w:footnoteReference w:id="60"/>
      </w:r>
      <w:r>
        <w:rPr>
          <w:rFonts w:ascii="Times New Roman" w:eastAsia="Calibri" w:hAnsi="Times New Roman" w:cs="Times New Roman"/>
          <w:noProof/>
          <w:sz w:val="24"/>
          <w:szCs w:val="24"/>
          <w:lang w:eastAsia="en-IE"/>
        </w:rPr>
        <w:t xml:space="preserve">. </w:t>
      </w:r>
    </w:p>
    <w:p>
      <w:pPr>
        <w:spacing w:after="120"/>
        <w:jc w:val="both"/>
        <w:rPr>
          <w:rFonts w:ascii="Times New Roman" w:eastAsia="Calibri" w:hAnsi="Times New Roman" w:cs="Times New Roman"/>
          <w:i/>
          <w:iCs/>
          <w:noProof/>
          <w:sz w:val="24"/>
          <w:szCs w:val="24"/>
          <w:lang w:eastAsia="en-IE"/>
        </w:rPr>
      </w:pPr>
      <w:r>
        <w:rPr>
          <w:rFonts w:ascii="Times New Roman" w:eastAsia="Calibri" w:hAnsi="Times New Roman" w:cs="Times New Roman"/>
          <w:i/>
          <w:iCs/>
          <w:noProof/>
          <w:sz w:val="24"/>
          <w:szCs w:val="24"/>
          <w:lang w:eastAsia="en-IE"/>
        </w:rPr>
        <w:t>Lack of data on the extent of pay discrimination</w:t>
      </w:r>
    </w:p>
    <w:p>
      <w:pPr>
        <w:spacing w:after="120"/>
        <w:jc w:val="both"/>
        <w:rPr>
          <w:rFonts w:ascii="Times New Roman" w:eastAsia="Calibri" w:hAnsi="Times New Roman" w:cs="Times New Roman"/>
          <w:noProof/>
          <w:sz w:val="24"/>
          <w:szCs w:val="24"/>
          <w:lang w:eastAsia="en-IE"/>
        </w:rPr>
      </w:pPr>
      <w:r>
        <w:rPr>
          <w:rFonts w:ascii="Times New Roman" w:eastAsia="Calibri" w:hAnsi="Times New Roman" w:cs="Times New Roman"/>
          <w:noProof/>
          <w:sz w:val="24"/>
          <w:szCs w:val="24"/>
          <w:lang w:eastAsia="en-IE"/>
        </w:rPr>
        <w:t>It is hard, at aggregate level, to know whether differences observed on the labour market (e.g. in terms of salary level, bonuses, promotions) result from employers’ discriminatory behaviour or from gender-biased pay setting practices as opposed to legitimate differences stemming from objective factors, e.g. different rewarding of merit</w:t>
      </w:r>
      <w:r>
        <w:rPr>
          <w:rFonts w:ascii="Times New Roman" w:eastAsia="Calibri" w:hAnsi="Times New Roman" w:cs="Times New Roman"/>
          <w:noProof/>
          <w:sz w:val="24"/>
          <w:szCs w:val="24"/>
          <w:vertAlign w:val="superscript"/>
          <w:lang w:eastAsia="en-IE"/>
        </w:rPr>
        <w:footnoteReference w:id="61"/>
      </w:r>
      <w:r>
        <w:rPr>
          <w:rFonts w:ascii="Times New Roman" w:eastAsia="Calibri" w:hAnsi="Times New Roman" w:cs="Times New Roman"/>
          <w:noProof/>
          <w:sz w:val="24"/>
          <w:szCs w:val="24"/>
          <w:lang w:eastAsia="en-IE"/>
        </w:rPr>
        <w:t xml:space="preserve">. Discriminatory behaviour is rarely openly stated; </w:t>
      </w:r>
      <w:r>
        <w:rPr>
          <w:rFonts w:ascii="Times New Roman" w:eastAsia="Calibri" w:hAnsi="Times New Roman" w:cs="Times New Roman"/>
          <w:noProof/>
          <w:sz w:val="24"/>
          <w:szCs w:val="24"/>
          <w:lang w:val="en-IE" w:eastAsia="en-IE"/>
        </w:rPr>
        <w:t>the reasons for differential treatment are often only in the mind (consciously or unconsciously) of the perpetrators and their victims</w:t>
      </w:r>
      <w:r>
        <w:rPr>
          <w:rFonts w:ascii="Times New Roman" w:eastAsia="Calibri" w:hAnsi="Times New Roman" w:cs="Times New Roman"/>
          <w:noProof/>
          <w:sz w:val="24"/>
          <w:szCs w:val="24"/>
          <w:vertAlign w:val="superscript"/>
          <w:lang w:val="en-IE" w:eastAsia="en-IE"/>
        </w:rPr>
        <w:footnoteReference w:id="62"/>
      </w:r>
      <w:r>
        <w:rPr>
          <w:rFonts w:ascii="Times New Roman" w:eastAsia="Calibri" w:hAnsi="Times New Roman" w:cs="Times New Roman"/>
          <w:noProof/>
          <w:sz w:val="24"/>
          <w:szCs w:val="24"/>
          <w:lang w:val="en-IE" w:eastAsia="en-IE"/>
        </w:rPr>
        <w:t xml:space="preserve"> or they are hidden in pay structures which have not been evaluated for many years. It is therefore difficult to provide specific and extended data about pay discrimination under today’s rules. Promoting and realising pay transparency at employer level will increase the amount of data available and may thus enable to fine-tune the statistical analysis of the gender pay gap, providing a better understanding of the share which is justified by objective factors and the share which is not justified objectively, and thus likely to be linked to gender pay discrimination.</w:t>
      </w:r>
    </w:p>
    <w:p>
      <w:pPr>
        <w:pStyle w:val="Heading2"/>
        <w:numPr>
          <w:ilvl w:val="1"/>
          <w:numId w:val="1"/>
        </w:numPr>
        <w:spacing w:after="120"/>
        <w:ind w:left="1276" w:hanging="709"/>
        <w:rPr>
          <w:noProof/>
        </w:rPr>
      </w:pPr>
      <w:bookmarkStart w:id="305" w:name="_Toc47455449"/>
      <w:bookmarkStart w:id="306" w:name="_Toc49800435"/>
      <w:bookmarkStart w:id="307" w:name="_Toc49804388"/>
      <w:bookmarkStart w:id="308" w:name="_Toc49804548"/>
      <w:bookmarkStart w:id="309" w:name="_Toc49804638"/>
      <w:bookmarkStart w:id="310" w:name="_Toc49804713"/>
      <w:bookmarkStart w:id="311" w:name="_Toc49804788"/>
      <w:bookmarkStart w:id="312" w:name="_Toc49805460"/>
      <w:bookmarkStart w:id="313" w:name="_Toc49806119"/>
      <w:bookmarkStart w:id="314" w:name="_Toc49806172"/>
      <w:bookmarkStart w:id="315" w:name="_Toc49810570"/>
      <w:bookmarkStart w:id="316" w:name="_Toc49811103"/>
      <w:bookmarkStart w:id="317" w:name="_Toc49876165"/>
      <w:bookmarkStart w:id="318" w:name="_Toc49876267"/>
      <w:bookmarkStart w:id="319" w:name="_Toc49877334"/>
      <w:bookmarkStart w:id="320" w:name="_Toc49877791"/>
      <w:bookmarkStart w:id="321" w:name="_Toc49878142"/>
      <w:bookmarkStart w:id="322" w:name="_Toc49878207"/>
      <w:bookmarkStart w:id="323" w:name="_Toc49878272"/>
      <w:bookmarkStart w:id="324" w:name="_Toc49878262"/>
      <w:bookmarkStart w:id="325" w:name="_Toc49878392"/>
      <w:bookmarkStart w:id="326" w:name="_Toc49878540"/>
      <w:bookmarkStart w:id="327" w:name="_Toc49878630"/>
      <w:bookmarkStart w:id="328" w:name="_Toc49878743"/>
      <w:bookmarkStart w:id="329" w:name="_Toc49878808"/>
      <w:bookmarkStart w:id="330" w:name="_Toc49879042"/>
      <w:bookmarkStart w:id="331" w:name="_Toc49879411"/>
      <w:bookmarkStart w:id="332" w:name="_Toc49879551"/>
      <w:bookmarkStart w:id="333" w:name="_Toc49879619"/>
      <w:bookmarkStart w:id="334" w:name="_Toc49879687"/>
      <w:bookmarkStart w:id="335" w:name="_Toc49879755"/>
      <w:bookmarkStart w:id="336" w:name="_Toc49879867"/>
      <w:bookmarkStart w:id="337" w:name="_Toc49879935"/>
      <w:bookmarkStart w:id="338" w:name="_Toc49880117"/>
      <w:bookmarkStart w:id="339" w:name="_Toc49880185"/>
      <w:bookmarkStart w:id="340" w:name="_Toc49880415"/>
      <w:bookmarkStart w:id="341" w:name="_Toc49880483"/>
      <w:bookmarkStart w:id="342" w:name="_Toc49880968"/>
      <w:bookmarkStart w:id="343" w:name="_Toc49881127"/>
      <w:bookmarkStart w:id="344" w:name="_Toc49881646"/>
      <w:bookmarkStart w:id="345" w:name="_Toc49883516"/>
      <w:bookmarkStart w:id="346" w:name="_Toc49883754"/>
      <w:bookmarkStart w:id="347" w:name="_Toc49884120"/>
      <w:bookmarkStart w:id="348" w:name="_Toc49884188"/>
      <w:bookmarkStart w:id="349" w:name="_Toc49884264"/>
      <w:bookmarkStart w:id="350" w:name="_Toc49888691"/>
      <w:bookmarkStart w:id="351" w:name="_Toc49893520"/>
      <w:bookmarkStart w:id="352" w:name="_Toc49893834"/>
      <w:bookmarkStart w:id="353" w:name="_Toc49895349"/>
      <w:bookmarkStart w:id="354" w:name="_Toc49896883"/>
      <w:bookmarkStart w:id="355" w:name="_Toc49926247"/>
      <w:bookmarkStart w:id="356" w:name="_Toc49928801"/>
      <w:bookmarkStart w:id="357" w:name="_Toc49928871"/>
      <w:bookmarkStart w:id="358" w:name="_Toc49928951"/>
      <w:bookmarkStart w:id="359" w:name="_Toc49930160"/>
      <w:bookmarkStart w:id="360" w:name="_Toc49930382"/>
      <w:bookmarkStart w:id="361" w:name="_Toc49930452"/>
      <w:bookmarkStart w:id="362" w:name="_Toc49930522"/>
      <w:bookmarkStart w:id="363" w:name="_Toc49930592"/>
      <w:bookmarkStart w:id="364" w:name="_Toc49930662"/>
      <w:bookmarkStart w:id="365" w:name="_Toc49930803"/>
      <w:bookmarkStart w:id="366" w:name="_Toc49930946"/>
      <w:bookmarkStart w:id="367" w:name="_Toc49931200"/>
      <w:bookmarkStart w:id="368" w:name="_Toc49931406"/>
      <w:bookmarkStart w:id="369" w:name="_Toc49931707"/>
      <w:bookmarkStart w:id="370" w:name="_Toc49931840"/>
      <w:bookmarkStart w:id="371" w:name="_Toc49932145"/>
      <w:bookmarkStart w:id="372" w:name="_Toc49932276"/>
      <w:bookmarkStart w:id="373" w:name="_Toc49932834"/>
      <w:bookmarkStart w:id="374" w:name="_Toc49933168"/>
      <w:bookmarkStart w:id="375" w:name="_Toc49933238"/>
      <w:bookmarkStart w:id="376" w:name="_Toc49933764"/>
      <w:bookmarkStart w:id="377" w:name="_Toc49933907"/>
      <w:bookmarkStart w:id="378" w:name="_Toc49934033"/>
      <w:bookmarkStart w:id="379" w:name="_Toc49934148"/>
      <w:bookmarkStart w:id="380" w:name="_Toc49934829"/>
      <w:bookmarkStart w:id="381" w:name="_Toc49935094"/>
      <w:bookmarkStart w:id="382" w:name="_Toc49935164"/>
      <w:bookmarkStart w:id="383" w:name="_Toc49935384"/>
      <w:bookmarkStart w:id="384" w:name="_Toc49935454"/>
      <w:bookmarkStart w:id="385" w:name="_Toc49935631"/>
      <w:bookmarkStart w:id="386" w:name="_Toc49936042"/>
      <w:bookmarkStart w:id="387" w:name="_Toc49936112"/>
      <w:bookmarkStart w:id="388" w:name="_Toc49936182"/>
      <w:bookmarkStart w:id="389" w:name="_Toc49936770"/>
      <w:bookmarkStart w:id="390" w:name="_Toc49937003"/>
      <w:bookmarkStart w:id="391" w:name="_Toc49937121"/>
      <w:bookmarkStart w:id="392" w:name="_Toc49937630"/>
      <w:bookmarkStart w:id="393" w:name="_Toc49938010"/>
      <w:bookmarkStart w:id="394" w:name="_Toc49938815"/>
      <w:bookmarkStart w:id="395" w:name="_Toc49938948"/>
      <w:bookmarkStart w:id="396" w:name="_Toc49939057"/>
      <w:bookmarkStart w:id="397" w:name="_Toc49939127"/>
      <w:bookmarkStart w:id="398" w:name="_Toc49939260"/>
      <w:bookmarkStart w:id="399" w:name="_Toc49939562"/>
      <w:bookmarkStart w:id="400" w:name="_Toc49939908"/>
      <w:bookmarkStart w:id="401" w:name="_Toc49940443"/>
      <w:bookmarkStart w:id="402" w:name="_Toc49941594"/>
      <w:bookmarkStart w:id="403" w:name="_Toc49941600"/>
      <w:bookmarkStart w:id="404" w:name="_Toc49942040"/>
      <w:bookmarkStart w:id="405" w:name="_Toc49942224"/>
      <w:bookmarkStart w:id="406" w:name="_Toc49942432"/>
      <w:bookmarkStart w:id="407" w:name="_Toc49942666"/>
      <w:bookmarkStart w:id="408" w:name="_Toc49942781"/>
      <w:bookmarkStart w:id="409" w:name="_Toc49944318"/>
      <w:bookmarkStart w:id="410" w:name="_Toc49945095"/>
      <w:bookmarkStart w:id="411" w:name="_Toc49945889"/>
      <w:bookmarkStart w:id="412" w:name="_Toc49946247"/>
      <w:bookmarkStart w:id="413" w:name="_Toc49946534"/>
      <w:bookmarkStart w:id="414" w:name="_Toc49946643"/>
      <w:bookmarkStart w:id="415" w:name="_Toc49947243"/>
      <w:bookmarkStart w:id="416" w:name="_Toc49946346"/>
      <w:bookmarkStart w:id="417" w:name="_Toc49947125"/>
      <w:bookmarkStart w:id="418" w:name="_Toc49947379"/>
      <w:bookmarkStart w:id="419" w:name="_Toc49947757"/>
      <w:bookmarkStart w:id="420" w:name="_Toc49947852"/>
      <w:bookmarkStart w:id="421" w:name="_Toc49947922"/>
      <w:bookmarkStart w:id="422" w:name="_Toc49948017"/>
      <w:bookmarkStart w:id="423" w:name="_Toc49948087"/>
      <w:bookmarkStart w:id="424" w:name="_Toc49948298"/>
      <w:bookmarkStart w:id="425" w:name="_Toc49948368"/>
      <w:bookmarkStart w:id="426" w:name="_Toc49948438"/>
      <w:bookmarkStart w:id="427" w:name="_Toc49948508"/>
      <w:bookmarkStart w:id="428" w:name="_Toc49948627"/>
      <w:bookmarkStart w:id="429" w:name="_Toc49943477"/>
      <w:bookmarkStart w:id="430" w:name="_Toc49949514"/>
      <w:bookmarkStart w:id="431" w:name="_Toc49949584"/>
      <w:bookmarkStart w:id="432" w:name="_Toc49950620"/>
      <w:bookmarkStart w:id="433" w:name="_Toc49948697"/>
      <w:bookmarkStart w:id="434" w:name="_Toc49950787"/>
      <w:bookmarkStart w:id="435" w:name="_Toc49951138"/>
      <w:bookmarkStart w:id="436" w:name="_Toc49951389"/>
      <w:bookmarkStart w:id="437" w:name="_Toc49951556"/>
      <w:bookmarkStart w:id="438" w:name="_Toc49951643"/>
      <w:bookmarkStart w:id="439" w:name="_Toc49951713"/>
      <w:bookmarkStart w:id="440" w:name="_Toc49951952"/>
      <w:bookmarkStart w:id="441" w:name="_Toc49952051"/>
      <w:bookmarkStart w:id="442" w:name="_Toc49952227"/>
      <w:bookmarkStart w:id="443" w:name="_Toc49953073"/>
      <w:bookmarkStart w:id="444" w:name="_Toc49953143"/>
      <w:bookmarkStart w:id="445" w:name="_Toc49952927"/>
      <w:bookmarkStart w:id="446" w:name="_Toc49953858"/>
      <w:bookmarkStart w:id="447" w:name="_Toc49953928"/>
      <w:bookmarkStart w:id="448" w:name="_Toc49954006"/>
      <w:bookmarkStart w:id="449" w:name="_Toc49954081"/>
      <w:bookmarkStart w:id="450" w:name="_Toc49949572"/>
      <w:bookmarkStart w:id="451" w:name="_Toc49953642"/>
      <w:bookmarkStart w:id="452" w:name="_Toc49953767"/>
      <w:bookmarkStart w:id="453" w:name="_Toc49954147"/>
      <w:bookmarkStart w:id="454" w:name="_Toc49954254"/>
      <w:bookmarkStart w:id="455" w:name="_Toc49954357"/>
      <w:bookmarkStart w:id="456" w:name="_Toc49954488"/>
      <w:bookmarkStart w:id="457" w:name="_Toc49954558"/>
      <w:bookmarkStart w:id="458" w:name="_Toc49954628"/>
      <w:bookmarkStart w:id="459" w:name="_Toc49954489"/>
      <w:bookmarkStart w:id="460" w:name="_Toc49954732"/>
      <w:bookmarkStart w:id="461" w:name="_Toc49954857"/>
      <w:bookmarkStart w:id="462" w:name="_Toc49954629"/>
      <w:bookmarkStart w:id="463" w:name="_Toc49954951"/>
      <w:bookmarkStart w:id="464" w:name="_Toc49955021"/>
      <w:bookmarkStart w:id="465" w:name="_Toc49955091"/>
      <w:bookmarkStart w:id="466" w:name="_Toc49955022"/>
      <w:bookmarkStart w:id="467" w:name="_Toc49955231"/>
      <w:bookmarkStart w:id="468" w:name="_Toc49955301"/>
      <w:bookmarkStart w:id="469" w:name="_Toc49955371"/>
      <w:bookmarkStart w:id="470" w:name="_Toc49955679"/>
      <w:bookmarkStart w:id="471" w:name="_Toc49955749"/>
      <w:bookmarkStart w:id="472" w:name="_Toc49956104"/>
      <w:bookmarkStart w:id="473" w:name="_Toc49958249"/>
      <w:bookmarkStart w:id="474" w:name="_Toc49958374"/>
      <w:bookmarkStart w:id="475" w:name="_Toc49958444"/>
      <w:bookmarkStart w:id="476" w:name="_Toc49958514"/>
      <w:bookmarkStart w:id="477" w:name="_Toc49695762"/>
      <w:bookmarkStart w:id="478" w:name="_Toc49800439"/>
      <w:bookmarkStart w:id="479" w:name="_Toc49804391"/>
      <w:bookmarkStart w:id="480" w:name="_Toc49804551"/>
      <w:bookmarkStart w:id="481" w:name="_Toc49804641"/>
      <w:bookmarkStart w:id="482" w:name="_Toc49804716"/>
      <w:bookmarkStart w:id="483" w:name="_Toc49804791"/>
      <w:bookmarkStart w:id="484" w:name="_Toc49805463"/>
      <w:bookmarkStart w:id="485" w:name="_Toc49806122"/>
      <w:bookmarkStart w:id="486" w:name="_Toc49806175"/>
      <w:bookmarkStart w:id="487" w:name="_Toc49810573"/>
      <w:bookmarkStart w:id="488" w:name="_Toc49811106"/>
      <w:bookmarkStart w:id="489" w:name="_Toc49876168"/>
      <w:bookmarkStart w:id="490" w:name="_Toc49876270"/>
      <w:bookmarkStart w:id="491" w:name="_Toc49877337"/>
      <w:bookmarkStart w:id="492" w:name="_Toc49877794"/>
      <w:bookmarkStart w:id="493" w:name="_Toc49878145"/>
      <w:bookmarkStart w:id="494" w:name="_Toc49878109"/>
      <w:bookmarkStart w:id="495" w:name="_Toc49878210"/>
      <w:bookmarkStart w:id="496" w:name="_Toc49878275"/>
      <w:bookmarkStart w:id="497" w:name="_Toc49878265"/>
      <w:bookmarkStart w:id="498" w:name="_Toc49878395"/>
      <w:bookmarkStart w:id="499" w:name="_Toc49878543"/>
      <w:bookmarkStart w:id="500" w:name="_Toc49878633"/>
      <w:bookmarkStart w:id="501" w:name="_Toc49878746"/>
      <w:bookmarkStart w:id="502" w:name="_Toc49878811"/>
      <w:bookmarkStart w:id="503" w:name="_Toc49879045"/>
      <w:bookmarkStart w:id="504" w:name="_Toc49879414"/>
      <w:bookmarkStart w:id="505" w:name="_Toc49879554"/>
      <w:bookmarkStart w:id="506" w:name="_Toc49879622"/>
      <w:bookmarkStart w:id="507" w:name="_Toc49879690"/>
      <w:bookmarkStart w:id="508" w:name="_Toc49879758"/>
      <w:bookmarkStart w:id="509" w:name="_Toc49879870"/>
      <w:bookmarkStart w:id="510" w:name="_Toc49879938"/>
      <w:bookmarkStart w:id="511" w:name="_Toc49880120"/>
      <w:bookmarkStart w:id="512" w:name="_Toc49880188"/>
      <w:bookmarkStart w:id="513" w:name="_Toc49880418"/>
      <w:bookmarkStart w:id="514" w:name="_Toc49880486"/>
      <w:bookmarkStart w:id="515" w:name="_Toc49880971"/>
      <w:bookmarkStart w:id="516" w:name="_Toc49881130"/>
      <w:bookmarkStart w:id="517" w:name="_Toc49881649"/>
      <w:bookmarkStart w:id="518" w:name="_Toc49883519"/>
      <w:bookmarkStart w:id="519" w:name="_Toc49883757"/>
      <w:bookmarkStart w:id="520" w:name="_Toc49884123"/>
      <w:bookmarkStart w:id="521" w:name="_Toc49884191"/>
      <w:bookmarkStart w:id="522" w:name="_Toc49884267"/>
      <w:bookmarkStart w:id="523" w:name="_Toc49888694"/>
      <w:bookmarkStart w:id="524" w:name="_Toc49893523"/>
      <w:bookmarkStart w:id="525" w:name="_Toc49893837"/>
      <w:bookmarkStart w:id="526" w:name="_Toc49895352"/>
      <w:bookmarkStart w:id="527" w:name="_Toc49896886"/>
      <w:bookmarkStart w:id="528" w:name="_Toc49926250"/>
      <w:bookmarkStart w:id="529" w:name="_Toc49928804"/>
      <w:bookmarkStart w:id="530" w:name="_Toc49928874"/>
      <w:bookmarkStart w:id="531" w:name="_Toc49928954"/>
      <w:bookmarkStart w:id="532" w:name="_Toc49930163"/>
      <w:bookmarkStart w:id="533" w:name="_Toc49930385"/>
      <w:bookmarkStart w:id="534" w:name="_Toc49930455"/>
      <w:bookmarkStart w:id="535" w:name="_Toc49930525"/>
      <w:bookmarkStart w:id="536" w:name="_Toc49930595"/>
      <w:bookmarkStart w:id="537" w:name="_Toc49930665"/>
      <w:bookmarkStart w:id="538" w:name="_Toc49930806"/>
      <w:bookmarkStart w:id="539" w:name="_Toc49930949"/>
      <w:bookmarkStart w:id="540" w:name="_Toc49931203"/>
      <w:bookmarkStart w:id="541" w:name="_Toc49931409"/>
      <w:bookmarkStart w:id="542" w:name="_Toc49931710"/>
      <w:bookmarkStart w:id="543" w:name="_Toc49931843"/>
      <w:bookmarkStart w:id="544" w:name="_Toc49932148"/>
      <w:bookmarkStart w:id="545" w:name="_Toc49932279"/>
      <w:bookmarkStart w:id="546" w:name="_Toc49932837"/>
      <w:bookmarkStart w:id="547" w:name="_Toc49933171"/>
      <w:bookmarkStart w:id="548" w:name="_Toc49933241"/>
      <w:bookmarkStart w:id="549" w:name="_Toc49933767"/>
      <w:bookmarkStart w:id="550" w:name="_Toc49933910"/>
      <w:bookmarkStart w:id="551" w:name="_Toc49934036"/>
      <w:bookmarkStart w:id="552" w:name="_Toc49934151"/>
      <w:bookmarkStart w:id="553" w:name="_Toc49934832"/>
      <w:bookmarkStart w:id="554" w:name="_Toc49935097"/>
      <w:bookmarkStart w:id="555" w:name="_Toc49935167"/>
      <w:bookmarkStart w:id="556" w:name="_Toc49935387"/>
      <w:bookmarkStart w:id="557" w:name="_Toc49935457"/>
      <w:bookmarkStart w:id="558" w:name="_Toc49935634"/>
      <w:bookmarkStart w:id="559" w:name="_Toc49936045"/>
      <w:bookmarkStart w:id="560" w:name="_Toc49936115"/>
      <w:bookmarkStart w:id="561" w:name="_Toc49936185"/>
      <w:bookmarkStart w:id="562" w:name="_Toc49936773"/>
      <w:bookmarkStart w:id="563" w:name="_Toc49937006"/>
      <w:bookmarkStart w:id="564" w:name="_Toc49937124"/>
      <w:bookmarkStart w:id="565" w:name="_Toc49937633"/>
      <w:bookmarkStart w:id="566" w:name="_Toc49938013"/>
      <w:bookmarkStart w:id="567" w:name="_Toc49938818"/>
      <w:bookmarkStart w:id="568" w:name="_Toc49938951"/>
      <w:bookmarkStart w:id="569" w:name="_Toc49939060"/>
      <w:bookmarkStart w:id="570" w:name="_Toc49939130"/>
      <w:bookmarkStart w:id="571" w:name="_Toc49939193"/>
      <w:bookmarkStart w:id="572" w:name="_Toc49939263"/>
      <w:bookmarkStart w:id="573" w:name="_Toc49939565"/>
      <w:bookmarkStart w:id="574" w:name="_Toc49939911"/>
      <w:bookmarkStart w:id="575" w:name="_Toc49940446"/>
      <w:bookmarkStart w:id="576" w:name="_Toc49941667"/>
      <w:bookmarkStart w:id="577" w:name="_Toc49941603"/>
      <w:bookmarkStart w:id="578" w:name="_Toc49942043"/>
      <w:bookmarkStart w:id="579" w:name="_Toc49942227"/>
      <w:bookmarkStart w:id="580" w:name="_Toc49942435"/>
      <w:bookmarkStart w:id="581" w:name="_Toc49942669"/>
      <w:bookmarkStart w:id="582" w:name="_Toc49942784"/>
      <w:bookmarkStart w:id="583" w:name="_Toc49944321"/>
      <w:bookmarkStart w:id="584" w:name="_Toc49945098"/>
      <w:bookmarkStart w:id="585" w:name="_Toc49945892"/>
      <w:bookmarkStart w:id="586" w:name="_Toc49946250"/>
      <w:bookmarkStart w:id="587" w:name="_Toc49946537"/>
      <w:bookmarkStart w:id="588" w:name="_Toc49946646"/>
      <w:bookmarkStart w:id="589" w:name="_Toc49947246"/>
      <w:bookmarkStart w:id="590" w:name="_Toc49946349"/>
      <w:bookmarkStart w:id="591" w:name="_Toc49947128"/>
      <w:bookmarkStart w:id="592" w:name="_Toc49947382"/>
      <w:bookmarkStart w:id="593" w:name="_Toc49947760"/>
      <w:bookmarkStart w:id="594" w:name="_Toc49947855"/>
      <w:bookmarkStart w:id="595" w:name="_Toc49947925"/>
      <w:bookmarkStart w:id="596" w:name="_Toc49948020"/>
      <w:bookmarkStart w:id="597" w:name="_Toc49948090"/>
      <w:bookmarkStart w:id="598" w:name="_Toc49948301"/>
      <w:bookmarkStart w:id="599" w:name="_Toc49948371"/>
      <w:bookmarkStart w:id="600" w:name="_Toc49948441"/>
      <w:bookmarkStart w:id="601" w:name="_Toc49948511"/>
      <w:bookmarkStart w:id="602" w:name="_Toc49948630"/>
      <w:bookmarkStart w:id="603" w:name="_Toc49943480"/>
      <w:bookmarkStart w:id="604" w:name="_Toc49948724"/>
      <w:bookmarkStart w:id="605" w:name="_Toc49949517"/>
      <w:bookmarkStart w:id="606" w:name="_Toc49949587"/>
      <w:bookmarkStart w:id="607" w:name="_Toc49950623"/>
      <w:bookmarkStart w:id="608" w:name="_Toc49948700"/>
      <w:bookmarkStart w:id="609" w:name="_Toc49950790"/>
      <w:bookmarkStart w:id="610" w:name="_Toc49951141"/>
      <w:bookmarkStart w:id="611" w:name="_Toc49951392"/>
      <w:bookmarkStart w:id="612" w:name="_Toc49951559"/>
      <w:bookmarkStart w:id="613" w:name="_Toc49951646"/>
      <w:bookmarkStart w:id="614" w:name="_Toc49951716"/>
      <w:bookmarkStart w:id="615" w:name="_Toc49951955"/>
      <w:bookmarkStart w:id="616" w:name="_Toc49952054"/>
      <w:bookmarkStart w:id="617" w:name="_Toc49952230"/>
      <w:bookmarkStart w:id="618" w:name="_Toc49953076"/>
      <w:bookmarkStart w:id="619" w:name="_Toc49953146"/>
      <w:bookmarkStart w:id="620" w:name="_Toc49952930"/>
      <w:bookmarkStart w:id="621" w:name="_Toc49953861"/>
      <w:bookmarkStart w:id="622" w:name="_Toc49953931"/>
      <w:bookmarkStart w:id="623" w:name="_Toc49954014"/>
      <w:bookmarkStart w:id="624" w:name="_Toc49954084"/>
      <w:bookmarkStart w:id="625" w:name="_Toc49949575"/>
      <w:bookmarkStart w:id="626" w:name="_Toc49953645"/>
      <w:bookmarkStart w:id="627" w:name="_Toc49954150"/>
      <w:bookmarkStart w:id="628" w:name="_Toc49954257"/>
      <w:bookmarkStart w:id="629" w:name="_Toc49954360"/>
      <w:bookmarkStart w:id="630" w:name="_Toc49954491"/>
      <w:bookmarkStart w:id="631" w:name="_Toc49954561"/>
      <w:bookmarkStart w:id="632" w:name="_Toc49954631"/>
      <w:bookmarkStart w:id="633" w:name="_Toc49954494"/>
      <w:bookmarkStart w:id="634" w:name="_Toc49954735"/>
      <w:bookmarkStart w:id="635" w:name="_Toc49954860"/>
      <w:bookmarkStart w:id="636" w:name="_Toc49954634"/>
      <w:bookmarkStart w:id="637" w:name="_Toc49954954"/>
      <w:bookmarkStart w:id="638" w:name="_Toc49955024"/>
      <w:bookmarkStart w:id="639" w:name="_Toc49955094"/>
      <w:bookmarkStart w:id="640" w:name="_Toc49955027"/>
      <w:bookmarkStart w:id="641" w:name="_Toc49955234"/>
      <w:bookmarkStart w:id="642" w:name="_Toc49955304"/>
      <w:bookmarkStart w:id="643" w:name="_Toc49955374"/>
      <w:bookmarkStart w:id="644" w:name="_Toc49955682"/>
      <w:bookmarkStart w:id="645" w:name="_Toc49955752"/>
      <w:bookmarkStart w:id="646" w:name="_Toc49956107"/>
      <w:bookmarkStart w:id="647" w:name="_Toc49958252"/>
      <w:bookmarkStart w:id="648" w:name="_Toc49958377"/>
      <w:bookmarkStart w:id="649" w:name="_Toc49958447"/>
      <w:bookmarkStart w:id="650" w:name="_Toc49958517"/>
      <w:bookmarkStart w:id="651" w:name="_Toc47455452"/>
      <w:bookmarkStart w:id="652" w:name="_Toc49527862"/>
      <w:bookmarkStart w:id="653" w:name="_Toc49529983"/>
      <w:bookmarkStart w:id="654" w:name="_Toc49530647"/>
      <w:bookmarkStart w:id="655" w:name="_Toc49532597"/>
      <w:bookmarkStart w:id="656" w:name="_Toc49695763"/>
      <w:bookmarkStart w:id="657" w:name="_Toc49695945"/>
      <w:bookmarkStart w:id="658" w:name="_Toc49805464"/>
      <w:bookmarkStart w:id="659" w:name="_Toc49806176"/>
      <w:bookmarkStart w:id="660" w:name="_Toc49877742"/>
      <w:bookmarkStart w:id="661" w:name="_Toc49881131"/>
      <w:bookmarkStart w:id="662" w:name="_Toc49884192"/>
      <w:bookmarkStart w:id="663" w:name="_Toc49884268"/>
      <w:bookmarkStart w:id="664" w:name="_Toc49893524"/>
      <w:bookmarkStart w:id="665" w:name="_Toc49933911"/>
      <w:bookmarkStart w:id="666" w:name="_Toc49937828"/>
      <w:bookmarkStart w:id="667" w:name="_Toc49939194"/>
      <w:bookmarkStart w:id="668" w:name="_Toc49942044"/>
      <w:bookmarkStart w:id="669" w:name="_Toc49948512"/>
      <w:bookmarkStart w:id="670" w:name="_Toc49954736"/>
      <w:bookmarkStart w:id="671" w:name="_Toc49955753"/>
      <w:bookmarkStart w:id="672" w:name="_Toc49958253"/>
      <w:bookmarkStart w:id="673" w:name="_Toc49958448"/>
      <w:bookmarkStart w:id="674" w:name="_Toc49961971"/>
      <w:bookmarkStart w:id="675" w:name="_Toc49962475"/>
      <w:bookmarkStart w:id="676" w:name="_Toc49962684"/>
      <w:bookmarkStart w:id="677" w:name="_Toc49963158"/>
      <w:bookmarkStart w:id="678" w:name="_Toc53678180"/>
      <w:bookmarkStart w:id="679" w:name="_Toc53678400"/>
      <w:bookmarkStart w:id="680" w:name="_Toc53678720"/>
      <w:bookmarkStart w:id="681" w:name="_Toc53680071"/>
      <w:bookmarkStart w:id="682" w:name="_Toc54289093"/>
      <w:bookmarkStart w:id="683" w:name="_Toc54290564"/>
      <w:bookmarkStart w:id="684" w:name="_Toc54290933"/>
      <w:bookmarkStart w:id="685" w:name="_Toc54292059"/>
      <w:bookmarkStart w:id="686" w:name="_Toc54340617"/>
      <w:bookmarkStart w:id="687" w:name="_Toc54345719"/>
      <w:bookmarkStart w:id="688" w:name="_Toc54348732"/>
      <w:bookmarkStart w:id="689" w:name="_Toc54355062"/>
      <w:bookmarkStart w:id="690" w:name="_Toc54355041"/>
      <w:bookmarkStart w:id="691" w:name="_Toc54355587"/>
      <w:bookmarkStart w:id="692" w:name="_Toc54356103"/>
      <w:bookmarkStart w:id="693" w:name="_Toc54356654"/>
      <w:bookmarkStart w:id="694" w:name="_Toc54357521"/>
      <w:bookmarkStart w:id="695" w:name="_Toc54357618"/>
      <w:bookmarkStart w:id="696" w:name="_Toc54364582"/>
      <w:bookmarkStart w:id="697" w:name="_Toc54371190"/>
      <w:bookmarkStart w:id="698" w:name="_Toc54372027"/>
      <w:bookmarkStart w:id="699" w:name="_Toc54376634"/>
      <w:bookmarkStart w:id="700" w:name="_Toc58767184"/>
      <w:bookmarkStart w:id="701" w:name="_Toc58769491"/>
      <w:bookmarkStart w:id="702" w:name="_Toc58863830"/>
      <w:bookmarkStart w:id="703" w:name="_Toc58868857"/>
      <w:bookmarkStart w:id="704" w:name="_Toc58870688"/>
      <w:bookmarkStart w:id="705" w:name="_Toc58870921"/>
      <w:bookmarkStart w:id="706" w:name="_Toc58871827"/>
      <w:bookmarkStart w:id="707" w:name="_Toc58872042"/>
      <w:bookmarkStart w:id="708" w:name="_Toc58922789"/>
      <w:bookmarkStart w:id="709" w:name="_Toc58925371"/>
      <w:bookmarkStart w:id="710" w:name="_Toc58928873"/>
      <w:bookmarkStart w:id="711" w:name="_Toc58931875"/>
      <w:bookmarkStart w:id="712" w:name="_Toc58947400"/>
      <w:bookmarkStart w:id="713" w:name="_Toc58950062"/>
      <w:bookmarkStart w:id="714" w:name="_Toc58950482"/>
      <w:bookmarkStart w:id="715" w:name="_Toc58956774"/>
      <w:bookmarkStart w:id="716" w:name="_Toc58957939"/>
      <w:bookmarkStart w:id="717" w:name="_Toc58962472"/>
      <w:bookmarkStart w:id="718" w:name="_Toc59096501"/>
      <w:bookmarkStart w:id="719" w:name="_Toc59103097"/>
      <w:bookmarkStart w:id="720" w:name="_Toc59104948"/>
      <w:bookmarkStart w:id="721" w:name="_Toc59119908"/>
      <w:bookmarkStart w:id="722" w:name="_Toc59121172"/>
      <w:bookmarkStart w:id="723" w:name="_Toc59121291"/>
      <w:bookmarkStart w:id="724" w:name="_Toc59549338"/>
      <w:bookmarkStart w:id="725" w:name="_Toc59642297"/>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r>
        <w:rPr>
          <w:noProof/>
        </w:rPr>
        <w:t>What are the problem drivers?</w:t>
      </w:r>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p>
    <w:p>
      <w:pPr>
        <w:spacing w:before="120" w:after="120"/>
        <w:jc w:val="both"/>
        <w:rPr>
          <w:rFonts w:ascii="Times New Roman" w:eastAsia="Calibri" w:hAnsi="Times New Roman" w:cs="Times New Roman"/>
          <w:noProof/>
          <w:sz w:val="24"/>
          <w:szCs w:val="24"/>
          <w:lang w:eastAsia="en-IE"/>
        </w:rPr>
      </w:pPr>
      <w:r>
        <w:rPr>
          <w:rFonts w:ascii="Times New Roman" w:hAnsi="Times New Roman" w:cs="Times New Roman"/>
          <w:noProof/>
          <w:sz w:val="24"/>
          <w:szCs w:val="24"/>
        </w:rPr>
        <w:t xml:space="preserve">The intervention logic (see </w:t>
      </w:r>
      <w:r>
        <w:rPr>
          <w:rFonts w:ascii="Times New Roman" w:hAnsi="Times New Roman" w:cs="Times New Roman"/>
          <w:i/>
          <w:iCs/>
          <w:noProof/>
          <w:sz w:val="24"/>
          <w:szCs w:val="24"/>
        </w:rPr>
        <w:t>Annex 6</w:t>
      </w:r>
      <w:r>
        <w:rPr>
          <w:rFonts w:ascii="Times New Roman" w:hAnsi="Times New Roman" w:cs="Times New Roman"/>
          <w:noProof/>
          <w:sz w:val="24"/>
          <w:szCs w:val="24"/>
        </w:rPr>
        <w:t xml:space="preserve">) depicts the two key problem drivers, namely i) a market failure linked to the asymmetry of pay information at employer level and persisting gender bias in pay setting mechanisms and valuation of women’s work, ii) a regulatory failure linked to an inconsistent and inadequate application of key legal concepts, in particular the concept of ‘work of equal value’, and procedural obstacles such as a lack of proper remedies </w:t>
      </w:r>
      <w:r>
        <w:rPr>
          <w:rFonts w:ascii="Times New Roman" w:eastAsia="Calibri" w:hAnsi="Times New Roman" w:cs="Times New Roman"/>
          <w:noProof/>
          <w:sz w:val="24"/>
          <w:szCs w:val="24"/>
          <w:lang w:eastAsia="en-IE"/>
        </w:rPr>
        <w:t>and an insufficient victims’ support. Both of these drivers leave room for pay discrimination to appear at individual but also at employer level.</w:t>
      </w:r>
    </w:p>
    <w:p>
      <w:pPr>
        <w:pStyle w:val="ListParagraph"/>
        <w:keepNext/>
        <w:numPr>
          <w:ilvl w:val="0"/>
          <w:numId w:val="28"/>
        </w:numPr>
        <w:spacing w:before="120" w:after="120"/>
        <w:jc w:val="both"/>
        <w:rPr>
          <w:rFonts w:ascii="Times New Roman" w:hAnsi="Times New Roman" w:cs="Times New Roman"/>
          <w:i/>
          <w:iCs/>
          <w:noProof/>
        </w:rPr>
      </w:pPr>
      <w:bookmarkStart w:id="726" w:name="_Toc47455453"/>
      <w:bookmarkStart w:id="727" w:name="_Toc49527863"/>
      <w:bookmarkStart w:id="728" w:name="_Toc49529984"/>
      <w:bookmarkStart w:id="729" w:name="_Toc49530648"/>
      <w:bookmarkStart w:id="730" w:name="_Toc49532598"/>
      <w:bookmarkStart w:id="731" w:name="_Toc49695764"/>
      <w:bookmarkStart w:id="732" w:name="_Toc49695946"/>
      <w:r>
        <w:rPr>
          <w:rFonts w:ascii="Times New Roman" w:hAnsi="Times New Roman" w:cs="Times New Roman"/>
          <w:i/>
          <w:iCs/>
          <w:noProof/>
          <w:sz w:val="24"/>
          <w:szCs w:val="24"/>
        </w:rPr>
        <w:t>Market failure -</w:t>
      </w:r>
      <w:r>
        <w:rPr>
          <w:rFonts w:ascii="Times New Roman" w:hAnsi="Times New Roman" w:cs="Times New Roman"/>
          <w:i/>
          <w:iCs/>
          <w:noProof/>
        </w:rPr>
        <w:t xml:space="preserve"> </w:t>
      </w:r>
      <w:bookmarkEnd w:id="726"/>
      <w:bookmarkEnd w:id="727"/>
      <w:bookmarkEnd w:id="728"/>
      <w:bookmarkEnd w:id="729"/>
      <w:bookmarkEnd w:id="730"/>
      <w:bookmarkEnd w:id="731"/>
      <w:bookmarkEnd w:id="732"/>
      <w:r>
        <w:rPr>
          <w:rFonts w:ascii="Times New Roman" w:hAnsi="Times New Roman" w:cs="Times New Roman"/>
          <w:i/>
          <w:iCs/>
          <w:noProof/>
          <w:sz w:val="24"/>
          <w:szCs w:val="24"/>
        </w:rPr>
        <w:t>asymmetries of information on pay and persisting bias in pay</w:t>
      </w:r>
    </w:p>
    <w:p>
      <w:pPr>
        <w:spacing w:before="120" w:after="120"/>
        <w:jc w:val="both"/>
        <w:rPr>
          <w:rFonts w:ascii="Times New Roman" w:hAnsi="Times New Roman" w:cs="Times New Roman"/>
          <w:noProof/>
          <w:sz w:val="24"/>
          <w:szCs w:val="24"/>
        </w:rPr>
      </w:pPr>
      <w:r>
        <w:rPr>
          <w:rFonts w:ascii="Times New Roman" w:hAnsi="Times New Roman" w:cs="Times New Roman"/>
          <w:noProof/>
          <w:sz w:val="24"/>
          <w:szCs w:val="24"/>
        </w:rPr>
        <w:t xml:space="preserve">Pay discrimination can be viewed as a </w:t>
      </w:r>
      <w:r>
        <w:rPr>
          <w:rFonts w:ascii="Times New Roman" w:hAnsi="Times New Roman" w:cs="Times New Roman"/>
          <w:b/>
          <w:bCs/>
          <w:noProof/>
          <w:sz w:val="24"/>
          <w:szCs w:val="24"/>
        </w:rPr>
        <w:t>market failure</w:t>
      </w:r>
      <w:r>
        <w:rPr>
          <w:rFonts w:ascii="Times New Roman" w:hAnsi="Times New Roman" w:cs="Times New Roman"/>
          <w:noProof/>
          <w:sz w:val="24"/>
          <w:szCs w:val="24"/>
        </w:rPr>
        <w:t xml:space="preserve"> caused by </w:t>
      </w:r>
      <w:r>
        <w:rPr>
          <w:rFonts w:ascii="Times New Roman" w:hAnsi="Times New Roman" w:cs="Times New Roman"/>
          <w:b/>
          <w:bCs/>
          <w:noProof/>
          <w:sz w:val="24"/>
          <w:szCs w:val="24"/>
        </w:rPr>
        <w:t>information asymmetries</w:t>
      </w:r>
      <w:r>
        <w:rPr>
          <w:rFonts w:ascii="Times New Roman" w:hAnsi="Times New Roman" w:cs="Times New Roman"/>
          <w:noProof/>
          <w:sz w:val="24"/>
          <w:szCs w:val="24"/>
        </w:rPr>
        <w:t xml:space="preserve"> between worker and employer about market wages.</w:t>
      </w:r>
    </w:p>
    <w:p>
      <w:pPr>
        <w:spacing w:after="120"/>
        <w:jc w:val="both"/>
        <w:rPr>
          <w:rFonts w:ascii="Times New Roman" w:hAnsi="Times New Roman" w:cs="Times New Roman"/>
          <w:noProof/>
          <w:sz w:val="24"/>
          <w:szCs w:val="24"/>
        </w:rPr>
      </w:pPr>
      <w:r>
        <w:rPr>
          <w:rFonts w:ascii="Times New Roman" w:eastAsia="Calibri" w:hAnsi="Times New Roman" w:cs="Times New Roman"/>
          <w:noProof/>
          <w:sz w:val="24"/>
          <w:szCs w:val="24"/>
          <w:lang w:eastAsia="en-IE"/>
        </w:rPr>
        <w:t xml:space="preserve">This asymmetry creates a problem for individual </w:t>
      </w:r>
      <w:r>
        <w:rPr>
          <w:rFonts w:ascii="Times New Roman" w:hAnsi="Times New Roman" w:cs="Times New Roman"/>
          <w:noProof/>
          <w:sz w:val="24"/>
          <w:szCs w:val="24"/>
        </w:rPr>
        <w:t>workers, as they do not have the information necessary to understand the relative value of their work</w:t>
      </w:r>
      <w:r>
        <w:rPr>
          <w:rStyle w:val="FootnoteReference"/>
          <w:rFonts w:ascii="Times New Roman" w:eastAsia="Calibri" w:hAnsi="Times New Roman" w:cs="Times New Roman"/>
          <w:noProof/>
          <w:sz w:val="24"/>
          <w:szCs w:val="24"/>
          <w:lang w:eastAsia="en-IE"/>
        </w:rPr>
        <w:footnoteReference w:id="63"/>
      </w:r>
      <w:r>
        <w:rPr>
          <w:rFonts w:ascii="Times New Roman" w:hAnsi="Times New Roman" w:cs="Times New Roman"/>
          <w:noProof/>
          <w:sz w:val="24"/>
          <w:szCs w:val="24"/>
        </w:rPr>
        <w:t xml:space="preserve"> compared to that of their colleagues of opposite sex and therefore to detect </w:t>
      </w:r>
      <w:r>
        <w:rPr>
          <w:rFonts w:ascii="Times New Roman" w:eastAsia="Calibri" w:hAnsi="Times New Roman" w:cs="Times New Roman"/>
          <w:noProof/>
          <w:sz w:val="24"/>
          <w:szCs w:val="24"/>
          <w:lang w:eastAsia="en-IE"/>
        </w:rPr>
        <w:t>sex-based</w:t>
      </w:r>
      <w:r>
        <w:rPr>
          <w:rFonts w:ascii="Times New Roman" w:hAnsi="Times New Roman" w:cs="Times New Roman"/>
          <w:noProof/>
          <w:sz w:val="24"/>
          <w:szCs w:val="24"/>
        </w:rPr>
        <w:t xml:space="preserve"> pay discrimination when they negotiate wages</w:t>
      </w:r>
      <w:r>
        <w:rPr>
          <w:rStyle w:val="FootnoteReference"/>
          <w:rFonts w:ascii="Times New Roman" w:hAnsi="Times New Roman" w:cs="Times New Roman"/>
          <w:noProof/>
          <w:sz w:val="24"/>
          <w:szCs w:val="24"/>
        </w:rPr>
        <w:footnoteReference w:id="64"/>
      </w:r>
      <w:r>
        <w:rPr>
          <w:rFonts w:ascii="Times New Roman" w:hAnsi="Times New Roman" w:cs="Times New Roman"/>
          <w:noProof/>
          <w:sz w:val="24"/>
          <w:szCs w:val="24"/>
        </w:rPr>
        <w:t xml:space="preserve">. In many instances, the information may simply not be available, due to a lack of transparency in wages and wage setting. </w:t>
      </w:r>
    </w:p>
    <w:p>
      <w:pPr>
        <w:spacing w:after="120"/>
        <w:jc w:val="both"/>
        <w:rPr>
          <w:rFonts w:ascii="Times New Roman" w:eastAsia="Calibri" w:hAnsi="Times New Roman" w:cs="Times New Roman"/>
          <w:noProof/>
          <w:sz w:val="24"/>
          <w:szCs w:val="24"/>
          <w:lang w:eastAsia="en-IE"/>
        </w:rPr>
      </w:pPr>
      <w:r>
        <w:rPr>
          <w:rFonts w:ascii="Times New Roman" w:hAnsi="Times New Roman" w:cs="Times New Roman"/>
          <w:noProof/>
          <w:sz w:val="24"/>
          <w:szCs w:val="24"/>
        </w:rPr>
        <w:t>The problem of information asymmetry may be reinforced because of other factors. Workers may be reluctant to ask for such information because of fear of victimisation, or because of a prohibition or cultural reticence to discuss salary levels. Moreover, their own expectations</w:t>
      </w:r>
      <w:r>
        <w:rPr>
          <w:rStyle w:val="FootnoteReference"/>
          <w:rFonts w:ascii="Times New Roman" w:hAnsi="Times New Roman" w:cs="Times New Roman"/>
          <w:noProof/>
          <w:sz w:val="24"/>
          <w:szCs w:val="24"/>
        </w:rPr>
        <w:footnoteReference w:id="65"/>
      </w:r>
      <w:r>
        <w:rPr>
          <w:rFonts w:ascii="Times New Roman" w:hAnsi="Times New Roman" w:cs="Times New Roman"/>
          <w:noProof/>
          <w:sz w:val="24"/>
          <w:szCs w:val="24"/>
        </w:rPr>
        <w:t xml:space="preserve"> on pay can be gender-biased (i.e. stemming from gender norms</w:t>
      </w:r>
      <w:r>
        <w:rPr>
          <w:rStyle w:val="FootnoteReference"/>
          <w:rFonts w:ascii="Times New Roman" w:hAnsi="Times New Roman" w:cs="Times New Roman"/>
          <w:noProof/>
          <w:sz w:val="24"/>
          <w:szCs w:val="24"/>
        </w:rPr>
        <w:footnoteReference w:id="66"/>
      </w:r>
      <w:r>
        <w:rPr>
          <w:rFonts w:ascii="Times New Roman" w:hAnsi="Times New Roman" w:cs="Times New Roman"/>
          <w:noProof/>
          <w:sz w:val="24"/>
          <w:szCs w:val="24"/>
        </w:rPr>
        <w:t>). This might happen because women tend to compare their salaries to other women’s salaries</w:t>
      </w:r>
      <w:r>
        <w:rPr>
          <w:rStyle w:val="FootnoteReference"/>
          <w:rFonts w:ascii="Times New Roman" w:hAnsi="Times New Roman" w:cs="Times New Roman"/>
          <w:noProof/>
          <w:sz w:val="24"/>
          <w:szCs w:val="24"/>
        </w:rPr>
        <w:footnoteReference w:id="67"/>
      </w:r>
      <w:r>
        <w:rPr>
          <w:rFonts w:ascii="Times New Roman" w:hAnsi="Times New Roman" w:cs="Times New Roman"/>
          <w:noProof/>
          <w:sz w:val="24"/>
          <w:szCs w:val="24"/>
        </w:rPr>
        <w:t xml:space="preserve"> and might therefore simply not be aware of a gender wage inequality in their occupation</w:t>
      </w:r>
      <w:r>
        <w:rPr>
          <w:rStyle w:val="FootnoteReference"/>
          <w:rFonts w:ascii="Times New Roman" w:hAnsi="Times New Roman" w:cs="Times New Roman"/>
          <w:noProof/>
          <w:sz w:val="24"/>
          <w:szCs w:val="24"/>
        </w:rPr>
        <w:footnoteReference w:id="68"/>
      </w:r>
      <w:r>
        <w:rPr>
          <w:rFonts w:ascii="Times New Roman" w:hAnsi="Times New Roman" w:cs="Times New Roman"/>
          <w:noProof/>
          <w:sz w:val="24"/>
          <w:szCs w:val="24"/>
        </w:rPr>
        <w:t xml:space="preserve">. Furthermore, people tend to compare themselves with workers belonging to the same job category but do not normally question whether the occupation is possibly only labelled differently or is of equal value to their own. Pay differences may therefore look justified while they are not (i.e. they cannot be justified by objective, gender-neutral factors). Finally, as indicated above, gender norms might also discourage </w:t>
      </w:r>
      <w:r>
        <w:rPr>
          <w:rFonts w:ascii="Times New Roman" w:eastAsia="Calibri" w:hAnsi="Times New Roman" w:cs="Times New Roman"/>
          <w:noProof/>
          <w:sz w:val="24"/>
          <w:szCs w:val="24"/>
          <w:lang w:eastAsia="en-IE"/>
        </w:rPr>
        <w:t>women from self-advocacy</w:t>
      </w:r>
      <w:r>
        <w:rPr>
          <w:rFonts w:ascii="Times New Roman" w:eastAsia="Calibri" w:hAnsi="Times New Roman" w:cs="Times New Roman"/>
          <w:noProof/>
          <w:sz w:val="24"/>
          <w:szCs w:val="24"/>
          <w:vertAlign w:val="superscript"/>
          <w:lang w:eastAsia="en-IE"/>
        </w:rPr>
        <w:footnoteReference w:id="69"/>
      </w:r>
      <w:r>
        <w:rPr>
          <w:rFonts w:ascii="Times New Roman" w:eastAsia="Calibri" w:hAnsi="Times New Roman" w:cs="Times New Roman"/>
          <w:noProof/>
          <w:sz w:val="24"/>
          <w:szCs w:val="24"/>
          <w:lang w:eastAsia="en-IE"/>
        </w:rPr>
        <w:t>, lower the likelihood that they negotiate salary offers</w:t>
      </w:r>
      <w:r>
        <w:rPr>
          <w:rFonts w:ascii="Times New Roman" w:eastAsia="Calibri" w:hAnsi="Times New Roman" w:cs="Times New Roman"/>
          <w:noProof/>
          <w:sz w:val="24"/>
          <w:szCs w:val="24"/>
          <w:vertAlign w:val="superscript"/>
          <w:lang w:eastAsia="en-IE"/>
        </w:rPr>
        <w:footnoteReference w:id="70"/>
      </w:r>
      <w:r>
        <w:rPr>
          <w:rFonts w:ascii="Times New Roman" w:eastAsia="Calibri" w:hAnsi="Times New Roman" w:cs="Times New Roman"/>
          <w:noProof/>
          <w:sz w:val="24"/>
          <w:szCs w:val="24"/>
          <w:lang w:eastAsia="en-IE"/>
        </w:rPr>
        <w:t xml:space="preserve"> and raises</w:t>
      </w:r>
      <w:r>
        <w:rPr>
          <w:rFonts w:ascii="Times New Roman" w:eastAsia="Calibri" w:hAnsi="Times New Roman" w:cs="Times New Roman"/>
          <w:noProof/>
          <w:sz w:val="24"/>
          <w:szCs w:val="24"/>
          <w:vertAlign w:val="superscript"/>
          <w:lang w:eastAsia="en-IE"/>
        </w:rPr>
        <w:footnoteReference w:id="71"/>
      </w:r>
      <w:r>
        <w:rPr>
          <w:rFonts w:ascii="Times New Roman" w:eastAsia="Calibri" w:hAnsi="Times New Roman" w:cs="Times New Roman"/>
          <w:noProof/>
          <w:sz w:val="24"/>
          <w:szCs w:val="24"/>
          <w:lang w:eastAsia="en-IE"/>
        </w:rPr>
        <w:t xml:space="preserve"> or lessen the results of such negotiations</w:t>
      </w:r>
      <w:r>
        <w:rPr>
          <w:rFonts w:ascii="Times New Roman" w:eastAsia="Calibri" w:hAnsi="Times New Roman" w:cs="Times New Roman"/>
          <w:noProof/>
          <w:sz w:val="24"/>
          <w:szCs w:val="24"/>
          <w:vertAlign w:val="superscript"/>
          <w:lang w:eastAsia="en-IE"/>
        </w:rPr>
        <w:footnoteReference w:id="72"/>
      </w:r>
      <w:r>
        <w:rPr>
          <w:rFonts w:ascii="Times New Roman" w:eastAsia="Calibri" w:hAnsi="Times New Roman" w:cs="Times New Roman"/>
          <w:noProof/>
          <w:sz w:val="24"/>
          <w:szCs w:val="24"/>
          <w:lang w:eastAsia="en-IE"/>
        </w:rPr>
        <w:t xml:space="preserve"> in comparison to those of their male colleagues</w:t>
      </w:r>
      <w:r>
        <w:rPr>
          <w:rFonts w:ascii="Times New Roman" w:eastAsia="Calibri" w:hAnsi="Times New Roman" w:cs="Times New Roman"/>
          <w:noProof/>
          <w:sz w:val="24"/>
          <w:szCs w:val="24"/>
          <w:vertAlign w:val="superscript"/>
          <w:lang w:eastAsia="en-IE"/>
        </w:rPr>
        <w:footnoteReference w:id="73"/>
      </w:r>
      <w:r>
        <w:rPr>
          <w:rFonts w:ascii="Times New Roman" w:eastAsia="Calibri" w:hAnsi="Times New Roman" w:cs="Times New Roman"/>
          <w:noProof/>
          <w:sz w:val="24"/>
          <w:szCs w:val="24"/>
          <w:lang w:eastAsia="en-IE"/>
        </w:rPr>
        <w:t>.</w:t>
      </w:r>
      <w:r>
        <w:rPr>
          <w:rFonts w:ascii="Times New Roman" w:hAnsi="Times New Roman" w:cs="Times New Roman"/>
          <w:noProof/>
          <w:sz w:val="24"/>
          <w:szCs w:val="24"/>
        </w:rPr>
        <w:t xml:space="preserve"> Lack of pay transparency contributes to pay discrimination remaining hidden and its effects accumulate from point of entry into the labour market along the whole career. </w:t>
      </w:r>
    </w:p>
    <w:p>
      <w:pPr>
        <w:spacing w:after="120"/>
        <w:jc w:val="both"/>
        <w:rPr>
          <w:rFonts w:ascii="Times New Roman" w:hAnsi="Times New Roman" w:cs="Times New Roman"/>
          <w:noProof/>
          <w:sz w:val="24"/>
          <w:szCs w:val="24"/>
        </w:rPr>
      </w:pPr>
      <w:r>
        <w:rPr>
          <w:rFonts w:ascii="Times New Roman" w:eastAsia="Calibri" w:hAnsi="Times New Roman" w:cs="Times New Roman"/>
          <w:noProof/>
          <w:sz w:val="24"/>
          <w:szCs w:val="24"/>
          <w:lang w:eastAsia="en-IE"/>
        </w:rPr>
        <w:t xml:space="preserve">This implicitly creates a problem also </w:t>
      </w:r>
      <w:r>
        <w:rPr>
          <w:rFonts w:ascii="Times New Roman" w:hAnsi="Times New Roman" w:cs="Times New Roman"/>
          <w:i/>
          <w:iCs/>
          <w:noProof/>
          <w:sz w:val="24"/>
          <w:szCs w:val="24"/>
        </w:rPr>
        <w:t>at employers’ level</w:t>
      </w:r>
      <w:r>
        <w:rPr>
          <w:rFonts w:ascii="Times New Roman" w:hAnsi="Times New Roman" w:cs="Times New Roman"/>
          <w:noProof/>
          <w:sz w:val="24"/>
          <w:szCs w:val="24"/>
        </w:rPr>
        <w:t xml:space="preserve">: the fact that discrimination is not known by individuals and therefore rarely challenged in practice masks the problem of </w:t>
      </w:r>
      <w:r>
        <w:rPr>
          <w:rFonts w:ascii="Times New Roman" w:hAnsi="Times New Roman" w:cs="Times New Roman"/>
          <w:b/>
          <w:bCs/>
          <w:noProof/>
          <w:sz w:val="24"/>
          <w:szCs w:val="24"/>
        </w:rPr>
        <w:t xml:space="preserve">discrimination </w:t>
      </w:r>
      <w:r>
        <w:rPr>
          <w:rFonts w:ascii="Times New Roman" w:hAnsi="Times New Roman" w:cs="Times New Roman"/>
          <w:noProof/>
          <w:sz w:val="24"/>
          <w:szCs w:val="24"/>
        </w:rPr>
        <w:t xml:space="preserve">at employer level, even in the case of employers who want to treat their employees equally on the basis of sex. </w:t>
      </w:r>
    </w:p>
    <w:p>
      <w:pPr>
        <w:spacing w:after="120"/>
        <w:jc w:val="both"/>
        <w:rPr>
          <w:rFonts w:ascii="Times New Roman" w:hAnsi="Times New Roman" w:cs="Times New Roman"/>
          <w:i/>
          <w:iCs/>
          <w:noProof/>
          <w:sz w:val="24"/>
          <w:szCs w:val="24"/>
        </w:rPr>
      </w:pPr>
      <w:bookmarkStart w:id="733" w:name="_Toc47455454"/>
      <w:bookmarkStart w:id="734" w:name="_Toc49527864"/>
      <w:bookmarkStart w:id="735" w:name="_Toc49529985"/>
      <w:bookmarkStart w:id="736" w:name="_Toc49530649"/>
      <w:bookmarkStart w:id="737" w:name="_Toc49532599"/>
      <w:bookmarkStart w:id="738" w:name="_Toc49695765"/>
      <w:bookmarkStart w:id="739" w:name="_Toc49695947"/>
      <w:r>
        <w:rPr>
          <w:rFonts w:ascii="Times New Roman" w:hAnsi="Times New Roman" w:cs="Times New Roman"/>
          <w:i/>
          <w:iCs/>
          <w:noProof/>
          <w:sz w:val="24"/>
          <w:szCs w:val="24"/>
        </w:rPr>
        <w:t>Regulatory failure</w:t>
      </w:r>
      <w:bookmarkEnd w:id="733"/>
      <w:bookmarkEnd w:id="734"/>
      <w:bookmarkEnd w:id="735"/>
      <w:bookmarkEnd w:id="736"/>
      <w:bookmarkEnd w:id="737"/>
      <w:bookmarkEnd w:id="738"/>
      <w:bookmarkEnd w:id="739"/>
      <w:r>
        <w:rPr>
          <w:rFonts w:ascii="Times New Roman" w:hAnsi="Times New Roman" w:cs="Times New Roman"/>
          <w:i/>
          <w:iCs/>
          <w:noProof/>
          <w:sz w:val="24"/>
          <w:szCs w:val="24"/>
        </w:rPr>
        <w:t xml:space="preserve"> – lack of legal clarity and difficulty to apply key legal concepts and lack of access to justice </w:t>
      </w:r>
    </w:p>
    <w:p>
      <w:pPr>
        <w:spacing w:after="120"/>
        <w:jc w:val="both"/>
        <w:rPr>
          <w:rFonts w:ascii="Times New Roman" w:eastAsia="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bCs/>
          <w:noProof/>
          <w:sz w:val="24"/>
          <w:szCs w:val="24"/>
        </w:rPr>
        <w:t>second key problem driver</w:t>
      </w:r>
      <w:r>
        <w:rPr>
          <w:rFonts w:ascii="Times New Roman" w:hAnsi="Times New Roman" w:cs="Times New Roman"/>
          <w:noProof/>
          <w:sz w:val="24"/>
          <w:szCs w:val="24"/>
        </w:rPr>
        <w:t xml:space="preserve"> is related to a </w:t>
      </w:r>
      <w:r>
        <w:rPr>
          <w:rFonts w:ascii="Times New Roman" w:hAnsi="Times New Roman" w:cs="Times New Roman"/>
          <w:b/>
          <w:bCs/>
          <w:noProof/>
          <w:sz w:val="24"/>
          <w:szCs w:val="24"/>
        </w:rPr>
        <w:t>regulatory failure</w:t>
      </w:r>
      <w:r>
        <w:rPr>
          <w:rFonts w:ascii="Times New Roman" w:hAnsi="Times New Roman" w:cs="Times New Roman"/>
          <w:noProof/>
          <w:sz w:val="24"/>
          <w:szCs w:val="24"/>
        </w:rPr>
        <w:t xml:space="preserve"> due to a </w:t>
      </w:r>
      <w:r>
        <w:rPr>
          <w:rFonts w:ascii="Times New Roman" w:hAnsi="Times New Roman" w:cs="Times New Roman"/>
          <w:i/>
          <w:iCs/>
          <w:noProof/>
          <w:sz w:val="24"/>
          <w:szCs w:val="24"/>
        </w:rPr>
        <w:t>lack of legal clarity of key legal concepts</w:t>
      </w:r>
      <w:r>
        <w:rPr>
          <w:rFonts w:ascii="Times New Roman" w:hAnsi="Times New Roman" w:cs="Times New Roman"/>
          <w:noProof/>
          <w:sz w:val="24"/>
          <w:szCs w:val="24"/>
        </w:rPr>
        <w:t xml:space="preserve"> and the related </w:t>
      </w:r>
      <w:r>
        <w:rPr>
          <w:rFonts w:ascii="Times New Roman" w:hAnsi="Times New Roman" w:cs="Times New Roman"/>
          <w:i/>
          <w:iCs/>
          <w:noProof/>
          <w:sz w:val="24"/>
          <w:szCs w:val="24"/>
        </w:rPr>
        <w:t>difficulty to apply them in practice</w:t>
      </w:r>
      <w:r>
        <w:rPr>
          <w:rFonts w:ascii="Times New Roman" w:hAnsi="Times New Roman" w:cs="Times New Roman"/>
          <w:noProof/>
          <w:sz w:val="24"/>
          <w:szCs w:val="24"/>
        </w:rPr>
        <w:t xml:space="preserve"> and a </w:t>
      </w:r>
      <w:r>
        <w:rPr>
          <w:rFonts w:ascii="Times New Roman" w:hAnsi="Times New Roman" w:cs="Times New Roman"/>
          <w:i/>
          <w:iCs/>
          <w:noProof/>
          <w:sz w:val="24"/>
          <w:szCs w:val="24"/>
        </w:rPr>
        <w:t>lack of access to justice to ensure the enforcement</w:t>
      </w:r>
      <w:r>
        <w:rPr>
          <w:rFonts w:ascii="Times New Roman" w:hAnsi="Times New Roman" w:cs="Times New Roman"/>
          <w:noProof/>
          <w:sz w:val="24"/>
          <w:szCs w:val="24"/>
        </w:rPr>
        <w:t xml:space="preserve"> </w:t>
      </w:r>
      <w:r>
        <w:rPr>
          <w:rFonts w:ascii="Times New Roman" w:hAnsi="Times New Roman" w:cs="Times New Roman"/>
          <w:i/>
          <w:iCs/>
          <w:noProof/>
          <w:sz w:val="24"/>
          <w:szCs w:val="24"/>
        </w:rPr>
        <w:t>of the right to equal pay.</w:t>
      </w:r>
      <w:r>
        <w:rPr>
          <w:rFonts w:ascii="Times New Roman" w:hAnsi="Times New Roman" w:cs="Times New Roman"/>
          <w:noProof/>
          <w:sz w:val="24"/>
          <w:szCs w:val="24"/>
        </w:rPr>
        <w:t xml:space="preserve"> This was clearly illustrated by the 2020 evaluation and other surveys such as a 2019 survey carried out among trade union confederations</w:t>
      </w:r>
      <w:r>
        <w:rPr>
          <w:rStyle w:val="FootnoteReference"/>
          <w:rFonts w:ascii="Times New Roman" w:hAnsi="Times New Roman" w:cs="Times New Roman"/>
          <w:noProof/>
          <w:sz w:val="24"/>
          <w:szCs w:val="24"/>
        </w:rPr>
        <w:footnoteReference w:id="74"/>
      </w:r>
      <w:r>
        <w:rPr>
          <w:rFonts w:ascii="Times New Roman" w:hAnsi="Times New Roman" w:cs="Times New Roman"/>
          <w:noProof/>
          <w:sz w:val="24"/>
          <w:szCs w:val="24"/>
        </w:rPr>
        <w:t>.</w:t>
      </w:r>
      <w:r>
        <w:rPr>
          <w:rFonts w:ascii="Times New Roman" w:eastAsia="Times New Roman" w:hAnsi="Times New Roman" w:cs="Times New Roman"/>
          <w:noProof/>
          <w:sz w:val="24"/>
          <w:szCs w:val="24"/>
        </w:rPr>
        <w:t xml:space="preserve"> </w:t>
      </w:r>
    </w:p>
    <w:p>
      <w:pPr>
        <w:spacing w:after="120"/>
        <w:jc w:val="both"/>
        <w:rPr>
          <w:rFonts w:ascii="Times New Roman" w:hAnsi="Times New Roman" w:cs="Times New Roman"/>
          <w:noProof/>
          <w:sz w:val="24"/>
          <w:szCs w:val="24"/>
        </w:rPr>
      </w:pPr>
      <w:r>
        <w:rPr>
          <w:rFonts w:ascii="Times New Roman" w:eastAsia="Times New Roman" w:hAnsi="Times New Roman" w:cs="Times New Roman"/>
          <w:noProof/>
          <w:sz w:val="24"/>
          <w:szCs w:val="24"/>
          <w:u w:val="single"/>
        </w:rPr>
        <w:t>Lack of clarity of/difficulty to apply key legal concepts</w:t>
      </w:r>
      <w:r>
        <w:rPr>
          <w:rFonts w:ascii="Times New Roman" w:eastAsia="Times New Roman" w:hAnsi="Times New Roman" w:cs="Times New Roman"/>
          <w:noProof/>
          <w:sz w:val="24"/>
          <w:szCs w:val="24"/>
        </w:rPr>
        <w:t xml:space="preserve">. Even though </w:t>
      </w:r>
      <w:r>
        <w:rPr>
          <w:rFonts w:ascii="Times New Roman" w:hAnsi="Times New Roman" w:cs="Times New Roman"/>
          <w:noProof/>
          <w:sz w:val="24"/>
          <w:szCs w:val="24"/>
        </w:rPr>
        <w:t xml:space="preserve">the concept of ‘pay’ has been clarified by the Court of Justice of the European Union, a number of national legislators </w:t>
      </w:r>
      <w:r>
        <w:rPr>
          <w:rFonts w:ascii="Times New Roman" w:eastAsia="Times New Roman" w:hAnsi="Times New Roman" w:cs="Times New Roman"/>
          <w:noProof/>
          <w:sz w:val="24"/>
          <w:szCs w:val="24"/>
        </w:rPr>
        <w:t>(e.g. AT, FI, IT, LV, SE)</w:t>
      </w:r>
      <w:r>
        <w:rPr>
          <w:rFonts w:ascii="Times New Roman" w:hAnsi="Times New Roman" w:cs="Times New Roman"/>
          <w:noProof/>
          <w:sz w:val="24"/>
          <w:szCs w:val="24"/>
        </w:rPr>
        <w:t xml:space="preserve"> have not incorporated such clarifications in national law</w:t>
      </w:r>
      <w:r>
        <w:rPr>
          <w:rStyle w:val="FootnoteReference"/>
          <w:rFonts w:ascii="Times New Roman" w:hAnsi="Times New Roman" w:cs="Times New Roman"/>
          <w:noProof/>
          <w:sz w:val="24"/>
          <w:szCs w:val="24"/>
        </w:rPr>
        <w:footnoteReference w:id="75"/>
      </w:r>
      <w:r>
        <w:rPr>
          <w:rFonts w:ascii="Times New Roman" w:hAnsi="Times New Roman" w:cs="Times New Roman"/>
          <w:noProof/>
          <w:sz w:val="24"/>
          <w:szCs w:val="24"/>
        </w:rPr>
        <w:t xml:space="preserve">. </w:t>
      </w:r>
      <w:r>
        <w:rPr>
          <w:rFonts w:ascii="Times New Roman" w:eastAsia="Times New Roman" w:hAnsi="Times New Roman" w:cs="Times New Roman"/>
          <w:noProof/>
          <w:sz w:val="24"/>
          <w:szCs w:val="24"/>
        </w:rPr>
        <w:t>In a similar vein, despite the Court’s guidance on the concept of ‘work of equal value’</w:t>
      </w:r>
      <w:r>
        <w:rPr>
          <w:rStyle w:val="FootnoteReference"/>
          <w:rFonts w:ascii="Times New Roman" w:eastAsia="Times New Roman" w:hAnsi="Times New Roman" w:cs="Times New Roman"/>
          <w:noProof/>
          <w:sz w:val="24"/>
          <w:szCs w:val="24"/>
        </w:rPr>
        <w:footnoteReference w:id="76"/>
      </w:r>
      <w:r>
        <w:rPr>
          <w:rFonts w:ascii="Times New Roman" w:eastAsia="Times New Roman" w:hAnsi="Times New Roman" w:cs="Times New Roman"/>
          <w:noProof/>
          <w:sz w:val="24"/>
          <w:szCs w:val="24"/>
        </w:rPr>
        <w:t>, the application of the concept in practice, by employers, social partners, enforcement bodies and courts, remains subject to varied and incoherent interpretations</w:t>
      </w:r>
      <w:r>
        <w:rPr>
          <w:rStyle w:val="FootnoteReference"/>
          <w:rFonts w:ascii="Times New Roman" w:eastAsia="Times New Roman" w:hAnsi="Times New Roman" w:cs="Times New Roman"/>
          <w:noProof/>
          <w:sz w:val="24"/>
          <w:szCs w:val="24"/>
        </w:rPr>
        <w:footnoteReference w:id="77"/>
      </w:r>
      <w:r>
        <w:rPr>
          <w:rFonts w:ascii="Times New Roman" w:eastAsia="Times New Roman" w:hAnsi="Times New Roman" w:cs="Times New Roman"/>
          <w:noProof/>
          <w:sz w:val="24"/>
          <w:szCs w:val="24"/>
        </w:rPr>
        <w:t>.</w:t>
      </w:r>
      <w:r>
        <w:rPr>
          <w:rFonts w:ascii="Times New Roman" w:hAnsi="Times New Roman" w:cs="Times New Roman"/>
          <w:noProof/>
          <w:sz w:val="24"/>
          <w:szCs w:val="24"/>
        </w:rPr>
        <w:t xml:space="preserve"> Stakeholders in the public consultation</w:t>
      </w:r>
      <w:r>
        <w:rPr>
          <w:rStyle w:val="FootnoteReference"/>
          <w:rFonts w:ascii="Times New Roman" w:hAnsi="Times New Roman" w:cs="Times New Roman"/>
          <w:noProof/>
          <w:sz w:val="24"/>
          <w:szCs w:val="24"/>
        </w:rPr>
        <w:footnoteReference w:id="78"/>
      </w:r>
      <w:r>
        <w:rPr>
          <w:rFonts w:ascii="Times New Roman" w:eastAsia="Times New Roman" w:hAnsi="Times New Roman" w:cs="Times New Roman"/>
          <w:noProof/>
          <w:sz w:val="24"/>
          <w:szCs w:val="24"/>
        </w:rPr>
        <w:t xml:space="preserve"> stressed that the definition of ‘work of equal value’ elaborated by the Court of Justice should be visible in the law and that substantial guidance on how to evaluate work of equal value is needed, even for individual employers.</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These problems lead to the fact that, at </w:t>
      </w:r>
      <w:r>
        <w:rPr>
          <w:rFonts w:ascii="Times New Roman" w:hAnsi="Times New Roman" w:cs="Times New Roman"/>
          <w:i/>
          <w:iCs/>
          <w:noProof/>
          <w:sz w:val="24"/>
          <w:szCs w:val="24"/>
        </w:rPr>
        <w:t>individual level</w:t>
      </w:r>
      <w:r>
        <w:rPr>
          <w:rFonts w:ascii="Times New Roman" w:eastAsia="Times New Roman" w:hAnsi="Times New Roman" w:cs="Times New Roman"/>
          <w:noProof/>
          <w:sz w:val="24"/>
          <w:szCs w:val="24"/>
        </w:rPr>
        <w:t xml:space="preserve">, </w:t>
      </w:r>
      <w:r>
        <w:rPr>
          <w:rFonts w:ascii="Times New Roman" w:hAnsi="Times New Roman" w:cs="Times New Roman"/>
          <w:noProof/>
          <w:sz w:val="24"/>
          <w:szCs w:val="24"/>
        </w:rPr>
        <w:t>workers do not know what elements are relevant to assess whether they are paid equally on the basis of sex and to whom they should compare themselves as regards carrying out equal work or work of equal value. This lack of clarity</w:t>
      </w:r>
      <w:r>
        <w:rPr>
          <w:rFonts w:ascii="Times New Roman" w:eastAsia="Times New Roman" w:hAnsi="Times New Roman" w:cs="Times New Roman"/>
          <w:noProof/>
          <w:sz w:val="24"/>
          <w:szCs w:val="24"/>
        </w:rPr>
        <w:t xml:space="preserve"> deters victims from bringing claims and makes running a case even more difficult. </w:t>
      </w:r>
      <w:r>
        <w:rPr>
          <w:rFonts w:ascii="Times New Roman" w:hAnsi="Times New Roman" w:cs="Times New Roman"/>
          <w:noProof/>
          <w:sz w:val="24"/>
          <w:szCs w:val="24"/>
        </w:rPr>
        <w:t>Without clear criteria for assessing ‘work of equal value’, workers cannot exercise their right to equal pay effectively.</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The above problems are a problem also </w:t>
      </w:r>
      <w:r>
        <w:rPr>
          <w:rFonts w:ascii="Times New Roman" w:hAnsi="Times New Roman" w:cs="Times New Roman"/>
          <w:i/>
          <w:iCs/>
          <w:noProof/>
          <w:sz w:val="24"/>
          <w:szCs w:val="24"/>
        </w:rPr>
        <w:t>at employer level</w:t>
      </w:r>
      <w:r>
        <w:rPr>
          <w:rFonts w:ascii="Times New Roman" w:hAnsi="Times New Roman" w:cs="Times New Roman"/>
          <w:noProof/>
          <w:sz w:val="24"/>
          <w:szCs w:val="24"/>
        </w:rPr>
        <w:t>. Employers and business associations still underline the difficulties in applying the concept of work of equal value.</w:t>
      </w:r>
      <w:r>
        <w:rPr>
          <w:rFonts w:ascii="Times New Roman" w:hAnsi="Times New Roman" w:cs="Times New Roman"/>
          <w:noProof/>
          <w:sz w:val="24"/>
          <w:szCs w:val="24"/>
          <w:vertAlign w:val="superscript"/>
        </w:rPr>
        <w:footnoteReference w:id="79"/>
      </w:r>
      <w:r>
        <w:rPr>
          <w:rFonts w:ascii="Times New Roman" w:hAnsi="Times New Roman" w:cs="Times New Roman"/>
          <w:noProof/>
          <w:sz w:val="24"/>
          <w:szCs w:val="24"/>
        </w:rPr>
        <w:t xml:space="preserve"> This may allow unconscious bias in pay setting and gives room to gender pay discrimination. While gender bias is particularly relevant in the application of the concept of ‘work of equal value’, it also still exists as regards ‘equal work’.</w:t>
      </w:r>
      <w:r>
        <w:rPr>
          <w:rFonts w:ascii="Times New Roman" w:hAnsi="Times New Roman" w:cs="Times New Roman"/>
          <w:noProof/>
          <w:sz w:val="24"/>
          <w:szCs w:val="24"/>
          <w:vertAlign w:val="superscript"/>
        </w:rPr>
        <w:footnoteReference w:id="80"/>
      </w:r>
      <w:r>
        <w:rPr>
          <w:rFonts w:ascii="Times New Roman" w:hAnsi="Times New Roman" w:cs="Times New Roman"/>
          <w:noProof/>
          <w:sz w:val="24"/>
          <w:szCs w:val="24"/>
        </w:rPr>
        <w:t xml:space="preserve"> A structural undervaluation of female work, related to specific occupations in the organisation or to women’s work in general, could influence wage structures due to institutional inertia:</w:t>
      </w:r>
      <w:r>
        <w:rPr>
          <w:rFonts w:ascii="Times New Roman" w:hAnsi="Times New Roman" w:cs="Times New Roman"/>
          <w:noProof/>
          <w:sz w:val="24"/>
          <w:szCs w:val="24"/>
          <w:vertAlign w:val="superscript"/>
        </w:rPr>
        <w:footnoteReference w:id="81"/>
      </w:r>
      <w:r>
        <w:rPr>
          <w:rFonts w:ascii="Times New Roman" w:hAnsi="Times New Roman" w:cs="Times New Roman"/>
          <w:noProof/>
          <w:sz w:val="24"/>
          <w:szCs w:val="24"/>
        </w:rPr>
        <w:t xml:space="preserve"> in the absence of an external trigger, a legal obligation, or a very strong commitment at managerial level, there is no incentive for employers to evaluate the gender neutrality of their wage structures and revise them where needed, also because employers might simply not be aware that there could be a problem of gender pay inequality. </w:t>
      </w:r>
    </w:p>
    <w:p>
      <w:pPr>
        <w:spacing w:after="120"/>
        <w:jc w:val="both"/>
        <w:rPr>
          <w:rFonts w:ascii="Times New Roman" w:eastAsia="Times New Roman" w:hAnsi="Times New Roman" w:cs="Times New Roman"/>
          <w:noProof/>
          <w:sz w:val="24"/>
          <w:szCs w:val="24"/>
        </w:rPr>
      </w:pPr>
      <w:r>
        <w:rPr>
          <w:rFonts w:ascii="Times New Roman" w:hAnsi="Times New Roman" w:cs="Times New Roman"/>
          <w:noProof/>
          <w:sz w:val="24"/>
          <w:szCs w:val="24"/>
          <w:u w:val="single"/>
        </w:rPr>
        <w:t>Lack of access to justice</w:t>
      </w:r>
      <w:r>
        <w:rPr>
          <w:rFonts w:ascii="Times New Roman" w:hAnsi="Times New Roman" w:cs="Times New Roman"/>
          <w:noProof/>
          <w:sz w:val="24"/>
          <w:szCs w:val="24"/>
        </w:rPr>
        <w:t xml:space="preserve">. </w:t>
      </w:r>
      <w:r>
        <w:rPr>
          <w:rFonts w:ascii="Times New Roman" w:eastAsia="Times New Roman" w:hAnsi="Times New Roman" w:cs="Times New Roman"/>
          <w:noProof/>
          <w:color w:val="000000" w:themeColor="text1"/>
          <w:sz w:val="24"/>
          <w:szCs w:val="24"/>
        </w:rPr>
        <w:t xml:space="preserve">The existing EU legal framework already makes efforts to </w:t>
      </w:r>
      <w:r>
        <w:rPr>
          <w:rFonts w:ascii="Times New Roman" w:eastAsia="Times New Roman" w:hAnsi="Times New Roman" w:cs="Times New Roman"/>
          <w:noProof/>
          <w:sz w:val="24"/>
          <w:szCs w:val="24"/>
        </w:rPr>
        <w:t>support potential victims in bringing their claim, e.g. with protection against victimisation and rules on remedies and sanctions or penalties. However, t</w:t>
      </w:r>
      <w:r>
        <w:rPr>
          <w:rFonts w:ascii="Times New Roman" w:eastAsia="Times New Roman" w:hAnsi="Times New Roman" w:cs="Times New Roman"/>
          <w:noProof/>
          <w:color w:val="000000" w:themeColor="text1"/>
          <w:sz w:val="24"/>
          <w:szCs w:val="24"/>
        </w:rPr>
        <w:t xml:space="preserve">he 2020 evaluation identified persistent problems with regard to the effective enforcement of the right to equal pay and procedural obstacles to this enforcement, leading to an </w:t>
      </w:r>
      <w:r>
        <w:rPr>
          <w:rFonts w:ascii="Times New Roman" w:hAnsi="Times New Roman" w:cs="Times New Roman"/>
          <w:noProof/>
          <w:sz w:val="24"/>
          <w:szCs w:val="24"/>
        </w:rPr>
        <w:t xml:space="preserve">insufficient protection of victims. It reported major problems related to the costs of litigation, the lack of a proper mandate for equality bodies to help potential victims of sex-based pay discrimination, the lack of possibility of collective action, the practical application of the reversed burden of proof, and the low level of compensation awarded. </w:t>
      </w:r>
      <w:r>
        <w:rPr>
          <w:rFonts w:ascii="Times New Roman" w:eastAsia="Times New Roman" w:hAnsi="Times New Roman" w:cs="Times New Roman"/>
          <w:noProof/>
          <w:sz w:val="24"/>
          <w:szCs w:val="24"/>
          <w:lang w:eastAsia="fr-FR"/>
        </w:rPr>
        <w:t xml:space="preserve">National experts reported </w:t>
      </w:r>
      <w:r>
        <w:rPr>
          <w:rFonts w:ascii="Times New Roman" w:eastAsia="Times New Roman" w:hAnsi="Times New Roman" w:cs="Times New Roman"/>
          <w:noProof/>
          <w:sz w:val="24"/>
          <w:szCs w:val="24"/>
        </w:rPr>
        <w:t xml:space="preserve">the </w:t>
      </w:r>
      <w:r>
        <w:rPr>
          <w:rFonts w:ascii="Times New Roman" w:eastAsia="Times New Roman" w:hAnsi="Times New Roman" w:cs="Times New Roman"/>
          <w:b/>
          <w:bCs/>
          <w:noProof/>
          <w:sz w:val="24"/>
          <w:szCs w:val="24"/>
        </w:rPr>
        <w:t>costs</w:t>
      </w:r>
      <w:r>
        <w:rPr>
          <w:rFonts w:ascii="Times New Roman" w:eastAsia="Times New Roman" w:hAnsi="Times New Roman" w:cs="Times New Roman"/>
          <w:noProof/>
          <w:sz w:val="24"/>
          <w:szCs w:val="24"/>
        </w:rPr>
        <w:t xml:space="preserve"> of court proceedings as a barrier to access to justice (AT, BE, EE, FI, HR, HU, LV, NL, PL)</w:t>
      </w:r>
      <w:r>
        <w:rPr>
          <w:rStyle w:val="FootnoteReference"/>
          <w:rFonts w:ascii="Times New Roman" w:eastAsia="Times New Roman" w:hAnsi="Times New Roman" w:cs="Times New Roman"/>
          <w:noProof/>
          <w:sz w:val="24"/>
          <w:szCs w:val="24"/>
        </w:rPr>
        <w:footnoteReference w:id="82"/>
      </w:r>
      <w:r>
        <w:rPr>
          <w:rFonts w:ascii="Times New Roman" w:eastAsia="Times New Roman" w:hAnsi="Times New Roman" w:cs="Times New Roman"/>
          <w:noProof/>
          <w:sz w:val="24"/>
          <w:szCs w:val="24"/>
        </w:rPr>
        <w:t>. While legal aid is only available to (very) low income earners, in most countries the ‘looser pays’ principle is a disincentive for many victims</w:t>
      </w:r>
      <w:r>
        <w:rPr>
          <w:noProof/>
        </w:rPr>
        <w:t xml:space="preserve"> </w:t>
      </w:r>
      <w:r>
        <w:rPr>
          <w:rFonts w:ascii="Times New Roman" w:eastAsia="Times New Roman" w:hAnsi="Times New Roman" w:cs="Times New Roman"/>
          <w:noProof/>
          <w:sz w:val="24"/>
          <w:szCs w:val="24"/>
        </w:rPr>
        <w:t xml:space="preserve">to go to court. </w:t>
      </w:r>
      <w:r>
        <w:rPr>
          <w:rFonts w:ascii="Times New Roman" w:eastAsia="Times New Roman" w:hAnsi="Times New Roman" w:cs="Times New Roman"/>
          <w:b/>
          <w:bCs/>
          <w:noProof/>
          <w:sz w:val="24"/>
          <w:szCs w:val="24"/>
        </w:rPr>
        <w:t>Compensation</w:t>
      </w:r>
      <w:r>
        <w:rPr>
          <w:rFonts w:ascii="Times New Roman" w:eastAsia="Times New Roman" w:hAnsi="Times New Roman" w:cs="Times New Roman"/>
          <w:noProof/>
          <w:sz w:val="24"/>
          <w:szCs w:val="24"/>
        </w:rPr>
        <w:t xml:space="preserve"> for material damages may be claimed in only 18 Member States and non-material damages may be compensated in 14 Member States.</w:t>
      </w:r>
      <w:r>
        <w:rPr>
          <w:rStyle w:val="FootnoteReference"/>
          <w:rFonts w:ascii="Times New Roman" w:eastAsia="Times New Roman" w:hAnsi="Times New Roman" w:cs="Times New Roman"/>
          <w:noProof/>
          <w:sz w:val="24"/>
          <w:szCs w:val="24"/>
        </w:rPr>
        <w:footnoteReference w:id="83"/>
      </w:r>
      <w:r>
        <w:rPr>
          <w:rFonts w:ascii="Times New Roman" w:eastAsia="Times New Roman" w:hAnsi="Times New Roman" w:cs="Times New Roman"/>
          <w:noProof/>
          <w:sz w:val="24"/>
          <w:szCs w:val="24"/>
        </w:rPr>
        <w:t xml:space="preserve"> Most national experts consider compensation or reparation of victims as a significant problem as remedies are too low and not dissuasive for defendants while they discourage victims from taking action especially when compared to litigation costs.</w:t>
      </w:r>
      <w:r>
        <w:rPr>
          <w:rStyle w:val="FootnoteReference"/>
          <w:rFonts w:ascii="Times New Roman" w:eastAsia="Times New Roman" w:hAnsi="Times New Roman" w:cs="Times New Roman"/>
          <w:noProof/>
          <w:sz w:val="24"/>
          <w:szCs w:val="24"/>
        </w:rPr>
        <w:footnoteReference w:id="84"/>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Nine Member States (AT, DE, DK, EE, HR, NL, PL, PT, SE) foresee no </w:t>
      </w:r>
      <w:r>
        <w:rPr>
          <w:rFonts w:ascii="Times New Roman" w:hAnsi="Times New Roman" w:cs="Times New Roman"/>
          <w:b/>
          <w:bCs/>
          <w:noProof/>
          <w:sz w:val="24"/>
          <w:szCs w:val="24"/>
        </w:rPr>
        <w:t>sanctions</w:t>
      </w:r>
      <w:r>
        <w:rPr>
          <w:rFonts w:ascii="Times New Roman" w:hAnsi="Times New Roman" w:cs="Times New Roman"/>
          <w:noProof/>
          <w:sz w:val="24"/>
          <w:szCs w:val="24"/>
        </w:rPr>
        <w:t xml:space="preserve"> or penalties in addition to compensation.</w:t>
      </w:r>
      <w:r>
        <w:rPr>
          <w:rStyle w:val="FootnoteReference"/>
          <w:rFonts w:ascii="Times New Roman" w:hAnsi="Times New Roman" w:cs="Times New Roman"/>
          <w:noProof/>
          <w:sz w:val="24"/>
          <w:szCs w:val="24"/>
        </w:rPr>
        <w:footnoteReference w:id="85"/>
      </w:r>
      <w:r>
        <w:rPr>
          <w:rFonts w:ascii="Times New Roman" w:hAnsi="Times New Roman" w:cs="Times New Roman"/>
          <w:noProof/>
          <w:sz w:val="24"/>
          <w:szCs w:val="24"/>
        </w:rPr>
        <w:t xml:space="preserve"> Symbolically, the absence of sanctions or penalties suggests that society at large would not be concerned by gender pay discrimination. </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The lack of enforcement and insufficient protection of victims were confirmed by participants in the public consultation.</w:t>
      </w:r>
    </w:p>
    <w:p>
      <w:pPr>
        <w:pStyle w:val="Heading2"/>
        <w:numPr>
          <w:ilvl w:val="1"/>
          <w:numId w:val="1"/>
        </w:numPr>
        <w:spacing w:after="120"/>
        <w:ind w:left="1276" w:hanging="709"/>
        <w:rPr>
          <w:noProof/>
        </w:rPr>
      </w:pPr>
      <w:bookmarkStart w:id="740" w:name="_Toc53678181"/>
      <w:bookmarkStart w:id="741" w:name="_Toc53678401"/>
      <w:bookmarkStart w:id="742" w:name="_Toc53678721"/>
      <w:bookmarkStart w:id="743" w:name="_Toc53680072"/>
      <w:bookmarkStart w:id="744" w:name="_Toc54289094"/>
      <w:bookmarkStart w:id="745" w:name="_Toc54290565"/>
      <w:bookmarkStart w:id="746" w:name="_Toc54290934"/>
      <w:bookmarkStart w:id="747" w:name="_Toc54292060"/>
      <w:bookmarkStart w:id="748" w:name="_Toc54340618"/>
      <w:bookmarkStart w:id="749" w:name="_Toc54345720"/>
      <w:bookmarkStart w:id="750" w:name="_Toc54348733"/>
      <w:bookmarkStart w:id="751" w:name="_Toc54355063"/>
      <w:bookmarkStart w:id="752" w:name="_Toc54355042"/>
      <w:bookmarkStart w:id="753" w:name="_Toc54355588"/>
      <w:bookmarkStart w:id="754" w:name="_Toc54356104"/>
      <w:bookmarkStart w:id="755" w:name="_Toc54356655"/>
      <w:bookmarkStart w:id="756" w:name="_Toc54357522"/>
      <w:bookmarkStart w:id="757" w:name="_Toc54357619"/>
      <w:bookmarkStart w:id="758" w:name="_Toc54364583"/>
      <w:bookmarkStart w:id="759" w:name="_Toc54371191"/>
      <w:bookmarkStart w:id="760" w:name="_Toc54372028"/>
      <w:bookmarkStart w:id="761" w:name="_Toc54376635"/>
      <w:bookmarkStart w:id="762" w:name="_Toc58767185"/>
      <w:bookmarkStart w:id="763" w:name="_Toc58769492"/>
      <w:bookmarkStart w:id="764" w:name="_Toc58863831"/>
      <w:bookmarkStart w:id="765" w:name="_Toc58868858"/>
      <w:bookmarkStart w:id="766" w:name="_Toc58870689"/>
      <w:bookmarkStart w:id="767" w:name="_Toc58870922"/>
      <w:bookmarkStart w:id="768" w:name="_Toc58871828"/>
      <w:bookmarkStart w:id="769" w:name="_Toc58872043"/>
      <w:bookmarkStart w:id="770" w:name="_Toc58922790"/>
      <w:bookmarkStart w:id="771" w:name="_Toc58925372"/>
      <w:bookmarkStart w:id="772" w:name="_Toc58928874"/>
      <w:bookmarkStart w:id="773" w:name="_Toc58931242"/>
      <w:bookmarkStart w:id="774" w:name="_Toc58931876"/>
      <w:bookmarkStart w:id="775" w:name="_Toc58947401"/>
      <w:bookmarkStart w:id="776" w:name="_Toc58950063"/>
      <w:bookmarkStart w:id="777" w:name="_Toc58950483"/>
      <w:bookmarkStart w:id="778" w:name="_Toc58956775"/>
      <w:bookmarkStart w:id="779" w:name="_Toc58957940"/>
      <w:bookmarkStart w:id="780" w:name="_Toc58962473"/>
      <w:bookmarkStart w:id="781" w:name="_Toc59096502"/>
      <w:bookmarkStart w:id="782" w:name="_Toc59103098"/>
      <w:bookmarkStart w:id="783" w:name="_Toc59104949"/>
      <w:bookmarkStart w:id="784" w:name="_Toc59119909"/>
      <w:bookmarkStart w:id="785" w:name="_Toc59121173"/>
      <w:bookmarkStart w:id="786" w:name="_Toc59121292"/>
      <w:bookmarkStart w:id="787" w:name="_Toc59549345"/>
      <w:bookmarkStart w:id="788" w:name="_Toc59642298"/>
      <w:bookmarkStart w:id="789" w:name="_Toc47455456"/>
      <w:bookmarkStart w:id="790" w:name="_Toc49527866"/>
      <w:bookmarkStart w:id="791" w:name="_Toc49529987"/>
      <w:bookmarkStart w:id="792" w:name="_Toc49530651"/>
      <w:bookmarkStart w:id="793" w:name="_Toc49532601"/>
      <w:bookmarkStart w:id="794" w:name="_Toc49695767"/>
      <w:bookmarkStart w:id="795" w:name="_Toc49695949"/>
      <w:bookmarkStart w:id="796" w:name="_Toc49805465"/>
      <w:bookmarkStart w:id="797" w:name="_Toc49806177"/>
      <w:bookmarkStart w:id="798" w:name="_Toc49877743"/>
      <w:bookmarkStart w:id="799" w:name="_Toc49881132"/>
      <w:bookmarkStart w:id="800" w:name="_Toc49884193"/>
      <w:bookmarkStart w:id="801" w:name="_Toc49884269"/>
      <w:bookmarkStart w:id="802" w:name="_Toc49893525"/>
      <w:bookmarkStart w:id="803" w:name="_Toc49933912"/>
      <w:bookmarkStart w:id="804" w:name="_Toc49937829"/>
      <w:bookmarkStart w:id="805" w:name="_Toc49939195"/>
      <w:bookmarkStart w:id="806" w:name="_Toc49942045"/>
      <w:bookmarkStart w:id="807" w:name="_Toc49948513"/>
      <w:bookmarkStart w:id="808" w:name="_Toc49954737"/>
      <w:bookmarkStart w:id="809" w:name="_Toc49955754"/>
      <w:bookmarkStart w:id="810" w:name="_Toc49958254"/>
      <w:bookmarkStart w:id="811" w:name="_Toc49958449"/>
      <w:bookmarkStart w:id="812" w:name="_Toc49961972"/>
      <w:bookmarkStart w:id="813" w:name="_Toc49962476"/>
      <w:bookmarkStart w:id="814" w:name="_Toc49962685"/>
      <w:bookmarkStart w:id="815" w:name="_Toc49963159"/>
      <w:r>
        <w:rPr>
          <w:noProof/>
        </w:rPr>
        <w:t>Why is it a problem?</w:t>
      </w:r>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The Charter of Fundamental Rights of the EU prohibits discrimination, in particular on the basis of sex (Article 21), and states that equality between women and men must be ensured in all areas (Article 23). Equality between women and men is a fundamental value in the European Union (Article 2 TEU). Gender-based pay discrimination and the improper enforcement of the principle of equal pay is therefore first of all a </w:t>
      </w:r>
      <w:r>
        <w:rPr>
          <w:rFonts w:ascii="Times New Roman" w:hAnsi="Times New Roman" w:cs="Times New Roman"/>
          <w:b/>
          <w:bCs/>
          <w:noProof/>
          <w:sz w:val="24"/>
          <w:szCs w:val="24"/>
        </w:rPr>
        <w:t>breach of an individual’s fundamental right</w:t>
      </w:r>
      <w:r>
        <w:rPr>
          <w:rFonts w:ascii="Times New Roman" w:hAnsi="Times New Roman" w:cs="Times New Roman"/>
          <w:noProof/>
          <w:sz w:val="24"/>
          <w:szCs w:val="24"/>
        </w:rPr>
        <w:t xml:space="preserve"> protected under Union law. </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Article 23 of the Charter explicitly refers to equality between women and men in employment, work and pay. Article 153 TFEU lists equality between women and men with regard to labour market opportunities and treatment at work as one of the main objectives of the Union’s social policy. Article 157 TFEU calls on Member States to ensure that the principle of equal pay for male and female workers for equal work or work of equal value is applied. In practice this means that employers must have pay structures ensuring that women and men be paid equally for the same work or work of equal value. Gender-based pay discrimination hence </w:t>
      </w:r>
      <w:r>
        <w:rPr>
          <w:rFonts w:ascii="Times New Roman" w:hAnsi="Times New Roman" w:cs="Times New Roman"/>
          <w:b/>
          <w:bCs/>
          <w:noProof/>
          <w:sz w:val="24"/>
          <w:szCs w:val="24"/>
        </w:rPr>
        <w:t>breaches individuals’ social rights</w:t>
      </w:r>
      <w:r>
        <w:rPr>
          <w:rFonts w:ascii="Times New Roman" w:hAnsi="Times New Roman" w:cs="Times New Roman"/>
          <w:noProof/>
          <w:sz w:val="24"/>
          <w:szCs w:val="24"/>
        </w:rPr>
        <w:t xml:space="preserve"> protected under Union law. </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Besides violating fundamental and social rights, pay discrimination has negative economic consequences as it entails </w:t>
      </w:r>
      <w:r>
        <w:rPr>
          <w:rFonts w:ascii="Times New Roman" w:hAnsi="Times New Roman" w:cs="Times New Roman"/>
          <w:b/>
          <w:bCs/>
          <w:noProof/>
          <w:sz w:val="24"/>
          <w:szCs w:val="24"/>
        </w:rPr>
        <w:t xml:space="preserve">inefficiencies in how the labour market operates </w:t>
      </w:r>
      <w:r>
        <w:rPr>
          <w:rFonts w:ascii="Times New Roman" w:hAnsi="Times New Roman" w:cs="Times New Roman"/>
          <w:noProof/>
          <w:sz w:val="24"/>
          <w:szCs w:val="24"/>
        </w:rPr>
        <w:t>and lowers</w:t>
      </w:r>
      <w:r>
        <w:rPr>
          <w:rFonts w:ascii="Times New Roman" w:hAnsi="Times New Roman" w:cs="Times New Roman"/>
          <w:b/>
          <w:bCs/>
          <w:noProof/>
          <w:sz w:val="24"/>
          <w:szCs w:val="24"/>
        </w:rPr>
        <w:t xml:space="preserve"> competitiveness in the internal market</w:t>
      </w:r>
      <w:r>
        <w:rPr>
          <w:rFonts w:ascii="Times New Roman" w:hAnsi="Times New Roman" w:cs="Times New Roman"/>
          <w:noProof/>
          <w:sz w:val="24"/>
          <w:szCs w:val="24"/>
        </w:rPr>
        <w:t xml:space="preserve">. From an individual worker’s viewpoint, insufficient protection from gender pay discrimination, even if only suspected, contributes to lowering personal expectations regarding prospective earnings. As such, it can distort </w:t>
      </w:r>
      <w:r>
        <w:rPr>
          <w:rFonts w:ascii="Times New Roman" w:hAnsi="Times New Roman" w:cs="Times New Roman"/>
          <w:b/>
          <w:bCs/>
          <w:noProof/>
          <w:sz w:val="24"/>
          <w:szCs w:val="24"/>
        </w:rPr>
        <w:t>decisions relating to employment and occupation</w:t>
      </w:r>
      <w:r>
        <w:rPr>
          <w:rFonts w:ascii="Times New Roman" w:hAnsi="Times New Roman" w:cs="Times New Roman"/>
          <w:noProof/>
          <w:sz w:val="24"/>
          <w:szCs w:val="24"/>
        </w:rPr>
        <w:t xml:space="preserve">. It also impacts workers’ decisions on </w:t>
      </w:r>
      <w:r>
        <w:rPr>
          <w:rFonts w:ascii="Times New Roman" w:hAnsi="Times New Roman" w:cs="Times New Roman"/>
          <w:b/>
          <w:bCs/>
          <w:noProof/>
          <w:sz w:val="24"/>
          <w:szCs w:val="24"/>
        </w:rPr>
        <w:t>time worked and career patterns</w:t>
      </w:r>
      <w:r>
        <w:rPr>
          <w:rFonts w:ascii="Times New Roman" w:hAnsi="Times New Roman" w:cs="Times New Roman"/>
          <w:noProof/>
          <w:sz w:val="24"/>
          <w:szCs w:val="24"/>
        </w:rPr>
        <w:t>, in particular when balancing household responsibilities with earnings’ perspectives; the expectation of a potentially lower income may influence women’s apparent own choice to engage in unpaid care rather than paid work. This happens even if the household would equally share housework and care (or have no care responsibilities) due to employers’ possible biased expectations of future caring responsibilities for women or the assumption that they are not the sole or main earners in a family</w:t>
      </w:r>
      <w:r>
        <w:rPr>
          <w:rStyle w:val="normaltextrun"/>
          <w:rFonts w:ascii="Times New Roman" w:hAnsi="Times New Roman" w:cs="Times New Roman"/>
          <w:noProof/>
          <w:color w:val="000000"/>
          <w:shd w:val="clear" w:color="auto" w:fill="FFFFFF"/>
        </w:rPr>
        <w:t>.</w:t>
      </w:r>
      <w:r>
        <w:rPr>
          <w:rFonts w:ascii="Times New Roman" w:hAnsi="Times New Roman" w:cs="Times New Roman"/>
          <w:noProof/>
          <w:color w:val="000000"/>
          <w:sz w:val="24"/>
          <w:szCs w:val="24"/>
        </w:rPr>
        <w:t xml:space="preserve"> All this has negative </w:t>
      </w:r>
      <w:r>
        <w:rPr>
          <w:rFonts w:ascii="Times New Roman" w:hAnsi="Times New Roman" w:cs="Times New Roman"/>
          <w:noProof/>
          <w:sz w:val="24"/>
          <w:szCs w:val="24"/>
        </w:rPr>
        <w:t>consequences on</w:t>
      </w:r>
      <w:r>
        <w:rPr>
          <w:rFonts w:ascii="Times New Roman" w:hAnsi="Times New Roman" w:cs="Times New Roman"/>
          <w:b/>
          <w:bCs/>
          <w:noProof/>
          <w:sz w:val="24"/>
          <w:szCs w:val="24"/>
        </w:rPr>
        <w:t xml:space="preserve"> poverty rates </w:t>
      </w:r>
      <w:r>
        <w:rPr>
          <w:rFonts w:ascii="Times New Roman" w:hAnsi="Times New Roman" w:cs="Times New Roman"/>
          <w:noProof/>
          <w:sz w:val="24"/>
          <w:szCs w:val="24"/>
        </w:rPr>
        <w:t>and ultimately on the</w:t>
      </w:r>
      <w:r>
        <w:rPr>
          <w:rFonts w:ascii="Times New Roman" w:hAnsi="Times New Roman" w:cs="Times New Roman"/>
          <w:b/>
          <w:bCs/>
          <w:noProof/>
          <w:sz w:val="24"/>
          <w:szCs w:val="24"/>
        </w:rPr>
        <w:t xml:space="preserve"> gender pension gap </w:t>
      </w:r>
      <w:r>
        <w:rPr>
          <w:rFonts w:ascii="Times New Roman" w:hAnsi="Times New Roman" w:cs="Times New Roman"/>
          <w:noProof/>
          <w:sz w:val="24"/>
          <w:szCs w:val="24"/>
        </w:rPr>
        <w:t>(which stands at 30%</w:t>
      </w:r>
      <w:r>
        <w:rPr>
          <w:rStyle w:val="FootnoteReference"/>
          <w:rFonts w:ascii="Times New Roman" w:hAnsi="Times New Roman" w:cs="Times New Roman"/>
          <w:noProof/>
          <w:sz w:val="24"/>
          <w:szCs w:val="24"/>
        </w:rPr>
        <w:footnoteReference w:id="86"/>
      </w:r>
      <w:r>
        <w:rPr>
          <w:rFonts w:ascii="Times New Roman" w:hAnsi="Times New Roman" w:cs="Times New Roman"/>
          <w:noProof/>
          <w:sz w:val="24"/>
          <w:szCs w:val="24"/>
        </w:rPr>
        <w:t xml:space="preserve"> in the EU overall)</w:t>
      </w:r>
      <w:r>
        <w:rPr>
          <w:rFonts w:ascii="Times New Roman" w:hAnsi="Times New Roman" w:cs="Times New Roman"/>
          <w:b/>
          <w:bCs/>
          <w:noProof/>
          <w:sz w:val="24"/>
          <w:szCs w:val="24"/>
        </w:rPr>
        <w:t>.</w:t>
      </w:r>
      <w:r>
        <w:rPr>
          <w:rFonts w:ascii="Times New Roman" w:hAnsi="Times New Roman" w:cs="Times New Roman"/>
          <w:noProof/>
          <w:color w:val="000000"/>
          <w:sz w:val="24"/>
          <w:szCs w:val="24"/>
        </w:rPr>
        <w:t xml:space="preserve"> Finally</w:t>
      </w:r>
      <w:r>
        <w:rPr>
          <w:rFonts w:ascii="Times New Roman" w:hAnsi="Times New Roman" w:cs="Times New Roman"/>
          <w:noProof/>
          <w:sz w:val="24"/>
          <w:szCs w:val="24"/>
        </w:rPr>
        <w:t xml:space="preserve">, personal beliefs regarding different levels of fairness in pay/pay structures may influence workers’ propensity to </w:t>
      </w:r>
      <w:r>
        <w:rPr>
          <w:rFonts w:ascii="Times New Roman" w:hAnsi="Times New Roman" w:cs="Times New Roman"/>
          <w:i/>
          <w:iCs/>
          <w:noProof/>
          <w:sz w:val="24"/>
          <w:szCs w:val="24"/>
        </w:rPr>
        <w:t>mobility</w:t>
      </w:r>
      <w:r>
        <w:rPr>
          <w:rFonts w:ascii="Times New Roman" w:hAnsi="Times New Roman" w:cs="Times New Roman"/>
          <w:noProof/>
          <w:sz w:val="24"/>
          <w:szCs w:val="24"/>
        </w:rPr>
        <w:t xml:space="preserve"> across sectors or countries. </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The above elements bring a clear risk of </w:t>
      </w:r>
      <w:r>
        <w:rPr>
          <w:rFonts w:ascii="Times New Roman" w:hAnsi="Times New Roman" w:cs="Times New Roman"/>
          <w:b/>
          <w:bCs/>
          <w:noProof/>
          <w:sz w:val="24"/>
          <w:szCs w:val="24"/>
        </w:rPr>
        <w:t>potential loss of productivity</w:t>
      </w:r>
      <w:r>
        <w:rPr>
          <w:rFonts w:ascii="Times New Roman" w:hAnsi="Times New Roman" w:cs="Times New Roman"/>
          <w:noProof/>
          <w:sz w:val="24"/>
          <w:szCs w:val="24"/>
        </w:rPr>
        <w:t>, due to suboptimal female labour market participation. Such suboptimal participation increases as a consequence of women’s increasingly higher level of education compared to men.</w:t>
      </w:r>
      <w:r>
        <w:rPr>
          <w:rStyle w:val="FootnoteReference"/>
          <w:rFonts w:ascii="Times New Roman" w:hAnsi="Times New Roman" w:cs="Times New Roman"/>
          <w:noProof/>
          <w:sz w:val="24"/>
          <w:szCs w:val="24"/>
        </w:rPr>
        <w:footnoteReference w:id="87"/>
      </w:r>
      <w:r>
        <w:rPr>
          <w:rFonts w:ascii="Times New Roman" w:hAnsi="Times New Roman" w:cs="Times New Roman"/>
          <w:noProof/>
          <w:sz w:val="24"/>
          <w:szCs w:val="24"/>
        </w:rPr>
        <w:t xml:space="preserve"> An economy cannot afford such a waste of talents, especially in an ageing society confronted with skills shortages.</w:t>
      </w:r>
    </w:p>
    <w:p>
      <w:pPr>
        <w:spacing w:after="12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For employers, pay discrimination has a hidden cost, as the </w:t>
      </w:r>
      <w:r>
        <w:rPr>
          <w:rFonts w:ascii="Times New Roman" w:hAnsi="Times New Roman" w:cs="Times New Roman"/>
          <w:b/>
          <w:bCs/>
          <w:noProof/>
          <w:color w:val="000000"/>
          <w:sz w:val="24"/>
          <w:szCs w:val="24"/>
        </w:rPr>
        <w:t>motivation</w:t>
      </w:r>
      <w:r>
        <w:rPr>
          <w:rFonts w:ascii="Times New Roman" w:hAnsi="Times New Roman" w:cs="Times New Roman"/>
          <w:noProof/>
          <w:color w:val="000000"/>
          <w:sz w:val="24"/>
          <w:szCs w:val="24"/>
        </w:rPr>
        <w:t xml:space="preserve"> </w:t>
      </w:r>
      <w:r>
        <w:rPr>
          <w:rFonts w:ascii="Times New Roman" w:hAnsi="Times New Roman" w:cs="Times New Roman"/>
          <w:b/>
          <w:bCs/>
          <w:noProof/>
          <w:color w:val="000000"/>
          <w:sz w:val="24"/>
          <w:szCs w:val="24"/>
        </w:rPr>
        <w:t>and productivity</w:t>
      </w:r>
      <w:r>
        <w:rPr>
          <w:rFonts w:ascii="Times New Roman" w:hAnsi="Times New Roman" w:cs="Times New Roman"/>
          <w:noProof/>
          <w:color w:val="000000"/>
          <w:sz w:val="24"/>
          <w:szCs w:val="24"/>
        </w:rPr>
        <w:t xml:space="preserve"> of employees</w:t>
      </w:r>
      <w:r>
        <w:rPr>
          <w:rStyle w:val="FootnoteReference"/>
          <w:rFonts w:ascii="Times New Roman" w:hAnsi="Times New Roman" w:cs="Times New Roman"/>
          <w:noProof/>
          <w:sz w:val="24"/>
          <w:szCs w:val="24"/>
        </w:rPr>
        <w:footnoteReference w:id="88"/>
      </w:r>
      <w:r>
        <w:rPr>
          <w:rFonts w:ascii="Times New Roman" w:hAnsi="Times New Roman" w:cs="Times New Roman"/>
          <w:noProof/>
          <w:sz w:val="24"/>
          <w:szCs w:val="24"/>
        </w:rPr>
        <w:t xml:space="preserve"> </w:t>
      </w:r>
      <w:r>
        <w:rPr>
          <w:rFonts w:ascii="Times New Roman" w:hAnsi="Times New Roman" w:cs="Times New Roman"/>
          <w:noProof/>
          <w:color w:val="000000"/>
          <w:sz w:val="24"/>
          <w:szCs w:val="24"/>
        </w:rPr>
        <w:t xml:space="preserve"> may decrease if they are – or suspect being – treated unequally. They may feel undervalued, disrespected, upset or even doubt their capacities and lose self-</w:t>
      </w:r>
      <w:r>
        <w:rPr>
          <w:rFonts w:ascii="Times New Roman" w:hAnsi="Times New Roman" w:cs="Times New Roman"/>
          <w:noProof/>
          <w:sz w:val="24"/>
          <w:szCs w:val="24"/>
        </w:rPr>
        <w:t>confidence</w:t>
      </w:r>
      <w:r>
        <w:rPr>
          <w:rFonts w:ascii="Times New Roman" w:hAnsi="Times New Roman" w:cs="Times New Roman"/>
          <w:noProof/>
          <w:color w:val="000000"/>
          <w:sz w:val="24"/>
          <w:szCs w:val="24"/>
        </w:rPr>
        <w:t xml:space="preserve">. Pay discrimination may also result in a </w:t>
      </w:r>
      <w:r>
        <w:rPr>
          <w:rFonts w:ascii="Times New Roman" w:hAnsi="Times New Roman" w:cs="Times New Roman"/>
          <w:b/>
          <w:bCs/>
          <w:noProof/>
          <w:color w:val="000000"/>
          <w:sz w:val="24"/>
          <w:szCs w:val="24"/>
        </w:rPr>
        <w:t xml:space="preserve">loss of talent and investment in people </w:t>
      </w:r>
      <w:r>
        <w:rPr>
          <w:rFonts w:ascii="Times New Roman" w:hAnsi="Times New Roman" w:cs="Times New Roman"/>
          <w:noProof/>
          <w:color w:val="000000"/>
          <w:sz w:val="24"/>
          <w:szCs w:val="24"/>
        </w:rPr>
        <w:t>in case workers would decide to move to a different employer.</w:t>
      </w:r>
    </w:p>
    <w:p>
      <w:pPr>
        <w:spacing w:after="12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Furthermore, even if the guiding principle of equal pay for the same work or work of equal value is set at EU level, the differences in approach among Member States continue to be an obstacle, not only to workers’ mobility (</w:t>
      </w:r>
      <w:r>
        <w:rPr>
          <w:rFonts w:ascii="Times New Roman" w:hAnsi="Times New Roman" w:cs="Times New Roman"/>
          <w:i/>
          <w:iCs/>
          <w:noProof/>
          <w:color w:val="000000"/>
          <w:sz w:val="24"/>
          <w:szCs w:val="24"/>
        </w:rPr>
        <w:t>see above</w:t>
      </w:r>
      <w:r>
        <w:rPr>
          <w:rFonts w:ascii="Times New Roman" w:hAnsi="Times New Roman" w:cs="Times New Roman"/>
          <w:noProof/>
          <w:color w:val="000000"/>
          <w:sz w:val="24"/>
          <w:szCs w:val="24"/>
        </w:rPr>
        <w:t>) but also for employers to operate across Member States</w:t>
      </w:r>
      <w:r>
        <w:rPr>
          <w:rFonts w:ascii="Times New Roman" w:eastAsia="Calibri" w:hAnsi="Times New Roman" w:cs="Times New Roman"/>
          <w:noProof/>
          <w:sz w:val="24"/>
          <w:szCs w:val="24"/>
          <w:lang w:eastAsia="en-IE"/>
        </w:rPr>
        <w:t>. Indeed, the very inclusion of the equal pay principle in the EU’s founding treaties (at the time the 1957 Treaty of Rome) explicitly aimed at ensuring a level playing field among employers in the internal market.</w:t>
      </w:r>
      <w:r>
        <w:rPr>
          <w:rStyle w:val="FootnoteReference"/>
          <w:rFonts w:ascii="Times New Roman" w:eastAsia="Calibri" w:hAnsi="Times New Roman" w:cs="Times New Roman"/>
          <w:noProof/>
          <w:sz w:val="24"/>
          <w:szCs w:val="24"/>
          <w:lang w:eastAsia="en-IE"/>
        </w:rPr>
        <w:footnoteReference w:id="89"/>
      </w:r>
      <w:r>
        <w:rPr>
          <w:rFonts w:ascii="Times New Roman" w:eastAsia="Calibri" w:hAnsi="Times New Roman" w:cs="Times New Roman"/>
          <w:noProof/>
          <w:sz w:val="24"/>
          <w:szCs w:val="24"/>
          <w:lang w:eastAsia="en-IE"/>
        </w:rPr>
        <w:t xml:space="preserve"> Ensuring a consistent equal pay between women and men is therefore inherently a market condition to safeguard fair competition among employers across the EU. Finally, without an EU approach there could be no action taken on matters of equal pay as employers might overlook the long term productivity gains and concentrate on a perceived risk of loss of competitiveness due to potential salary adjustments.</w:t>
      </w:r>
    </w:p>
    <w:p>
      <w:pPr>
        <w:pStyle w:val="Heading2"/>
        <w:numPr>
          <w:ilvl w:val="1"/>
          <w:numId w:val="1"/>
        </w:numPr>
        <w:spacing w:after="120"/>
        <w:ind w:left="1276" w:hanging="709"/>
        <w:rPr>
          <w:noProof/>
        </w:rPr>
      </w:pPr>
      <w:bookmarkStart w:id="816" w:name="_Toc53678182"/>
      <w:bookmarkStart w:id="817" w:name="_Toc53678402"/>
      <w:bookmarkStart w:id="818" w:name="_Toc53678722"/>
      <w:bookmarkStart w:id="819" w:name="_Toc53680073"/>
      <w:bookmarkStart w:id="820" w:name="_Toc54289095"/>
      <w:bookmarkStart w:id="821" w:name="_Toc54290566"/>
      <w:bookmarkStart w:id="822" w:name="_Toc54290935"/>
      <w:bookmarkStart w:id="823" w:name="_Toc54292061"/>
      <w:bookmarkStart w:id="824" w:name="_Toc54340619"/>
      <w:bookmarkStart w:id="825" w:name="_Toc54345721"/>
      <w:bookmarkStart w:id="826" w:name="_Toc54348734"/>
      <w:bookmarkStart w:id="827" w:name="_Toc54355064"/>
      <w:bookmarkStart w:id="828" w:name="_Toc54355043"/>
      <w:bookmarkStart w:id="829" w:name="_Toc54355589"/>
      <w:bookmarkStart w:id="830" w:name="_Toc54356105"/>
      <w:bookmarkStart w:id="831" w:name="_Toc54356656"/>
      <w:bookmarkStart w:id="832" w:name="_Toc54357523"/>
      <w:bookmarkStart w:id="833" w:name="_Toc54357620"/>
      <w:bookmarkStart w:id="834" w:name="_Toc54364584"/>
      <w:bookmarkStart w:id="835" w:name="_Toc54371192"/>
      <w:bookmarkStart w:id="836" w:name="_Toc54372029"/>
      <w:bookmarkStart w:id="837" w:name="_Toc54376636"/>
      <w:bookmarkStart w:id="838" w:name="_Toc58767186"/>
      <w:bookmarkStart w:id="839" w:name="_Toc58769493"/>
      <w:bookmarkStart w:id="840" w:name="_Toc58863832"/>
      <w:bookmarkStart w:id="841" w:name="_Toc58868859"/>
      <w:bookmarkStart w:id="842" w:name="_Toc58870690"/>
      <w:bookmarkStart w:id="843" w:name="_Toc58870923"/>
      <w:bookmarkStart w:id="844" w:name="_Toc58871829"/>
      <w:bookmarkStart w:id="845" w:name="_Toc58872044"/>
      <w:bookmarkStart w:id="846" w:name="_Toc58922791"/>
      <w:bookmarkStart w:id="847" w:name="_Toc58925373"/>
      <w:bookmarkStart w:id="848" w:name="_Toc58928875"/>
      <w:bookmarkStart w:id="849" w:name="_Toc58931243"/>
      <w:bookmarkStart w:id="850" w:name="_Toc58931877"/>
      <w:bookmarkStart w:id="851" w:name="_Toc58947402"/>
      <w:bookmarkStart w:id="852" w:name="_Toc58950064"/>
      <w:bookmarkStart w:id="853" w:name="_Toc58950484"/>
      <w:bookmarkStart w:id="854" w:name="_Toc58956776"/>
      <w:bookmarkStart w:id="855" w:name="_Toc58957941"/>
      <w:bookmarkStart w:id="856" w:name="_Toc58962474"/>
      <w:bookmarkStart w:id="857" w:name="_Toc59096503"/>
      <w:bookmarkStart w:id="858" w:name="_Toc59103099"/>
      <w:bookmarkStart w:id="859" w:name="_Toc59104950"/>
      <w:bookmarkStart w:id="860" w:name="_Toc59119910"/>
      <w:bookmarkStart w:id="861" w:name="_Toc59121174"/>
      <w:bookmarkStart w:id="862" w:name="_Toc59121293"/>
      <w:bookmarkStart w:id="863" w:name="_Toc59549346"/>
      <w:bookmarkStart w:id="864" w:name="_Toc59642299"/>
      <w:r>
        <w:rPr>
          <w:noProof/>
        </w:rPr>
        <w:t>How will the problem evolve?</w:t>
      </w:r>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p>
    <w:p>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As evidenced in the previous sections, gender pay discrimination is a persisting phenomenon, even if its extent may not be evaluated precisely. Because it is hard to identify and evaluate by Member States, employers, workers, enforcement bodies such as equality bodies and courts, the situation is likely to continue to evolve only very slowly: if not identified, existing discriminations may persist. Without further policy intervention towards more pay transparency, it is likely to remain largely hidden, with workers deprived of tools to have their rights respected, employers lacking the incentive to analyse and revise their pay structures, and governments and policy makers unable to grasp the extent of the problem effectively enough to tackle it.</w:t>
      </w:r>
    </w:p>
    <w:p>
      <w:pPr>
        <w:spacing w:after="120"/>
        <w:jc w:val="both"/>
        <w:rPr>
          <w:rFonts w:ascii="Times New Roman" w:hAnsi="Times New Roman" w:cs="Times New Roman"/>
          <w:noProof/>
          <w:sz w:val="24"/>
          <w:szCs w:val="24"/>
        </w:rPr>
      </w:pPr>
      <w:r>
        <w:rPr>
          <w:rFonts w:ascii="Times New Roman" w:eastAsia="Calibri" w:hAnsi="Times New Roman" w:cs="Times New Roman"/>
          <w:noProof/>
          <w:sz w:val="24"/>
          <w:szCs w:val="24"/>
        </w:rPr>
        <w:t>National legislative actions to correct this situation have been scarce and there are no indications that their rate would increase. This hesitation conflicts with an increasing openness</w:t>
      </w:r>
      <w:r>
        <w:rPr>
          <w:rStyle w:val="FootnoteReference"/>
          <w:rFonts w:ascii="Times New Roman" w:hAnsi="Times New Roman" w:cs="Times New Roman"/>
          <w:noProof/>
          <w:sz w:val="24"/>
          <w:szCs w:val="24"/>
        </w:rPr>
        <w:footnoteReference w:id="90"/>
      </w:r>
      <w:r>
        <w:rPr>
          <w:rFonts w:ascii="Times New Roman" w:eastAsia="Calibri" w:hAnsi="Times New Roman" w:cs="Times New Roman"/>
          <w:noProof/>
          <w:sz w:val="24"/>
          <w:szCs w:val="24"/>
        </w:rPr>
        <w:t xml:space="preserve"> and demands for pay transparency from the general public as related to the broader concept of fair pay</w:t>
      </w:r>
      <w:r>
        <w:rPr>
          <w:rStyle w:val="FootnoteReference"/>
          <w:rFonts w:ascii="Times New Roman" w:hAnsi="Times New Roman" w:cs="Times New Roman"/>
          <w:noProof/>
          <w:sz w:val="24"/>
          <w:szCs w:val="24"/>
        </w:rPr>
        <w:footnoteReference w:id="91"/>
      </w:r>
      <w:r>
        <w:rPr>
          <w:rFonts w:ascii="Times New Roman" w:eastAsia="Calibri" w:hAnsi="Times New Roman" w:cs="Times New Roman"/>
          <w:noProof/>
          <w:sz w:val="24"/>
          <w:szCs w:val="24"/>
        </w:rPr>
        <w:t>, even though these have to some extent been embraced by</w:t>
      </w:r>
      <w:r>
        <w:rPr>
          <w:rFonts w:ascii="Times New Roman" w:hAnsi="Times New Roman" w:cs="Times New Roman"/>
          <w:noProof/>
          <w:sz w:val="24"/>
          <w:szCs w:val="24"/>
        </w:rPr>
        <w:t xml:space="preserve"> certain employers</w:t>
      </w:r>
      <w:r>
        <w:rPr>
          <w:rStyle w:val="FootnoteReference"/>
          <w:rFonts w:ascii="Times New Roman" w:hAnsi="Times New Roman" w:cs="Times New Roman"/>
          <w:noProof/>
          <w:sz w:val="24"/>
          <w:szCs w:val="24"/>
        </w:rPr>
        <w:footnoteReference w:id="92"/>
      </w:r>
      <w:r>
        <w:rPr>
          <w:rFonts w:ascii="Times New Roman" w:hAnsi="Times New Roman" w:cs="Times New Roman"/>
          <w:noProof/>
          <w:sz w:val="24"/>
          <w:szCs w:val="24"/>
        </w:rPr>
        <w:t>, notwithstanding potential costs</w:t>
      </w:r>
      <w:r>
        <w:rPr>
          <w:rStyle w:val="FootnoteReference"/>
          <w:rFonts w:ascii="Times New Roman" w:hAnsi="Times New Roman" w:cs="Times New Roman"/>
          <w:noProof/>
          <w:sz w:val="24"/>
          <w:szCs w:val="24"/>
        </w:rPr>
        <w:footnoteReference w:id="93"/>
      </w:r>
      <w:r>
        <w:rPr>
          <w:rFonts w:ascii="Times New Roman" w:hAnsi="Times New Roman" w:cs="Times New Roman"/>
          <w:noProof/>
          <w:sz w:val="24"/>
          <w:szCs w:val="24"/>
        </w:rPr>
        <w:t xml:space="preserve">. The shift towards rebalancing the asymmetry of pay information between workers and employers remains, however, very slow overall. The 2014 Recommendation, which is per definition non-binding, received a limited follow up by Member States. As a result, there are no incentives for employers to act. In practice, the situation relies essentially on individual workers’ responsibility to become aware, collect information (if available) and take action against pay discrimination while balancing the cost-opportunity of doing so. This is unlikely to change on its own. </w:t>
      </w:r>
    </w:p>
    <w:p>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support study carried out in the context of this impact assessment confirms that the unexplained part of the gender pay gap, which includes pay discrimination, is not likely to decline significantly over time without further interventions.</w:t>
      </w:r>
      <w:r>
        <w:rPr>
          <w:rStyle w:val="FootnoteReference"/>
          <w:rFonts w:ascii="Times New Roman" w:eastAsia="Calibri" w:hAnsi="Times New Roman" w:cs="Times New Roman"/>
          <w:noProof/>
          <w:sz w:val="24"/>
          <w:szCs w:val="24"/>
        </w:rPr>
        <w:footnoteReference w:id="94"/>
      </w:r>
      <w:r>
        <w:rPr>
          <w:rFonts w:ascii="Times New Roman" w:eastAsia="Calibri" w:hAnsi="Times New Roman" w:cs="Times New Roman"/>
          <w:noProof/>
          <w:sz w:val="24"/>
          <w:szCs w:val="24"/>
        </w:rPr>
        <w:t xml:space="preserve"> </w:t>
      </w:r>
    </w:p>
    <w:p>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main factor that might shape future trends on the labour market, and therefore potentially impact on gender pay discrimination as part of the gender pay gap, is the impact of the </w:t>
      </w:r>
      <w:r>
        <w:rPr>
          <w:rFonts w:ascii="Times New Roman" w:eastAsia="Calibri" w:hAnsi="Times New Roman" w:cs="Times New Roman"/>
          <w:b/>
          <w:bCs/>
          <w:noProof/>
          <w:sz w:val="24"/>
          <w:szCs w:val="24"/>
        </w:rPr>
        <w:t>COVID-19 crisis</w:t>
      </w:r>
      <w:r>
        <w:rPr>
          <w:rFonts w:ascii="Times New Roman" w:eastAsia="Calibri" w:hAnsi="Times New Roman" w:cs="Times New Roman"/>
          <w:noProof/>
          <w:sz w:val="24"/>
          <w:szCs w:val="24"/>
        </w:rPr>
        <w:t>. The latter has already shown a gendered impact and a strong backlash on gender equality.</w:t>
      </w:r>
      <w:r>
        <w:rPr>
          <w:rStyle w:val="FootnoteReference"/>
          <w:rFonts w:ascii="Times New Roman" w:eastAsia="Calibri" w:hAnsi="Times New Roman" w:cs="Times New Roman"/>
          <w:noProof/>
          <w:sz w:val="24"/>
          <w:szCs w:val="24"/>
        </w:rPr>
        <w:footnoteReference w:id="95"/>
      </w:r>
      <w:r>
        <w:rPr>
          <w:rFonts w:ascii="Times New Roman" w:eastAsia="Calibri" w:hAnsi="Times New Roman" w:cs="Times New Roman"/>
          <w:noProof/>
          <w:sz w:val="24"/>
          <w:szCs w:val="24"/>
        </w:rPr>
        <w:t xml:space="preserve"> </w:t>
      </w:r>
      <w:r>
        <w:rPr>
          <w:rStyle w:val="FootnoteReference"/>
          <w:rFonts w:ascii="Times New Roman" w:eastAsia="Calibri" w:hAnsi="Times New Roman" w:cs="Times New Roman"/>
          <w:noProof/>
          <w:sz w:val="24"/>
          <w:szCs w:val="24"/>
        </w:rPr>
        <w:footnoteReference w:id="96"/>
      </w:r>
      <w:r>
        <w:rPr>
          <w:rFonts w:ascii="Times New Roman" w:eastAsia="Calibri" w:hAnsi="Times New Roman" w:cs="Times New Roman"/>
          <w:noProof/>
          <w:sz w:val="24"/>
          <w:szCs w:val="24"/>
        </w:rPr>
        <w:t xml:space="preserve"> It also reversed the usual pattern of a recession: this time, it is women, rather than men, who experience larger employment losses and higher unemployment. Women are overrepresented in lower paid jobs which are the first and the most affected by redundancies in the crisis, for instance hospitality, retail, care, and personal services.</w:t>
      </w:r>
      <w:r>
        <w:rPr>
          <w:rStyle w:val="FootnoteReference"/>
          <w:rFonts w:ascii="Times New Roman" w:eastAsia="Calibri" w:hAnsi="Times New Roman" w:cs="Times New Roman"/>
          <w:noProof/>
          <w:sz w:val="24"/>
          <w:szCs w:val="24"/>
        </w:rPr>
        <w:footnoteReference w:id="97"/>
      </w:r>
      <w:r>
        <w:rPr>
          <w:rFonts w:ascii="Times New Roman" w:eastAsia="Calibri" w:hAnsi="Times New Roman" w:cs="Times New Roman"/>
          <w:noProof/>
          <w:sz w:val="24"/>
          <w:szCs w:val="24"/>
        </w:rPr>
        <w:t xml:space="preserve"> To the extent that these women might not find their way back into the labour market (also because employers might restructure supply chains by recurring to more automation in order to allow for social distancing), the gender pay gap might even decrease and give the illusion that gender pay discrimination will also decrease.</w:t>
      </w:r>
    </w:p>
    <w:p>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In addition, the share of pay discrimination in the overall gender pay gap may reasonably be expected to increase with the recession. An increase of precarious and atypical jobs</w:t>
      </w:r>
      <w:r>
        <w:rPr>
          <w:rStyle w:val="FootnoteReference"/>
          <w:rFonts w:ascii="Times New Roman" w:hAnsi="Times New Roman" w:cs="Times New Roman"/>
          <w:noProof/>
          <w:sz w:val="24"/>
          <w:szCs w:val="24"/>
        </w:rPr>
        <w:footnoteReference w:id="98"/>
      </w:r>
      <w:r>
        <w:rPr>
          <w:rFonts w:ascii="Times New Roman" w:eastAsia="Calibri" w:hAnsi="Times New Roman" w:cs="Times New Roman"/>
          <w:noProof/>
          <w:sz w:val="24"/>
          <w:szCs w:val="24"/>
        </w:rPr>
        <w:t xml:space="preserve"> (e.g. due to more digitalisation) could reinforce this trend. Precarity risks increasing wage discrimination as it further limits negotiating power on the side of workers, which especially affects women. It may further reinforce the drivers mentioned in section 2.2 (market and regulatory failures). While these larger trends on the labour market are out of the scope of this initiative, their possible impact on the problem addressed in this initiative cannot be denied. </w:t>
      </w:r>
    </w:p>
    <w:p>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Besides transparency on wages and wage structures, there is no indication that the other problem drivers would be addressed. Even if the Court of Justice may shed further light on how to assess work of equal value, such guidance is unlikely to reach individual employers if this concept is not encoded in the legal framework and there are no practical tools to implement it in practice. Furthermore, there are no indications that the procedural obstacles to access to justice are addressed at national level, even though they have been known and acknowledged for many years. </w:t>
      </w:r>
    </w:p>
    <w:p>
      <w:pPr>
        <w:spacing w:after="120"/>
        <w:jc w:val="both"/>
        <w:rPr>
          <w:rFonts w:ascii="Times New Roman" w:eastAsia="Calibri" w:hAnsi="Times New Roman" w:cs="Times New Roman"/>
          <w:noProof/>
          <w:sz w:val="24"/>
          <w:szCs w:val="24"/>
        </w:rPr>
      </w:pPr>
      <w:r>
        <w:rPr>
          <w:rFonts w:ascii="Times New Roman" w:hAnsi="Times New Roman" w:cs="Times New Roman"/>
          <w:noProof/>
          <w:sz w:val="24"/>
          <w:szCs w:val="24"/>
        </w:rPr>
        <w:t>Section 4.3</w:t>
      </w:r>
      <w:r>
        <w:rPr>
          <w:rFonts w:ascii="Times New Roman" w:eastAsia="Calibri" w:hAnsi="Times New Roman" w:cs="Times New Roman"/>
          <w:noProof/>
          <w:sz w:val="24"/>
          <w:szCs w:val="24"/>
        </w:rPr>
        <w:t xml:space="preserve"> on the baseline scenario develops these points further.</w:t>
      </w:r>
    </w:p>
    <w:p>
      <w:pPr>
        <w:pStyle w:val="Heading1"/>
        <w:numPr>
          <w:ilvl w:val="0"/>
          <w:numId w:val="1"/>
        </w:numPr>
        <w:tabs>
          <w:tab w:val="clear" w:pos="2640"/>
          <w:tab w:val="num" w:pos="567"/>
        </w:tabs>
        <w:spacing w:before="120" w:after="120" w:line="276" w:lineRule="auto"/>
        <w:ind w:left="2642" w:hanging="2642"/>
        <w:rPr>
          <w:smallCaps w:val="0"/>
          <w:noProof/>
        </w:rPr>
      </w:pPr>
      <w:bookmarkStart w:id="865" w:name="_Toc47455457"/>
      <w:bookmarkStart w:id="866" w:name="_Toc49527867"/>
      <w:bookmarkStart w:id="867" w:name="_Toc49529988"/>
      <w:bookmarkStart w:id="868" w:name="_Toc49530652"/>
      <w:bookmarkStart w:id="869" w:name="_Toc49532602"/>
      <w:bookmarkStart w:id="870" w:name="_Toc49695768"/>
      <w:bookmarkStart w:id="871" w:name="_Toc49695950"/>
      <w:bookmarkStart w:id="872" w:name="_Toc49805466"/>
      <w:bookmarkStart w:id="873" w:name="_Toc49806178"/>
      <w:bookmarkStart w:id="874" w:name="_Toc49877744"/>
      <w:bookmarkStart w:id="875" w:name="_Toc49881133"/>
      <w:bookmarkStart w:id="876" w:name="_Toc49884194"/>
      <w:bookmarkStart w:id="877" w:name="_Toc49884270"/>
      <w:bookmarkStart w:id="878" w:name="_Toc49893526"/>
      <w:bookmarkStart w:id="879" w:name="_Toc49933913"/>
      <w:bookmarkStart w:id="880" w:name="_Toc49937830"/>
      <w:bookmarkStart w:id="881" w:name="_Toc49939196"/>
      <w:bookmarkStart w:id="882" w:name="_Toc49942046"/>
      <w:bookmarkStart w:id="883" w:name="_Toc49948514"/>
      <w:bookmarkStart w:id="884" w:name="_Toc49954738"/>
      <w:bookmarkStart w:id="885" w:name="_Toc49955755"/>
      <w:bookmarkStart w:id="886" w:name="_Toc49958255"/>
      <w:bookmarkStart w:id="887" w:name="_Toc49958450"/>
      <w:bookmarkStart w:id="888" w:name="_Toc49961973"/>
      <w:bookmarkStart w:id="889" w:name="_Toc49962477"/>
      <w:bookmarkStart w:id="890" w:name="_Toc49962686"/>
      <w:bookmarkStart w:id="891" w:name="_Toc49963160"/>
      <w:bookmarkStart w:id="892" w:name="_Toc53678183"/>
      <w:bookmarkStart w:id="893" w:name="_Toc53678403"/>
      <w:bookmarkStart w:id="894" w:name="_Toc53678723"/>
      <w:bookmarkStart w:id="895" w:name="_Toc53680074"/>
      <w:bookmarkStart w:id="896" w:name="_Toc54289096"/>
      <w:bookmarkStart w:id="897" w:name="_Toc54290567"/>
      <w:bookmarkStart w:id="898" w:name="_Toc54290936"/>
      <w:bookmarkStart w:id="899" w:name="_Toc54292062"/>
      <w:bookmarkStart w:id="900" w:name="_Toc54340620"/>
      <w:bookmarkStart w:id="901" w:name="_Toc54345722"/>
      <w:bookmarkStart w:id="902" w:name="_Toc54348735"/>
      <w:bookmarkStart w:id="903" w:name="_Toc54355065"/>
      <w:bookmarkStart w:id="904" w:name="_Toc54355044"/>
      <w:bookmarkStart w:id="905" w:name="_Toc54355590"/>
      <w:bookmarkStart w:id="906" w:name="_Toc54356106"/>
      <w:bookmarkStart w:id="907" w:name="_Toc54356657"/>
      <w:bookmarkStart w:id="908" w:name="_Toc54357524"/>
      <w:bookmarkStart w:id="909" w:name="_Toc54357621"/>
      <w:bookmarkStart w:id="910" w:name="_Toc54364585"/>
      <w:bookmarkStart w:id="911" w:name="_Toc54371193"/>
      <w:bookmarkStart w:id="912" w:name="_Toc54372030"/>
      <w:bookmarkStart w:id="913" w:name="_Toc54376637"/>
      <w:bookmarkStart w:id="914" w:name="_Toc58767187"/>
      <w:bookmarkStart w:id="915" w:name="_Toc58769494"/>
      <w:bookmarkStart w:id="916" w:name="_Toc58863833"/>
      <w:bookmarkStart w:id="917" w:name="_Toc58868860"/>
      <w:bookmarkStart w:id="918" w:name="_Toc58870691"/>
      <w:bookmarkStart w:id="919" w:name="_Toc58870924"/>
      <w:bookmarkStart w:id="920" w:name="_Toc58871830"/>
      <w:bookmarkStart w:id="921" w:name="_Toc58872045"/>
      <w:bookmarkStart w:id="922" w:name="_Toc58922792"/>
      <w:bookmarkStart w:id="923" w:name="_Toc58925374"/>
      <w:bookmarkStart w:id="924" w:name="_Toc58928876"/>
      <w:bookmarkStart w:id="925" w:name="_Toc58931244"/>
      <w:bookmarkStart w:id="926" w:name="_Toc58931878"/>
      <w:bookmarkStart w:id="927" w:name="_Toc58947403"/>
      <w:bookmarkStart w:id="928" w:name="_Toc58950065"/>
      <w:bookmarkStart w:id="929" w:name="_Toc58950485"/>
      <w:bookmarkStart w:id="930" w:name="_Toc58956777"/>
      <w:bookmarkStart w:id="931" w:name="_Toc58957942"/>
      <w:bookmarkStart w:id="932" w:name="_Toc58962475"/>
      <w:bookmarkStart w:id="933" w:name="_Toc59096504"/>
      <w:bookmarkStart w:id="934" w:name="_Toc59103100"/>
      <w:bookmarkStart w:id="935" w:name="_Toc59104951"/>
      <w:bookmarkStart w:id="936" w:name="_Toc59119911"/>
      <w:bookmarkStart w:id="937" w:name="_Toc59121175"/>
      <w:bookmarkStart w:id="938" w:name="_Toc59121294"/>
      <w:bookmarkStart w:id="939" w:name="_Toc59549347"/>
      <w:bookmarkStart w:id="940" w:name="_Toc59642300"/>
      <w:r>
        <w:rPr>
          <w:smallCaps w:val="0"/>
          <w:noProof/>
        </w:rPr>
        <w:t>Why should the EU act?</w:t>
      </w:r>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r>
        <w:rPr>
          <w:smallCaps w:val="0"/>
          <w:noProof/>
        </w:rPr>
        <w:t xml:space="preserve"> </w:t>
      </w:r>
    </w:p>
    <w:p>
      <w:pPr>
        <w:pStyle w:val="Heading2"/>
        <w:numPr>
          <w:ilvl w:val="1"/>
          <w:numId w:val="1"/>
        </w:numPr>
        <w:spacing w:after="120"/>
        <w:ind w:left="1276" w:hanging="709"/>
        <w:rPr>
          <w:noProof/>
        </w:rPr>
      </w:pPr>
      <w:bookmarkStart w:id="941" w:name="_Toc47455458"/>
      <w:bookmarkStart w:id="942" w:name="_Toc49527868"/>
      <w:bookmarkStart w:id="943" w:name="_Toc49529989"/>
      <w:bookmarkStart w:id="944" w:name="_Toc49530653"/>
      <w:bookmarkStart w:id="945" w:name="_Toc49532603"/>
      <w:bookmarkStart w:id="946" w:name="_Toc49695769"/>
      <w:bookmarkStart w:id="947" w:name="_Toc49695951"/>
      <w:bookmarkStart w:id="948" w:name="_Toc49805467"/>
      <w:bookmarkStart w:id="949" w:name="_Toc49806179"/>
      <w:bookmarkStart w:id="950" w:name="_Toc49877745"/>
      <w:bookmarkStart w:id="951" w:name="_Toc49881134"/>
      <w:bookmarkStart w:id="952" w:name="_Toc49884195"/>
      <w:bookmarkStart w:id="953" w:name="_Toc49884271"/>
      <w:bookmarkStart w:id="954" w:name="_Toc49893527"/>
      <w:bookmarkStart w:id="955" w:name="_Toc49933914"/>
      <w:bookmarkStart w:id="956" w:name="_Toc49937831"/>
      <w:bookmarkStart w:id="957" w:name="_Toc49939197"/>
      <w:bookmarkStart w:id="958" w:name="_Toc49942047"/>
      <w:bookmarkStart w:id="959" w:name="_Toc49948515"/>
      <w:bookmarkStart w:id="960" w:name="_Toc49954739"/>
      <w:bookmarkStart w:id="961" w:name="_Toc49955756"/>
      <w:bookmarkStart w:id="962" w:name="_Toc49958256"/>
      <w:bookmarkStart w:id="963" w:name="_Toc49958451"/>
      <w:bookmarkStart w:id="964" w:name="_Toc49961974"/>
      <w:bookmarkStart w:id="965" w:name="_Toc49962687"/>
      <w:bookmarkStart w:id="966" w:name="_Toc49963161"/>
      <w:bookmarkStart w:id="967" w:name="_Toc53678184"/>
      <w:bookmarkStart w:id="968" w:name="_Toc53678404"/>
      <w:bookmarkStart w:id="969" w:name="_Toc53678724"/>
      <w:bookmarkStart w:id="970" w:name="_Toc53680075"/>
      <w:bookmarkStart w:id="971" w:name="_Toc54289097"/>
      <w:bookmarkStart w:id="972" w:name="_Toc54290568"/>
      <w:bookmarkStart w:id="973" w:name="_Toc54290937"/>
      <w:bookmarkStart w:id="974" w:name="_Toc54292063"/>
      <w:bookmarkStart w:id="975" w:name="_Toc54340621"/>
      <w:bookmarkStart w:id="976" w:name="_Toc54345723"/>
      <w:bookmarkStart w:id="977" w:name="_Toc54348736"/>
      <w:bookmarkStart w:id="978" w:name="_Toc54355066"/>
      <w:bookmarkStart w:id="979" w:name="_Toc54355045"/>
      <w:bookmarkStart w:id="980" w:name="_Toc54355591"/>
      <w:bookmarkStart w:id="981" w:name="_Toc54356107"/>
      <w:bookmarkStart w:id="982" w:name="_Toc54356658"/>
      <w:bookmarkStart w:id="983" w:name="_Toc54357525"/>
      <w:bookmarkStart w:id="984" w:name="_Toc54357622"/>
      <w:bookmarkStart w:id="985" w:name="_Toc54364586"/>
      <w:bookmarkStart w:id="986" w:name="_Toc54371194"/>
      <w:bookmarkStart w:id="987" w:name="_Toc54372031"/>
      <w:bookmarkStart w:id="988" w:name="_Toc54376638"/>
      <w:bookmarkStart w:id="989" w:name="_Toc58767188"/>
      <w:bookmarkStart w:id="990" w:name="_Toc58769495"/>
      <w:bookmarkStart w:id="991" w:name="_Toc58863834"/>
      <w:bookmarkStart w:id="992" w:name="_Toc58868861"/>
      <w:bookmarkStart w:id="993" w:name="_Toc58870692"/>
      <w:bookmarkStart w:id="994" w:name="_Toc58870925"/>
      <w:bookmarkStart w:id="995" w:name="_Toc58871831"/>
      <w:bookmarkStart w:id="996" w:name="_Toc58872046"/>
      <w:bookmarkStart w:id="997" w:name="_Toc58922793"/>
      <w:bookmarkStart w:id="998" w:name="_Toc58925375"/>
      <w:bookmarkStart w:id="999" w:name="_Toc58928877"/>
      <w:bookmarkStart w:id="1000" w:name="_Toc58931245"/>
      <w:bookmarkStart w:id="1001" w:name="_Toc58931879"/>
      <w:bookmarkStart w:id="1002" w:name="_Toc58947404"/>
      <w:bookmarkStart w:id="1003" w:name="_Toc58950486"/>
      <w:bookmarkStart w:id="1004" w:name="_Toc58956778"/>
      <w:bookmarkStart w:id="1005" w:name="_Toc58957943"/>
      <w:bookmarkStart w:id="1006" w:name="_Toc58962476"/>
      <w:bookmarkStart w:id="1007" w:name="_Toc59096505"/>
      <w:bookmarkStart w:id="1008" w:name="_Toc59103101"/>
      <w:bookmarkStart w:id="1009" w:name="_Toc59104952"/>
      <w:bookmarkStart w:id="1010" w:name="_Toc59119912"/>
      <w:bookmarkStart w:id="1011" w:name="_Toc59121176"/>
      <w:bookmarkStart w:id="1012" w:name="_Toc59121295"/>
      <w:bookmarkStart w:id="1013" w:name="_Toc59549348"/>
      <w:bookmarkStart w:id="1014" w:name="_Toc59642301"/>
      <w:r>
        <w:rPr>
          <w:noProof/>
        </w:rPr>
        <w:t>Legal basis</w:t>
      </w:r>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p>
    <w:p>
      <w:pPr>
        <w:spacing w:after="120"/>
        <w:jc w:val="both"/>
        <w:rPr>
          <w:rFonts w:ascii="Times New Roman" w:eastAsia="Times" w:hAnsi="Times New Roman" w:cs="Times New Roman"/>
          <w:noProof/>
          <w:sz w:val="24"/>
          <w:szCs w:val="24"/>
        </w:rPr>
      </w:pPr>
      <w:r>
        <w:rPr>
          <w:rFonts w:ascii="Times New Roman" w:eastAsia="Times" w:hAnsi="Times New Roman" w:cs="Times New Roman"/>
          <w:noProof/>
          <w:sz w:val="24"/>
          <w:szCs w:val="24"/>
        </w:rPr>
        <w:t xml:space="preserve">The Union’s specific right to act in this field is set out in detail in Title X of the TFEU related to social policy. Its right to act on matters of gender equality in employment and occupation follows from Article 157(3) TFEU. The Treaty provides that, although Member States shall ensure the application of the principle of equal pay for male and female workers for equal work or work of equal value (Article 157(1) TFEU), the EU shall adopt measures to ensure the application of the principle of ‘equal opportunities and equal treatment of women and men in matters of employment and occupation, including the principle of equal pay for equal work or work of equal value’ (Article 157(3) </w:t>
      </w:r>
      <w:r>
        <w:rPr>
          <w:rFonts w:ascii="Times New Roman" w:hAnsi="Times New Roman" w:cs="Times New Roman"/>
          <w:noProof/>
          <w:sz w:val="24"/>
          <w:szCs w:val="24"/>
        </w:rPr>
        <w:t>TFEU</w:t>
      </w:r>
      <w:r>
        <w:rPr>
          <w:rFonts w:ascii="Times New Roman" w:eastAsia="Times" w:hAnsi="Times New Roman" w:cs="Times New Roman"/>
          <w:noProof/>
          <w:sz w:val="24"/>
          <w:szCs w:val="24"/>
        </w:rPr>
        <w:t>).</w:t>
      </w:r>
    </w:p>
    <w:p>
      <w:pPr>
        <w:spacing w:after="120"/>
        <w:jc w:val="both"/>
        <w:rPr>
          <w:rFonts w:ascii="Times New Roman" w:eastAsia="Times" w:hAnsi="Times New Roman" w:cs="Times New Roman"/>
          <w:noProof/>
          <w:sz w:val="24"/>
          <w:szCs w:val="24"/>
        </w:rPr>
      </w:pPr>
      <w:r>
        <w:rPr>
          <w:rFonts w:ascii="Times New Roman" w:eastAsia="Times" w:hAnsi="Times New Roman" w:cs="Times New Roman"/>
          <w:noProof/>
          <w:sz w:val="24"/>
          <w:szCs w:val="24"/>
        </w:rPr>
        <w:t xml:space="preserve">Article 157(3) TFEU is the legal basis for the Recast Directive and for the 2014 Commission Recommendation on pay transparency. It should therefore also serve as the legal basis for legally binding pay </w:t>
      </w:r>
      <w:r>
        <w:rPr>
          <w:rFonts w:ascii="Times New Roman" w:hAnsi="Times New Roman" w:cs="Times New Roman"/>
          <w:noProof/>
          <w:sz w:val="24"/>
          <w:szCs w:val="24"/>
        </w:rPr>
        <w:t>transparency</w:t>
      </w:r>
      <w:r>
        <w:rPr>
          <w:rFonts w:ascii="Times New Roman" w:eastAsia="Times" w:hAnsi="Times New Roman" w:cs="Times New Roman"/>
          <w:noProof/>
          <w:sz w:val="24"/>
          <w:szCs w:val="24"/>
        </w:rPr>
        <w:t xml:space="preserve"> measures, which support the implementation and better enforcement of the principle of equal pay under Article 157 TFEU and the Recast </w:t>
      </w:r>
      <w:r>
        <w:rPr>
          <w:rFonts w:ascii="Times New Roman" w:hAnsi="Times New Roman" w:cs="Times New Roman"/>
          <w:noProof/>
          <w:sz w:val="24"/>
          <w:szCs w:val="24"/>
        </w:rPr>
        <w:t>Directive</w:t>
      </w:r>
      <w:r>
        <w:rPr>
          <w:rFonts w:ascii="Times New Roman" w:eastAsia="Times" w:hAnsi="Times New Roman" w:cs="Times New Roman"/>
          <w:noProof/>
          <w:sz w:val="24"/>
          <w:szCs w:val="24"/>
        </w:rPr>
        <w:t xml:space="preserve">. Unlike for an ‘internal market’ legal basis, the existence of an internal market problem is not a prerequisite to the availability of Article 157(3) as a legal basis: the pursuit of </w:t>
      </w:r>
      <w:r>
        <w:rPr>
          <w:rFonts w:ascii="Times New Roman" w:hAnsi="Times New Roman" w:cs="Times New Roman"/>
          <w:noProof/>
          <w:sz w:val="24"/>
          <w:szCs w:val="24"/>
        </w:rPr>
        <w:t>equal</w:t>
      </w:r>
      <w:r>
        <w:rPr>
          <w:rFonts w:ascii="Times New Roman" w:eastAsia="Times" w:hAnsi="Times New Roman" w:cs="Times New Roman"/>
          <w:noProof/>
          <w:sz w:val="24"/>
          <w:szCs w:val="24"/>
        </w:rPr>
        <w:t xml:space="preserve"> treatment is sufficient in that respect.</w:t>
      </w:r>
    </w:p>
    <w:p>
      <w:pPr>
        <w:spacing w:after="120"/>
        <w:jc w:val="both"/>
        <w:rPr>
          <w:rFonts w:ascii="Times New Roman" w:eastAsia="Times New Roman" w:hAnsi="Times New Roman" w:cs="Times New Roman"/>
          <w:noProof/>
          <w:sz w:val="24"/>
          <w:szCs w:val="24"/>
        </w:rPr>
      </w:pPr>
      <w:r>
        <w:rPr>
          <w:rFonts w:ascii="Times New Roman" w:eastAsia="Times" w:hAnsi="Times New Roman" w:cs="Times New Roman"/>
          <w:noProof/>
          <w:sz w:val="24"/>
          <w:szCs w:val="24"/>
        </w:rPr>
        <w:t>Article 157 TFEU governs a specific subject matter (</w:t>
      </w:r>
      <w:r>
        <w:rPr>
          <w:rFonts w:ascii="Times New Roman" w:eastAsia="Times" w:hAnsi="Times New Roman" w:cs="Times New Roman"/>
          <w:i/>
          <w:iCs/>
          <w:noProof/>
          <w:sz w:val="24"/>
          <w:szCs w:val="24"/>
        </w:rPr>
        <w:t xml:space="preserve">lex specialis) </w:t>
      </w:r>
      <w:r>
        <w:rPr>
          <w:rFonts w:ascii="Times New Roman" w:eastAsia="Times" w:hAnsi="Times New Roman" w:cs="Times New Roman"/>
          <w:noProof/>
          <w:sz w:val="24"/>
          <w:szCs w:val="24"/>
        </w:rPr>
        <w:t>compared</w:t>
      </w:r>
      <w:r>
        <w:rPr>
          <w:rFonts w:ascii="Times New Roman" w:eastAsia="Times" w:hAnsi="Times New Roman" w:cs="Times New Roman"/>
          <w:i/>
          <w:iCs/>
          <w:noProof/>
          <w:sz w:val="24"/>
          <w:szCs w:val="24"/>
        </w:rPr>
        <w:t xml:space="preserve"> </w:t>
      </w:r>
      <w:r>
        <w:rPr>
          <w:rFonts w:ascii="Times New Roman" w:eastAsia="Times" w:hAnsi="Times New Roman" w:cs="Times New Roman"/>
          <w:noProof/>
          <w:sz w:val="24"/>
          <w:szCs w:val="24"/>
        </w:rPr>
        <w:t xml:space="preserve">to Article 153 TFEU, which provides a legal basis for all measures implementing the principle of non-discrimination on grounds of sex in the field of ‘equal opportunities’ and in ‘matters of employment and occupation’. The </w:t>
      </w:r>
      <w:r>
        <w:rPr>
          <w:rFonts w:ascii="Times New Roman" w:eastAsia="Times" w:hAnsi="Times New Roman" w:cs="Times New Roman"/>
          <w:i/>
          <w:iCs/>
          <w:noProof/>
          <w:sz w:val="24"/>
          <w:szCs w:val="24"/>
        </w:rPr>
        <w:t>lex specialis</w:t>
      </w:r>
      <w:r>
        <w:rPr>
          <w:rFonts w:ascii="Times New Roman" w:eastAsia="Times" w:hAnsi="Times New Roman" w:cs="Times New Roman"/>
          <w:noProof/>
          <w:sz w:val="24"/>
          <w:szCs w:val="24"/>
        </w:rPr>
        <w:t xml:space="preserve"> prevails over the </w:t>
      </w:r>
      <w:r>
        <w:rPr>
          <w:rFonts w:ascii="Times New Roman" w:hAnsi="Times New Roman" w:cs="Times New Roman"/>
          <w:noProof/>
          <w:sz w:val="24"/>
          <w:szCs w:val="24"/>
        </w:rPr>
        <w:t>general</w:t>
      </w:r>
      <w:r>
        <w:rPr>
          <w:rFonts w:ascii="Times New Roman" w:eastAsia="Times" w:hAnsi="Times New Roman" w:cs="Times New Roman"/>
          <w:noProof/>
          <w:sz w:val="24"/>
          <w:szCs w:val="24"/>
        </w:rPr>
        <w:t xml:space="preserve"> norm.</w:t>
      </w:r>
      <w:r>
        <w:rPr>
          <w:rFonts w:ascii="Times New Roman" w:eastAsia="Times New Roman" w:hAnsi="Times New Roman" w:cs="Times New Roman"/>
          <w:noProof/>
          <w:sz w:val="24"/>
          <w:szCs w:val="24"/>
        </w:rPr>
        <w:t xml:space="preserve"> Article 157(3) TFEU therefore constitutes the proper legal basis for this initiative.</w:t>
      </w:r>
    </w:p>
    <w:p>
      <w:pPr>
        <w:pStyle w:val="Heading2"/>
        <w:numPr>
          <w:ilvl w:val="1"/>
          <w:numId w:val="1"/>
        </w:numPr>
        <w:spacing w:after="120"/>
        <w:ind w:left="1276" w:hanging="709"/>
        <w:rPr>
          <w:noProof/>
        </w:rPr>
      </w:pPr>
      <w:bookmarkStart w:id="1015" w:name="_Toc49896891"/>
      <w:bookmarkStart w:id="1016" w:name="_Toc49926255"/>
      <w:bookmarkStart w:id="1017" w:name="_Toc49928809"/>
      <w:bookmarkStart w:id="1018" w:name="_Toc49928879"/>
      <w:bookmarkStart w:id="1019" w:name="_Toc49928959"/>
      <w:bookmarkStart w:id="1020" w:name="_Toc49930168"/>
      <w:bookmarkStart w:id="1021" w:name="_Toc49930390"/>
      <w:bookmarkStart w:id="1022" w:name="_Toc49930460"/>
      <w:bookmarkStart w:id="1023" w:name="_Toc49930530"/>
      <w:bookmarkStart w:id="1024" w:name="_Toc49930600"/>
      <w:bookmarkStart w:id="1025" w:name="_Toc49930670"/>
      <w:bookmarkStart w:id="1026" w:name="_Toc49930811"/>
      <w:bookmarkStart w:id="1027" w:name="_Toc49930954"/>
      <w:bookmarkStart w:id="1028" w:name="_Toc49931208"/>
      <w:bookmarkStart w:id="1029" w:name="_Toc49931414"/>
      <w:bookmarkStart w:id="1030" w:name="_Toc49931715"/>
      <w:bookmarkStart w:id="1031" w:name="_Toc49931848"/>
      <w:bookmarkStart w:id="1032" w:name="_Toc49932153"/>
      <w:bookmarkStart w:id="1033" w:name="_Toc49932284"/>
      <w:bookmarkStart w:id="1034" w:name="_Toc49932842"/>
      <w:bookmarkStart w:id="1035" w:name="_Toc49933176"/>
      <w:bookmarkStart w:id="1036" w:name="_Toc49933246"/>
      <w:bookmarkStart w:id="1037" w:name="_Toc49933772"/>
      <w:bookmarkStart w:id="1038" w:name="_Toc49933915"/>
      <w:bookmarkStart w:id="1039" w:name="_Toc49934041"/>
      <w:bookmarkStart w:id="1040" w:name="_Toc49934156"/>
      <w:bookmarkStart w:id="1041" w:name="_Toc49934837"/>
      <w:bookmarkStart w:id="1042" w:name="_Toc49935102"/>
      <w:bookmarkStart w:id="1043" w:name="_Toc49935172"/>
      <w:bookmarkStart w:id="1044" w:name="_Toc49935392"/>
      <w:bookmarkStart w:id="1045" w:name="_Toc49935462"/>
      <w:bookmarkStart w:id="1046" w:name="_Toc49935639"/>
      <w:bookmarkStart w:id="1047" w:name="_Toc49936050"/>
      <w:bookmarkStart w:id="1048" w:name="_Toc49936120"/>
      <w:bookmarkStart w:id="1049" w:name="_Toc49936190"/>
      <w:bookmarkStart w:id="1050" w:name="_Toc49937011"/>
      <w:bookmarkStart w:id="1051" w:name="_Toc49937129"/>
      <w:bookmarkStart w:id="1052" w:name="_Toc49937638"/>
      <w:bookmarkStart w:id="1053" w:name="_Toc49938018"/>
      <w:bookmarkStart w:id="1054" w:name="_Toc49938823"/>
      <w:bookmarkStart w:id="1055" w:name="_Toc49938956"/>
      <w:bookmarkStart w:id="1056" w:name="_Toc49939065"/>
      <w:bookmarkStart w:id="1057" w:name="_Toc49939135"/>
      <w:bookmarkStart w:id="1058" w:name="_Toc49939198"/>
      <w:bookmarkStart w:id="1059" w:name="_Toc49939268"/>
      <w:bookmarkStart w:id="1060" w:name="_Toc49939570"/>
      <w:bookmarkStart w:id="1061" w:name="_Toc49939916"/>
      <w:bookmarkStart w:id="1062" w:name="_Toc49940451"/>
      <w:bookmarkStart w:id="1063" w:name="_Toc49941602"/>
      <w:bookmarkStart w:id="1064" w:name="_Toc49941672"/>
      <w:bookmarkStart w:id="1065" w:name="_Toc49942048"/>
      <w:bookmarkStart w:id="1066" w:name="_Toc49942232"/>
      <w:bookmarkStart w:id="1067" w:name="_Toc49942440"/>
      <w:bookmarkStart w:id="1068" w:name="_Toc49942674"/>
      <w:bookmarkStart w:id="1069" w:name="_Toc49942789"/>
      <w:bookmarkStart w:id="1070" w:name="_Toc49944326"/>
      <w:bookmarkStart w:id="1071" w:name="_Toc49945103"/>
      <w:bookmarkStart w:id="1072" w:name="_Toc49945897"/>
      <w:bookmarkStart w:id="1073" w:name="_Toc49946255"/>
      <w:bookmarkStart w:id="1074" w:name="_Toc49946542"/>
      <w:bookmarkStart w:id="1075" w:name="_Toc49946651"/>
      <w:bookmarkStart w:id="1076" w:name="_Toc49947251"/>
      <w:bookmarkStart w:id="1077" w:name="_Toc49946354"/>
      <w:bookmarkStart w:id="1078" w:name="_Toc49947133"/>
      <w:bookmarkStart w:id="1079" w:name="_Toc49947387"/>
      <w:bookmarkStart w:id="1080" w:name="_Toc49947765"/>
      <w:bookmarkStart w:id="1081" w:name="_Toc49947860"/>
      <w:bookmarkStart w:id="1082" w:name="_Toc49947930"/>
      <w:bookmarkStart w:id="1083" w:name="_Toc49948025"/>
      <w:bookmarkStart w:id="1084" w:name="_Toc49948095"/>
      <w:bookmarkStart w:id="1085" w:name="_Toc49948306"/>
      <w:bookmarkStart w:id="1086" w:name="_Toc49948376"/>
      <w:bookmarkStart w:id="1087" w:name="_Toc49948446"/>
      <w:bookmarkStart w:id="1088" w:name="_Toc49948516"/>
      <w:bookmarkStart w:id="1089" w:name="_Toc49948635"/>
      <w:bookmarkStart w:id="1090" w:name="_Toc49943485"/>
      <w:bookmarkStart w:id="1091" w:name="_Toc49948729"/>
      <w:bookmarkStart w:id="1092" w:name="_Toc49949522"/>
      <w:bookmarkStart w:id="1093" w:name="_Toc49949592"/>
      <w:bookmarkStart w:id="1094" w:name="_Toc49950628"/>
      <w:bookmarkStart w:id="1095" w:name="_Toc49948705"/>
      <w:bookmarkStart w:id="1096" w:name="_Toc49950795"/>
      <w:bookmarkStart w:id="1097" w:name="_Toc49951146"/>
      <w:bookmarkStart w:id="1098" w:name="_Toc49951397"/>
      <w:bookmarkStart w:id="1099" w:name="_Toc49951457"/>
      <w:bookmarkStart w:id="1100" w:name="_Toc49951564"/>
      <w:bookmarkStart w:id="1101" w:name="_Toc49951651"/>
      <w:bookmarkStart w:id="1102" w:name="_Toc49951721"/>
      <w:bookmarkStart w:id="1103" w:name="_Toc49951960"/>
      <w:bookmarkStart w:id="1104" w:name="_Toc49952059"/>
      <w:bookmarkStart w:id="1105" w:name="_Toc49952235"/>
      <w:bookmarkStart w:id="1106" w:name="_Toc49953081"/>
      <w:bookmarkStart w:id="1107" w:name="_Toc49953151"/>
      <w:bookmarkStart w:id="1108" w:name="_Toc49952935"/>
      <w:bookmarkStart w:id="1109" w:name="_Toc49953781"/>
      <w:bookmarkStart w:id="1110" w:name="_Toc49953866"/>
      <w:bookmarkStart w:id="1111" w:name="_Toc49953936"/>
      <w:bookmarkStart w:id="1112" w:name="_Toc49954019"/>
      <w:bookmarkStart w:id="1113" w:name="_Toc49954089"/>
      <w:bookmarkStart w:id="1114" w:name="_Toc49949650"/>
      <w:bookmarkStart w:id="1115" w:name="_Toc49953650"/>
      <w:bookmarkStart w:id="1116" w:name="_Toc49954155"/>
      <w:bookmarkStart w:id="1117" w:name="_Toc49954262"/>
      <w:bookmarkStart w:id="1118" w:name="_Toc49954365"/>
      <w:bookmarkStart w:id="1119" w:name="_Toc49954252"/>
      <w:bookmarkStart w:id="1120" w:name="_Toc49954496"/>
      <w:bookmarkStart w:id="1121" w:name="_Toc49954566"/>
      <w:bookmarkStart w:id="1122" w:name="_Toc49954636"/>
      <w:bookmarkStart w:id="1123" w:name="_Toc49954504"/>
      <w:bookmarkStart w:id="1124" w:name="_Toc49954740"/>
      <w:bookmarkStart w:id="1125" w:name="_Toc49954865"/>
      <w:bookmarkStart w:id="1126" w:name="_Toc49954644"/>
      <w:bookmarkStart w:id="1127" w:name="_Toc49954959"/>
      <w:bookmarkStart w:id="1128" w:name="_Toc49955029"/>
      <w:bookmarkStart w:id="1129" w:name="_Toc49955099"/>
      <w:bookmarkStart w:id="1130" w:name="_Toc49955037"/>
      <w:bookmarkStart w:id="1131" w:name="_Toc49955239"/>
      <w:bookmarkStart w:id="1132" w:name="_Toc49955309"/>
      <w:bookmarkStart w:id="1133" w:name="_Toc49955379"/>
      <w:bookmarkStart w:id="1134" w:name="_Toc49955687"/>
      <w:bookmarkStart w:id="1135" w:name="_Toc49955757"/>
      <w:bookmarkStart w:id="1136" w:name="_Toc49956112"/>
      <w:bookmarkStart w:id="1137" w:name="_Toc49958257"/>
      <w:bookmarkStart w:id="1138" w:name="_Toc49958382"/>
      <w:bookmarkStart w:id="1139" w:name="_Toc49958452"/>
      <w:bookmarkStart w:id="1140" w:name="_Toc49958522"/>
      <w:bookmarkStart w:id="1141" w:name="_Toc47455459"/>
      <w:bookmarkStart w:id="1142" w:name="_Toc49527869"/>
      <w:bookmarkStart w:id="1143" w:name="_Toc49529990"/>
      <w:bookmarkStart w:id="1144" w:name="_Toc49530654"/>
      <w:bookmarkStart w:id="1145" w:name="_Toc49532604"/>
      <w:bookmarkStart w:id="1146" w:name="_Toc49695770"/>
      <w:bookmarkStart w:id="1147" w:name="_Toc49695952"/>
      <w:bookmarkStart w:id="1148" w:name="_Toc49805468"/>
      <w:bookmarkStart w:id="1149" w:name="_Toc49806180"/>
      <w:bookmarkStart w:id="1150" w:name="_Toc49877746"/>
      <w:bookmarkStart w:id="1151" w:name="_Toc49881135"/>
      <w:bookmarkStart w:id="1152" w:name="_Toc49884196"/>
      <w:bookmarkStart w:id="1153" w:name="_Toc49884272"/>
      <w:bookmarkStart w:id="1154" w:name="_Toc49893528"/>
      <w:bookmarkStart w:id="1155" w:name="_Toc49933916"/>
      <w:bookmarkStart w:id="1156" w:name="_Toc49937832"/>
      <w:bookmarkStart w:id="1157" w:name="_Toc49939199"/>
      <w:bookmarkStart w:id="1158" w:name="_Toc49942049"/>
      <w:bookmarkStart w:id="1159" w:name="_Toc49948517"/>
      <w:bookmarkStart w:id="1160" w:name="_Toc49954741"/>
      <w:bookmarkStart w:id="1161" w:name="_Toc49955758"/>
      <w:bookmarkStart w:id="1162" w:name="_Toc49958258"/>
      <w:bookmarkStart w:id="1163" w:name="_Toc49958453"/>
      <w:bookmarkStart w:id="1164" w:name="_Toc49961975"/>
      <w:bookmarkStart w:id="1165" w:name="_Toc49963162"/>
      <w:bookmarkStart w:id="1166" w:name="_Toc53678185"/>
      <w:bookmarkStart w:id="1167" w:name="_Toc53678405"/>
      <w:bookmarkStart w:id="1168" w:name="_Toc53678725"/>
      <w:bookmarkStart w:id="1169" w:name="_Toc53680076"/>
      <w:bookmarkStart w:id="1170" w:name="_Toc54289098"/>
      <w:bookmarkStart w:id="1171" w:name="_Toc54290569"/>
      <w:bookmarkStart w:id="1172" w:name="_Toc54290938"/>
      <w:bookmarkStart w:id="1173" w:name="_Toc54292064"/>
      <w:bookmarkStart w:id="1174" w:name="_Toc54340622"/>
      <w:bookmarkStart w:id="1175" w:name="_Toc54345724"/>
      <w:bookmarkStart w:id="1176" w:name="_Toc54348737"/>
      <w:bookmarkStart w:id="1177" w:name="_Toc54355067"/>
      <w:bookmarkStart w:id="1178" w:name="_Toc54355046"/>
      <w:bookmarkStart w:id="1179" w:name="_Toc54355592"/>
      <w:bookmarkStart w:id="1180" w:name="_Toc54356108"/>
      <w:bookmarkStart w:id="1181" w:name="_Toc54356659"/>
      <w:bookmarkStart w:id="1182" w:name="_Toc54357526"/>
      <w:bookmarkStart w:id="1183" w:name="_Toc54357623"/>
      <w:bookmarkStart w:id="1184" w:name="_Toc54364587"/>
      <w:bookmarkStart w:id="1185" w:name="_Toc54371195"/>
      <w:bookmarkStart w:id="1186" w:name="_Toc54372032"/>
      <w:bookmarkStart w:id="1187" w:name="_Toc54376639"/>
      <w:bookmarkStart w:id="1188" w:name="_Toc58767189"/>
      <w:bookmarkStart w:id="1189" w:name="_Toc58769496"/>
      <w:bookmarkStart w:id="1190" w:name="_Toc58863835"/>
      <w:bookmarkStart w:id="1191" w:name="_Toc58868862"/>
      <w:bookmarkStart w:id="1192" w:name="_Toc58870693"/>
      <w:bookmarkStart w:id="1193" w:name="_Toc58870926"/>
      <w:bookmarkStart w:id="1194" w:name="_Toc58871832"/>
      <w:bookmarkStart w:id="1195" w:name="_Toc58872047"/>
      <w:bookmarkStart w:id="1196" w:name="_Toc58922794"/>
      <w:bookmarkStart w:id="1197" w:name="_Toc58925376"/>
      <w:bookmarkStart w:id="1198" w:name="_Toc58928878"/>
      <w:bookmarkStart w:id="1199" w:name="_Toc58931246"/>
      <w:bookmarkStart w:id="1200" w:name="_Toc58931880"/>
      <w:bookmarkStart w:id="1201" w:name="_Toc58947405"/>
      <w:bookmarkStart w:id="1202" w:name="_Toc58950487"/>
      <w:bookmarkStart w:id="1203" w:name="_Toc58956779"/>
      <w:bookmarkStart w:id="1204" w:name="_Toc58957944"/>
      <w:bookmarkStart w:id="1205" w:name="_Toc58962477"/>
      <w:bookmarkStart w:id="1206" w:name="_Toc59096506"/>
      <w:bookmarkStart w:id="1207" w:name="_Toc59103102"/>
      <w:bookmarkStart w:id="1208" w:name="_Toc59104953"/>
      <w:bookmarkStart w:id="1209" w:name="_Toc59119913"/>
      <w:bookmarkStart w:id="1210" w:name="_Toc59121177"/>
      <w:bookmarkStart w:id="1211" w:name="_Toc59121296"/>
      <w:bookmarkStart w:id="1212" w:name="_Toc59549349"/>
      <w:bookmarkStart w:id="1213" w:name="_Toc59642302"/>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r>
        <w:rPr>
          <w:noProof/>
        </w:rPr>
        <w:t>Subsidiarity: Necessity of EU action</w:t>
      </w:r>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p>
    <w:p>
      <w:pPr>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principle of subsidiarity (Article 5(3) TEU) requires that the Union shall act only and insofar as the objectives of the proposed actions cannot be sufficiently achieved by the Member States, either at central level or at regional and local level, but can rather, by reasons of the scale or effects of the proposed action, be </w:t>
      </w:r>
      <w:r>
        <w:rPr>
          <w:rFonts w:ascii="Times New Roman" w:hAnsi="Times New Roman" w:cs="Times New Roman"/>
          <w:noProof/>
          <w:sz w:val="24"/>
          <w:szCs w:val="24"/>
        </w:rPr>
        <w:t>better</w:t>
      </w:r>
      <w:r>
        <w:rPr>
          <w:rFonts w:ascii="Times New Roman" w:eastAsia="Times New Roman" w:hAnsi="Times New Roman" w:cs="Times New Roman"/>
          <w:noProof/>
          <w:sz w:val="24"/>
          <w:szCs w:val="24"/>
        </w:rPr>
        <w:t xml:space="preserve"> achieved at Union level.</w:t>
      </w:r>
    </w:p>
    <w:p>
      <w:pPr>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EU principle of equal pay was established by the founding Treaties as a fundamental </w:t>
      </w:r>
      <w:r>
        <w:rPr>
          <w:rFonts w:ascii="Times New Roman" w:eastAsia="Times New Roman" w:hAnsi="Times New Roman" w:cs="Times New Roman"/>
          <w:b/>
          <w:bCs/>
          <w:noProof/>
          <w:sz w:val="24"/>
          <w:szCs w:val="24"/>
        </w:rPr>
        <w:t>support for the functioning of the internal market</w:t>
      </w:r>
      <w:r>
        <w:rPr>
          <w:rFonts w:ascii="Times New Roman" w:eastAsia="Times New Roman" w:hAnsi="Times New Roman" w:cs="Times New Roman"/>
          <w:noProof/>
          <w:sz w:val="24"/>
          <w:szCs w:val="24"/>
        </w:rPr>
        <w:t>. Equal pay between women and men for the same work or work of equal value ensures fair competition for companies which have to comply with a similar fundamental social requirement, thus creating a level playing field for companies operating in the internal market. In the words of the Court of Justice (1976):</w:t>
      </w:r>
    </w:p>
    <w:p>
      <w:pPr>
        <w:spacing w:after="120"/>
        <w:ind w:left="720"/>
        <w:jc w:val="both"/>
        <w:rPr>
          <w:rFonts w:ascii="Times New Roman" w:eastAsia="Times New Roman" w:hAnsi="Times New Roman" w:cs="Times New Roman"/>
          <w:noProof/>
          <w:sz w:val="24"/>
          <w:szCs w:val="24"/>
        </w:rPr>
      </w:pPr>
      <w:r>
        <w:rPr>
          <w:rFonts w:ascii="Times New Roman" w:hAnsi="Times New Roman" w:cs="Times New Roman"/>
          <w:i/>
          <w:iCs/>
          <w:noProof/>
          <w:color w:val="333333"/>
          <w:sz w:val="24"/>
          <w:szCs w:val="24"/>
          <w:shd w:val="clear" w:color="auto" w:fill="FFFFFF"/>
        </w:rPr>
        <w:t xml:space="preserve">The aim of article 119 </w:t>
      </w:r>
      <w:r>
        <w:rPr>
          <w:rFonts w:ascii="Times New Roman" w:hAnsi="Times New Roman" w:cs="Times New Roman"/>
          <w:noProof/>
          <w:color w:val="333333"/>
          <w:sz w:val="24"/>
          <w:szCs w:val="24"/>
          <w:shd w:val="clear" w:color="auto" w:fill="FFFFFF"/>
        </w:rPr>
        <w:t xml:space="preserve">[now 157 TFEU] </w:t>
      </w:r>
      <w:r>
        <w:rPr>
          <w:rFonts w:ascii="Times New Roman" w:hAnsi="Times New Roman" w:cs="Times New Roman"/>
          <w:i/>
          <w:iCs/>
          <w:noProof/>
          <w:color w:val="333333"/>
          <w:sz w:val="24"/>
          <w:szCs w:val="24"/>
          <w:shd w:val="clear" w:color="auto" w:fill="FFFFFF"/>
        </w:rPr>
        <w:t>is to avoid a situation in which undertakings established in states which have actually implemented the principle of equal pay suffer a competitive disadvantage in intra-community competition as compared with undertakings established in states which have not yet eliminated discrimination against women workers as regards pay</w:t>
      </w:r>
      <w:r>
        <w:rPr>
          <w:rFonts w:ascii="Times New Roman" w:hAnsi="Times New Roman" w:cs="Times New Roman"/>
          <w:noProof/>
          <w:color w:val="333333"/>
          <w:sz w:val="24"/>
          <w:szCs w:val="24"/>
          <w:shd w:val="clear" w:color="auto" w:fill="FFFFFF"/>
        </w:rPr>
        <w:t>.</w:t>
      </w:r>
      <w:r>
        <w:rPr>
          <w:rStyle w:val="FootnoteReference"/>
          <w:rFonts w:ascii="Times New Roman" w:hAnsi="Times New Roman" w:cs="Times New Roman"/>
          <w:noProof/>
          <w:color w:val="333333"/>
          <w:sz w:val="24"/>
          <w:szCs w:val="24"/>
          <w:shd w:val="clear" w:color="auto" w:fill="FFFFFF"/>
        </w:rPr>
        <w:footnoteReference w:id="99"/>
      </w:r>
    </w:p>
    <w:p>
      <w:pPr>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Treaty itself thus confirms that harmonised requirements facilitate cross-border operations and create equal conditions for investment in Member States. This objective cannot be achieved by individual Member States as national measures would inevitably distort competition and create market barriers and could not achieve the envisaged level playing </w:t>
      </w:r>
      <w:r>
        <w:rPr>
          <w:rFonts w:ascii="Times New Roman" w:hAnsi="Times New Roman" w:cs="Times New Roman"/>
          <w:noProof/>
          <w:sz w:val="24"/>
          <w:szCs w:val="24"/>
        </w:rPr>
        <w:t>field</w:t>
      </w:r>
      <w:r>
        <w:rPr>
          <w:rFonts w:ascii="Times New Roman" w:eastAsia="Times New Roman" w:hAnsi="Times New Roman" w:cs="Times New Roman"/>
          <w:noProof/>
          <w:sz w:val="24"/>
          <w:szCs w:val="24"/>
        </w:rPr>
        <w:t>.</w:t>
      </w:r>
    </w:p>
    <w:p>
      <w:pPr>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While the principle of equal pay initially had primarily an economic function aiming at avoiding distortions to competition, in 1976 the Court of Justice recognised, in addition to its economic goal, the </w:t>
      </w:r>
      <w:r>
        <w:rPr>
          <w:rFonts w:ascii="Times New Roman" w:eastAsia="Times New Roman" w:hAnsi="Times New Roman" w:cs="Times New Roman"/>
          <w:b/>
          <w:bCs/>
          <w:noProof/>
          <w:sz w:val="24"/>
          <w:szCs w:val="24"/>
        </w:rPr>
        <w:t>social objective</w:t>
      </w:r>
      <w:r>
        <w:rPr>
          <w:rFonts w:ascii="Times New Roman" w:eastAsia="Times New Roman" w:hAnsi="Times New Roman" w:cs="Times New Roman"/>
          <w:noProof/>
          <w:sz w:val="24"/>
          <w:szCs w:val="24"/>
        </w:rPr>
        <w:t xml:space="preserve"> of Article 119 EEC and its horizontal direct effect</w:t>
      </w:r>
      <w:r>
        <w:rPr>
          <w:rStyle w:val="FootnoteReference"/>
          <w:rFonts w:ascii="Times New Roman" w:eastAsia="Times New Roman" w:hAnsi="Times New Roman" w:cs="Times New Roman"/>
          <w:noProof/>
          <w:sz w:val="24"/>
          <w:szCs w:val="24"/>
        </w:rPr>
        <w:footnoteReference w:id="100"/>
      </w:r>
      <w:r>
        <w:rPr>
          <w:rFonts w:ascii="Times New Roman" w:eastAsia="Times New Roman" w:hAnsi="Times New Roman" w:cs="Times New Roman"/>
          <w:noProof/>
          <w:sz w:val="24"/>
          <w:szCs w:val="24"/>
        </w:rPr>
        <w:t xml:space="preserve">. The latter effect means that </w:t>
      </w:r>
      <w:r>
        <w:rPr>
          <w:rFonts w:ascii="Times New Roman" w:eastAsia="Times New Roman" w:hAnsi="Times New Roman" w:cs="Times New Roman"/>
          <w:noProof/>
          <w:sz w:val="24"/>
          <w:szCs w:val="24"/>
          <w:lang w:eastAsia="en-GB"/>
        </w:rPr>
        <w:t>the principle of equal pay may be relied upon before the national courts and that these courts have a duty to ensure the protection of the rights which this provision vests in individuals, even if there are no implementing provisions at EU or national level.</w:t>
      </w:r>
      <w:r>
        <w:rPr>
          <w:rStyle w:val="FootnoteReference"/>
          <w:rFonts w:ascii="Times New Roman" w:eastAsia="Times New Roman" w:hAnsi="Times New Roman" w:cs="Times New Roman"/>
          <w:noProof/>
          <w:sz w:val="24"/>
          <w:szCs w:val="24"/>
          <w:lang w:eastAsia="en-GB"/>
        </w:rPr>
        <w:footnoteReference w:id="101"/>
      </w:r>
    </w:p>
    <w:p>
      <w:pPr>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Later on, the Court added that the social goal prevails over its economic function and that equal pay is a </w:t>
      </w:r>
      <w:r>
        <w:rPr>
          <w:rFonts w:ascii="Times New Roman" w:eastAsia="Times New Roman" w:hAnsi="Times New Roman" w:cs="Times New Roman"/>
          <w:b/>
          <w:bCs/>
          <w:noProof/>
          <w:sz w:val="24"/>
          <w:szCs w:val="24"/>
        </w:rPr>
        <w:t>fundamental right</w:t>
      </w:r>
      <w:r>
        <w:rPr>
          <w:rFonts w:ascii="Times New Roman" w:eastAsia="Times New Roman" w:hAnsi="Times New Roman" w:cs="Times New Roman"/>
          <w:noProof/>
          <w:sz w:val="24"/>
          <w:szCs w:val="24"/>
        </w:rPr>
        <w:t>.</w:t>
      </w:r>
      <w:r>
        <w:rPr>
          <w:rStyle w:val="FootnoteReference"/>
          <w:rFonts w:ascii="Times New Roman" w:eastAsia="Times New Roman" w:hAnsi="Times New Roman" w:cs="Times New Roman"/>
          <w:noProof/>
          <w:sz w:val="24"/>
          <w:szCs w:val="24"/>
        </w:rPr>
        <w:footnoteReference w:id="102"/>
      </w:r>
      <w:r>
        <w:rPr>
          <w:rFonts w:ascii="Times New Roman" w:eastAsia="Times New Roman" w:hAnsi="Times New Roman" w:cs="Times New Roman"/>
          <w:noProof/>
          <w:sz w:val="24"/>
          <w:szCs w:val="24"/>
        </w:rPr>
        <w:t xml:space="preserve"> Articles 2 and 3(3) TEU include the right to equality between women and men as one of the essential values and objectives of the EU.</w:t>
      </w:r>
    </w:p>
    <w:p>
      <w:pPr>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Article 23 of the Charter of Fundamental Rights of the EU confirms that equality between women and men must be ensured in all areas, including employment, work and pay. Articles 8 and 10 TFEU add that the EU shall aim to eliminate inequalities, to promote equality between women and men and to combat discrimination based on sex in all its policies and activities. The TFEU also provides that, although Member States shall ensure application of the principle of equal pay for male and female workers for equal work or work of equal value (Article 157(1) TFEU), the EU </w:t>
      </w:r>
      <w:r>
        <w:rPr>
          <w:rFonts w:ascii="Times New Roman" w:eastAsia="Times New Roman" w:hAnsi="Times New Roman" w:cs="Times New Roman"/>
          <w:i/>
          <w:iCs/>
          <w:noProof/>
          <w:sz w:val="24"/>
          <w:szCs w:val="24"/>
        </w:rPr>
        <w:t xml:space="preserve">shall </w:t>
      </w:r>
      <w:r>
        <w:rPr>
          <w:rFonts w:ascii="Times New Roman" w:eastAsia="Times New Roman" w:hAnsi="Times New Roman" w:cs="Times New Roman"/>
          <w:noProof/>
          <w:sz w:val="24"/>
          <w:szCs w:val="24"/>
        </w:rPr>
        <w:t>adopt measures to achieve that aim (Article 157(3) TFEU).</w:t>
      </w:r>
    </w:p>
    <w:p>
      <w:pPr>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It is important to note that Article 157 is mandatory in nature and that the prohibition of discrimination, as confirmed by the Court of Justice,</w:t>
      </w:r>
      <w:r>
        <w:rPr>
          <w:rFonts w:ascii="Times New Roman" w:eastAsia="Times New Roman" w:hAnsi="Times New Roman" w:cs="Times New Roman"/>
          <w:i/>
          <w:iCs/>
          <w:noProof/>
          <w:sz w:val="24"/>
          <w:szCs w:val="24"/>
          <w:lang w:eastAsia="en-GB"/>
        </w:rPr>
        <w:t xml:space="preserve"> </w:t>
      </w:r>
      <w:r>
        <w:rPr>
          <w:rFonts w:ascii="Times New Roman" w:eastAsia="Times New Roman" w:hAnsi="Times New Roman" w:cs="Times New Roman"/>
          <w:noProof/>
          <w:sz w:val="24"/>
          <w:szCs w:val="24"/>
          <w:lang w:eastAsia="en-GB"/>
        </w:rPr>
        <w:t>applies not only to the action of public authorities, but extends to all agreements which are intended to regulate paid labour collectively, as well as to contracts between individuals.</w:t>
      </w:r>
      <w:r>
        <w:rPr>
          <w:rStyle w:val="FootnoteReference"/>
          <w:rFonts w:ascii="Times New Roman" w:eastAsia="Times New Roman" w:hAnsi="Times New Roman" w:cs="Times New Roman"/>
          <w:noProof/>
          <w:sz w:val="24"/>
          <w:szCs w:val="24"/>
          <w:lang w:eastAsia="en-GB"/>
        </w:rPr>
        <w:footnoteReference w:id="103"/>
      </w:r>
    </w:p>
    <w:p>
      <w:pPr>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EU acted to implement the Treaty principle, in particular, through the 1975 Equal Pay Directive, subsequently merged into the Recast Directive. The evaluation of the Recast Directive showed that further action was needed, in particular in order to create transparency on pay and pay settings. This was done through the 2014 Commission Recommendation on pay transparency. The 2017 evaluation of the Pay Transparency Recommendation showed that it had not brought about the necessary change (see below). This was confirmed by the 2020 </w:t>
      </w:r>
      <w:r>
        <w:rPr>
          <w:rFonts w:ascii="Times New Roman" w:eastAsia="Times" w:hAnsi="Times New Roman" w:cs="Times New Roman"/>
          <w:noProof/>
          <w:sz w:val="24"/>
          <w:szCs w:val="24"/>
        </w:rPr>
        <w:t xml:space="preserve">evaluation, which reiterated </w:t>
      </w:r>
      <w:r>
        <w:rPr>
          <w:rFonts w:ascii="Times New Roman" w:eastAsia="Times New Roman" w:hAnsi="Times New Roman" w:cs="Times New Roman"/>
          <w:noProof/>
          <w:sz w:val="24"/>
          <w:szCs w:val="24"/>
        </w:rPr>
        <w:t xml:space="preserve">that EU-level action remains necessary to better enforce the right to equal pay through pay transparency.  Member States and social partners did not so far take sufficient measures to combat such discrimination. </w:t>
      </w:r>
    </w:p>
    <w:p>
      <w:pPr>
        <w:spacing w:after="120"/>
        <w:jc w:val="both"/>
        <w:rPr>
          <w:rFonts w:ascii="Times New Roman" w:hAnsi="Times New Roman" w:cs="Times New Roman"/>
          <w:noProof/>
          <w:sz w:val="24"/>
          <w:szCs w:val="24"/>
        </w:rPr>
      </w:pPr>
      <w:r>
        <w:rPr>
          <w:rFonts w:ascii="Times New Roman" w:eastAsia="Times" w:hAnsi="Times New Roman" w:cs="Times New Roman"/>
          <w:noProof/>
          <w:sz w:val="24"/>
          <w:szCs w:val="24"/>
        </w:rPr>
        <w:t>Pay transparency measures as outlined in the 2014 Recommendation were implemented only in some Member States, and the fragmented level of implementation raises doubts on the effectiveness of non-binding measures.</w:t>
      </w:r>
      <w:r>
        <w:rPr>
          <w:rFonts w:ascii="Times New Roman" w:hAnsi="Times New Roman" w:cs="Times New Roman"/>
          <w:noProof/>
          <w:sz w:val="24"/>
          <w:szCs w:val="24"/>
        </w:rPr>
        <w:t xml:space="preserve"> </w:t>
      </w:r>
    </w:p>
    <w:p>
      <w:pPr>
        <w:spacing w:after="120"/>
        <w:jc w:val="both"/>
        <w:rPr>
          <w:rFonts w:ascii="Times New Roman" w:eastAsia="Times New Roman" w:hAnsi="Times New Roman" w:cs="Times New Roman"/>
          <w:noProof/>
          <w:sz w:val="24"/>
          <w:szCs w:val="24"/>
        </w:rPr>
      </w:pPr>
      <w:r>
        <w:rPr>
          <w:rFonts w:ascii="Times New Roman" w:hAnsi="Times New Roman" w:cs="Times New Roman"/>
          <w:noProof/>
          <w:sz w:val="24"/>
          <w:szCs w:val="24"/>
        </w:rPr>
        <w:t>The measures introduced by some Member States</w:t>
      </w:r>
      <w:r>
        <w:rPr>
          <w:rStyle w:val="FootnoteReference"/>
          <w:rFonts w:ascii="Times New Roman" w:hAnsi="Times New Roman" w:cs="Times New Roman"/>
          <w:noProof/>
          <w:sz w:val="24"/>
          <w:szCs w:val="24"/>
        </w:rPr>
        <w:footnoteReference w:id="104"/>
      </w:r>
      <w:r>
        <w:rPr>
          <w:rFonts w:ascii="Times New Roman" w:hAnsi="Times New Roman" w:cs="Times New Roman"/>
          <w:noProof/>
          <w:sz w:val="24"/>
          <w:szCs w:val="24"/>
        </w:rPr>
        <w:t xml:space="preserve"> vary broadly in effectiveness, and many Member </w:t>
      </w:r>
      <w:r>
        <w:rPr>
          <w:rFonts w:ascii="Times New Roman" w:eastAsia="Times" w:hAnsi="Times New Roman" w:cs="Times New Roman"/>
          <w:noProof/>
          <w:sz w:val="24"/>
          <w:szCs w:val="24"/>
        </w:rPr>
        <w:t>States</w:t>
      </w:r>
      <w:r>
        <w:rPr>
          <w:rFonts w:ascii="Times New Roman" w:hAnsi="Times New Roman" w:cs="Times New Roman"/>
          <w:noProof/>
          <w:sz w:val="24"/>
          <w:szCs w:val="24"/>
        </w:rPr>
        <w:t xml:space="preserve"> did not take any action in this area. There might be several reasons for this, depending on the perceived relevance of the equal pay issue, that may cause reluctance to impose possible costs on employers that  might  put them at a competitive disadvantage </w:t>
      </w:r>
      <w:r>
        <w:rPr>
          <w:rFonts w:ascii="Times New Roman" w:hAnsi="Times New Roman" w:cs="Times New Roman"/>
          <w:i/>
          <w:iCs/>
          <w:noProof/>
          <w:sz w:val="24"/>
          <w:szCs w:val="24"/>
        </w:rPr>
        <w:t>vis-à-vis</w:t>
      </w:r>
      <w:r>
        <w:rPr>
          <w:rFonts w:ascii="Times New Roman" w:hAnsi="Times New Roman" w:cs="Times New Roman"/>
          <w:noProof/>
          <w:sz w:val="24"/>
          <w:szCs w:val="24"/>
        </w:rPr>
        <w:t xml:space="preserve"> foreign employers who are not applying similar norms (yet).</w:t>
      </w:r>
      <w:r>
        <w:rPr>
          <w:rFonts w:ascii="Times New Roman" w:eastAsia="Times" w:hAnsi="Times New Roman" w:cs="Times New Roman"/>
          <w:b/>
          <w:bCs/>
          <w:noProof/>
          <w:sz w:val="24"/>
          <w:szCs w:val="24"/>
        </w:rPr>
        <w:t xml:space="preserve"> </w:t>
      </w:r>
      <w:r>
        <w:rPr>
          <w:rFonts w:ascii="Times New Roman" w:eastAsia="Times New Roman" w:hAnsi="Times New Roman" w:cs="Times New Roman"/>
          <w:noProof/>
          <w:sz w:val="24"/>
          <w:szCs w:val="24"/>
        </w:rPr>
        <w:t xml:space="preserve"> </w:t>
      </w:r>
    </w:p>
    <w:p>
      <w:pPr>
        <w:spacing w:after="120"/>
        <w:jc w:val="both"/>
        <w:rPr>
          <w:rFonts w:ascii="Times New Roman" w:eastAsia="Times" w:hAnsi="Times New Roman" w:cs="Times New Roman"/>
          <w:noProof/>
          <w:sz w:val="24"/>
          <w:szCs w:val="24"/>
        </w:rPr>
      </w:pPr>
      <w:r>
        <w:rPr>
          <w:rFonts w:ascii="Times New Roman" w:eastAsia="Times" w:hAnsi="Times New Roman" w:cs="Times New Roman"/>
          <w:noProof/>
          <w:sz w:val="24"/>
          <w:szCs w:val="24"/>
        </w:rPr>
        <w:t xml:space="preserve">Member States are therefore unlikely to be able to address the problem on their own based on the existing non-binding measures. </w:t>
      </w:r>
      <w:r>
        <w:rPr>
          <w:rFonts w:ascii="Times New Roman" w:hAnsi="Times New Roman" w:cs="Times New Roman"/>
          <w:noProof/>
          <w:sz w:val="24"/>
          <w:szCs w:val="24"/>
        </w:rPr>
        <w:t>The existing legal framework will therefore not bring about significant improvements in</w:t>
      </w:r>
      <w:r>
        <w:rPr>
          <w:rFonts w:ascii="Times New Roman" w:eastAsia="Times New Roman" w:hAnsi="Times New Roman" w:cs="Times New Roman"/>
          <w:noProof/>
          <w:sz w:val="24"/>
          <w:szCs w:val="24"/>
        </w:rPr>
        <w:t xml:space="preserve"> pay equality without a new impetus.</w:t>
      </w:r>
    </w:p>
    <w:p>
      <w:pPr>
        <w:pStyle w:val="Heading2"/>
        <w:numPr>
          <w:ilvl w:val="1"/>
          <w:numId w:val="1"/>
        </w:numPr>
        <w:spacing w:after="120"/>
        <w:ind w:left="1276" w:hanging="709"/>
        <w:rPr>
          <w:noProof/>
        </w:rPr>
      </w:pPr>
      <w:bookmarkStart w:id="1214" w:name="_Toc49695771"/>
      <w:bookmarkStart w:id="1215" w:name="_Toc49800449"/>
      <w:bookmarkStart w:id="1216" w:name="_Toc49804398"/>
      <w:bookmarkStart w:id="1217" w:name="_Toc49804558"/>
      <w:bookmarkStart w:id="1218" w:name="_Toc49804648"/>
      <w:bookmarkStart w:id="1219" w:name="_Toc49804723"/>
      <w:bookmarkStart w:id="1220" w:name="_Toc49804798"/>
      <w:bookmarkStart w:id="1221" w:name="_Toc49805470"/>
      <w:bookmarkStart w:id="1222" w:name="_Toc49806129"/>
      <w:bookmarkStart w:id="1223" w:name="_Toc49806182"/>
      <w:bookmarkStart w:id="1224" w:name="_Toc49810580"/>
      <w:bookmarkStart w:id="1225" w:name="_Toc49811113"/>
      <w:bookmarkStart w:id="1226" w:name="_Toc49876175"/>
      <w:bookmarkStart w:id="1227" w:name="_Toc49876277"/>
      <w:bookmarkStart w:id="1228" w:name="_Toc49877344"/>
      <w:bookmarkStart w:id="1229" w:name="_Toc49877801"/>
      <w:bookmarkStart w:id="1230" w:name="_Toc49878152"/>
      <w:bookmarkStart w:id="1231" w:name="_Toc49878217"/>
      <w:bookmarkStart w:id="1232" w:name="_Toc49878282"/>
      <w:bookmarkStart w:id="1233" w:name="_Toc49878337"/>
      <w:bookmarkStart w:id="1234" w:name="_Toc49878402"/>
      <w:bookmarkStart w:id="1235" w:name="_Toc49878550"/>
      <w:bookmarkStart w:id="1236" w:name="_Toc49878640"/>
      <w:bookmarkStart w:id="1237" w:name="_Toc49878753"/>
      <w:bookmarkStart w:id="1238" w:name="_Toc49878818"/>
      <w:bookmarkStart w:id="1239" w:name="_Toc49879052"/>
      <w:bookmarkStart w:id="1240" w:name="_Toc49879421"/>
      <w:bookmarkStart w:id="1241" w:name="_Toc49879561"/>
      <w:bookmarkStart w:id="1242" w:name="_Toc49879629"/>
      <w:bookmarkStart w:id="1243" w:name="_Toc49879697"/>
      <w:bookmarkStart w:id="1244" w:name="_Toc49879765"/>
      <w:bookmarkStart w:id="1245" w:name="_Toc49879877"/>
      <w:bookmarkStart w:id="1246" w:name="_Toc49879945"/>
      <w:bookmarkStart w:id="1247" w:name="_Toc49880127"/>
      <w:bookmarkStart w:id="1248" w:name="_Toc49880195"/>
      <w:bookmarkStart w:id="1249" w:name="_Toc49880425"/>
      <w:bookmarkStart w:id="1250" w:name="_Toc49880493"/>
      <w:bookmarkStart w:id="1251" w:name="_Toc49880978"/>
      <w:bookmarkStart w:id="1252" w:name="_Toc49881137"/>
      <w:bookmarkStart w:id="1253" w:name="_Toc49881656"/>
      <w:bookmarkStart w:id="1254" w:name="_Toc49883526"/>
      <w:bookmarkStart w:id="1255" w:name="_Toc49883764"/>
      <w:bookmarkStart w:id="1256" w:name="_Toc49884130"/>
      <w:bookmarkStart w:id="1257" w:name="_Toc49884198"/>
      <w:bookmarkStart w:id="1258" w:name="_Toc49884274"/>
      <w:bookmarkStart w:id="1259" w:name="_Toc49888701"/>
      <w:bookmarkStart w:id="1260" w:name="_Toc49893530"/>
      <w:bookmarkStart w:id="1261" w:name="_Toc49893844"/>
      <w:bookmarkStart w:id="1262" w:name="_Toc49895359"/>
      <w:bookmarkStart w:id="1263" w:name="_Toc49896894"/>
      <w:bookmarkStart w:id="1264" w:name="_Toc49926258"/>
      <w:bookmarkStart w:id="1265" w:name="_Toc49928812"/>
      <w:bookmarkStart w:id="1266" w:name="_Toc49928882"/>
      <w:bookmarkStart w:id="1267" w:name="_Toc49928962"/>
      <w:bookmarkStart w:id="1268" w:name="_Toc49930171"/>
      <w:bookmarkStart w:id="1269" w:name="_Toc49930393"/>
      <w:bookmarkStart w:id="1270" w:name="_Toc49930463"/>
      <w:bookmarkStart w:id="1271" w:name="_Toc49930533"/>
      <w:bookmarkStart w:id="1272" w:name="_Toc49930603"/>
      <w:bookmarkStart w:id="1273" w:name="_Toc49930673"/>
      <w:bookmarkStart w:id="1274" w:name="_Toc49930814"/>
      <w:bookmarkStart w:id="1275" w:name="_Toc49930957"/>
      <w:bookmarkStart w:id="1276" w:name="_Toc49931211"/>
      <w:bookmarkStart w:id="1277" w:name="_Toc49931417"/>
      <w:bookmarkStart w:id="1278" w:name="_Toc49931718"/>
      <w:bookmarkStart w:id="1279" w:name="_Toc49931851"/>
      <w:bookmarkStart w:id="1280" w:name="_Toc49932156"/>
      <w:bookmarkStart w:id="1281" w:name="_Toc49932287"/>
      <w:bookmarkStart w:id="1282" w:name="_Toc49932845"/>
      <w:bookmarkStart w:id="1283" w:name="_Toc49933179"/>
      <w:bookmarkStart w:id="1284" w:name="_Toc49933249"/>
      <w:bookmarkStart w:id="1285" w:name="_Toc49933775"/>
      <w:bookmarkStart w:id="1286" w:name="_Toc49933918"/>
      <w:bookmarkStart w:id="1287" w:name="_Toc49934044"/>
      <w:bookmarkStart w:id="1288" w:name="_Toc49934159"/>
      <w:bookmarkStart w:id="1289" w:name="_Toc49934840"/>
      <w:bookmarkStart w:id="1290" w:name="_Toc49935105"/>
      <w:bookmarkStart w:id="1291" w:name="_Toc49935175"/>
      <w:bookmarkStart w:id="1292" w:name="_Toc49935395"/>
      <w:bookmarkStart w:id="1293" w:name="_Toc49935465"/>
      <w:bookmarkStart w:id="1294" w:name="_Toc49935642"/>
      <w:bookmarkStart w:id="1295" w:name="_Toc49936053"/>
      <w:bookmarkStart w:id="1296" w:name="_Toc49936123"/>
      <w:bookmarkStart w:id="1297" w:name="_Toc49936193"/>
      <w:bookmarkStart w:id="1298" w:name="_Toc49937014"/>
      <w:bookmarkStart w:id="1299" w:name="_Toc49937132"/>
      <w:bookmarkStart w:id="1300" w:name="_Toc49937641"/>
      <w:bookmarkStart w:id="1301" w:name="_Toc49938021"/>
      <w:bookmarkStart w:id="1302" w:name="_Toc49938826"/>
      <w:bookmarkStart w:id="1303" w:name="_Toc49938959"/>
      <w:bookmarkStart w:id="1304" w:name="_Toc49939068"/>
      <w:bookmarkStart w:id="1305" w:name="_Toc49939138"/>
      <w:bookmarkStart w:id="1306" w:name="_Toc49939201"/>
      <w:bookmarkStart w:id="1307" w:name="_Toc49939271"/>
      <w:bookmarkStart w:id="1308" w:name="_Toc49939573"/>
      <w:bookmarkStart w:id="1309" w:name="_Toc49939919"/>
      <w:bookmarkStart w:id="1310" w:name="_Toc49940454"/>
      <w:bookmarkStart w:id="1311" w:name="_Toc49941675"/>
      <w:bookmarkStart w:id="1312" w:name="_Toc49941611"/>
      <w:bookmarkStart w:id="1313" w:name="_Toc49942051"/>
      <w:bookmarkStart w:id="1314" w:name="_Toc49942235"/>
      <w:bookmarkStart w:id="1315" w:name="_Toc49942443"/>
      <w:bookmarkStart w:id="1316" w:name="_Toc49942677"/>
      <w:bookmarkStart w:id="1317" w:name="_Toc49942792"/>
      <w:bookmarkStart w:id="1318" w:name="_Toc49944329"/>
      <w:bookmarkStart w:id="1319" w:name="_Toc49945106"/>
      <w:bookmarkStart w:id="1320" w:name="_Toc49945900"/>
      <w:bookmarkStart w:id="1321" w:name="_Toc49946258"/>
      <w:bookmarkStart w:id="1322" w:name="_Toc49946545"/>
      <w:bookmarkStart w:id="1323" w:name="_Toc49946654"/>
      <w:bookmarkStart w:id="1324" w:name="_Toc49947254"/>
      <w:bookmarkStart w:id="1325" w:name="_Toc49946357"/>
      <w:bookmarkStart w:id="1326" w:name="_Toc49947136"/>
      <w:bookmarkStart w:id="1327" w:name="_Toc49947390"/>
      <w:bookmarkStart w:id="1328" w:name="_Toc49947768"/>
      <w:bookmarkStart w:id="1329" w:name="_Toc49947863"/>
      <w:bookmarkStart w:id="1330" w:name="_Toc49947933"/>
      <w:bookmarkStart w:id="1331" w:name="_Toc49948028"/>
      <w:bookmarkStart w:id="1332" w:name="_Toc49948098"/>
      <w:bookmarkStart w:id="1333" w:name="_Toc49948309"/>
      <w:bookmarkStart w:id="1334" w:name="_Toc49948379"/>
      <w:bookmarkStart w:id="1335" w:name="_Toc49948449"/>
      <w:bookmarkStart w:id="1336" w:name="_Toc49948519"/>
      <w:bookmarkStart w:id="1337" w:name="_Toc49948638"/>
      <w:bookmarkStart w:id="1338" w:name="_Toc49943488"/>
      <w:bookmarkStart w:id="1339" w:name="_Toc49949525"/>
      <w:bookmarkStart w:id="1340" w:name="_Toc49949595"/>
      <w:bookmarkStart w:id="1341" w:name="_Toc49950631"/>
      <w:bookmarkStart w:id="1342" w:name="_Toc49948708"/>
      <w:bookmarkStart w:id="1343" w:name="_Toc49950798"/>
      <w:bookmarkStart w:id="1344" w:name="_Toc49951149"/>
      <w:bookmarkStart w:id="1345" w:name="_Toc49951400"/>
      <w:bookmarkStart w:id="1346" w:name="_Toc49951460"/>
      <w:bookmarkStart w:id="1347" w:name="_Toc49951567"/>
      <w:bookmarkStart w:id="1348" w:name="_Toc49951654"/>
      <w:bookmarkStart w:id="1349" w:name="_Toc49951724"/>
      <w:bookmarkStart w:id="1350" w:name="_Toc49951963"/>
      <w:bookmarkStart w:id="1351" w:name="_Toc49952062"/>
      <w:bookmarkStart w:id="1352" w:name="_Toc49952238"/>
      <w:bookmarkStart w:id="1353" w:name="_Toc49952993"/>
      <w:bookmarkStart w:id="1354" w:name="_Toc49953084"/>
      <w:bookmarkStart w:id="1355" w:name="_Toc49953154"/>
      <w:bookmarkStart w:id="1356" w:name="_Toc49952938"/>
      <w:bookmarkStart w:id="1357" w:name="_Toc49953799"/>
      <w:bookmarkStart w:id="1358" w:name="_Toc49953869"/>
      <w:bookmarkStart w:id="1359" w:name="_Toc49953939"/>
      <w:bookmarkStart w:id="1360" w:name="_Toc49954092"/>
      <w:bookmarkStart w:id="1361" w:name="_Toc49949653"/>
      <w:bookmarkStart w:id="1362" w:name="_Toc49953653"/>
      <w:bookmarkStart w:id="1363" w:name="_Toc49954158"/>
      <w:bookmarkStart w:id="1364" w:name="_Toc49954265"/>
      <w:bookmarkStart w:id="1365" w:name="_Toc49954368"/>
      <w:bookmarkStart w:id="1366" w:name="_Toc49954258"/>
      <w:bookmarkStart w:id="1367" w:name="_Toc49954499"/>
      <w:bookmarkStart w:id="1368" w:name="_Toc49954569"/>
      <w:bookmarkStart w:id="1369" w:name="_Toc49954639"/>
      <w:bookmarkStart w:id="1370" w:name="_Toc49954508"/>
      <w:bookmarkStart w:id="1371" w:name="_Toc49954743"/>
      <w:bookmarkStart w:id="1372" w:name="_Toc49954798"/>
      <w:bookmarkStart w:id="1373" w:name="_Toc49954868"/>
      <w:bookmarkStart w:id="1374" w:name="_Toc49954648"/>
      <w:bookmarkStart w:id="1375" w:name="_Toc49954962"/>
      <w:bookmarkStart w:id="1376" w:name="_Toc49955032"/>
      <w:bookmarkStart w:id="1377" w:name="_Toc49955102"/>
      <w:bookmarkStart w:id="1378" w:name="_Toc49955041"/>
      <w:bookmarkStart w:id="1379" w:name="_Toc49955242"/>
      <w:bookmarkStart w:id="1380" w:name="_Toc49955312"/>
      <w:bookmarkStart w:id="1381" w:name="_Toc49955382"/>
      <w:bookmarkStart w:id="1382" w:name="_Toc49955690"/>
      <w:bookmarkStart w:id="1383" w:name="_Toc49955760"/>
      <w:bookmarkStart w:id="1384" w:name="_Toc49956115"/>
      <w:bookmarkStart w:id="1385" w:name="_Toc49958260"/>
      <w:bookmarkStart w:id="1386" w:name="_Toc49958385"/>
      <w:bookmarkStart w:id="1387" w:name="_Toc49958455"/>
      <w:bookmarkStart w:id="1388" w:name="_Toc49958525"/>
      <w:bookmarkStart w:id="1389" w:name="_Toc47455460"/>
      <w:bookmarkStart w:id="1390" w:name="_Toc49527870"/>
      <w:bookmarkStart w:id="1391" w:name="_Toc49529991"/>
      <w:bookmarkStart w:id="1392" w:name="_Toc49530655"/>
      <w:bookmarkStart w:id="1393" w:name="_Toc49532605"/>
      <w:bookmarkStart w:id="1394" w:name="_Toc49695772"/>
      <w:bookmarkStart w:id="1395" w:name="_Toc49695953"/>
      <w:bookmarkStart w:id="1396" w:name="_Toc49805471"/>
      <w:bookmarkStart w:id="1397" w:name="_Toc49806183"/>
      <w:bookmarkStart w:id="1398" w:name="_Toc49877747"/>
      <w:bookmarkStart w:id="1399" w:name="_Toc49881138"/>
      <w:bookmarkStart w:id="1400" w:name="_Toc49884199"/>
      <w:bookmarkStart w:id="1401" w:name="_Toc49884275"/>
      <w:bookmarkStart w:id="1402" w:name="_Toc49893531"/>
      <w:bookmarkStart w:id="1403" w:name="_Toc49933919"/>
      <w:bookmarkStart w:id="1404" w:name="_Toc49937833"/>
      <w:bookmarkStart w:id="1405" w:name="_Toc49939202"/>
      <w:bookmarkStart w:id="1406" w:name="_Toc49942052"/>
      <w:bookmarkStart w:id="1407" w:name="_Toc49948520"/>
      <w:bookmarkStart w:id="1408" w:name="_Toc49952994"/>
      <w:bookmarkStart w:id="1409" w:name="_Toc49954744"/>
      <w:bookmarkStart w:id="1410" w:name="_Toc49955761"/>
      <w:bookmarkStart w:id="1411" w:name="_Toc49958261"/>
      <w:bookmarkStart w:id="1412" w:name="_Toc49958456"/>
      <w:bookmarkStart w:id="1413" w:name="_Toc49961976"/>
      <w:bookmarkStart w:id="1414" w:name="_Toc49963163"/>
      <w:bookmarkStart w:id="1415" w:name="_Toc53678186"/>
      <w:bookmarkStart w:id="1416" w:name="_Toc53678406"/>
      <w:bookmarkStart w:id="1417" w:name="_Toc53678726"/>
      <w:bookmarkStart w:id="1418" w:name="_Toc53680077"/>
      <w:bookmarkStart w:id="1419" w:name="_Toc54289099"/>
      <w:bookmarkStart w:id="1420" w:name="_Toc54290570"/>
      <w:bookmarkStart w:id="1421" w:name="_Toc54290939"/>
      <w:bookmarkStart w:id="1422" w:name="_Toc54292065"/>
      <w:bookmarkStart w:id="1423" w:name="_Toc54340623"/>
      <w:bookmarkStart w:id="1424" w:name="_Toc54345725"/>
      <w:bookmarkStart w:id="1425" w:name="_Toc54348738"/>
      <w:bookmarkStart w:id="1426" w:name="_Toc54355068"/>
      <w:bookmarkStart w:id="1427" w:name="_Toc54355047"/>
      <w:bookmarkStart w:id="1428" w:name="_Toc54355593"/>
      <w:bookmarkStart w:id="1429" w:name="_Toc54356109"/>
      <w:bookmarkStart w:id="1430" w:name="_Toc54356660"/>
      <w:bookmarkStart w:id="1431" w:name="_Toc54357527"/>
      <w:bookmarkStart w:id="1432" w:name="_Toc54357624"/>
      <w:bookmarkStart w:id="1433" w:name="_Toc54364588"/>
      <w:bookmarkStart w:id="1434" w:name="_Toc54371196"/>
      <w:bookmarkStart w:id="1435" w:name="_Toc54372033"/>
      <w:bookmarkStart w:id="1436" w:name="_Toc54376640"/>
      <w:bookmarkStart w:id="1437" w:name="_Toc58767190"/>
      <w:bookmarkStart w:id="1438" w:name="_Toc58769497"/>
      <w:bookmarkStart w:id="1439" w:name="_Toc58863836"/>
      <w:bookmarkStart w:id="1440" w:name="_Toc58868863"/>
      <w:bookmarkStart w:id="1441" w:name="_Toc58870694"/>
      <w:bookmarkStart w:id="1442" w:name="_Toc58870927"/>
      <w:bookmarkStart w:id="1443" w:name="_Toc58871833"/>
      <w:bookmarkStart w:id="1444" w:name="_Toc58872048"/>
      <w:bookmarkStart w:id="1445" w:name="_Toc58922795"/>
      <w:bookmarkStart w:id="1446" w:name="_Toc58925377"/>
      <w:bookmarkStart w:id="1447" w:name="_Toc58928879"/>
      <w:bookmarkStart w:id="1448" w:name="_Toc58931247"/>
      <w:bookmarkStart w:id="1449" w:name="_Toc58931881"/>
      <w:bookmarkStart w:id="1450" w:name="_Toc58947406"/>
      <w:bookmarkStart w:id="1451" w:name="_Toc58950488"/>
      <w:bookmarkStart w:id="1452" w:name="_Toc58956780"/>
      <w:bookmarkStart w:id="1453" w:name="_Toc58957945"/>
      <w:bookmarkStart w:id="1454" w:name="_Toc58962478"/>
      <w:bookmarkStart w:id="1455" w:name="_Toc59096507"/>
      <w:bookmarkStart w:id="1456" w:name="_Toc59103103"/>
      <w:bookmarkStart w:id="1457" w:name="_Toc59104954"/>
      <w:bookmarkStart w:id="1458" w:name="_Toc59119914"/>
      <w:bookmarkStart w:id="1459" w:name="_Toc59121178"/>
      <w:bookmarkStart w:id="1460" w:name="_Toc59121297"/>
      <w:bookmarkStart w:id="1461" w:name="_Toc59549350"/>
      <w:bookmarkStart w:id="1462" w:name="_Toc5964230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r>
        <w:rPr>
          <w:noProof/>
        </w:rPr>
        <w:t>Subsidiarity: Added value of EU action</w:t>
      </w:r>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Action at EU level would ensure that pay equality between women and men, enshrined in Article 157(1) TFEU, is effective and that all citizens can claim their rights according to the harmonised minimum standards applicable in all Member States. </w:t>
      </w:r>
    </w:p>
    <w:p>
      <w:pPr>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EU action does not only create a harmonised minimum standard protecting workers (social objective), it creates equal market conditions for companies operating in the internal market, thus preventing unfair competition (economic objective). Only a coherent and comprehensive European approach </w:t>
      </w:r>
      <w:r>
        <w:rPr>
          <w:rFonts w:ascii="Times New Roman" w:hAnsi="Times New Roman" w:cs="Times New Roman"/>
          <w:noProof/>
          <w:sz w:val="24"/>
          <w:szCs w:val="24"/>
        </w:rPr>
        <w:t>can ensure a level playing field for market operators in all Member States and exclude possible unfair competitive advantages that could be derived from pay discrimination (see above)</w:t>
      </w:r>
      <w:r>
        <w:rPr>
          <w:rFonts w:ascii="Times New Roman" w:eastAsia="Times New Roman" w:hAnsi="Times New Roman" w:cs="Times New Roman"/>
          <w:noProof/>
          <w:sz w:val="24"/>
          <w:szCs w:val="24"/>
        </w:rPr>
        <w:t>. As shown in the report on the evaluation of the 2014 Recommendation, national measures regarding pay transparency are fragmented, scarce and most often set lower thresholds than those proposed by the 2014 Recommendation. Their variety, different levels of ambition, and the progressive nature of the changes bring unnecessary complexity and uncertainty and constitute barriers to operating across Member States.</w:t>
      </w:r>
    </w:p>
    <w:p>
      <w:pPr>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EU action establishing pay transparency and related enforcement mechanisms would ensure that workers across the EU can experience the same level of protection of the equal pay right, and that employers can operate across Member States with lower risks/uncertainties. It would realise a fundamental and social right while preventing businesses from competing on an uneven playing field and therefore improve the operation and competitiveness of the internal market.</w:t>
      </w:r>
    </w:p>
    <w:p>
      <w:pPr>
        <w:pStyle w:val="Heading1"/>
        <w:numPr>
          <w:ilvl w:val="0"/>
          <w:numId w:val="1"/>
        </w:numPr>
        <w:tabs>
          <w:tab w:val="clear" w:pos="2640"/>
          <w:tab w:val="num" w:pos="567"/>
        </w:tabs>
        <w:spacing w:after="120" w:line="276" w:lineRule="auto"/>
        <w:ind w:left="2642" w:hanging="2642"/>
        <w:rPr>
          <w:smallCaps w:val="0"/>
          <w:noProof/>
        </w:rPr>
      </w:pPr>
      <w:bookmarkStart w:id="1463" w:name="_Toc47455461"/>
      <w:bookmarkStart w:id="1464" w:name="_Toc49527871"/>
      <w:bookmarkStart w:id="1465" w:name="_Toc49529992"/>
      <w:bookmarkStart w:id="1466" w:name="_Toc49530656"/>
      <w:bookmarkStart w:id="1467" w:name="_Toc49532606"/>
      <w:bookmarkStart w:id="1468" w:name="_Toc49695775"/>
      <w:bookmarkStart w:id="1469" w:name="_Toc49695954"/>
      <w:bookmarkStart w:id="1470" w:name="_Toc49805474"/>
      <w:bookmarkStart w:id="1471" w:name="_Toc49806186"/>
      <w:bookmarkStart w:id="1472" w:name="_Toc49877748"/>
      <w:bookmarkStart w:id="1473" w:name="_Toc49881141"/>
      <w:bookmarkStart w:id="1474" w:name="_Toc49884202"/>
      <w:bookmarkStart w:id="1475" w:name="_Toc49884278"/>
      <w:bookmarkStart w:id="1476" w:name="_Toc49893534"/>
      <w:bookmarkStart w:id="1477" w:name="_Toc49933922"/>
      <w:bookmarkStart w:id="1478" w:name="_Toc49937834"/>
      <w:bookmarkStart w:id="1479" w:name="_Toc49939205"/>
      <w:bookmarkStart w:id="1480" w:name="_Toc49942055"/>
      <w:bookmarkStart w:id="1481" w:name="_Toc49948523"/>
      <w:bookmarkStart w:id="1482" w:name="_Toc49952997"/>
      <w:bookmarkStart w:id="1483" w:name="_Toc49954747"/>
      <w:bookmarkStart w:id="1484" w:name="_Toc49955764"/>
      <w:bookmarkStart w:id="1485" w:name="_Toc49958264"/>
      <w:bookmarkStart w:id="1486" w:name="_Toc49958459"/>
      <w:bookmarkStart w:id="1487" w:name="_Toc49961977"/>
      <w:bookmarkStart w:id="1488" w:name="_Toc49963164"/>
      <w:bookmarkStart w:id="1489" w:name="_Toc53678187"/>
      <w:bookmarkStart w:id="1490" w:name="_Toc53678407"/>
      <w:bookmarkStart w:id="1491" w:name="_Toc53678727"/>
      <w:bookmarkStart w:id="1492" w:name="_Toc53680078"/>
      <w:bookmarkStart w:id="1493" w:name="_Toc54289100"/>
      <w:bookmarkStart w:id="1494" w:name="_Toc54290571"/>
      <w:bookmarkStart w:id="1495" w:name="_Toc54290940"/>
      <w:bookmarkStart w:id="1496" w:name="_Toc54292066"/>
      <w:bookmarkStart w:id="1497" w:name="_Toc54340624"/>
      <w:bookmarkStart w:id="1498" w:name="_Toc54345726"/>
      <w:bookmarkStart w:id="1499" w:name="_Toc54348739"/>
      <w:bookmarkStart w:id="1500" w:name="_Toc54355069"/>
      <w:bookmarkStart w:id="1501" w:name="_Toc54355048"/>
      <w:bookmarkStart w:id="1502" w:name="_Toc54355594"/>
      <w:bookmarkStart w:id="1503" w:name="_Toc54356110"/>
      <w:bookmarkStart w:id="1504" w:name="_Toc54356661"/>
      <w:bookmarkStart w:id="1505" w:name="_Toc54357528"/>
      <w:bookmarkStart w:id="1506" w:name="_Toc54357625"/>
      <w:bookmarkStart w:id="1507" w:name="_Toc54364589"/>
      <w:bookmarkStart w:id="1508" w:name="_Toc54371197"/>
      <w:bookmarkStart w:id="1509" w:name="_Toc54372034"/>
      <w:bookmarkStart w:id="1510" w:name="_Toc54376641"/>
      <w:bookmarkStart w:id="1511" w:name="_Toc58767191"/>
      <w:bookmarkStart w:id="1512" w:name="_Toc58769498"/>
      <w:bookmarkStart w:id="1513" w:name="_Toc58863837"/>
      <w:bookmarkStart w:id="1514" w:name="_Toc58868864"/>
      <w:bookmarkStart w:id="1515" w:name="_Toc58870695"/>
      <w:bookmarkStart w:id="1516" w:name="_Toc58870928"/>
      <w:bookmarkStart w:id="1517" w:name="_Toc58871834"/>
      <w:bookmarkStart w:id="1518" w:name="_Toc58872049"/>
      <w:bookmarkStart w:id="1519" w:name="_Toc58922796"/>
      <w:bookmarkStart w:id="1520" w:name="_Toc58925378"/>
      <w:bookmarkStart w:id="1521" w:name="_Toc58928880"/>
      <w:bookmarkStart w:id="1522" w:name="_Toc58931248"/>
      <w:bookmarkStart w:id="1523" w:name="_Toc58931882"/>
      <w:bookmarkStart w:id="1524" w:name="_Toc58947407"/>
      <w:bookmarkStart w:id="1525" w:name="_Toc58950489"/>
      <w:bookmarkStart w:id="1526" w:name="_Toc58956781"/>
      <w:bookmarkStart w:id="1527" w:name="_Toc58957946"/>
      <w:bookmarkStart w:id="1528" w:name="_Toc58962479"/>
      <w:bookmarkStart w:id="1529" w:name="_Toc59096508"/>
      <w:bookmarkStart w:id="1530" w:name="_Toc59103104"/>
      <w:bookmarkStart w:id="1531" w:name="_Toc59104955"/>
      <w:bookmarkStart w:id="1532" w:name="_Toc59119915"/>
      <w:bookmarkStart w:id="1533" w:name="_Toc59121179"/>
      <w:bookmarkStart w:id="1534" w:name="_Toc59121298"/>
      <w:bookmarkStart w:id="1535" w:name="_Toc59549351"/>
      <w:bookmarkStart w:id="1536" w:name="_Toc59642304"/>
      <w:r>
        <w:rPr>
          <w:smallCaps w:val="0"/>
          <w:noProof/>
        </w:rPr>
        <w:t>Objectives: What is to be achieved?</w:t>
      </w:r>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p>
    <w:p>
      <w:pPr>
        <w:pStyle w:val="Heading2"/>
        <w:numPr>
          <w:ilvl w:val="1"/>
          <w:numId w:val="1"/>
        </w:numPr>
        <w:spacing w:after="120"/>
        <w:ind w:left="1276" w:hanging="709"/>
        <w:rPr>
          <w:noProof/>
        </w:rPr>
      </w:pPr>
      <w:bookmarkStart w:id="1537" w:name="_Toc49805475"/>
      <w:bookmarkStart w:id="1538" w:name="_Toc49806187"/>
      <w:bookmarkStart w:id="1539" w:name="_Toc47455462"/>
      <w:bookmarkStart w:id="1540" w:name="_Toc49527872"/>
      <w:bookmarkStart w:id="1541" w:name="_Toc49529993"/>
      <w:bookmarkStart w:id="1542" w:name="_Toc49530657"/>
      <w:bookmarkStart w:id="1543" w:name="_Toc49532607"/>
      <w:bookmarkStart w:id="1544" w:name="_Toc49695776"/>
      <w:bookmarkStart w:id="1545" w:name="_Toc49695955"/>
      <w:bookmarkStart w:id="1546" w:name="_Toc49877749"/>
      <w:bookmarkStart w:id="1547" w:name="_Toc49881142"/>
      <w:bookmarkStart w:id="1548" w:name="_Toc49884203"/>
      <w:bookmarkStart w:id="1549" w:name="_Toc49884279"/>
      <w:bookmarkStart w:id="1550" w:name="_Toc49893535"/>
      <w:bookmarkStart w:id="1551" w:name="_Toc49933923"/>
      <w:bookmarkStart w:id="1552" w:name="_Toc49937835"/>
      <w:bookmarkStart w:id="1553" w:name="_Toc49939206"/>
      <w:bookmarkStart w:id="1554" w:name="_Toc49942056"/>
      <w:bookmarkStart w:id="1555" w:name="_Toc49948524"/>
      <w:bookmarkStart w:id="1556" w:name="_Toc49952998"/>
      <w:bookmarkStart w:id="1557" w:name="_Toc49954748"/>
      <w:bookmarkStart w:id="1558" w:name="_Toc49955765"/>
      <w:bookmarkStart w:id="1559" w:name="_Toc49958265"/>
      <w:bookmarkStart w:id="1560" w:name="_Toc49958460"/>
      <w:bookmarkStart w:id="1561" w:name="_Toc49961978"/>
      <w:bookmarkStart w:id="1562" w:name="_Toc49963165"/>
      <w:bookmarkStart w:id="1563" w:name="_Toc53678188"/>
      <w:bookmarkStart w:id="1564" w:name="_Toc53678408"/>
      <w:bookmarkStart w:id="1565" w:name="_Toc53678728"/>
      <w:bookmarkStart w:id="1566" w:name="_Toc53680079"/>
      <w:bookmarkStart w:id="1567" w:name="_Toc54289101"/>
      <w:bookmarkStart w:id="1568" w:name="_Toc54290572"/>
      <w:bookmarkStart w:id="1569" w:name="_Toc54290941"/>
      <w:bookmarkStart w:id="1570" w:name="_Toc54292067"/>
      <w:bookmarkStart w:id="1571" w:name="_Toc54340625"/>
      <w:bookmarkStart w:id="1572" w:name="_Toc54345727"/>
      <w:bookmarkStart w:id="1573" w:name="_Toc54348740"/>
      <w:bookmarkStart w:id="1574" w:name="_Toc54355070"/>
      <w:bookmarkStart w:id="1575" w:name="_Toc54355049"/>
      <w:bookmarkStart w:id="1576" w:name="_Toc54355595"/>
      <w:bookmarkStart w:id="1577" w:name="_Toc54355743"/>
      <w:bookmarkStart w:id="1578" w:name="_Toc54356111"/>
      <w:bookmarkStart w:id="1579" w:name="_Toc54356662"/>
      <w:bookmarkStart w:id="1580" w:name="_Toc54357529"/>
      <w:bookmarkStart w:id="1581" w:name="_Toc54357626"/>
      <w:bookmarkStart w:id="1582" w:name="_Toc54364590"/>
      <w:bookmarkStart w:id="1583" w:name="_Toc54371198"/>
      <w:bookmarkStart w:id="1584" w:name="_Toc54372035"/>
      <w:bookmarkStart w:id="1585" w:name="_Toc54376642"/>
      <w:bookmarkStart w:id="1586" w:name="_Toc58767192"/>
      <w:bookmarkStart w:id="1587" w:name="_Toc58769499"/>
      <w:bookmarkStart w:id="1588" w:name="_Toc58863838"/>
      <w:bookmarkStart w:id="1589" w:name="_Toc58868865"/>
      <w:bookmarkStart w:id="1590" w:name="_Toc58870696"/>
      <w:bookmarkStart w:id="1591" w:name="_Toc58870929"/>
      <w:bookmarkStart w:id="1592" w:name="_Toc58871835"/>
      <w:bookmarkStart w:id="1593" w:name="_Toc58872050"/>
      <w:bookmarkStart w:id="1594" w:name="_Toc58922797"/>
      <w:bookmarkStart w:id="1595" w:name="_Toc58925379"/>
      <w:bookmarkStart w:id="1596" w:name="_Toc58928881"/>
      <w:bookmarkStart w:id="1597" w:name="_Toc58931249"/>
      <w:bookmarkStart w:id="1598" w:name="_Toc58931883"/>
      <w:bookmarkStart w:id="1599" w:name="_Toc58947408"/>
      <w:bookmarkStart w:id="1600" w:name="_Toc58950490"/>
      <w:bookmarkStart w:id="1601" w:name="_Toc58956782"/>
      <w:bookmarkStart w:id="1602" w:name="_Toc58957947"/>
      <w:bookmarkStart w:id="1603" w:name="_Toc58962480"/>
      <w:bookmarkStart w:id="1604" w:name="_Toc59096509"/>
      <w:bookmarkStart w:id="1605" w:name="_Toc59103105"/>
      <w:bookmarkStart w:id="1606" w:name="_Toc59104956"/>
      <w:bookmarkStart w:id="1607" w:name="_Toc59119916"/>
      <w:bookmarkStart w:id="1608" w:name="_Toc59121180"/>
      <w:bookmarkStart w:id="1609" w:name="_Toc59121299"/>
      <w:bookmarkStart w:id="1610" w:name="_Toc59549352"/>
      <w:bookmarkStart w:id="1611" w:name="_Toc59642305"/>
      <w:r>
        <w:rPr>
          <w:noProof/>
        </w:rPr>
        <w:t>General objectives</w:t>
      </w:r>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The overall objective of the initiative is to </w:t>
      </w:r>
      <w:r>
        <w:rPr>
          <w:rFonts w:ascii="Times New Roman" w:hAnsi="Times New Roman" w:cs="Times New Roman"/>
          <w:b/>
          <w:bCs/>
          <w:noProof/>
          <w:sz w:val="24"/>
          <w:szCs w:val="24"/>
        </w:rPr>
        <w:t>improve the implementation and enforcement of the principle of equal pay for equal work or for work of equal value</w:t>
      </w:r>
      <w:r>
        <w:rPr>
          <w:rFonts w:ascii="Times New Roman" w:hAnsi="Times New Roman" w:cs="Times New Roman"/>
          <w:noProof/>
          <w:sz w:val="24"/>
          <w:szCs w:val="24"/>
        </w:rPr>
        <w:t xml:space="preserve"> both as a fundamental right and social objective to be achieved in the European Union and as an economic objective linked to the full realisation of gender equal conditions on the internal market. It does so by creating transparency both at the individual worker and at employer level, based on a facilitated implementation of the legal concepts of equal pay for equal work or for work of equal value. It balances the responsibility for taking action between workers claiming their EU right and employers ensuring these rights are respected.</w:t>
      </w:r>
    </w:p>
    <w:p>
      <w:pPr>
        <w:pStyle w:val="Heading2"/>
        <w:numPr>
          <w:ilvl w:val="1"/>
          <w:numId w:val="1"/>
        </w:numPr>
        <w:spacing w:after="120"/>
        <w:ind w:left="1276" w:hanging="709"/>
        <w:rPr>
          <w:noProof/>
        </w:rPr>
      </w:pPr>
      <w:bookmarkStart w:id="1612" w:name="_Toc47455465"/>
      <w:bookmarkStart w:id="1613" w:name="_Toc49527873"/>
      <w:bookmarkStart w:id="1614" w:name="_Toc49529994"/>
      <w:bookmarkStart w:id="1615" w:name="_Toc49530658"/>
      <w:bookmarkStart w:id="1616" w:name="_Toc49532608"/>
      <w:bookmarkStart w:id="1617" w:name="_Toc49695777"/>
      <w:bookmarkStart w:id="1618" w:name="_Toc49695956"/>
      <w:bookmarkStart w:id="1619" w:name="_Toc49805476"/>
      <w:bookmarkStart w:id="1620" w:name="_Toc49806188"/>
      <w:bookmarkStart w:id="1621" w:name="_Toc49877750"/>
      <w:bookmarkStart w:id="1622" w:name="_Toc49881143"/>
      <w:bookmarkStart w:id="1623" w:name="_Toc49884204"/>
      <w:bookmarkStart w:id="1624" w:name="_Toc49884280"/>
      <w:bookmarkStart w:id="1625" w:name="_Toc49893536"/>
      <w:bookmarkStart w:id="1626" w:name="_Toc49933924"/>
      <w:bookmarkStart w:id="1627" w:name="_Toc49937836"/>
      <w:bookmarkStart w:id="1628" w:name="_Toc49939207"/>
      <w:bookmarkStart w:id="1629" w:name="_Toc49942057"/>
      <w:bookmarkStart w:id="1630" w:name="_Toc49948525"/>
      <w:bookmarkStart w:id="1631" w:name="_Toc49952999"/>
      <w:bookmarkStart w:id="1632" w:name="_Toc49954749"/>
      <w:bookmarkStart w:id="1633" w:name="_Toc49955766"/>
      <w:bookmarkStart w:id="1634" w:name="_Toc49958266"/>
      <w:bookmarkStart w:id="1635" w:name="_Toc49958461"/>
      <w:bookmarkStart w:id="1636" w:name="_Toc49961979"/>
      <w:bookmarkStart w:id="1637" w:name="_Toc49963166"/>
      <w:bookmarkStart w:id="1638" w:name="_Toc53678189"/>
      <w:bookmarkStart w:id="1639" w:name="_Toc53678409"/>
      <w:bookmarkStart w:id="1640" w:name="_Toc53678729"/>
      <w:bookmarkStart w:id="1641" w:name="_Toc53680080"/>
      <w:bookmarkStart w:id="1642" w:name="_Toc54289102"/>
      <w:bookmarkStart w:id="1643" w:name="_Toc54290573"/>
      <w:bookmarkStart w:id="1644" w:name="_Toc54290942"/>
      <w:bookmarkStart w:id="1645" w:name="_Toc54292068"/>
      <w:bookmarkStart w:id="1646" w:name="_Toc54340626"/>
      <w:bookmarkStart w:id="1647" w:name="_Toc54345728"/>
      <w:bookmarkStart w:id="1648" w:name="_Toc54348741"/>
      <w:bookmarkStart w:id="1649" w:name="_Toc54355071"/>
      <w:bookmarkStart w:id="1650" w:name="_Toc54355050"/>
      <w:bookmarkStart w:id="1651" w:name="_Toc54355596"/>
      <w:bookmarkStart w:id="1652" w:name="_Toc54355744"/>
      <w:bookmarkStart w:id="1653" w:name="_Toc54356112"/>
      <w:bookmarkStart w:id="1654" w:name="_Toc54356663"/>
      <w:bookmarkStart w:id="1655" w:name="_Toc54357530"/>
      <w:bookmarkStart w:id="1656" w:name="_Toc54357627"/>
      <w:bookmarkStart w:id="1657" w:name="_Toc54364591"/>
      <w:bookmarkStart w:id="1658" w:name="_Toc54371199"/>
      <w:bookmarkStart w:id="1659" w:name="_Toc54372036"/>
      <w:bookmarkStart w:id="1660" w:name="_Toc54376643"/>
      <w:bookmarkStart w:id="1661" w:name="_Toc58767193"/>
      <w:bookmarkStart w:id="1662" w:name="_Toc58769500"/>
      <w:bookmarkStart w:id="1663" w:name="_Toc58863839"/>
      <w:bookmarkStart w:id="1664" w:name="_Toc58868866"/>
      <w:bookmarkStart w:id="1665" w:name="_Toc58870697"/>
      <w:bookmarkStart w:id="1666" w:name="_Toc58870930"/>
      <w:bookmarkStart w:id="1667" w:name="_Toc58871836"/>
      <w:bookmarkStart w:id="1668" w:name="_Toc58872051"/>
      <w:bookmarkStart w:id="1669" w:name="_Toc58922798"/>
      <w:bookmarkStart w:id="1670" w:name="_Toc58925380"/>
      <w:bookmarkStart w:id="1671" w:name="_Toc58928882"/>
      <w:bookmarkStart w:id="1672" w:name="_Toc58931250"/>
      <w:bookmarkStart w:id="1673" w:name="_Toc58931884"/>
      <w:bookmarkStart w:id="1674" w:name="_Toc58947409"/>
      <w:bookmarkStart w:id="1675" w:name="_Toc58950491"/>
      <w:bookmarkStart w:id="1676" w:name="_Toc58956783"/>
      <w:bookmarkStart w:id="1677" w:name="_Toc58957948"/>
      <w:bookmarkStart w:id="1678" w:name="_Toc58962481"/>
      <w:bookmarkStart w:id="1679" w:name="_Toc59096510"/>
      <w:bookmarkStart w:id="1680" w:name="_Toc59103106"/>
      <w:bookmarkStart w:id="1681" w:name="_Toc59104957"/>
      <w:bookmarkStart w:id="1682" w:name="_Toc59119917"/>
      <w:bookmarkStart w:id="1683" w:name="_Toc59121181"/>
      <w:bookmarkStart w:id="1684" w:name="_Toc59121300"/>
      <w:bookmarkStart w:id="1685" w:name="_Toc59549353"/>
      <w:bookmarkStart w:id="1686" w:name="_Toc59642306"/>
      <w:r>
        <w:rPr>
          <w:noProof/>
        </w:rPr>
        <w:t>Specific objectives</w:t>
      </w:r>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The initiative more specifically aims at:</w:t>
      </w:r>
    </w:p>
    <w:p>
      <w:pPr>
        <w:pStyle w:val="ListParagraph"/>
        <w:numPr>
          <w:ilvl w:val="0"/>
          <w:numId w:val="27"/>
        </w:numPr>
        <w:spacing w:after="120"/>
        <w:jc w:val="both"/>
        <w:rPr>
          <w:rFonts w:eastAsiaTheme="minorEastAsia"/>
          <w:noProof/>
          <w:sz w:val="24"/>
          <w:szCs w:val="24"/>
        </w:rPr>
      </w:pPr>
      <w:r>
        <w:rPr>
          <w:rFonts w:ascii="Times New Roman" w:hAnsi="Times New Roman" w:cs="Times New Roman"/>
          <w:i/>
          <w:iCs/>
          <w:noProof/>
          <w:sz w:val="24"/>
          <w:szCs w:val="24"/>
          <w:u w:val="single"/>
        </w:rPr>
        <w:t>Empowering workers to enforce their right to equal pay</w:t>
      </w:r>
      <w:r>
        <w:rPr>
          <w:rFonts w:ascii="Times New Roman" w:hAnsi="Times New Roman" w:cs="Times New Roman"/>
          <w:noProof/>
          <w:sz w:val="24"/>
          <w:szCs w:val="24"/>
        </w:rPr>
        <w:t xml:space="preserve">: the initiative aims at bringing instances of pay discrimination to light through transparency, giving workers, especially female workers, the necessary information to act upon them. This objective could be supported by addressing the difficulties relating to </w:t>
      </w:r>
      <w:r>
        <w:rPr>
          <w:rFonts w:ascii="Times New Roman" w:eastAsia="Times New Roman" w:hAnsi="Times New Roman" w:cs="Times New Roman"/>
          <w:noProof/>
          <w:sz w:val="24"/>
          <w:szCs w:val="24"/>
        </w:rPr>
        <w:t xml:space="preserve">the application of the key legal concepts relating to equal pay and the inadequate access to justice. </w:t>
      </w:r>
    </w:p>
    <w:p>
      <w:pPr>
        <w:pStyle w:val="ListParagraph"/>
        <w:numPr>
          <w:ilvl w:val="0"/>
          <w:numId w:val="27"/>
        </w:numPr>
        <w:spacing w:after="120"/>
        <w:ind w:left="714" w:hanging="357"/>
        <w:jc w:val="both"/>
        <w:rPr>
          <w:rFonts w:ascii="Times New Roman" w:eastAsiaTheme="minorEastAsia" w:hAnsi="Times New Roman" w:cs="Times New Roman"/>
          <w:noProof/>
          <w:sz w:val="24"/>
          <w:szCs w:val="24"/>
        </w:rPr>
      </w:pPr>
      <w:r>
        <w:rPr>
          <w:rFonts w:ascii="Times New Roman" w:eastAsia="Times New Roman" w:hAnsi="Times New Roman" w:cs="Times New Roman"/>
          <w:i/>
          <w:iCs/>
          <w:noProof/>
          <w:sz w:val="24"/>
          <w:szCs w:val="24"/>
          <w:u w:val="single"/>
        </w:rPr>
        <w:t>Addressing systemic undervaluation of women’s work at employer level</w:t>
      </w:r>
      <w:r>
        <w:rPr>
          <w:rFonts w:ascii="Times New Roman" w:eastAsia="Times New Roman" w:hAnsi="Times New Roman" w:cs="Times New Roman"/>
          <w:noProof/>
          <w:sz w:val="24"/>
          <w:szCs w:val="24"/>
        </w:rPr>
        <w:t xml:space="preserve">: the initiative aims, through transparency, at correcting </w:t>
      </w:r>
      <w:r>
        <w:rPr>
          <w:rFonts w:ascii="Times New Roman" w:eastAsia="Calibri" w:hAnsi="Times New Roman" w:cs="Times New Roman"/>
          <w:noProof/>
          <w:sz w:val="24"/>
          <w:szCs w:val="24"/>
          <w:lang w:eastAsia="en-IE"/>
        </w:rPr>
        <w:t>biases in pay setting mechanisms that perpetuate the undervaluation of work done by women. Such undervaluation occurs when women’s skills are not or not sufficiently valued in pay structures</w:t>
      </w:r>
      <w:r>
        <w:rPr>
          <w:rFonts w:ascii="Times New Roman" w:eastAsia="Times New Roman" w:hAnsi="Times New Roman" w:cs="Times New Roman"/>
          <w:noProof/>
          <w:sz w:val="24"/>
          <w:szCs w:val="24"/>
        </w:rPr>
        <w:t xml:space="preserve">. This objective could equally be supported by addressing the difficulties relating to the application of the key legal concepts relating to pay and the inadequate access to justice. </w:t>
      </w:r>
    </w:p>
    <w:p>
      <w:pPr>
        <w:pStyle w:val="ListParagraph"/>
        <w:spacing w:after="120"/>
        <w:ind w:left="714"/>
        <w:jc w:val="both"/>
        <w:rPr>
          <w:rFonts w:ascii="Times New Roman" w:eastAsiaTheme="minorEastAsia" w:hAnsi="Times New Roman" w:cs="Times New Roman"/>
          <w:noProof/>
          <w:sz w:val="24"/>
          <w:szCs w:val="24"/>
        </w:rPr>
      </w:pPr>
    </w:p>
    <w:p>
      <w:pPr>
        <w:pStyle w:val="ListParagraph"/>
        <w:spacing w:before="120"/>
        <w:ind w:left="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At the same time, pay transparency measures will help to collect more information and data on the existence and extent of pay discrimination.</w:t>
      </w:r>
    </w:p>
    <w:p>
      <w:pPr>
        <w:pStyle w:val="Heading2"/>
        <w:numPr>
          <w:ilvl w:val="1"/>
          <w:numId w:val="1"/>
        </w:numPr>
        <w:spacing w:after="120"/>
        <w:ind w:left="1276" w:hanging="709"/>
        <w:rPr>
          <w:noProof/>
        </w:rPr>
      </w:pPr>
      <w:bookmarkStart w:id="1687" w:name="_Toc47455469"/>
      <w:bookmarkStart w:id="1688" w:name="_Toc49527874"/>
      <w:bookmarkStart w:id="1689" w:name="_Toc49529995"/>
      <w:bookmarkStart w:id="1690" w:name="_Toc49530659"/>
      <w:bookmarkStart w:id="1691" w:name="_Toc49532609"/>
      <w:bookmarkStart w:id="1692" w:name="_Toc49695778"/>
      <w:bookmarkStart w:id="1693" w:name="_Toc49695957"/>
      <w:bookmarkStart w:id="1694" w:name="_Toc49805477"/>
      <w:bookmarkStart w:id="1695" w:name="_Toc49806189"/>
      <w:bookmarkStart w:id="1696" w:name="_Toc49877751"/>
      <w:bookmarkStart w:id="1697" w:name="_Toc49881144"/>
      <w:bookmarkStart w:id="1698" w:name="_Toc49884205"/>
      <w:bookmarkStart w:id="1699" w:name="_Toc49884281"/>
      <w:bookmarkStart w:id="1700" w:name="_Toc49893537"/>
      <w:bookmarkStart w:id="1701" w:name="_Toc49933925"/>
      <w:bookmarkStart w:id="1702" w:name="_Toc49937837"/>
      <w:bookmarkStart w:id="1703" w:name="_Toc49939208"/>
      <w:bookmarkStart w:id="1704" w:name="_Toc49942058"/>
      <w:bookmarkStart w:id="1705" w:name="_Toc49948526"/>
      <w:bookmarkStart w:id="1706" w:name="_Toc49953000"/>
      <w:bookmarkStart w:id="1707" w:name="_Toc49954750"/>
      <w:bookmarkStart w:id="1708" w:name="_Toc49955767"/>
      <w:bookmarkStart w:id="1709" w:name="_Toc49958267"/>
      <w:bookmarkStart w:id="1710" w:name="_Toc49958462"/>
      <w:bookmarkStart w:id="1711" w:name="_Toc49961980"/>
      <w:bookmarkStart w:id="1712" w:name="_Toc49963167"/>
      <w:bookmarkStart w:id="1713" w:name="_Toc53678190"/>
      <w:bookmarkStart w:id="1714" w:name="_Toc53678410"/>
      <w:bookmarkStart w:id="1715" w:name="_Toc53678730"/>
      <w:bookmarkStart w:id="1716" w:name="_Toc53680081"/>
      <w:bookmarkStart w:id="1717" w:name="_Toc54289103"/>
      <w:bookmarkStart w:id="1718" w:name="_Toc54290574"/>
      <w:bookmarkStart w:id="1719" w:name="_Toc54290943"/>
      <w:bookmarkStart w:id="1720" w:name="_Toc54292069"/>
      <w:bookmarkStart w:id="1721" w:name="_Toc54340627"/>
      <w:bookmarkStart w:id="1722" w:name="_Toc54345729"/>
      <w:bookmarkStart w:id="1723" w:name="_Toc54348742"/>
      <w:bookmarkStart w:id="1724" w:name="_Toc54355072"/>
      <w:bookmarkStart w:id="1725" w:name="_Toc54355051"/>
      <w:bookmarkStart w:id="1726" w:name="_Toc54355597"/>
      <w:bookmarkStart w:id="1727" w:name="_Toc54355745"/>
      <w:bookmarkStart w:id="1728" w:name="_Toc54356113"/>
      <w:bookmarkStart w:id="1729" w:name="_Toc54356664"/>
      <w:bookmarkStart w:id="1730" w:name="_Toc54357531"/>
      <w:bookmarkStart w:id="1731" w:name="_Toc54357628"/>
      <w:bookmarkStart w:id="1732" w:name="_Toc54364592"/>
      <w:bookmarkStart w:id="1733" w:name="_Toc54371200"/>
      <w:bookmarkStart w:id="1734" w:name="_Toc54372037"/>
      <w:bookmarkStart w:id="1735" w:name="_Toc54376644"/>
      <w:bookmarkStart w:id="1736" w:name="_Toc58767194"/>
      <w:bookmarkStart w:id="1737" w:name="_Toc58769501"/>
      <w:bookmarkStart w:id="1738" w:name="_Toc58863840"/>
      <w:bookmarkStart w:id="1739" w:name="_Toc58868867"/>
      <w:bookmarkStart w:id="1740" w:name="_Toc58870698"/>
      <w:bookmarkStart w:id="1741" w:name="_Toc58870931"/>
      <w:bookmarkStart w:id="1742" w:name="_Toc58871837"/>
      <w:bookmarkStart w:id="1743" w:name="_Toc58872052"/>
      <w:bookmarkStart w:id="1744" w:name="_Toc58922799"/>
      <w:bookmarkStart w:id="1745" w:name="_Toc58925381"/>
      <w:bookmarkStart w:id="1746" w:name="_Toc58928883"/>
      <w:bookmarkStart w:id="1747" w:name="_Toc58931251"/>
      <w:bookmarkStart w:id="1748" w:name="_Toc58931885"/>
      <w:bookmarkStart w:id="1749" w:name="_Toc58950492"/>
      <w:bookmarkStart w:id="1750" w:name="_Toc58956784"/>
      <w:bookmarkStart w:id="1751" w:name="_Toc58957949"/>
      <w:bookmarkStart w:id="1752" w:name="_Toc58962482"/>
      <w:bookmarkStart w:id="1753" w:name="_Toc59096511"/>
      <w:bookmarkStart w:id="1754" w:name="_Toc59103107"/>
      <w:bookmarkStart w:id="1755" w:name="_Toc59104958"/>
      <w:bookmarkStart w:id="1756" w:name="_Toc59119918"/>
      <w:bookmarkStart w:id="1757" w:name="_Toc59121182"/>
      <w:bookmarkStart w:id="1758" w:name="_Toc59121301"/>
      <w:bookmarkStart w:id="1759" w:name="_Toc59549354"/>
      <w:bookmarkStart w:id="1760" w:name="_Toc59642307"/>
      <w:r>
        <w:rPr>
          <w:noProof/>
        </w:rPr>
        <w:t>What is the baseline from which options are assessed?</w:t>
      </w:r>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p>
    <w:p>
      <w:pPr>
        <w:autoSpaceDE w:val="0"/>
        <w:autoSpaceDN w:val="0"/>
        <w:adjustRightInd w:val="0"/>
        <w:spacing w:after="120"/>
        <w:jc w:val="both"/>
        <w:rPr>
          <w:rFonts w:ascii="Times New Roman" w:hAnsi="Times New Roman" w:cs="Times New Roman"/>
          <w:noProof/>
          <w:sz w:val="24"/>
          <w:szCs w:val="24"/>
        </w:rPr>
      </w:pPr>
      <w:r>
        <w:rPr>
          <w:rFonts w:ascii="Times New Roman" w:hAnsi="Times New Roman" w:cs="Times New Roman"/>
          <w:noProof/>
          <w:sz w:val="24"/>
          <w:szCs w:val="24"/>
          <w:u w:val="single"/>
        </w:rPr>
        <w:t>EU action through the 2014 Recommendation and the European Semester</w:t>
      </w:r>
      <w:r>
        <w:rPr>
          <w:rFonts w:ascii="Times New Roman" w:hAnsi="Times New Roman" w:cs="Times New Roman"/>
          <w:noProof/>
          <w:sz w:val="24"/>
          <w:szCs w:val="24"/>
        </w:rPr>
        <w:t xml:space="preserve">. </w:t>
      </w:r>
    </w:p>
    <w:p>
      <w:pPr>
        <w:autoSpaceDE w:val="0"/>
        <w:autoSpaceDN w:val="0"/>
        <w:adjustRightInd w:val="0"/>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Under the baseline scenario, the </w:t>
      </w:r>
      <w:r>
        <w:rPr>
          <w:rFonts w:ascii="Times New Roman" w:hAnsi="Times New Roman" w:cs="Times New Roman"/>
          <w:b/>
          <w:bCs/>
          <w:noProof/>
          <w:sz w:val="24"/>
          <w:szCs w:val="24"/>
        </w:rPr>
        <w:t>2014 Recommendation</w:t>
      </w:r>
      <w:r>
        <w:rPr>
          <w:rFonts w:ascii="Times New Roman" w:hAnsi="Times New Roman" w:cs="Times New Roman"/>
          <w:noProof/>
          <w:sz w:val="24"/>
          <w:szCs w:val="24"/>
        </w:rPr>
        <w:t xml:space="preserve"> would remain the main action at EU level to address the problems set out above. In addition, the Commission could continue to issue Country Specific Recommendations (CSRs) in the context of the </w:t>
      </w:r>
      <w:r>
        <w:rPr>
          <w:rFonts w:ascii="Times New Roman" w:hAnsi="Times New Roman" w:cs="Times New Roman"/>
          <w:b/>
          <w:bCs/>
          <w:noProof/>
          <w:sz w:val="24"/>
          <w:szCs w:val="24"/>
        </w:rPr>
        <w:t>European Semester</w:t>
      </w:r>
      <w:r>
        <w:rPr>
          <w:rFonts w:ascii="Times New Roman" w:hAnsi="Times New Roman" w:cs="Times New Roman"/>
          <w:noProof/>
          <w:sz w:val="24"/>
          <w:szCs w:val="24"/>
        </w:rPr>
        <w:t>. In principle, CSRs have the potential to address the phenomenon of the gender pay gap but only from a global perspective and highlight its root causes in Member States. In 2019, the pay gap was addressed in the country reports of 11 Member States</w:t>
      </w:r>
      <w:r>
        <w:rPr>
          <w:rStyle w:val="FootnoteReference"/>
          <w:rFonts w:ascii="Times New Roman" w:hAnsi="Times New Roman" w:cs="Times New Roman"/>
          <w:noProof/>
          <w:sz w:val="24"/>
          <w:szCs w:val="24"/>
        </w:rPr>
        <w:footnoteReference w:id="105"/>
      </w:r>
      <w:r>
        <w:rPr>
          <w:rFonts w:ascii="Times New Roman" w:hAnsi="Times New Roman" w:cs="Times New Roman"/>
          <w:noProof/>
          <w:sz w:val="24"/>
          <w:szCs w:val="24"/>
        </w:rPr>
        <w:t xml:space="preserve"> and a country-specific recommendation on the gender pay gap was issued to one Member State</w:t>
      </w:r>
      <w:r>
        <w:rPr>
          <w:rStyle w:val="FootnoteReference"/>
          <w:rFonts w:ascii="Times New Roman" w:hAnsi="Times New Roman" w:cs="Times New Roman"/>
          <w:noProof/>
          <w:sz w:val="24"/>
          <w:szCs w:val="24"/>
        </w:rPr>
        <w:footnoteReference w:id="106"/>
      </w:r>
      <w:r>
        <w:rPr>
          <w:rFonts w:ascii="Times New Roman" w:hAnsi="Times New Roman" w:cs="Times New Roman"/>
          <w:noProof/>
          <w:sz w:val="24"/>
          <w:szCs w:val="24"/>
        </w:rPr>
        <w:t>. The CSRs can contribute to tackle some of the root causes of the overall gender pay gap e.g. by supporting measures to strengthen work-life balance policies, counter sectoral segregation, or even</w:t>
      </w:r>
      <w:r>
        <w:rPr>
          <w:rFonts w:ascii="Times New Roman" w:hAnsi="Times New Roman" w:cs="Times New Roman"/>
          <w:noProof/>
        </w:rPr>
        <w:t xml:space="preserve"> </w:t>
      </w:r>
      <w:r>
        <w:rPr>
          <w:rFonts w:ascii="Times New Roman" w:hAnsi="Times New Roman" w:cs="Times New Roman"/>
          <w:noProof/>
          <w:sz w:val="24"/>
          <w:szCs w:val="24"/>
        </w:rPr>
        <w:t>suggesting</w:t>
      </w:r>
      <w:r>
        <w:rPr>
          <w:rFonts w:ascii="Times New Roman" w:hAnsi="Times New Roman" w:cs="Times New Roman"/>
          <w:noProof/>
        </w:rPr>
        <w:t xml:space="preserve"> </w:t>
      </w:r>
      <w:r>
        <w:rPr>
          <w:rFonts w:ascii="Times New Roman" w:hAnsi="Times New Roman" w:cs="Times New Roman"/>
          <w:noProof/>
          <w:sz w:val="24"/>
          <w:szCs w:val="24"/>
        </w:rPr>
        <w:t>wage transparency.</w:t>
      </w:r>
    </w:p>
    <w:p>
      <w:pPr>
        <w:autoSpaceDE w:val="0"/>
        <w:autoSpaceDN w:val="0"/>
        <w:adjustRightInd w:val="0"/>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The above actions are, however, unlikely to bring about the desired change and fulfil the objectives set out in sections 4.1 and 4.2. First of all, as shown above, the Recommendation has had limited follow-up in Member States and while a few Member States have recently moved towards more transparency (e.g. PT, ES), most Member States are not undertaking any action or action remains very limited (e.g. only for very large employers, only voluntary, no structural measures) and does not create the necessary level playing field. In regard to action through the European Semester, given the many issues addressed in the European Semester, the CSRs cannot reach the necessary level of detail to address the implementation of the principle of equal pay at employer level nor to reinforce victims’ protection or support. In addition, the European Semester is being reshaped towards a focus on the monitoring of Recovery and Resilience Plans and relevant challenges, in particular in the context of the green and digital transition. Hence, while country specific recommendations could be a useful policy tool, they could only </w:t>
      </w:r>
      <w:r>
        <w:rPr>
          <w:rFonts w:ascii="Times New Roman" w:hAnsi="Times New Roman" w:cs="Times New Roman"/>
          <w:i/>
          <w:iCs/>
          <w:noProof/>
          <w:sz w:val="24"/>
          <w:szCs w:val="24"/>
        </w:rPr>
        <w:t>complement</w:t>
      </w:r>
      <w:r>
        <w:rPr>
          <w:rFonts w:ascii="Times New Roman" w:hAnsi="Times New Roman" w:cs="Times New Roman"/>
          <w:noProof/>
          <w:sz w:val="24"/>
          <w:szCs w:val="24"/>
        </w:rPr>
        <w:t xml:space="preserve"> legislative measures on pay transparency and, more generally, strengthen a comprehensive approach in tackling the gender pay gap.</w:t>
      </w:r>
    </w:p>
    <w:p>
      <w:pPr>
        <w:spacing w:after="120"/>
        <w:jc w:val="both"/>
        <w:rPr>
          <w:rFonts w:ascii="Times New Roman" w:eastAsiaTheme="minorEastAsia" w:hAnsi="Times New Roman" w:cs="Times New Roman"/>
          <w:noProof/>
          <w:sz w:val="24"/>
          <w:szCs w:val="24"/>
        </w:rPr>
      </w:pPr>
      <w:r>
        <w:rPr>
          <w:rFonts w:ascii="Times New Roman" w:hAnsi="Times New Roman" w:cs="Times New Roman"/>
          <w:noProof/>
          <w:sz w:val="24"/>
          <w:szCs w:val="24"/>
          <w:u w:val="single"/>
        </w:rPr>
        <w:t>Trends in the labour marke</w:t>
      </w:r>
      <w:r>
        <w:rPr>
          <w:rFonts w:ascii="Times New Roman" w:hAnsi="Times New Roman" w:cs="Times New Roman"/>
          <w:noProof/>
          <w:sz w:val="24"/>
          <w:szCs w:val="24"/>
        </w:rPr>
        <w:t>t (see</w:t>
      </w:r>
      <w:r>
        <w:rPr>
          <w:rFonts w:ascii="Times New Roman" w:hAnsi="Times New Roman" w:cs="Times New Roman"/>
          <w:i/>
          <w:iCs/>
          <w:noProof/>
          <w:sz w:val="24"/>
          <w:szCs w:val="24"/>
        </w:rPr>
        <w:t xml:space="preserve"> Annex 5, section 6</w:t>
      </w:r>
      <w:r>
        <w:rPr>
          <w:rFonts w:ascii="Times New Roman" w:hAnsi="Times New Roman" w:cs="Times New Roman"/>
          <w:noProof/>
          <w:sz w:val="24"/>
          <w:szCs w:val="24"/>
        </w:rPr>
        <w:t>). Before the</w:t>
      </w:r>
      <w:r>
        <w:rPr>
          <w:rFonts w:ascii="Times New Roman" w:hAnsi="Times New Roman" w:cs="Times New Roman"/>
          <w:i/>
          <w:iCs/>
          <w:noProof/>
          <w:sz w:val="24"/>
          <w:szCs w:val="24"/>
        </w:rPr>
        <w:t xml:space="preserve"> COVID-19 pandemic</w:t>
      </w:r>
      <w:r>
        <w:rPr>
          <w:rFonts w:ascii="Times New Roman" w:hAnsi="Times New Roman" w:cs="Times New Roman"/>
          <w:noProof/>
          <w:sz w:val="24"/>
          <w:szCs w:val="24"/>
        </w:rPr>
        <w:t>, w</w:t>
      </w:r>
      <w:r>
        <w:rPr>
          <w:rFonts w:ascii="Times New Roman" w:eastAsiaTheme="minorEastAsia" w:hAnsi="Times New Roman" w:cs="Times New Roman"/>
          <w:noProof/>
          <w:sz w:val="24"/>
          <w:szCs w:val="24"/>
        </w:rPr>
        <w:t>omen had largely reduced, if not reversed, some differences in the average characteristics relating to pay compared to men: they have surpassed men regarding the level of education and are moving, though slowly, into areas that were traditionally men-dominated such as construction, transport and automotive services. These elements, which were important in explaining differences in average pay in the past, may be expected to contribute less and less in further reducing the relative pay differences. Today, the justified pay gap represents a third of the total gender pay gap; in the future, a further reduction in the gender pay gap may be expected to result mainly from changes in the unexplained component, including gender pay discrimination. At the same time, trends in wage setting – e.g. moving away from collective towards more individualised payments linked to new forms of work – are increasing the scope for discretionary pay and therefore could put women further in disadvantage (as they are more likely victims of pay discrimination) (</w:t>
      </w:r>
      <w:r>
        <w:rPr>
          <w:rFonts w:ascii="Times New Roman" w:eastAsiaTheme="minorEastAsia" w:hAnsi="Times New Roman" w:cs="Times New Roman"/>
          <w:i/>
          <w:iCs/>
          <w:noProof/>
          <w:sz w:val="24"/>
          <w:szCs w:val="24"/>
        </w:rPr>
        <w:t>see</w:t>
      </w:r>
      <w:r>
        <w:rPr>
          <w:rFonts w:ascii="Times New Roman" w:eastAsiaTheme="minorEastAsia" w:hAnsi="Times New Roman" w:cs="Times New Roman"/>
          <w:noProof/>
          <w:sz w:val="24"/>
          <w:szCs w:val="24"/>
        </w:rPr>
        <w:t xml:space="preserve"> </w:t>
      </w:r>
      <w:r>
        <w:rPr>
          <w:rFonts w:ascii="Times New Roman" w:eastAsiaTheme="minorEastAsia" w:hAnsi="Times New Roman" w:cs="Times New Roman"/>
          <w:i/>
          <w:iCs/>
          <w:noProof/>
          <w:sz w:val="24"/>
          <w:szCs w:val="24"/>
        </w:rPr>
        <w:t>section 2.1</w:t>
      </w:r>
      <w:r>
        <w:rPr>
          <w:rFonts w:ascii="Times New Roman" w:eastAsiaTheme="minorEastAsia" w:hAnsi="Times New Roman" w:cs="Times New Roman"/>
          <w:noProof/>
          <w:sz w:val="24"/>
          <w:szCs w:val="24"/>
        </w:rPr>
        <w:t>). As a consequence, it seems unlikely that without any positive intervention through binding measures, the rate of reduction of the unexplained part of the gender pay gap – which covers possible discrimination – could accelerate.</w:t>
      </w:r>
      <w:r>
        <w:rPr>
          <w:rStyle w:val="FootnoteReference"/>
          <w:rFonts w:ascii="Times New Roman" w:eastAsiaTheme="minorEastAsia" w:hAnsi="Times New Roman" w:cs="Times New Roman"/>
          <w:noProof/>
          <w:sz w:val="24"/>
          <w:szCs w:val="24"/>
        </w:rPr>
        <w:footnoteReference w:id="107"/>
      </w:r>
    </w:p>
    <w:p>
      <w:pPr>
        <w:pStyle w:val="CommentText"/>
        <w:spacing w:after="120" w:line="276" w:lineRule="auto"/>
        <w:jc w:val="both"/>
        <w:rPr>
          <w:rFonts w:ascii="Times New Roman" w:eastAsia="Times New Roman" w:hAnsi="Times New Roman" w:cs="Times New Roman"/>
          <w:noProof/>
          <w:sz w:val="24"/>
          <w:szCs w:val="24"/>
          <w:lang w:eastAsia="fr-FR"/>
        </w:rPr>
      </w:pPr>
      <w:r>
        <w:rPr>
          <w:rFonts w:ascii="Times New Roman" w:hAnsi="Times New Roman" w:cs="Times New Roman"/>
          <w:noProof/>
          <w:sz w:val="24"/>
          <w:szCs w:val="24"/>
          <w:u w:val="single"/>
        </w:rPr>
        <w:t>Effects of the COVID-19 pandemic</w:t>
      </w:r>
      <w:r>
        <w:rPr>
          <w:rFonts w:ascii="Times New Roman" w:hAnsi="Times New Roman" w:cs="Times New Roman"/>
          <w:noProof/>
          <w:sz w:val="24"/>
          <w:szCs w:val="24"/>
        </w:rPr>
        <w:t>. The profound changes in the socio-economic landscape</w:t>
      </w:r>
      <w:r>
        <w:rPr>
          <w:rFonts w:ascii="Times New Roman" w:hAnsi="Times New Roman" w:cs="Times New Roman"/>
          <w:noProof/>
          <w:sz w:val="24"/>
          <w:szCs w:val="24"/>
          <w:vertAlign w:val="superscript"/>
        </w:rPr>
        <w:footnoteReference w:id="108"/>
      </w:r>
      <w:r>
        <w:rPr>
          <w:rFonts w:ascii="Times New Roman" w:hAnsi="Times New Roman" w:cs="Times New Roman"/>
          <w:noProof/>
          <w:sz w:val="24"/>
          <w:szCs w:val="24"/>
        </w:rPr>
        <w:t xml:space="preserve">, though still to be fully manifested, have already shown a </w:t>
      </w:r>
      <w:r>
        <w:rPr>
          <w:rFonts w:ascii="Times New Roman" w:hAnsi="Times New Roman" w:cs="Times New Roman"/>
          <w:i/>
          <w:iCs/>
          <w:noProof/>
          <w:sz w:val="24"/>
          <w:szCs w:val="24"/>
        </w:rPr>
        <w:t xml:space="preserve">gendered effect </w:t>
      </w:r>
      <w:r>
        <w:rPr>
          <w:rFonts w:ascii="Times New Roman" w:hAnsi="Times New Roman" w:cs="Times New Roman"/>
          <w:iCs/>
          <w:noProof/>
          <w:sz w:val="24"/>
          <w:szCs w:val="24"/>
        </w:rPr>
        <w:t>(see section 2.4)</w:t>
      </w:r>
      <w:r>
        <w:rPr>
          <w:rFonts w:ascii="Times New Roman" w:hAnsi="Times New Roman" w:cs="Times New Roman"/>
          <w:noProof/>
          <w:sz w:val="24"/>
          <w:szCs w:val="24"/>
        </w:rPr>
        <w:t>. The pandemic has had a strong impact</w:t>
      </w:r>
      <w:r>
        <w:rPr>
          <w:rFonts w:ascii="Times New Roman" w:hAnsi="Times New Roman" w:cs="Times New Roman"/>
          <w:noProof/>
          <w:sz w:val="24"/>
          <w:szCs w:val="24"/>
          <w:vertAlign w:val="superscript"/>
        </w:rPr>
        <w:footnoteReference w:id="109"/>
      </w:r>
      <w:r>
        <w:rPr>
          <w:rFonts w:ascii="Times New Roman" w:hAnsi="Times New Roman" w:cs="Times New Roman"/>
          <w:noProof/>
          <w:sz w:val="24"/>
          <w:szCs w:val="24"/>
        </w:rPr>
        <w:t xml:space="preserve"> in sectors in which women are overrepresented</w:t>
      </w:r>
      <w:r>
        <w:rPr>
          <w:rStyle w:val="FootnoteReference"/>
          <w:rFonts w:ascii="Times New Roman" w:hAnsi="Times New Roman" w:cs="Times New Roman"/>
          <w:noProof/>
          <w:sz w:val="24"/>
          <w:szCs w:val="24"/>
        </w:rPr>
        <w:footnoteReference w:id="110"/>
      </w:r>
      <w:r>
        <w:rPr>
          <w:rFonts w:ascii="Times New Roman" w:hAnsi="Times New Roman" w:cs="Times New Roman"/>
          <w:noProof/>
          <w:sz w:val="24"/>
          <w:szCs w:val="24"/>
        </w:rPr>
        <w:t xml:space="preserve">, namely retail trade, transport, hospitality and tourism. Women have also been more affected in their work-life balance, due </w:t>
      </w:r>
      <w:r>
        <w:rPr>
          <w:rFonts w:ascii="Times New Roman" w:eastAsia="Times New Roman" w:hAnsi="Times New Roman" w:cs="Times New Roman"/>
          <w:noProof/>
          <w:sz w:val="24"/>
          <w:szCs w:val="24"/>
          <w:lang w:eastAsia="fr-FR"/>
        </w:rPr>
        <w:t>to increased care responsibilities.</w:t>
      </w:r>
      <w:r>
        <w:rPr>
          <w:rStyle w:val="FootnoteReference"/>
          <w:rFonts w:ascii="Times New Roman" w:eastAsia="Times New Roman" w:hAnsi="Times New Roman" w:cs="Times New Roman"/>
          <w:noProof/>
          <w:sz w:val="24"/>
          <w:szCs w:val="24"/>
          <w:lang w:eastAsia="fr-FR"/>
        </w:rPr>
        <w:footnoteReference w:id="111"/>
      </w:r>
      <w:r>
        <w:rPr>
          <w:rFonts w:ascii="Times New Roman" w:eastAsiaTheme="minorEastAsia" w:hAnsi="Times New Roman" w:cs="Times New Roman"/>
          <w:noProof/>
          <w:sz w:val="24"/>
          <w:szCs w:val="24"/>
        </w:rPr>
        <w:t xml:space="preserve"> While t</w:t>
      </w:r>
      <w:r>
        <w:rPr>
          <w:rFonts w:ascii="Times New Roman" w:eastAsia="Times New Roman" w:hAnsi="Times New Roman" w:cs="Times New Roman"/>
          <w:noProof/>
          <w:sz w:val="24"/>
          <w:szCs w:val="24"/>
          <w:lang w:eastAsia="fr-FR"/>
        </w:rPr>
        <w:t>he boost towards smart working might increase women’s possibilities for entry into and retention within higher level jobs, there is also a risk that these might lead to more precarious and atypical jobs (e.g. replacing employment contracts of some teleworking workers with outsourcing of services via online platform work). The shift towards more automation to allow social distancing could also, once the pandemic will be over, push in the same direction</w:t>
      </w:r>
      <w:r>
        <w:rPr>
          <w:rFonts w:ascii="Times New Roman" w:eastAsiaTheme="minorEastAsia" w:hAnsi="Times New Roman" w:cs="Times New Roman"/>
          <w:noProof/>
          <w:sz w:val="24"/>
          <w:szCs w:val="24"/>
        </w:rPr>
        <w:t>. It</w:t>
      </w:r>
      <w:r>
        <w:rPr>
          <w:rFonts w:ascii="Times New Roman" w:hAnsi="Times New Roman" w:cs="Times New Roman"/>
          <w:noProof/>
          <w:sz w:val="24"/>
          <w:szCs w:val="24"/>
        </w:rPr>
        <w:t xml:space="preserve"> is also still unclear what will be the effect of policy efforts from the EU</w:t>
      </w:r>
      <w:r>
        <w:rPr>
          <w:rFonts w:ascii="Times New Roman" w:hAnsi="Times New Roman" w:cs="Times New Roman"/>
          <w:noProof/>
          <w:sz w:val="24"/>
          <w:szCs w:val="24"/>
          <w:vertAlign w:val="superscript"/>
        </w:rPr>
        <w:footnoteReference w:id="112"/>
      </w:r>
      <w:r>
        <w:rPr>
          <w:rFonts w:ascii="Times New Roman" w:hAnsi="Times New Roman" w:cs="Times New Roman"/>
          <w:noProof/>
          <w:sz w:val="24"/>
          <w:szCs w:val="24"/>
        </w:rPr>
        <w:t xml:space="preserve"> and Member States to limit the economic impact of the pandemic and sustain the subsequent recovery, and to what extent these might take into account a gender-sensitive perspective.</w:t>
      </w:r>
      <w:r>
        <w:rPr>
          <w:rFonts w:ascii="Times New Roman" w:eastAsiaTheme="minorEastAsia" w:hAnsi="Times New Roman" w:cs="Times New Roman"/>
          <w:noProof/>
          <w:sz w:val="24"/>
          <w:szCs w:val="24"/>
        </w:rPr>
        <w:t xml:space="preserve"> </w:t>
      </w:r>
    </w:p>
    <w:p>
      <w:pPr>
        <w:pStyle w:val="Heading1"/>
        <w:numPr>
          <w:ilvl w:val="0"/>
          <w:numId w:val="1"/>
        </w:numPr>
        <w:tabs>
          <w:tab w:val="clear" w:pos="2640"/>
          <w:tab w:val="num" w:pos="567"/>
        </w:tabs>
        <w:spacing w:before="120" w:after="120" w:line="276" w:lineRule="auto"/>
        <w:ind w:left="2642" w:hanging="2642"/>
        <w:rPr>
          <w:smallCaps w:val="0"/>
          <w:noProof/>
        </w:rPr>
      </w:pPr>
      <w:bookmarkStart w:id="1761" w:name="_Toc49800457"/>
      <w:bookmarkStart w:id="1762" w:name="_Toc49804406"/>
      <w:bookmarkStart w:id="1763" w:name="_Toc49804566"/>
      <w:bookmarkStart w:id="1764" w:name="_Toc49804656"/>
      <w:bookmarkStart w:id="1765" w:name="_Toc49804731"/>
      <w:bookmarkStart w:id="1766" w:name="_Toc49804806"/>
      <w:bookmarkStart w:id="1767" w:name="_Toc49805478"/>
      <w:bookmarkStart w:id="1768" w:name="_Toc49806137"/>
      <w:bookmarkStart w:id="1769" w:name="_Toc49806190"/>
      <w:bookmarkStart w:id="1770" w:name="_Toc49810588"/>
      <w:bookmarkStart w:id="1771" w:name="_Toc49811121"/>
      <w:bookmarkStart w:id="1772" w:name="_Toc49876183"/>
      <w:bookmarkStart w:id="1773" w:name="_Toc49876285"/>
      <w:bookmarkStart w:id="1774" w:name="_Toc49877352"/>
      <w:bookmarkStart w:id="1775" w:name="_Toc49877809"/>
      <w:bookmarkStart w:id="1776" w:name="_Toc49878095"/>
      <w:bookmarkStart w:id="1777" w:name="_Toc49878225"/>
      <w:bookmarkStart w:id="1778" w:name="_Toc49878290"/>
      <w:bookmarkStart w:id="1779" w:name="_Toc49878345"/>
      <w:bookmarkStart w:id="1780" w:name="_Toc49878410"/>
      <w:bookmarkStart w:id="1781" w:name="_Toc49878558"/>
      <w:bookmarkStart w:id="1782" w:name="_Toc49878648"/>
      <w:bookmarkStart w:id="1783" w:name="_Toc49878761"/>
      <w:bookmarkStart w:id="1784" w:name="_Toc49878826"/>
      <w:bookmarkStart w:id="1785" w:name="_Toc49879060"/>
      <w:bookmarkStart w:id="1786" w:name="_Toc49879429"/>
      <w:bookmarkStart w:id="1787" w:name="_Toc49879569"/>
      <w:bookmarkStart w:id="1788" w:name="_Toc49879637"/>
      <w:bookmarkStart w:id="1789" w:name="_Toc49879705"/>
      <w:bookmarkStart w:id="1790" w:name="_Toc49879773"/>
      <w:bookmarkStart w:id="1791" w:name="_Toc49879885"/>
      <w:bookmarkStart w:id="1792" w:name="_Toc49879953"/>
      <w:bookmarkStart w:id="1793" w:name="_Toc49880135"/>
      <w:bookmarkStart w:id="1794" w:name="_Toc49880203"/>
      <w:bookmarkStart w:id="1795" w:name="_Toc49880433"/>
      <w:bookmarkStart w:id="1796" w:name="_Toc49880501"/>
      <w:bookmarkStart w:id="1797" w:name="_Toc49880986"/>
      <w:bookmarkStart w:id="1798" w:name="_Toc49881145"/>
      <w:bookmarkStart w:id="1799" w:name="_Toc49881664"/>
      <w:bookmarkStart w:id="1800" w:name="_Toc49883534"/>
      <w:bookmarkStart w:id="1801" w:name="_Toc49883772"/>
      <w:bookmarkStart w:id="1802" w:name="_Toc49884138"/>
      <w:bookmarkStart w:id="1803" w:name="_Toc49884206"/>
      <w:bookmarkStart w:id="1804" w:name="_Toc49884282"/>
      <w:bookmarkStart w:id="1805" w:name="_Toc49888709"/>
      <w:bookmarkStart w:id="1806" w:name="_Toc49893538"/>
      <w:bookmarkStart w:id="1807" w:name="_Toc49893852"/>
      <w:bookmarkStart w:id="1808" w:name="_Toc49895367"/>
      <w:bookmarkStart w:id="1809" w:name="_Toc49896902"/>
      <w:bookmarkStart w:id="1810" w:name="_Toc49926266"/>
      <w:bookmarkStart w:id="1811" w:name="_Toc49928820"/>
      <w:bookmarkStart w:id="1812" w:name="_Toc49928890"/>
      <w:bookmarkStart w:id="1813" w:name="_Toc49928970"/>
      <w:bookmarkStart w:id="1814" w:name="_Toc49930179"/>
      <w:bookmarkStart w:id="1815" w:name="_Toc49930401"/>
      <w:bookmarkStart w:id="1816" w:name="_Toc49930471"/>
      <w:bookmarkStart w:id="1817" w:name="_Toc49930541"/>
      <w:bookmarkStart w:id="1818" w:name="_Toc49930611"/>
      <w:bookmarkStart w:id="1819" w:name="_Toc49930681"/>
      <w:bookmarkStart w:id="1820" w:name="_Toc49930822"/>
      <w:bookmarkStart w:id="1821" w:name="_Toc49930965"/>
      <w:bookmarkStart w:id="1822" w:name="_Toc49931219"/>
      <w:bookmarkStart w:id="1823" w:name="_Toc49931425"/>
      <w:bookmarkStart w:id="1824" w:name="_Toc49931726"/>
      <w:bookmarkStart w:id="1825" w:name="_Toc49931859"/>
      <w:bookmarkStart w:id="1826" w:name="_Toc49932164"/>
      <w:bookmarkStart w:id="1827" w:name="_Toc49932295"/>
      <w:bookmarkStart w:id="1828" w:name="_Toc49932853"/>
      <w:bookmarkStart w:id="1829" w:name="_Toc49933187"/>
      <w:bookmarkStart w:id="1830" w:name="_Toc49933257"/>
      <w:bookmarkStart w:id="1831" w:name="_Toc49933783"/>
      <w:bookmarkStart w:id="1832" w:name="_Toc49933926"/>
      <w:bookmarkStart w:id="1833" w:name="_Toc49934052"/>
      <w:bookmarkStart w:id="1834" w:name="_Toc49934167"/>
      <w:bookmarkStart w:id="1835" w:name="_Toc49934848"/>
      <w:bookmarkStart w:id="1836" w:name="_Toc49935113"/>
      <w:bookmarkStart w:id="1837" w:name="_Toc49935183"/>
      <w:bookmarkStart w:id="1838" w:name="_Toc49935403"/>
      <w:bookmarkStart w:id="1839" w:name="_Toc49935473"/>
      <w:bookmarkStart w:id="1840" w:name="_Toc49935650"/>
      <w:bookmarkStart w:id="1841" w:name="_Toc49936061"/>
      <w:bookmarkStart w:id="1842" w:name="_Toc49936131"/>
      <w:bookmarkStart w:id="1843" w:name="_Toc49936201"/>
      <w:bookmarkStart w:id="1844" w:name="_Toc49937022"/>
      <w:bookmarkStart w:id="1845" w:name="_Toc49937140"/>
      <w:bookmarkStart w:id="1846" w:name="_Toc49937649"/>
      <w:bookmarkStart w:id="1847" w:name="_Toc49938029"/>
      <w:bookmarkStart w:id="1848" w:name="_Toc49938834"/>
      <w:bookmarkStart w:id="1849" w:name="_Toc49938967"/>
      <w:bookmarkStart w:id="1850" w:name="_Toc49939076"/>
      <w:bookmarkStart w:id="1851" w:name="_Toc49939146"/>
      <w:bookmarkStart w:id="1852" w:name="_Toc49939209"/>
      <w:bookmarkStart w:id="1853" w:name="_Toc49939279"/>
      <w:bookmarkStart w:id="1854" w:name="_Toc49939581"/>
      <w:bookmarkStart w:id="1855" w:name="_Toc49939927"/>
      <w:bookmarkStart w:id="1856" w:name="_Toc49940462"/>
      <w:bookmarkStart w:id="1857" w:name="_Toc49941613"/>
      <w:bookmarkStart w:id="1858" w:name="_Toc49941683"/>
      <w:bookmarkStart w:id="1859" w:name="_Toc49942059"/>
      <w:bookmarkStart w:id="1860" w:name="_Toc49942243"/>
      <w:bookmarkStart w:id="1861" w:name="_Toc49942451"/>
      <w:bookmarkStart w:id="1862" w:name="_Toc49942685"/>
      <w:bookmarkStart w:id="1863" w:name="_Toc49942800"/>
      <w:bookmarkStart w:id="1864" w:name="_Toc49944337"/>
      <w:bookmarkStart w:id="1865" w:name="_Toc49945114"/>
      <w:bookmarkStart w:id="1866" w:name="_Toc49945908"/>
      <w:bookmarkStart w:id="1867" w:name="_Toc49946266"/>
      <w:bookmarkStart w:id="1868" w:name="_Toc49946553"/>
      <w:bookmarkStart w:id="1869" w:name="_Toc49946662"/>
      <w:bookmarkStart w:id="1870" w:name="_Toc49947262"/>
      <w:bookmarkStart w:id="1871" w:name="_Toc49946365"/>
      <w:bookmarkStart w:id="1872" w:name="_Toc49947144"/>
      <w:bookmarkStart w:id="1873" w:name="_Toc49947398"/>
      <w:bookmarkStart w:id="1874" w:name="_Toc49947776"/>
      <w:bookmarkStart w:id="1875" w:name="_Toc49947871"/>
      <w:bookmarkStart w:id="1876" w:name="_Toc49947941"/>
      <w:bookmarkStart w:id="1877" w:name="_Toc49948036"/>
      <w:bookmarkStart w:id="1878" w:name="_Toc49948106"/>
      <w:bookmarkStart w:id="1879" w:name="_Toc49948317"/>
      <w:bookmarkStart w:id="1880" w:name="_Toc49948387"/>
      <w:bookmarkStart w:id="1881" w:name="_Toc49948457"/>
      <w:bookmarkStart w:id="1882" w:name="_Toc49948527"/>
      <w:bookmarkStart w:id="1883" w:name="_Toc49948646"/>
      <w:bookmarkStart w:id="1884" w:name="_Toc49943496"/>
      <w:bookmarkStart w:id="1885" w:name="_Toc49948740"/>
      <w:bookmarkStart w:id="1886" w:name="_Toc49949533"/>
      <w:bookmarkStart w:id="1887" w:name="_Toc49949603"/>
      <w:bookmarkStart w:id="1888" w:name="_Toc49950639"/>
      <w:bookmarkStart w:id="1889" w:name="_Toc49948716"/>
      <w:bookmarkStart w:id="1890" w:name="_Toc49950806"/>
      <w:bookmarkStart w:id="1891" w:name="_Toc49951157"/>
      <w:bookmarkStart w:id="1892" w:name="_Toc49951408"/>
      <w:bookmarkStart w:id="1893" w:name="_Toc49951468"/>
      <w:bookmarkStart w:id="1894" w:name="_Toc49951575"/>
      <w:bookmarkStart w:id="1895" w:name="_Toc49951662"/>
      <w:bookmarkStart w:id="1896" w:name="_Toc49951732"/>
      <w:bookmarkStart w:id="1897" w:name="_Toc49951971"/>
      <w:bookmarkStart w:id="1898" w:name="_Toc49952070"/>
      <w:bookmarkStart w:id="1899" w:name="_Toc49952246"/>
      <w:bookmarkStart w:id="1900" w:name="_Toc49953001"/>
      <w:bookmarkStart w:id="1901" w:name="_Toc49953092"/>
      <w:bookmarkStart w:id="1902" w:name="_Toc49953162"/>
      <w:bookmarkStart w:id="1903" w:name="_Toc49952946"/>
      <w:bookmarkStart w:id="1904" w:name="_Toc49953877"/>
      <w:bookmarkStart w:id="1905" w:name="_Toc49953947"/>
      <w:bookmarkStart w:id="1906" w:name="_Toc49954100"/>
      <w:bookmarkStart w:id="1907" w:name="_Toc49949661"/>
      <w:bookmarkStart w:id="1908" w:name="_Toc49953661"/>
      <w:bookmarkStart w:id="1909" w:name="_Toc49953786"/>
      <w:bookmarkStart w:id="1910" w:name="_Toc49954166"/>
      <w:bookmarkStart w:id="1911" w:name="_Toc49954273"/>
      <w:bookmarkStart w:id="1912" w:name="_Toc49954376"/>
      <w:bookmarkStart w:id="1913" w:name="_Toc49954271"/>
      <w:bookmarkStart w:id="1914" w:name="_Toc49954507"/>
      <w:bookmarkStart w:id="1915" w:name="_Toc49954577"/>
      <w:bookmarkStart w:id="1916" w:name="_Toc49954647"/>
      <w:bookmarkStart w:id="1917" w:name="_Toc49954524"/>
      <w:bookmarkStart w:id="1918" w:name="_Toc49954751"/>
      <w:bookmarkStart w:id="1919" w:name="_Toc49954806"/>
      <w:bookmarkStart w:id="1920" w:name="_Toc49954876"/>
      <w:bookmarkStart w:id="1921" w:name="_Toc49954664"/>
      <w:bookmarkStart w:id="1922" w:name="_Toc49954970"/>
      <w:bookmarkStart w:id="1923" w:name="_Toc49955040"/>
      <w:bookmarkStart w:id="1924" w:name="_Toc49955110"/>
      <w:bookmarkStart w:id="1925" w:name="_Toc49955057"/>
      <w:bookmarkStart w:id="1926" w:name="_Toc49955250"/>
      <w:bookmarkStart w:id="1927" w:name="_Toc49955320"/>
      <w:bookmarkStart w:id="1928" w:name="_Toc49955390"/>
      <w:bookmarkStart w:id="1929" w:name="_Toc49955698"/>
      <w:bookmarkStart w:id="1930" w:name="_Toc49955768"/>
      <w:bookmarkStart w:id="1931" w:name="_Toc49956123"/>
      <w:bookmarkStart w:id="1932" w:name="_Toc49958268"/>
      <w:bookmarkStart w:id="1933" w:name="_Toc49958393"/>
      <w:bookmarkStart w:id="1934" w:name="_Toc49958463"/>
      <w:bookmarkStart w:id="1935" w:name="_Toc49958533"/>
      <w:bookmarkStart w:id="1936" w:name="_Toc53678191"/>
      <w:bookmarkStart w:id="1937" w:name="_Toc53678411"/>
      <w:bookmarkStart w:id="1938" w:name="_Toc53678731"/>
      <w:bookmarkStart w:id="1939" w:name="_Toc53680082"/>
      <w:bookmarkStart w:id="1940" w:name="_Toc54289104"/>
      <w:bookmarkStart w:id="1941" w:name="_Toc54290575"/>
      <w:bookmarkStart w:id="1942" w:name="_Toc54290944"/>
      <w:bookmarkStart w:id="1943" w:name="_Toc54292070"/>
      <w:bookmarkStart w:id="1944" w:name="_Toc54340628"/>
      <w:bookmarkStart w:id="1945" w:name="_Toc54345730"/>
      <w:bookmarkStart w:id="1946" w:name="_Toc54348743"/>
      <w:bookmarkStart w:id="1947" w:name="_Toc54355073"/>
      <w:bookmarkStart w:id="1948" w:name="_Toc54355052"/>
      <w:bookmarkStart w:id="1949" w:name="_Toc54355598"/>
      <w:bookmarkStart w:id="1950" w:name="_Toc54355746"/>
      <w:bookmarkStart w:id="1951" w:name="_Toc54356114"/>
      <w:bookmarkStart w:id="1952" w:name="_Toc54356665"/>
      <w:bookmarkStart w:id="1953" w:name="_Toc54357532"/>
      <w:bookmarkStart w:id="1954" w:name="_Toc54357629"/>
      <w:bookmarkStart w:id="1955" w:name="_Toc54364593"/>
      <w:bookmarkStart w:id="1956" w:name="_Toc54371201"/>
      <w:bookmarkStart w:id="1957" w:name="_Toc54372038"/>
      <w:bookmarkStart w:id="1958" w:name="_Toc54376645"/>
      <w:bookmarkStart w:id="1959" w:name="_Toc58767195"/>
      <w:bookmarkStart w:id="1960" w:name="_Toc58769502"/>
      <w:bookmarkStart w:id="1961" w:name="_Toc58863841"/>
      <w:bookmarkStart w:id="1962" w:name="_Toc58868868"/>
      <w:bookmarkStart w:id="1963" w:name="_Toc58870699"/>
      <w:bookmarkStart w:id="1964" w:name="_Toc58870932"/>
      <w:bookmarkStart w:id="1965" w:name="_Toc58871838"/>
      <w:bookmarkStart w:id="1966" w:name="_Toc58872053"/>
      <w:bookmarkStart w:id="1967" w:name="_Toc58922800"/>
      <w:bookmarkStart w:id="1968" w:name="_Toc58925382"/>
      <w:bookmarkStart w:id="1969" w:name="_Toc58928884"/>
      <w:bookmarkStart w:id="1970" w:name="_Toc58931252"/>
      <w:bookmarkStart w:id="1971" w:name="_Toc58931886"/>
      <w:bookmarkStart w:id="1972" w:name="_Toc58950493"/>
      <w:bookmarkStart w:id="1973" w:name="_Toc58956785"/>
      <w:bookmarkStart w:id="1974" w:name="_Toc58957950"/>
      <w:bookmarkStart w:id="1975" w:name="_Toc58962483"/>
      <w:bookmarkStart w:id="1976" w:name="_Toc59096512"/>
      <w:bookmarkStart w:id="1977" w:name="_Toc59103108"/>
      <w:bookmarkStart w:id="1978" w:name="_Toc59104959"/>
      <w:bookmarkStart w:id="1979" w:name="_Toc59119919"/>
      <w:bookmarkStart w:id="1980" w:name="_Toc59121183"/>
      <w:bookmarkStart w:id="1981" w:name="_Toc59121302"/>
      <w:bookmarkStart w:id="1982" w:name="_Toc59549355"/>
      <w:bookmarkStart w:id="1983" w:name="_Toc59642308"/>
      <w:bookmarkStart w:id="1984" w:name="_Toc49527875"/>
      <w:bookmarkStart w:id="1985" w:name="_Toc49529996"/>
      <w:bookmarkStart w:id="1986" w:name="_Toc49530660"/>
      <w:bookmarkStart w:id="1987" w:name="_Toc49532610"/>
      <w:bookmarkStart w:id="1988" w:name="_Toc49695779"/>
      <w:bookmarkStart w:id="1989" w:name="_Toc49695958"/>
      <w:bookmarkStart w:id="1990" w:name="_Toc49805479"/>
      <w:bookmarkStart w:id="1991" w:name="_Toc49806191"/>
      <w:bookmarkStart w:id="1992" w:name="_Toc49877752"/>
      <w:bookmarkStart w:id="1993" w:name="_Toc49881146"/>
      <w:bookmarkStart w:id="1994" w:name="_Toc49884207"/>
      <w:bookmarkStart w:id="1995" w:name="_Toc49884283"/>
      <w:bookmarkStart w:id="1996" w:name="_Toc49893539"/>
      <w:bookmarkStart w:id="1997" w:name="_Toc49933927"/>
      <w:bookmarkStart w:id="1998" w:name="_Toc49937838"/>
      <w:bookmarkStart w:id="1999" w:name="_Toc49939210"/>
      <w:bookmarkStart w:id="2000" w:name="_Toc49942060"/>
      <w:bookmarkStart w:id="2001" w:name="_Toc49948528"/>
      <w:bookmarkStart w:id="2002" w:name="_Toc49953002"/>
      <w:bookmarkStart w:id="2003" w:name="_Toc49954752"/>
      <w:bookmarkStart w:id="2004" w:name="_Toc49955769"/>
      <w:bookmarkStart w:id="2005" w:name="_Toc49958269"/>
      <w:bookmarkStart w:id="2006" w:name="_Toc49958464"/>
      <w:bookmarkStart w:id="2007" w:name="_Toc49961981"/>
      <w:bookmarkStart w:id="2008" w:name="_Toc49963168"/>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r>
        <w:rPr>
          <w:smallCaps w:val="0"/>
          <w:noProof/>
        </w:rPr>
        <w:t>SME test</w:t>
      </w:r>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The specific impact of all policy measures on SMEs has been screened ex ante for all options. The aim of the analysis was to check whether SMEs</w:t>
      </w:r>
      <w:r>
        <w:rPr>
          <w:rStyle w:val="FootnoteReference"/>
          <w:rFonts w:ascii="Times New Roman" w:hAnsi="Times New Roman" w:cs="Times New Roman"/>
          <w:noProof/>
          <w:sz w:val="24"/>
          <w:szCs w:val="24"/>
        </w:rPr>
        <w:footnoteReference w:id="113"/>
      </w:r>
      <w:r>
        <w:rPr>
          <w:rFonts w:ascii="Times New Roman" w:hAnsi="Times New Roman" w:cs="Times New Roman"/>
          <w:noProof/>
          <w:sz w:val="24"/>
          <w:szCs w:val="24"/>
        </w:rPr>
        <w:t xml:space="preserve"> would be disproportionately affected and, where relevant, to include mitigating measures in the design of the policy options.</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The measures envisaged are aimed at protecting a fundamental right. They should therefore in principle apply to all workers, independently from sector, employer size or type of contract. As a large majority of workers work in SMEs,</w:t>
      </w:r>
      <w:r>
        <w:rPr>
          <w:rStyle w:val="FootnoteReference"/>
          <w:rFonts w:ascii="Times New Roman" w:hAnsi="Times New Roman" w:cs="Times New Roman"/>
          <w:noProof/>
          <w:sz w:val="24"/>
          <w:szCs w:val="24"/>
        </w:rPr>
        <w:footnoteReference w:id="114"/>
      </w:r>
      <w:r>
        <w:rPr>
          <w:rFonts w:ascii="Times New Roman" w:hAnsi="Times New Roman" w:cs="Times New Roman"/>
          <w:noProof/>
          <w:sz w:val="24"/>
          <w:szCs w:val="24"/>
        </w:rPr>
        <w:t xml:space="preserve"> it would not be consistent with the purpose of this initiative to exclude all SMEs from its field of application, as their exclusion would not allow to reach the goals of the initiative and would undermine a fundamental right. Nevertheless, the measures may be designed in such a way as to achieve the objectives of this initiative without imposing a disproportionate burden on SMEs. </w:t>
      </w:r>
    </w:p>
    <w:p>
      <w:pPr>
        <w:keepNext/>
        <w:spacing w:after="120"/>
        <w:jc w:val="both"/>
        <w:rPr>
          <w:rFonts w:ascii="Times New Roman" w:hAnsi="Times New Roman" w:cs="Times New Roman"/>
          <w:i/>
          <w:iCs/>
          <w:noProof/>
          <w:sz w:val="24"/>
          <w:szCs w:val="24"/>
        </w:rPr>
      </w:pPr>
      <w:r>
        <w:rPr>
          <w:rFonts w:ascii="Times New Roman" w:hAnsi="Times New Roman" w:cs="Times New Roman"/>
          <w:i/>
          <w:iCs/>
          <w:noProof/>
          <w:sz w:val="24"/>
          <w:szCs w:val="24"/>
        </w:rPr>
        <w:t>Consultation of SME stakeholders</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82% of respondents from business/employers’ organisations and associations in the targeted consultation agree that pay transparency measures should be tailored to the size of the organisations. At the dedicated hearing, for instance, SMEunited (the association of Crafts and SMEs in Europe) requested the exemption of SMEs from a directive on pay transparency at EU level, especially as regards small and microenterprises (see</w:t>
      </w:r>
      <w:r>
        <w:rPr>
          <w:rFonts w:ascii="Times New Roman" w:hAnsi="Times New Roman" w:cs="Times New Roman"/>
          <w:i/>
          <w:iCs/>
          <w:noProof/>
          <w:sz w:val="24"/>
          <w:szCs w:val="24"/>
        </w:rPr>
        <w:t xml:space="preserve"> Annex 2</w:t>
      </w:r>
      <w:r>
        <w:rPr>
          <w:rFonts w:ascii="Times New Roman" w:hAnsi="Times New Roman" w:cs="Times New Roman"/>
          <w:noProof/>
          <w:sz w:val="24"/>
          <w:szCs w:val="24"/>
        </w:rPr>
        <w:t>).</w:t>
      </w:r>
    </w:p>
    <w:p>
      <w:pPr>
        <w:spacing w:after="120"/>
        <w:jc w:val="both"/>
        <w:rPr>
          <w:rFonts w:ascii="Times New Roman" w:hAnsi="Times New Roman" w:cs="Times New Roman"/>
          <w:noProof/>
          <w:sz w:val="24"/>
          <w:szCs w:val="24"/>
        </w:rPr>
      </w:pPr>
      <w:r>
        <w:rPr>
          <w:rFonts w:ascii="Times New Roman" w:hAnsi="Times New Roman" w:cs="Times New Roman"/>
          <w:i/>
          <w:iCs/>
          <w:noProof/>
          <w:sz w:val="24"/>
          <w:szCs w:val="24"/>
        </w:rPr>
        <w:t>Assessment of alternative mechanisms and mitigating measures</w:t>
      </w:r>
      <w:r>
        <w:rPr>
          <w:rFonts w:ascii="Times New Roman" w:hAnsi="Times New Roman" w:cs="Times New Roman"/>
          <w:noProof/>
          <w:sz w:val="24"/>
          <w:szCs w:val="24"/>
        </w:rPr>
        <w:t xml:space="preserve"> </w:t>
      </w:r>
    </w:p>
    <w:p>
      <w:pPr>
        <w:pStyle w:val="ListNumber"/>
        <w:tabs>
          <w:tab w:val="clear" w:pos="709"/>
        </w:tabs>
        <w:spacing w:after="120" w:line="276" w:lineRule="auto"/>
        <w:ind w:left="0" w:firstLine="0"/>
        <w:rPr>
          <w:noProof/>
          <w:color w:val="000000" w:themeColor="text1"/>
        </w:rPr>
      </w:pPr>
      <w:r>
        <w:rPr>
          <w:noProof/>
        </w:rPr>
        <w:t>Taking into account the principle of proportionality, concerns expressed by stakeholders, and technical feasibility of some individual measures, it seems advisable to modulate the measures according to the size of the employers. This was also the conclusion of the impact assessment for the 2014 Recommendation and is in line with what is done at Member State level. In addition, specific measures may be added to shield SMEs and in particular micro-enterprises from increased business risk linked e.g. to exposure to legal costs. Furthermore, SMEs will benefit from the</w:t>
      </w:r>
      <w:r>
        <w:rPr>
          <w:noProof/>
          <w:color w:val="000000" w:themeColor="text1"/>
        </w:rPr>
        <w:t xml:space="preserve"> guidance and methodologies developed to assess work of equal value. Member States could also provide as mitigating measures ready-made templates with info line support or off-the-shelf software, since these were found to reduce costs for </w:t>
      </w:r>
      <w:r>
        <w:rPr>
          <w:noProof/>
        </w:rPr>
        <w:t>employers</w:t>
      </w:r>
      <w:r>
        <w:rPr>
          <w:noProof/>
          <w:color w:val="000000" w:themeColor="text1"/>
        </w:rPr>
        <w:t xml:space="preserve"> (Eurofound, 2020).</w:t>
      </w:r>
    </w:p>
    <w:p>
      <w:pPr>
        <w:pStyle w:val="Text2"/>
        <w:keepNext/>
        <w:spacing w:after="120" w:line="276" w:lineRule="auto"/>
        <w:ind w:left="0"/>
        <w:rPr>
          <w:i/>
          <w:iCs/>
          <w:noProof/>
        </w:rPr>
      </w:pPr>
      <w:r>
        <w:rPr>
          <w:i/>
          <w:iCs/>
          <w:noProof/>
        </w:rPr>
        <w:t>The definition of the exemption thresholds</w:t>
      </w:r>
    </w:p>
    <w:p>
      <w:pPr>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thresholds applied to tailor the design of the measures in this initiative are directly derived from the 2014 Recommendation. Similar thresholds are found in national legislation of a number of Member States.</w:t>
      </w:r>
      <w:r>
        <w:rPr>
          <w:rStyle w:val="FootnoteReference"/>
          <w:rFonts w:ascii="Times New Roman" w:eastAsia="Times New Roman" w:hAnsi="Times New Roman" w:cs="Times New Roman"/>
          <w:noProof/>
          <w:sz w:val="24"/>
          <w:szCs w:val="24"/>
        </w:rPr>
        <w:footnoteReference w:id="115"/>
      </w:r>
      <w:r>
        <w:rPr>
          <w:rFonts w:ascii="Times New Roman" w:eastAsia="Times New Roman" w:hAnsi="Times New Roman" w:cs="Times New Roman"/>
          <w:noProof/>
          <w:sz w:val="24"/>
          <w:szCs w:val="24"/>
        </w:rPr>
        <w:t xml:space="preserve"> </w:t>
      </w:r>
    </w:p>
    <w:p>
      <w:pPr>
        <w:spacing w:after="120"/>
        <w:jc w:val="both"/>
        <w:rPr>
          <w:rFonts w:ascii="Times New Roman" w:hAnsi="Times New Roman" w:cs="Times New Roman"/>
          <w:noProof/>
          <w:sz w:val="24"/>
          <w:szCs w:val="24"/>
        </w:rPr>
      </w:pPr>
      <w:r>
        <w:rPr>
          <w:rFonts w:ascii="Times New Roman" w:eastAsia="Times New Roman" w:hAnsi="Times New Roman" w:cs="Times New Roman"/>
          <w:noProof/>
          <w:sz w:val="24"/>
          <w:szCs w:val="24"/>
        </w:rPr>
        <w:t>The definition of the thresholds is linked to the number of workers.</w:t>
      </w:r>
      <w:r>
        <w:rPr>
          <w:rStyle w:val="FootnoteReference"/>
          <w:rFonts w:ascii="Times New Roman" w:eastAsia="Times New Roman" w:hAnsi="Times New Roman" w:cs="Times New Roman"/>
          <w:noProof/>
          <w:sz w:val="24"/>
          <w:szCs w:val="24"/>
        </w:rPr>
        <w:footnoteReference w:id="116"/>
      </w:r>
      <w:r>
        <w:rPr>
          <w:rFonts w:ascii="Times New Roman" w:eastAsia="Times New Roman" w:hAnsi="Times New Roman" w:cs="Times New Roman"/>
          <w:noProof/>
          <w:sz w:val="24"/>
          <w:szCs w:val="24"/>
        </w:rPr>
        <w:t xml:space="preserve"> The reason for not referring to other criteria often used to define small and medium sized employers, such as turnover or annual balance sheet (e.g. based on Commission</w:t>
      </w:r>
      <w:r>
        <w:rPr>
          <w:rFonts w:ascii="Times New Roman" w:hAnsi="Times New Roman" w:cs="Times New Roman"/>
          <w:noProof/>
        </w:rPr>
        <w:t xml:space="preserve"> </w:t>
      </w:r>
      <w:r>
        <w:rPr>
          <w:rFonts w:ascii="Times New Roman" w:eastAsia="Times New Roman" w:hAnsi="Times New Roman" w:cs="Times New Roman"/>
          <w:noProof/>
          <w:sz w:val="24"/>
          <w:szCs w:val="24"/>
        </w:rPr>
        <w:t>Recommendation 2003/361), is that the focus and scope of the proposed Directive is worker-oriented, based on the enforcement of an individual fundamental right, and it uses statistical methods for the implementation of which only staff headcount is relevant. Moreover, this reference simplifies the implementation by avoiding the complexity and administrative burden in verifying the compliance criteria by Member States and employers.</w:t>
      </w:r>
    </w:p>
    <w:p>
      <w:pPr>
        <w:spacing w:after="120"/>
        <w:jc w:val="both"/>
        <w:rPr>
          <w:rFonts w:ascii="Times New Roman" w:eastAsiaTheme="minorEastAsia" w:hAnsi="Times New Roman" w:cs="Times New Roman"/>
          <w:noProof/>
          <w:sz w:val="24"/>
          <w:szCs w:val="24"/>
        </w:rPr>
      </w:pPr>
      <w:r>
        <w:rPr>
          <w:rFonts w:ascii="Times New Roman" w:hAnsi="Times New Roman" w:cs="Times New Roman"/>
          <w:noProof/>
          <w:sz w:val="24"/>
          <w:szCs w:val="24"/>
        </w:rPr>
        <w:t>The proposed measures are adapted depending on the size of the employers, to find a balance between the interest of all workers in seeing their right protected and minimising costs and burden on employers, even if the latter would also benefit from an increase in productivity. While a number of considerations are taken into account to define the thresholds, the ultimate decision on the exact threshold to apply in this initiative is a question of political determination and a choice made on this trade-off. Focusing on larger employers also follows a cautious approach. It will allow to collect more data on the extent of gender pay discrimination and therefore bring more arguments for or against extending it further to smaller companies. The details of this tailored design of the measures are explained in the description of the options and analysed further for each measure in Section 7. SMEs could always on a voluntary basis adopt more far-reaching measures than those set out for them in this initiative in order to build a more attractive employer profile. Member States could also decide to extend the scope of the measures envisaged by this initiative.</w:t>
      </w:r>
    </w:p>
    <w:p>
      <w:pPr>
        <w:pStyle w:val="Heading1"/>
        <w:numPr>
          <w:ilvl w:val="0"/>
          <w:numId w:val="1"/>
        </w:numPr>
        <w:tabs>
          <w:tab w:val="clear" w:pos="2640"/>
          <w:tab w:val="num" w:pos="567"/>
        </w:tabs>
        <w:spacing w:before="120" w:after="120" w:line="276" w:lineRule="auto"/>
        <w:ind w:left="2642" w:hanging="2642"/>
        <w:rPr>
          <w:smallCaps w:val="0"/>
          <w:noProof/>
        </w:rPr>
      </w:pPr>
      <w:bookmarkStart w:id="2009" w:name="_Toc53678192"/>
      <w:bookmarkStart w:id="2010" w:name="_Toc53678412"/>
      <w:bookmarkStart w:id="2011" w:name="_Toc53678732"/>
      <w:bookmarkStart w:id="2012" w:name="_Toc53680083"/>
      <w:bookmarkStart w:id="2013" w:name="_Toc54289105"/>
      <w:bookmarkStart w:id="2014" w:name="_Toc54290576"/>
      <w:bookmarkStart w:id="2015" w:name="_Toc54290945"/>
      <w:bookmarkStart w:id="2016" w:name="_Toc54292071"/>
      <w:bookmarkStart w:id="2017" w:name="_Toc54340629"/>
      <w:bookmarkStart w:id="2018" w:name="_Toc54345731"/>
      <w:bookmarkStart w:id="2019" w:name="_Toc54348744"/>
      <w:bookmarkStart w:id="2020" w:name="_Toc54355074"/>
      <w:bookmarkStart w:id="2021" w:name="_Toc54355053"/>
      <w:bookmarkStart w:id="2022" w:name="_Toc54355599"/>
      <w:bookmarkStart w:id="2023" w:name="_Toc54355747"/>
      <w:bookmarkStart w:id="2024" w:name="_Toc54356115"/>
      <w:bookmarkStart w:id="2025" w:name="_Toc54356666"/>
      <w:bookmarkStart w:id="2026" w:name="_Toc54357533"/>
      <w:bookmarkStart w:id="2027" w:name="_Toc54357630"/>
      <w:bookmarkStart w:id="2028" w:name="_Toc54364594"/>
      <w:bookmarkStart w:id="2029" w:name="_Toc54371202"/>
      <w:bookmarkStart w:id="2030" w:name="_Toc54372039"/>
      <w:bookmarkStart w:id="2031" w:name="_Toc54376646"/>
      <w:bookmarkStart w:id="2032" w:name="_Toc58767196"/>
      <w:bookmarkStart w:id="2033" w:name="_Toc58769503"/>
      <w:bookmarkStart w:id="2034" w:name="_Toc58863842"/>
      <w:bookmarkStart w:id="2035" w:name="_Toc58868869"/>
      <w:bookmarkStart w:id="2036" w:name="_Toc58870700"/>
      <w:bookmarkStart w:id="2037" w:name="_Toc58870933"/>
      <w:bookmarkStart w:id="2038" w:name="_Toc58871839"/>
      <w:bookmarkStart w:id="2039" w:name="_Toc58872054"/>
      <w:bookmarkStart w:id="2040" w:name="_Toc58922801"/>
      <w:bookmarkStart w:id="2041" w:name="_Toc58925383"/>
      <w:bookmarkStart w:id="2042" w:name="_Toc58928885"/>
      <w:bookmarkStart w:id="2043" w:name="_Toc58931253"/>
      <w:bookmarkStart w:id="2044" w:name="_Toc58931887"/>
      <w:bookmarkStart w:id="2045" w:name="_Toc58950494"/>
      <w:bookmarkStart w:id="2046" w:name="_Toc58956786"/>
      <w:bookmarkStart w:id="2047" w:name="_Toc58957951"/>
      <w:bookmarkStart w:id="2048" w:name="_Toc58962484"/>
      <w:bookmarkStart w:id="2049" w:name="_Toc59096513"/>
      <w:bookmarkStart w:id="2050" w:name="_Toc59103109"/>
      <w:bookmarkStart w:id="2051" w:name="_Toc59104960"/>
      <w:bookmarkStart w:id="2052" w:name="_Toc59119920"/>
      <w:bookmarkStart w:id="2053" w:name="_Toc59121184"/>
      <w:bookmarkStart w:id="2054" w:name="_Toc59121303"/>
      <w:bookmarkStart w:id="2055" w:name="_Toc59549356"/>
      <w:bookmarkStart w:id="2056" w:name="_Toc59642309"/>
      <w:r>
        <w:rPr>
          <w:smallCaps w:val="0"/>
          <w:noProof/>
        </w:rPr>
        <w:t>Description of the policy options for EU level action</w:t>
      </w:r>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r>
        <w:rPr>
          <w:smallCaps w:val="0"/>
          <w:noProof/>
        </w:rPr>
        <w:t xml:space="preserve"> </w:t>
      </w:r>
      <w:bookmarkStart w:id="2057" w:name="_Toc49876185"/>
      <w:bookmarkStart w:id="2058" w:name="_Toc49876287"/>
      <w:bookmarkStart w:id="2059" w:name="_Toc49877354"/>
      <w:bookmarkStart w:id="2060" w:name="_Toc49877811"/>
      <w:bookmarkStart w:id="2061" w:name="_Toc49878097"/>
      <w:bookmarkStart w:id="2062" w:name="_Toc49878227"/>
      <w:bookmarkStart w:id="2063" w:name="_Toc49878292"/>
      <w:bookmarkStart w:id="2064" w:name="_Toc49878347"/>
      <w:bookmarkStart w:id="2065" w:name="_Toc49878412"/>
      <w:bookmarkStart w:id="2066" w:name="_Toc49878560"/>
      <w:bookmarkStart w:id="2067" w:name="_Toc49878650"/>
      <w:bookmarkStart w:id="2068" w:name="_Toc49878763"/>
      <w:bookmarkStart w:id="2069" w:name="_Toc49878828"/>
      <w:bookmarkStart w:id="2070" w:name="_Toc49879062"/>
      <w:bookmarkStart w:id="2071" w:name="_Toc49879431"/>
      <w:bookmarkStart w:id="2072" w:name="_Toc49879571"/>
      <w:bookmarkStart w:id="2073" w:name="_Toc49879639"/>
      <w:bookmarkStart w:id="2074" w:name="_Toc49879707"/>
      <w:bookmarkStart w:id="2075" w:name="_Toc49879775"/>
      <w:bookmarkStart w:id="2076" w:name="_Toc49879819"/>
      <w:bookmarkStart w:id="2077" w:name="_Toc49879887"/>
      <w:bookmarkStart w:id="2078" w:name="_Toc49879955"/>
      <w:bookmarkStart w:id="2079" w:name="_Toc49880137"/>
      <w:bookmarkStart w:id="2080" w:name="_Toc49880205"/>
      <w:bookmarkStart w:id="2081" w:name="_Toc49880435"/>
      <w:bookmarkStart w:id="2082" w:name="_Toc49880503"/>
      <w:bookmarkStart w:id="2083" w:name="_Toc49880988"/>
      <w:bookmarkStart w:id="2084" w:name="_Toc49881147"/>
      <w:bookmarkStart w:id="2085" w:name="_Toc49881666"/>
      <w:bookmarkStart w:id="2086" w:name="_Toc49883536"/>
      <w:bookmarkStart w:id="2087" w:name="_Toc49883774"/>
      <w:bookmarkStart w:id="2088" w:name="_Toc49884140"/>
      <w:bookmarkStart w:id="2089" w:name="_Toc49884208"/>
      <w:bookmarkStart w:id="2090" w:name="_Toc49884284"/>
      <w:bookmarkStart w:id="2091" w:name="_Toc49888711"/>
      <w:bookmarkStart w:id="2092" w:name="_Toc49893540"/>
      <w:bookmarkStart w:id="2093" w:name="_Toc49893854"/>
      <w:bookmarkStart w:id="2094" w:name="_Toc49895369"/>
      <w:bookmarkStart w:id="2095" w:name="_Toc49896904"/>
      <w:bookmarkStart w:id="2096" w:name="_Toc49926268"/>
      <w:bookmarkStart w:id="2097" w:name="_Toc49928822"/>
      <w:bookmarkStart w:id="2098" w:name="_Toc49928892"/>
      <w:bookmarkStart w:id="2099" w:name="_Toc49928972"/>
      <w:bookmarkStart w:id="2100" w:name="_Toc49930181"/>
      <w:bookmarkStart w:id="2101" w:name="_Toc49930403"/>
      <w:bookmarkStart w:id="2102" w:name="_Toc49930473"/>
      <w:bookmarkStart w:id="2103" w:name="_Toc49930543"/>
      <w:bookmarkStart w:id="2104" w:name="_Toc49930613"/>
      <w:bookmarkStart w:id="2105" w:name="_Toc49930683"/>
      <w:bookmarkStart w:id="2106" w:name="_Toc49930824"/>
      <w:bookmarkStart w:id="2107" w:name="_Toc49930967"/>
      <w:bookmarkStart w:id="2108" w:name="_Toc49931221"/>
      <w:bookmarkStart w:id="2109" w:name="_Toc49931427"/>
      <w:bookmarkStart w:id="2110" w:name="_Toc49931728"/>
      <w:bookmarkStart w:id="2111" w:name="_Toc49931861"/>
      <w:bookmarkStart w:id="2112" w:name="_Toc49932166"/>
      <w:bookmarkStart w:id="2113" w:name="_Toc49932297"/>
      <w:bookmarkStart w:id="2114" w:name="_Toc49932855"/>
      <w:bookmarkStart w:id="2115" w:name="_Toc49933189"/>
      <w:bookmarkStart w:id="2116" w:name="_Toc49933259"/>
      <w:bookmarkStart w:id="2117" w:name="_Toc49933785"/>
      <w:bookmarkStart w:id="2118" w:name="_Toc49933928"/>
      <w:bookmarkStart w:id="2119" w:name="_Toc49934054"/>
      <w:bookmarkStart w:id="2120" w:name="_Toc49934169"/>
      <w:bookmarkStart w:id="2121" w:name="_Toc49934850"/>
      <w:bookmarkStart w:id="2122" w:name="_Toc49935115"/>
      <w:bookmarkStart w:id="2123" w:name="_Toc49935185"/>
      <w:bookmarkStart w:id="2124" w:name="_Toc49935405"/>
      <w:bookmarkStart w:id="2125" w:name="_Toc49935475"/>
      <w:bookmarkStart w:id="2126" w:name="_Toc49935582"/>
      <w:bookmarkStart w:id="2127" w:name="_Toc49935652"/>
      <w:bookmarkStart w:id="2128" w:name="_Toc49936063"/>
      <w:bookmarkStart w:id="2129" w:name="_Toc49936133"/>
      <w:bookmarkStart w:id="2130" w:name="_Toc49936203"/>
      <w:bookmarkStart w:id="2131" w:name="_Toc49937024"/>
      <w:bookmarkStart w:id="2132" w:name="_Toc49937142"/>
      <w:bookmarkStart w:id="2133" w:name="_Toc49937651"/>
      <w:bookmarkStart w:id="2134" w:name="_Toc49938031"/>
      <w:bookmarkStart w:id="2135" w:name="_Toc49938836"/>
      <w:bookmarkStart w:id="2136" w:name="_Toc49938969"/>
      <w:bookmarkStart w:id="2137" w:name="_Toc49938938"/>
      <w:bookmarkStart w:id="2138" w:name="_Toc49939078"/>
      <w:bookmarkStart w:id="2139" w:name="_Toc49939148"/>
      <w:bookmarkStart w:id="2140" w:name="_Toc49939211"/>
      <w:bookmarkStart w:id="2141" w:name="_Toc49939281"/>
      <w:bookmarkStart w:id="2142" w:name="_Toc49939583"/>
      <w:bookmarkStart w:id="2143" w:name="_Toc49939929"/>
      <w:bookmarkStart w:id="2144" w:name="_Toc49940464"/>
      <w:bookmarkStart w:id="2145" w:name="_Toc49941685"/>
      <w:bookmarkStart w:id="2146" w:name="_Toc49942061"/>
      <w:bookmarkStart w:id="2147" w:name="_Toc49942245"/>
      <w:bookmarkStart w:id="2148" w:name="_Toc49942453"/>
      <w:bookmarkStart w:id="2149" w:name="_Toc49942687"/>
      <w:bookmarkStart w:id="2150" w:name="_Toc49942802"/>
      <w:bookmarkStart w:id="2151" w:name="_Toc49944339"/>
      <w:bookmarkStart w:id="2152" w:name="_Toc49945116"/>
      <w:bookmarkStart w:id="2153" w:name="_Toc49945910"/>
      <w:bookmarkStart w:id="2154" w:name="_Toc49946268"/>
      <w:bookmarkStart w:id="2155" w:name="_Toc49946555"/>
      <w:bookmarkStart w:id="2156" w:name="_Toc49946664"/>
      <w:bookmarkStart w:id="2157" w:name="_Toc49947264"/>
      <w:bookmarkStart w:id="2158" w:name="_Toc49946367"/>
      <w:bookmarkStart w:id="2159" w:name="_Toc49947146"/>
      <w:bookmarkStart w:id="2160" w:name="_Toc49947400"/>
      <w:bookmarkStart w:id="2161" w:name="_Toc49947778"/>
      <w:bookmarkStart w:id="2162" w:name="_Toc49947873"/>
      <w:bookmarkStart w:id="2163" w:name="_Toc49947943"/>
      <w:bookmarkStart w:id="2164" w:name="_Toc49948038"/>
      <w:bookmarkStart w:id="2165" w:name="_Toc49948108"/>
      <w:bookmarkStart w:id="2166" w:name="_Toc49948319"/>
      <w:bookmarkStart w:id="2167" w:name="_Toc49948389"/>
      <w:bookmarkStart w:id="2168" w:name="_Toc49948459"/>
      <w:bookmarkStart w:id="2169" w:name="_Toc49948529"/>
      <w:bookmarkStart w:id="2170" w:name="_Toc49948648"/>
      <w:bookmarkStart w:id="2171" w:name="_Toc49943498"/>
      <w:bookmarkStart w:id="2172" w:name="_Toc49948742"/>
      <w:bookmarkStart w:id="2173" w:name="_Toc49949535"/>
      <w:bookmarkStart w:id="2174" w:name="_Toc49949605"/>
      <w:bookmarkStart w:id="2175" w:name="_Toc49950641"/>
      <w:bookmarkStart w:id="2176" w:name="_Toc49950808"/>
      <w:bookmarkStart w:id="2177" w:name="_Toc49951159"/>
      <w:bookmarkStart w:id="2178" w:name="_Toc49951410"/>
      <w:bookmarkStart w:id="2179" w:name="_Toc49951470"/>
      <w:bookmarkStart w:id="2180" w:name="_Toc49951577"/>
      <w:bookmarkStart w:id="2181" w:name="_Toc49951664"/>
      <w:bookmarkStart w:id="2182" w:name="_Toc49951734"/>
      <w:bookmarkStart w:id="2183" w:name="_Toc49951973"/>
      <w:bookmarkStart w:id="2184" w:name="_Toc49952072"/>
      <w:bookmarkStart w:id="2185" w:name="_Toc49952248"/>
      <w:bookmarkStart w:id="2186" w:name="_Toc49953003"/>
      <w:bookmarkStart w:id="2187" w:name="_Toc49953094"/>
      <w:bookmarkStart w:id="2188" w:name="_Toc49953164"/>
      <w:bookmarkStart w:id="2189" w:name="_Toc49952948"/>
      <w:bookmarkStart w:id="2190" w:name="_Toc49953879"/>
      <w:bookmarkStart w:id="2191" w:name="_Toc49953949"/>
      <w:bookmarkStart w:id="2192" w:name="_Toc49954032"/>
      <w:bookmarkStart w:id="2193" w:name="_Toc49954102"/>
      <w:bookmarkStart w:id="2194" w:name="_Toc49949663"/>
      <w:bookmarkStart w:id="2195" w:name="_Toc49953663"/>
      <w:bookmarkStart w:id="2196" w:name="_Toc49954168"/>
      <w:bookmarkStart w:id="2197" w:name="_Toc49954275"/>
      <w:bookmarkStart w:id="2198" w:name="_Toc49954378"/>
      <w:bookmarkStart w:id="2199" w:name="_Toc49954274"/>
      <w:bookmarkStart w:id="2200" w:name="_Toc49954509"/>
      <w:bookmarkStart w:id="2201" w:name="_Toc49954579"/>
      <w:bookmarkStart w:id="2202" w:name="_Toc49954649"/>
      <w:bookmarkStart w:id="2203" w:name="_Toc49954543"/>
      <w:bookmarkStart w:id="2204" w:name="_Toc49954753"/>
      <w:bookmarkStart w:id="2205" w:name="_Toc49954808"/>
      <w:bookmarkStart w:id="2206" w:name="_Toc49954878"/>
      <w:bookmarkStart w:id="2207" w:name="_Toc49954683"/>
      <w:bookmarkStart w:id="2208" w:name="_Toc49954972"/>
      <w:bookmarkStart w:id="2209" w:name="_Toc49955042"/>
      <w:bookmarkStart w:id="2210" w:name="_Toc49955112"/>
      <w:bookmarkStart w:id="2211" w:name="_Toc49955076"/>
      <w:bookmarkStart w:id="2212" w:name="_Toc49955252"/>
      <w:bookmarkStart w:id="2213" w:name="_Toc49955322"/>
      <w:bookmarkStart w:id="2214" w:name="_Toc49955392"/>
      <w:bookmarkStart w:id="2215" w:name="_Toc49955700"/>
      <w:bookmarkStart w:id="2216" w:name="_Toc49955770"/>
      <w:bookmarkStart w:id="2217" w:name="_Toc49956125"/>
      <w:bookmarkStart w:id="2218" w:name="_Toc49958270"/>
      <w:bookmarkStart w:id="2219" w:name="_Toc49958395"/>
      <w:bookmarkStart w:id="2220" w:name="_Toc49958465"/>
      <w:bookmarkStart w:id="2221" w:name="_Toc49958535"/>
      <w:bookmarkStart w:id="2222" w:name="_Toc49527876"/>
      <w:bookmarkStart w:id="2223" w:name="_Toc49529997"/>
      <w:bookmarkStart w:id="2224" w:name="_Toc49530661"/>
      <w:bookmarkStart w:id="2225" w:name="_Toc49532611"/>
      <w:bookmarkStart w:id="2226" w:name="_Toc49695780"/>
      <w:bookmarkStart w:id="2227" w:name="_Toc49695959"/>
      <w:bookmarkStart w:id="2228" w:name="_Toc49805480"/>
      <w:bookmarkStart w:id="2229" w:name="_Toc49806192"/>
      <w:bookmarkStart w:id="2230" w:name="_Toc49877753"/>
      <w:bookmarkStart w:id="2231" w:name="_Toc49881148"/>
      <w:bookmarkStart w:id="2232" w:name="_Toc49884209"/>
      <w:bookmarkStart w:id="2233" w:name="_Toc49884285"/>
      <w:bookmarkStart w:id="2234" w:name="_Toc49893541"/>
      <w:bookmarkStart w:id="2235" w:name="_Toc49933929"/>
      <w:bookmarkStart w:id="2236" w:name="_Toc49937839"/>
      <w:bookmarkStart w:id="2237" w:name="_Toc49939212"/>
      <w:bookmarkStart w:id="2238" w:name="_Toc49942062"/>
      <w:bookmarkStart w:id="2239" w:name="_Toc49948530"/>
      <w:bookmarkStart w:id="2240" w:name="_Toc49953004"/>
      <w:bookmarkStart w:id="2241" w:name="_Toc49954754"/>
      <w:bookmarkStart w:id="2242" w:name="_Toc49955771"/>
      <w:bookmarkStart w:id="2243" w:name="_Toc49958271"/>
      <w:bookmarkStart w:id="2244" w:name="_Toc49958466"/>
      <w:bookmarkStart w:id="2245" w:name="_Toc49961982"/>
      <w:bookmarkStart w:id="2246" w:name="_Toc49963169"/>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p>
    <w:p>
      <w:pPr>
        <w:pStyle w:val="Text1"/>
        <w:spacing w:line="276" w:lineRule="auto"/>
        <w:ind w:left="0"/>
        <w:rPr>
          <w:noProof/>
        </w:rPr>
      </w:pPr>
      <w:r>
        <w:rPr>
          <w:noProof/>
        </w:rPr>
        <w:t>The policy options described in Sections 6.3 through 6.5 below can be broadly described as follows:</w:t>
      </w:r>
    </w:p>
    <w:p>
      <w:pPr>
        <w:pStyle w:val="Text1"/>
        <w:numPr>
          <w:ilvl w:val="0"/>
          <w:numId w:val="49"/>
        </w:numPr>
        <w:spacing w:line="276" w:lineRule="auto"/>
        <w:rPr>
          <w:noProof/>
        </w:rPr>
      </w:pPr>
      <w:r>
        <w:rPr>
          <w:b/>
          <w:bCs/>
          <w:noProof/>
        </w:rPr>
        <w:t>Option 1</w:t>
      </w:r>
      <w:r>
        <w:rPr>
          <w:noProof/>
        </w:rPr>
        <w:t xml:space="preserve"> aims at creating transparency at the level of individual workers, mainly aiming at empowering workers (first specific objective of this initiative). It includes two possible levels of ambition, with Sub-option 1A presenting a higher level of ambition than Sub-option 1B;</w:t>
      </w:r>
    </w:p>
    <w:p>
      <w:pPr>
        <w:pStyle w:val="Text1"/>
        <w:numPr>
          <w:ilvl w:val="0"/>
          <w:numId w:val="49"/>
        </w:numPr>
        <w:spacing w:line="276" w:lineRule="auto"/>
        <w:rPr>
          <w:noProof/>
        </w:rPr>
      </w:pPr>
      <w:r>
        <w:rPr>
          <w:b/>
          <w:bCs/>
          <w:noProof/>
        </w:rPr>
        <w:t>Option 2</w:t>
      </w:r>
      <w:r>
        <w:rPr>
          <w:noProof/>
        </w:rPr>
        <w:t xml:space="preserve"> aims at creating transparency at employers’ level, mainly aiming at addressing structural undervaluation of women’s work (second specific objective of this initiative). It includes four possible levels of ambition, with Sub-options 2A and 2B presenting a more ambitious level while Sub-options 2C and 2D go for a lower level of ambition;</w:t>
      </w:r>
    </w:p>
    <w:p>
      <w:pPr>
        <w:pStyle w:val="Text1"/>
        <w:numPr>
          <w:ilvl w:val="0"/>
          <w:numId w:val="49"/>
        </w:numPr>
        <w:spacing w:line="276" w:lineRule="auto"/>
        <w:rPr>
          <w:noProof/>
        </w:rPr>
      </w:pPr>
      <w:r>
        <w:rPr>
          <w:b/>
          <w:bCs/>
          <w:noProof/>
        </w:rPr>
        <w:t>Option 3</w:t>
      </w:r>
      <w:r>
        <w:rPr>
          <w:noProof/>
        </w:rPr>
        <w:t xml:space="preserve"> aims at facilitating the implementation and enforcement of the existing legal framework, contributing to both specific objectives of this initiative. </w:t>
      </w:r>
    </w:p>
    <w:p>
      <w:pPr>
        <w:pStyle w:val="Text1"/>
        <w:spacing w:line="276" w:lineRule="auto"/>
        <w:ind w:left="0"/>
        <w:rPr>
          <w:noProof/>
        </w:rPr>
      </w:pPr>
      <w:r>
        <w:rPr>
          <w:noProof/>
          <w:lang w:val="en-US"/>
        </w:rPr>
        <w:t>The basic work done in terms of data gathering by an employer to create transparency either at individual or at organizational level is the same for most Sub-options under Options 1 and 2 (see Section 8.5). The options differ as to the way in which the information is made transparent.</w:t>
      </w:r>
    </w:p>
    <w:p>
      <w:pPr>
        <w:pStyle w:val="Text1"/>
        <w:spacing w:line="276" w:lineRule="auto"/>
        <w:ind w:left="0"/>
        <w:rPr>
          <w:noProof/>
        </w:rPr>
      </w:pPr>
      <w:r>
        <w:rPr>
          <w:noProof/>
        </w:rPr>
        <w:t xml:space="preserve">The three options can be effective on their own, depending on the political decision to achieve to a greater or lesser extent the policy objectives of this initiative. </w:t>
      </w:r>
    </w:p>
    <w:p>
      <w:pPr>
        <w:pStyle w:val="Heading2"/>
        <w:numPr>
          <w:ilvl w:val="1"/>
          <w:numId w:val="1"/>
        </w:numPr>
        <w:spacing w:after="120"/>
        <w:ind w:left="1276" w:hanging="709"/>
        <w:rPr>
          <w:noProof/>
        </w:rPr>
      </w:pPr>
      <w:bookmarkStart w:id="2247" w:name="_Toc53678193"/>
      <w:bookmarkStart w:id="2248" w:name="_Toc53678413"/>
      <w:bookmarkStart w:id="2249" w:name="_Toc53678733"/>
      <w:bookmarkStart w:id="2250" w:name="_Toc53680084"/>
      <w:bookmarkStart w:id="2251" w:name="_Toc54289106"/>
      <w:bookmarkStart w:id="2252" w:name="_Toc54290577"/>
      <w:bookmarkStart w:id="2253" w:name="_Toc54290946"/>
      <w:bookmarkStart w:id="2254" w:name="_Toc54292072"/>
      <w:bookmarkStart w:id="2255" w:name="_Toc54340630"/>
      <w:bookmarkStart w:id="2256" w:name="_Toc54345732"/>
      <w:bookmarkStart w:id="2257" w:name="_Toc54348745"/>
      <w:bookmarkStart w:id="2258" w:name="_Toc54355075"/>
      <w:bookmarkStart w:id="2259" w:name="_Toc54355054"/>
      <w:bookmarkStart w:id="2260" w:name="_Toc54355600"/>
      <w:bookmarkStart w:id="2261" w:name="_Toc54355748"/>
      <w:bookmarkStart w:id="2262" w:name="_Toc54356116"/>
      <w:bookmarkStart w:id="2263" w:name="_Toc54356667"/>
      <w:bookmarkStart w:id="2264" w:name="_Toc54357534"/>
      <w:bookmarkStart w:id="2265" w:name="_Toc54357631"/>
      <w:bookmarkStart w:id="2266" w:name="_Toc54364595"/>
      <w:bookmarkStart w:id="2267" w:name="_Toc54371203"/>
      <w:bookmarkStart w:id="2268" w:name="_Toc54372040"/>
      <w:bookmarkStart w:id="2269" w:name="_Toc54376647"/>
      <w:bookmarkStart w:id="2270" w:name="_Toc58767197"/>
      <w:bookmarkStart w:id="2271" w:name="_Toc58769504"/>
      <w:bookmarkStart w:id="2272" w:name="_Toc58863843"/>
      <w:bookmarkStart w:id="2273" w:name="_Toc58868870"/>
      <w:bookmarkStart w:id="2274" w:name="_Toc58870701"/>
      <w:bookmarkStart w:id="2275" w:name="_Toc58870934"/>
      <w:bookmarkStart w:id="2276" w:name="_Toc58871840"/>
      <w:bookmarkStart w:id="2277" w:name="_Toc58872055"/>
      <w:bookmarkStart w:id="2278" w:name="_Toc58922802"/>
      <w:bookmarkStart w:id="2279" w:name="_Toc58925384"/>
      <w:bookmarkStart w:id="2280" w:name="_Toc58928886"/>
      <w:bookmarkStart w:id="2281" w:name="_Toc58931254"/>
      <w:bookmarkStart w:id="2282" w:name="_Toc58931888"/>
      <w:bookmarkStart w:id="2283" w:name="_Toc58950495"/>
      <w:bookmarkStart w:id="2284" w:name="_Toc58956787"/>
      <w:bookmarkStart w:id="2285" w:name="_Toc58957952"/>
      <w:bookmarkStart w:id="2286" w:name="_Toc58962485"/>
      <w:bookmarkStart w:id="2287" w:name="_Toc59096514"/>
      <w:bookmarkStart w:id="2288" w:name="_Toc59103110"/>
      <w:bookmarkStart w:id="2289" w:name="_Toc59104961"/>
      <w:bookmarkStart w:id="2290" w:name="_Toc59119921"/>
      <w:bookmarkStart w:id="2291" w:name="_Toc59121185"/>
      <w:bookmarkStart w:id="2292" w:name="_Toc59121304"/>
      <w:bookmarkStart w:id="2293" w:name="_Toc59549357"/>
      <w:bookmarkStart w:id="2294" w:name="_Toc59642310"/>
      <w:r>
        <w:rPr>
          <w:noProof/>
        </w:rPr>
        <w:t>Options discarded at an early stage</w:t>
      </w:r>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p>
    <w:p>
      <w:pPr>
        <w:pStyle w:val="Heading3"/>
        <w:ind w:hanging="4080"/>
        <w:rPr>
          <w:noProof/>
        </w:rPr>
      </w:pPr>
      <w:bookmarkStart w:id="2295" w:name="_Toc54289107"/>
      <w:bookmarkStart w:id="2296" w:name="_Toc54290578"/>
      <w:bookmarkStart w:id="2297" w:name="_Toc54290947"/>
      <w:bookmarkStart w:id="2298" w:name="_Toc54292073"/>
      <w:bookmarkStart w:id="2299" w:name="_Toc54340631"/>
      <w:bookmarkStart w:id="2300" w:name="_Toc54345733"/>
      <w:bookmarkStart w:id="2301" w:name="_Toc54347292"/>
      <w:bookmarkStart w:id="2302" w:name="_Toc54348746"/>
      <w:bookmarkStart w:id="2303" w:name="_Toc54355076"/>
      <w:bookmarkStart w:id="2304" w:name="_Toc54355055"/>
      <w:bookmarkStart w:id="2305" w:name="_Toc54355601"/>
      <w:bookmarkStart w:id="2306" w:name="_Toc54355749"/>
      <w:r>
        <w:rPr>
          <w:noProof/>
        </w:rPr>
        <w:t>Council Recommendation</w:t>
      </w:r>
      <w:bookmarkEnd w:id="2295"/>
      <w:bookmarkEnd w:id="2296"/>
      <w:bookmarkEnd w:id="2297"/>
      <w:bookmarkEnd w:id="2298"/>
      <w:bookmarkEnd w:id="2299"/>
      <w:bookmarkEnd w:id="2300"/>
      <w:bookmarkEnd w:id="2301"/>
      <w:bookmarkEnd w:id="2302"/>
      <w:bookmarkEnd w:id="2303"/>
      <w:bookmarkEnd w:id="2304"/>
      <w:bookmarkEnd w:id="2305"/>
      <w:bookmarkEnd w:id="2306"/>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This instrument has been considered as an option aimed at anchoring pay transparency measures at political level and enhancing Member States’ engagement on the matter. It would replace the 2014 Commission Recommendation providing general guidance to Member States on how to address the lack of pay transparency. Given the limited follow-up to the 2014 Recommendation, the involvement of Member States in the decision-making process, even as regards non-binding measures, might constitute a step forward.</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A Council Recommendation has the advantage of being a flexible instrument that could be adapted to national contexts. Moreover, it could provide a basis towards a level playing field between Member States on how to address the lack of pay transparency, based on a consensus by Member States at Council level endorsing their political commitment. For this reason, it could presumably be more effective than the 2014 Commission Recommendation. </w:t>
      </w:r>
    </w:p>
    <w:p>
      <w:pPr>
        <w:jc w:val="both"/>
        <w:rPr>
          <w:rFonts w:ascii="Times New Roman" w:hAnsi="Times New Roman" w:cs="Times New Roman"/>
          <w:noProof/>
          <w:sz w:val="24"/>
          <w:szCs w:val="24"/>
        </w:rPr>
      </w:pPr>
      <w:r>
        <w:rPr>
          <w:rFonts w:ascii="Times New Roman" w:hAnsi="Times New Roman" w:cs="Times New Roman"/>
          <w:noProof/>
          <w:sz w:val="24"/>
          <w:szCs w:val="24"/>
        </w:rPr>
        <w:t>This option would, however, present several drawbacks. First of all, providing general guidance to Member States, in nature not binding, is very uncertain in terms of compliance. Furthermore, the scope of such initiative would most likely be limited to pay transparency measures only as this instrument is not suitable to introduce changes to enforcement measures aiming to ensure the effective implementation of the measures and enhance workers’ access to justice that are already at least partly covered by the 2006/54 Directive. Thirdly, implementation would remain uneven, with different modalities corresponding to different levels of ambition, and without ensuring a minimum level of worker protection. Fourthly, there would be no enforcement at EU level allowing to assess and ensure the effectiveness of any measures taken. Finally, the analysis of existing Council recommendations shows that such type of policy instrument is more appropriate to address areas covered by Member States’ exclusive competence with a purpose to undertake political commitments by all Member States supported by existing EU financial instruments and programmes</w:t>
      </w:r>
      <w:r>
        <w:rPr>
          <w:rStyle w:val="FootnoteReference"/>
          <w:rFonts w:ascii="Times New Roman" w:hAnsi="Times New Roman" w:cs="Times New Roman"/>
          <w:noProof/>
          <w:sz w:val="24"/>
          <w:szCs w:val="24"/>
        </w:rPr>
        <w:footnoteReference w:id="117"/>
      </w:r>
      <w:r>
        <w:rPr>
          <w:rFonts w:ascii="Times New Roman" w:hAnsi="Times New Roman" w:cs="Times New Roman"/>
          <w:noProof/>
          <w:sz w:val="24"/>
          <w:szCs w:val="24"/>
        </w:rPr>
        <w:t>.</w:t>
      </w:r>
    </w:p>
    <w:p>
      <w:pPr>
        <w:jc w:val="both"/>
        <w:rPr>
          <w:rFonts w:ascii="Times New Roman" w:hAnsi="Times New Roman" w:cs="Times New Roman"/>
          <w:noProof/>
          <w:sz w:val="24"/>
          <w:szCs w:val="24"/>
        </w:rPr>
      </w:pPr>
      <w:r>
        <w:rPr>
          <w:rFonts w:ascii="Times New Roman" w:eastAsia="Times New Roman" w:hAnsi="Times New Roman" w:cs="Times New Roman"/>
          <w:i/>
          <w:iCs/>
          <w:noProof/>
          <w:sz w:val="24"/>
          <w:szCs w:val="24"/>
        </w:rPr>
        <w:t>Conclusion</w:t>
      </w:r>
      <w:r>
        <w:rPr>
          <w:rFonts w:ascii="Times New Roman" w:eastAsia="Times New Roman" w:hAnsi="Times New Roman" w:cs="Times New Roman"/>
          <w:noProof/>
          <w:sz w:val="24"/>
          <w:szCs w:val="24"/>
        </w:rPr>
        <w:t xml:space="preserve">: Since this option </w:t>
      </w:r>
      <w:r>
        <w:rPr>
          <w:rFonts w:ascii="Times New Roman" w:hAnsi="Times New Roman" w:cs="Times New Roman"/>
          <w:noProof/>
          <w:sz w:val="24"/>
          <w:szCs w:val="24"/>
        </w:rPr>
        <w:t>is not likely to effectively achieve the general and specific objectives of the initiative, it has not been considered further in this impact assessment.</w:t>
      </w:r>
    </w:p>
    <w:p>
      <w:pPr>
        <w:pStyle w:val="Heading2"/>
        <w:numPr>
          <w:ilvl w:val="1"/>
          <w:numId w:val="41"/>
        </w:numPr>
        <w:spacing w:after="120"/>
        <w:rPr>
          <w:noProof/>
        </w:rPr>
      </w:pPr>
      <w:bookmarkStart w:id="2307" w:name="_Toc59089035"/>
      <w:bookmarkStart w:id="2308" w:name="_Toc59089726"/>
      <w:bookmarkStart w:id="2309" w:name="_Toc59095922"/>
      <w:bookmarkStart w:id="2310" w:name="_Toc59096001"/>
      <w:bookmarkStart w:id="2311" w:name="_Toc59096083"/>
      <w:bookmarkStart w:id="2312" w:name="_Toc59096174"/>
      <w:bookmarkStart w:id="2313" w:name="_Toc59096355"/>
      <w:bookmarkStart w:id="2314" w:name="_Toc59096405"/>
      <w:bookmarkStart w:id="2315" w:name="_Toc59096515"/>
      <w:bookmarkStart w:id="2316" w:name="_Toc59096565"/>
      <w:bookmarkStart w:id="2317" w:name="_Toc59097265"/>
      <w:bookmarkStart w:id="2318" w:name="_Toc59097786"/>
      <w:bookmarkStart w:id="2319" w:name="_Toc59098092"/>
      <w:bookmarkStart w:id="2320" w:name="_Toc59098771"/>
      <w:bookmarkStart w:id="2321" w:name="_Toc59101312"/>
      <w:bookmarkStart w:id="2322" w:name="_Toc59101438"/>
      <w:bookmarkStart w:id="2323" w:name="_Toc59101956"/>
      <w:bookmarkStart w:id="2324" w:name="_Toc59103111"/>
      <w:bookmarkStart w:id="2325" w:name="_Toc59104625"/>
      <w:bookmarkStart w:id="2326" w:name="_Toc59103161"/>
      <w:bookmarkStart w:id="2327" w:name="_Toc59104962"/>
      <w:bookmarkStart w:id="2328" w:name="_Toc59105827"/>
      <w:bookmarkStart w:id="2329" w:name="_Toc59109171"/>
      <w:bookmarkStart w:id="2330" w:name="_Toc59109289"/>
      <w:bookmarkStart w:id="2331" w:name="_Toc59110151"/>
      <w:bookmarkStart w:id="2332" w:name="_Toc59110438"/>
      <w:bookmarkStart w:id="2333" w:name="_Toc59110851"/>
      <w:bookmarkStart w:id="2334" w:name="_Toc59111013"/>
      <w:bookmarkStart w:id="2335" w:name="_Toc59111237"/>
      <w:bookmarkStart w:id="2336" w:name="_Toc59111314"/>
      <w:bookmarkStart w:id="2337" w:name="_Toc59111399"/>
      <w:bookmarkStart w:id="2338" w:name="_Toc59114856"/>
      <w:bookmarkStart w:id="2339" w:name="_Toc59115091"/>
      <w:bookmarkStart w:id="2340" w:name="_Toc59115789"/>
      <w:bookmarkStart w:id="2341" w:name="_Toc59116228"/>
      <w:bookmarkStart w:id="2342" w:name="_Toc59116278"/>
      <w:bookmarkStart w:id="2343" w:name="_Toc59117477"/>
      <w:bookmarkStart w:id="2344" w:name="_Toc59117527"/>
      <w:bookmarkStart w:id="2345" w:name="_Toc59117832"/>
      <w:bookmarkStart w:id="2346" w:name="_Toc59118495"/>
      <w:bookmarkStart w:id="2347" w:name="_Toc59118545"/>
      <w:bookmarkStart w:id="2348" w:name="_Toc59118969"/>
      <w:bookmarkStart w:id="2349" w:name="_Toc59118141"/>
      <w:bookmarkStart w:id="2350" w:name="_Toc59118595"/>
      <w:bookmarkStart w:id="2351" w:name="_Toc59119015"/>
      <w:bookmarkStart w:id="2352" w:name="_Toc59119065"/>
      <w:bookmarkStart w:id="2353" w:name="_Toc59119569"/>
      <w:bookmarkStart w:id="2354" w:name="_Toc59119735"/>
      <w:bookmarkStart w:id="2355" w:name="_Toc59119785"/>
      <w:bookmarkStart w:id="2356" w:name="_Toc59119922"/>
      <w:bookmarkStart w:id="2357" w:name="_Toc59120718"/>
      <w:bookmarkStart w:id="2358" w:name="_Toc59121002"/>
      <w:bookmarkStart w:id="2359" w:name="_Toc59121186"/>
      <w:bookmarkStart w:id="2360" w:name="_Toc59121305"/>
      <w:bookmarkStart w:id="2361" w:name="_Toc59121389"/>
      <w:bookmarkStart w:id="2362" w:name="_Toc59121503"/>
      <w:bookmarkStart w:id="2363" w:name="_Toc59121663"/>
      <w:bookmarkStart w:id="2364" w:name="_Toc59549289"/>
      <w:bookmarkStart w:id="2365" w:name="_Toc59549358"/>
      <w:bookmarkStart w:id="2366" w:name="_Toc59549665"/>
      <w:bookmarkStart w:id="2367" w:name="_Toc59549715"/>
      <w:bookmarkStart w:id="2368" w:name="_Toc59642261"/>
      <w:bookmarkStart w:id="2369" w:name="_Toc59642311"/>
      <w:bookmarkStart w:id="2370" w:name="_Toc59089036"/>
      <w:bookmarkStart w:id="2371" w:name="_Toc59089727"/>
      <w:bookmarkStart w:id="2372" w:name="_Toc59095923"/>
      <w:bookmarkStart w:id="2373" w:name="_Toc59096002"/>
      <w:bookmarkStart w:id="2374" w:name="_Toc59096084"/>
      <w:bookmarkStart w:id="2375" w:name="_Toc59096175"/>
      <w:bookmarkStart w:id="2376" w:name="_Toc59096356"/>
      <w:bookmarkStart w:id="2377" w:name="_Toc59096406"/>
      <w:bookmarkStart w:id="2378" w:name="_Toc59096516"/>
      <w:bookmarkStart w:id="2379" w:name="_Toc59096566"/>
      <w:bookmarkStart w:id="2380" w:name="_Toc59097266"/>
      <w:bookmarkStart w:id="2381" w:name="_Toc59097787"/>
      <w:bookmarkStart w:id="2382" w:name="_Toc59098093"/>
      <w:bookmarkStart w:id="2383" w:name="_Toc59098772"/>
      <w:bookmarkStart w:id="2384" w:name="_Toc59101313"/>
      <w:bookmarkStart w:id="2385" w:name="_Toc59101439"/>
      <w:bookmarkStart w:id="2386" w:name="_Toc59101957"/>
      <w:bookmarkStart w:id="2387" w:name="_Toc59103112"/>
      <w:bookmarkStart w:id="2388" w:name="_Toc59104626"/>
      <w:bookmarkStart w:id="2389" w:name="_Toc59103162"/>
      <w:bookmarkStart w:id="2390" w:name="_Toc59104963"/>
      <w:bookmarkStart w:id="2391" w:name="_Toc59105828"/>
      <w:bookmarkStart w:id="2392" w:name="_Toc59109172"/>
      <w:bookmarkStart w:id="2393" w:name="_Toc59109290"/>
      <w:bookmarkStart w:id="2394" w:name="_Toc59110152"/>
      <w:bookmarkStart w:id="2395" w:name="_Toc59110439"/>
      <w:bookmarkStart w:id="2396" w:name="_Toc59110852"/>
      <w:bookmarkStart w:id="2397" w:name="_Toc59111014"/>
      <w:bookmarkStart w:id="2398" w:name="_Toc59111238"/>
      <w:bookmarkStart w:id="2399" w:name="_Toc59111315"/>
      <w:bookmarkStart w:id="2400" w:name="_Toc59111400"/>
      <w:bookmarkStart w:id="2401" w:name="_Toc59114857"/>
      <w:bookmarkStart w:id="2402" w:name="_Toc59115092"/>
      <w:bookmarkStart w:id="2403" w:name="_Toc59115790"/>
      <w:bookmarkStart w:id="2404" w:name="_Toc59116229"/>
      <w:bookmarkStart w:id="2405" w:name="_Toc59116279"/>
      <w:bookmarkStart w:id="2406" w:name="_Toc59117478"/>
      <w:bookmarkStart w:id="2407" w:name="_Toc59117528"/>
      <w:bookmarkStart w:id="2408" w:name="_Toc59117833"/>
      <w:bookmarkStart w:id="2409" w:name="_Toc59118496"/>
      <w:bookmarkStart w:id="2410" w:name="_Toc59118546"/>
      <w:bookmarkStart w:id="2411" w:name="_Toc59118970"/>
      <w:bookmarkStart w:id="2412" w:name="_Toc59118142"/>
      <w:bookmarkStart w:id="2413" w:name="_Toc59118596"/>
      <w:bookmarkStart w:id="2414" w:name="_Toc59119016"/>
      <w:bookmarkStart w:id="2415" w:name="_Toc59119066"/>
      <w:bookmarkStart w:id="2416" w:name="_Toc59119570"/>
      <w:bookmarkStart w:id="2417" w:name="_Toc59119736"/>
      <w:bookmarkStart w:id="2418" w:name="_Toc59119786"/>
      <w:bookmarkStart w:id="2419" w:name="_Toc59119923"/>
      <w:bookmarkStart w:id="2420" w:name="_Toc59120719"/>
      <w:bookmarkStart w:id="2421" w:name="_Toc59121003"/>
      <w:bookmarkStart w:id="2422" w:name="_Toc59121187"/>
      <w:bookmarkStart w:id="2423" w:name="_Toc59121306"/>
      <w:bookmarkStart w:id="2424" w:name="_Toc59121390"/>
      <w:bookmarkStart w:id="2425" w:name="_Toc59121504"/>
      <w:bookmarkStart w:id="2426" w:name="_Toc59121664"/>
      <w:bookmarkStart w:id="2427" w:name="_Toc59549290"/>
      <w:bookmarkStart w:id="2428" w:name="_Toc59549359"/>
      <w:bookmarkStart w:id="2429" w:name="_Toc59549666"/>
      <w:bookmarkStart w:id="2430" w:name="_Toc59549716"/>
      <w:bookmarkStart w:id="2431" w:name="_Toc59642262"/>
      <w:bookmarkStart w:id="2432" w:name="_Toc59642312"/>
      <w:bookmarkStart w:id="2433" w:name="_Toc59549360"/>
      <w:bookmarkStart w:id="2434" w:name="_Toc59642313"/>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r>
        <w:rPr>
          <w:noProof/>
        </w:rPr>
        <w:t>Option 0: Status Quo</w:t>
      </w:r>
      <w:bookmarkStart w:id="2435" w:name="_Toc59096517"/>
      <w:bookmarkStart w:id="2436" w:name="_Toc59103113"/>
      <w:bookmarkStart w:id="2437" w:name="_Toc59104964"/>
      <w:bookmarkStart w:id="2438" w:name="_Toc59119924"/>
      <w:bookmarkStart w:id="2439" w:name="_Toc59121188"/>
      <w:bookmarkStart w:id="2440" w:name="_Toc59121307"/>
      <w:bookmarkEnd w:id="2433"/>
      <w:bookmarkEnd w:id="2434"/>
      <w:bookmarkEnd w:id="2435"/>
      <w:bookmarkEnd w:id="2436"/>
      <w:bookmarkEnd w:id="2437"/>
      <w:bookmarkEnd w:id="2438"/>
      <w:bookmarkEnd w:id="2439"/>
      <w:bookmarkEnd w:id="2440"/>
    </w:p>
    <w:p>
      <w:pPr>
        <w:spacing w:after="120"/>
        <w:jc w:val="both"/>
        <w:rPr>
          <w:noProof/>
          <w:sz w:val="16"/>
          <w:szCs w:val="16"/>
          <w:lang w:val="en-IE"/>
        </w:rPr>
      </w:pPr>
      <w:r>
        <w:rPr>
          <w:rFonts w:ascii="Times New Roman" w:eastAsia="Times New Roman" w:hAnsi="Times New Roman" w:cs="Times New Roman"/>
          <w:noProof/>
          <w:sz w:val="24"/>
          <w:szCs w:val="24"/>
          <w:lang w:eastAsia="fr-FR"/>
        </w:rPr>
        <w:t>The first possible course of action would be not to undertake further action and let the situation evolve under the current framework (</w:t>
      </w:r>
      <w:r>
        <w:rPr>
          <w:rFonts w:ascii="Times New Roman" w:eastAsia="Times New Roman" w:hAnsi="Times New Roman" w:cs="Times New Roman"/>
          <w:i/>
          <w:iCs/>
          <w:noProof/>
          <w:sz w:val="24"/>
          <w:szCs w:val="24"/>
          <w:lang w:eastAsia="fr-FR"/>
        </w:rPr>
        <w:t>See sections 2.4 and 4.3</w:t>
      </w:r>
      <w:r>
        <w:rPr>
          <w:rFonts w:ascii="Times New Roman" w:eastAsia="Times New Roman" w:hAnsi="Times New Roman" w:cs="Times New Roman"/>
          <w:noProof/>
          <w:sz w:val="24"/>
          <w:szCs w:val="24"/>
          <w:lang w:eastAsia="fr-FR"/>
        </w:rPr>
        <w:t>).</w:t>
      </w:r>
      <w:bookmarkStart w:id="2441" w:name="_Toc53678194"/>
      <w:bookmarkStart w:id="2442" w:name="_Toc53678414"/>
      <w:bookmarkStart w:id="2443" w:name="_Toc53678734"/>
      <w:bookmarkStart w:id="2444" w:name="_Toc53680085"/>
      <w:bookmarkStart w:id="2445" w:name="_Toc54289108"/>
      <w:bookmarkStart w:id="2446" w:name="_Toc54290579"/>
      <w:bookmarkStart w:id="2447" w:name="_Toc54290948"/>
      <w:bookmarkStart w:id="2448" w:name="_Toc54292074"/>
      <w:bookmarkStart w:id="2449" w:name="_Toc54340632"/>
      <w:bookmarkStart w:id="2450" w:name="_Toc54345734"/>
      <w:bookmarkStart w:id="2451" w:name="_Toc54348747"/>
      <w:bookmarkStart w:id="2452" w:name="_Toc54355077"/>
      <w:bookmarkStart w:id="2453" w:name="_Toc54355056"/>
      <w:bookmarkStart w:id="2454" w:name="_Toc54355602"/>
      <w:bookmarkStart w:id="2455" w:name="_Toc54355750"/>
      <w:bookmarkStart w:id="2456" w:name="_Toc54356117"/>
      <w:bookmarkStart w:id="2457" w:name="_Toc54356668"/>
      <w:bookmarkStart w:id="2458" w:name="_Toc54357535"/>
      <w:bookmarkStart w:id="2459" w:name="_Toc54357632"/>
      <w:bookmarkStart w:id="2460" w:name="_Toc54364596"/>
      <w:bookmarkStart w:id="2461" w:name="_Toc54371204"/>
      <w:bookmarkStart w:id="2462" w:name="_Toc54372041"/>
      <w:bookmarkStart w:id="2463" w:name="_Toc54376648"/>
      <w:bookmarkStart w:id="2464" w:name="_Toc58767198"/>
      <w:bookmarkStart w:id="2465" w:name="_Toc58769505"/>
      <w:bookmarkStart w:id="2466" w:name="_Toc58863844"/>
      <w:bookmarkStart w:id="2467" w:name="_Toc58868871"/>
      <w:bookmarkStart w:id="2468" w:name="_Toc58870702"/>
      <w:bookmarkStart w:id="2469" w:name="_Toc58870935"/>
      <w:bookmarkStart w:id="2470" w:name="_Toc58871841"/>
      <w:bookmarkStart w:id="2471" w:name="_Toc58872056"/>
      <w:bookmarkStart w:id="2472" w:name="_Toc58922803"/>
      <w:bookmarkStart w:id="2473" w:name="_Toc58925385"/>
      <w:bookmarkStart w:id="2474" w:name="_Toc58928887"/>
      <w:bookmarkStart w:id="2475" w:name="_Toc58931255"/>
      <w:bookmarkStart w:id="2476" w:name="_Toc58931889"/>
      <w:bookmarkStart w:id="2477" w:name="_Toc58950496"/>
      <w:bookmarkStart w:id="2478" w:name="_Toc58956788"/>
      <w:bookmarkStart w:id="2479" w:name="_Toc58957953"/>
      <w:bookmarkStart w:id="2480" w:name="_Toc58962486"/>
    </w:p>
    <w:p>
      <w:pPr>
        <w:pStyle w:val="Heading2"/>
        <w:numPr>
          <w:ilvl w:val="1"/>
          <w:numId w:val="41"/>
        </w:numPr>
        <w:spacing w:after="120"/>
        <w:ind w:left="709" w:hanging="709"/>
        <w:rPr>
          <w:noProof/>
        </w:rPr>
      </w:pPr>
      <w:bookmarkStart w:id="2481" w:name="_Toc59549361"/>
      <w:bookmarkStart w:id="2482" w:name="_Toc59642314"/>
      <w:bookmarkStart w:id="2483" w:name="_Toc59096519"/>
      <w:bookmarkStart w:id="2484" w:name="_Toc59103115"/>
      <w:bookmarkStart w:id="2485" w:name="_Toc59104966"/>
      <w:bookmarkStart w:id="2486" w:name="_Toc59119926"/>
      <w:bookmarkStart w:id="2487" w:name="_Toc59121190"/>
      <w:bookmarkStart w:id="2488" w:name="_Toc59121309"/>
      <w:bookmarkStart w:id="2489" w:name="_Toc58767204"/>
      <w:bookmarkStart w:id="2490" w:name="_Toc58769507"/>
      <w:bookmarkStart w:id="2491" w:name="_Toc58863845"/>
      <w:bookmarkStart w:id="2492" w:name="_Toc58868872"/>
      <w:bookmarkStart w:id="2493" w:name="_Toc58870703"/>
      <w:bookmarkStart w:id="2494" w:name="_Toc58870936"/>
      <w:bookmarkStart w:id="2495" w:name="_Toc58871842"/>
      <w:bookmarkStart w:id="2496" w:name="_Toc58872057"/>
      <w:bookmarkStart w:id="2497" w:name="_Toc58922804"/>
      <w:bookmarkStart w:id="2498" w:name="_Toc58925386"/>
      <w:bookmarkStart w:id="2499" w:name="_Toc58928888"/>
      <w:bookmarkStart w:id="2500" w:name="_Toc58931256"/>
      <w:bookmarkStart w:id="2501" w:name="_Toc58931890"/>
      <w:bookmarkStart w:id="2502" w:name="_Toc58950497"/>
      <w:bookmarkStart w:id="2503" w:name="_Toc58956789"/>
      <w:bookmarkStart w:id="2504" w:name="_Toc58957954"/>
      <w:bookmarkStart w:id="2505" w:name="_Toc58962487"/>
      <w:bookmarkStart w:id="2506" w:name="_Toc53678196"/>
      <w:bookmarkStart w:id="2507" w:name="_Toc53678416"/>
      <w:bookmarkStart w:id="2508" w:name="_Toc53678736"/>
      <w:bookmarkStart w:id="2509" w:name="_Toc53680087"/>
      <w:bookmarkStart w:id="2510" w:name="_Toc54289110"/>
      <w:bookmarkStart w:id="2511" w:name="_Toc54290582"/>
      <w:bookmarkStart w:id="2512" w:name="_Toc54290951"/>
      <w:bookmarkStart w:id="2513" w:name="_Toc54292076"/>
      <w:bookmarkStart w:id="2514" w:name="_Toc54340633"/>
      <w:bookmarkStart w:id="2515" w:name="_Toc54345735"/>
      <w:bookmarkStart w:id="2516" w:name="_Toc54348748"/>
      <w:bookmarkStart w:id="2517" w:name="_Toc54355078"/>
      <w:bookmarkStart w:id="2518" w:name="_Toc54355057"/>
      <w:bookmarkStart w:id="2519" w:name="_Toc54355603"/>
      <w:bookmarkStart w:id="2520" w:name="_Toc54355751"/>
      <w:bookmarkStart w:id="2521" w:name="_Toc54356118"/>
      <w:bookmarkStart w:id="2522" w:name="_Toc54356669"/>
      <w:bookmarkStart w:id="2523" w:name="_Toc54357536"/>
      <w:bookmarkStart w:id="2524" w:name="_Toc54357633"/>
      <w:bookmarkStart w:id="2525" w:name="_Toc54364597"/>
      <w:bookmarkStart w:id="2526" w:name="_Toc54371205"/>
      <w:bookmarkStart w:id="2527" w:name="_Toc54372042"/>
      <w:bookmarkStart w:id="2528" w:name="_Toc54376649"/>
      <w:bookmarkStart w:id="2529" w:name="_Toc49877755"/>
      <w:bookmarkStart w:id="2530" w:name="_Toc49881150"/>
      <w:bookmarkStart w:id="2531" w:name="_Toc49884211"/>
      <w:bookmarkStart w:id="2532" w:name="_Toc49884287"/>
      <w:bookmarkStart w:id="2533" w:name="_Toc49893543"/>
      <w:bookmarkStart w:id="2534" w:name="_Toc49933931"/>
      <w:bookmarkStart w:id="2535" w:name="_Toc49937841"/>
      <w:bookmarkStart w:id="2536" w:name="_Toc49939214"/>
      <w:bookmarkStart w:id="2537" w:name="_Toc49942064"/>
      <w:bookmarkStart w:id="2538" w:name="_Toc49948532"/>
      <w:bookmarkStart w:id="2539" w:name="_Toc49953006"/>
      <w:bookmarkStart w:id="2540" w:name="_Toc49954756"/>
      <w:bookmarkStart w:id="2541" w:name="_Toc49955773"/>
      <w:bookmarkStart w:id="2542" w:name="_Toc49958273"/>
      <w:bookmarkStart w:id="2543" w:name="_Toc49958468"/>
      <w:bookmarkStart w:id="2544" w:name="_Toc49961984"/>
      <w:bookmarkStart w:id="2545" w:name="_Toc49963171"/>
      <w:bookmarkStart w:id="2546" w:name="_Toc49695782"/>
      <w:bookmarkStart w:id="2547" w:name="_Toc49805482"/>
      <w:bookmarkStart w:id="2548" w:name="_Toc49806194"/>
      <w:bookmarkStart w:id="2549" w:name="_Toc49517928"/>
      <w:bookmarkStart w:id="2550" w:name="_Toc49527878"/>
      <w:bookmarkStart w:id="2551" w:name="_Toc49529999"/>
      <w:bookmarkStart w:id="2552" w:name="_Toc49530663"/>
      <w:bookmarkStart w:id="2553" w:name="_Toc49532613"/>
      <w:bookmarkStart w:id="2554" w:name="_Toc4969596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r>
        <w:rPr>
          <w:noProof/>
        </w:rPr>
        <w:t>Option 1: Legislative action to create transparency for individual workers</w:t>
      </w:r>
      <w:bookmarkEnd w:id="2481"/>
      <w:bookmarkEnd w:id="2482"/>
      <w:r>
        <w:rPr>
          <w:noProof/>
        </w:rPr>
        <w:t xml:space="preserve"> </w:t>
      </w:r>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p>
    <w:p>
      <w:pPr>
        <w:jc w:val="both"/>
        <w:rPr>
          <w:rFonts w:ascii="Times New Roman" w:hAnsi="Times New Roman" w:cs="Times New Roman"/>
          <w:noProof/>
          <w:sz w:val="24"/>
          <w:szCs w:val="24"/>
        </w:rPr>
      </w:pPr>
      <w:r>
        <w:rPr>
          <w:rFonts w:ascii="Times New Roman" w:hAnsi="Times New Roman" w:cs="Times New Roman"/>
          <w:noProof/>
          <w:sz w:val="24"/>
          <w:szCs w:val="24"/>
        </w:rPr>
        <w:t>This option aims at realising the specific objective of empowering workers to claim their right to equal pay. Indirectly, by raising awareness among employers when preparing pay information it could affect gender bias in pay setting mechanisms and valuation of women’s work, but such effect would depend on the self-motivation of employers to launch action in that respect. Two alternative sub-options (1A and 1B) are suggested below. They present different levels of ambition, balancing the rights of workers against the cost and burden on employers, especially SMEs.</w:t>
      </w:r>
    </w:p>
    <w:p>
      <w:pPr>
        <w:pStyle w:val="Heading3"/>
        <w:ind w:left="720"/>
        <w:rPr>
          <w:b/>
          <w:noProof/>
          <w:u w:val="single"/>
        </w:rPr>
      </w:pPr>
      <w:r>
        <w:rPr>
          <w:b/>
          <w:bCs/>
          <w:noProof/>
          <w:u w:val="single"/>
        </w:rPr>
        <w:t>Sub-option 1A: Empower workers by granting a right to receive pay information</w:t>
      </w:r>
    </w:p>
    <w:p>
      <w:pPr>
        <w:pStyle w:val="Heading4"/>
        <w:ind w:left="720"/>
        <w:rPr>
          <w:b/>
          <w:noProof/>
        </w:rPr>
      </w:pPr>
      <w:r>
        <w:rPr>
          <w:b/>
          <w:bCs/>
          <w:i/>
          <w:iCs/>
          <w:noProof/>
        </w:rPr>
        <w:t>Measure 1: Transparency of salary information prior to employment</w:t>
      </w:r>
    </w:p>
    <w:p>
      <w:pPr>
        <w:jc w:val="both"/>
        <w:rPr>
          <w:rFonts w:ascii="Times New Roman" w:hAnsi="Times New Roman" w:cs="Times New Roman"/>
          <w:noProof/>
          <w:sz w:val="24"/>
          <w:szCs w:val="24"/>
        </w:rPr>
      </w:pPr>
      <w:r>
        <w:rPr>
          <w:rFonts w:ascii="Times New Roman" w:hAnsi="Times New Roman" w:cs="Times New Roman"/>
          <w:noProof/>
          <w:sz w:val="24"/>
          <w:szCs w:val="24"/>
        </w:rPr>
        <w:t>This measure aims to ensure that the employer informs prospective workers about the initial salary offer or a reasonable range expected to apply to the position concerned. It would strengthen workers’ bargaining power when it comes to pay setting and their understanding of their paid position compared to other workers carrying out equal work or work of equal value in the organisation. It would also ensure that the employer is not allowed to ask about the applicant’s previous salary or to require them to sign non-disclosure agreements concerning the wages they receive. The measure would be applicable to all employers.</w:t>
      </w:r>
    </w:p>
    <w:p>
      <w:pPr>
        <w:pStyle w:val="Heading4"/>
        <w:ind w:left="720"/>
        <w:rPr>
          <w:b/>
          <w:noProof/>
        </w:rPr>
      </w:pPr>
      <w:r>
        <w:rPr>
          <w:b/>
          <w:bCs/>
          <w:i/>
          <w:iCs/>
          <w:noProof/>
        </w:rPr>
        <w:t>Measure 2: Employer’s obligation to provide all workers with individual information on pay compared to their category</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existing obligations under the Treaty require employers to </w:t>
      </w:r>
      <w:r>
        <w:rPr>
          <w:rFonts w:ascii="Times New Roman" w:eastAsia="Times New Roman" w:hAnsi="Times New Roman" w:cs="Times New Roman"/>
          <w:noProof/>
          <w:sz w:val="24"/>
          <w:szCs w:val="24"/>
        </w:rPr>
        <w:t>have pay structures ensuring that women and men are paid equally for the same work or work of equal value. In order to comply with this existing requirement, employers should group workers in their organisation according to the carrying out of equal work or work of equal value. This measure would require the information on average pay levels in such groupings to be made available to workers insofar as it relates to them.</w:t>
      </w:r>
      <w:r>
        <w:rPr>
          <w:rFonts w:ascii="Times New Roman" w:hAnsi="Times New Roman" w:cs="Times New Roman"/>
          <w:noProof/>
          <w:sz w:val="24"/>
          <w:szCs w:val="24"/>
        </w:rPr>
        <w:t xml:space="preserve"> Workers would receive information on average pay levels, broken down by sex, only for their own category of workers doing the same work or work of equal value within the organisation. On the basis of the information received, workers would be able, in line with the requirements set by the Court of Justice, to compare their position and job description against a comparator attributed to the same category; this would enable them to evaluate whether or not they may be victim of pay discrimination based on sex.</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information would be provided by employers to workers periodically (e.g. synchronised with performance evaluation performed usually every year), without any prerequisite request from the worker. </w:t>
      </w:r>
    </w:p>
    <w:p>
      <w:pPr>
        <w:jc w:val="both"/>
        <w:rPr>
          <w:rFonts w:ascii="Times New Roman" w:hAnsi="Times New Roman" w:cs="Times New Roman"/>
          <w:noProof/>
          <w:sz w:val="24"/>
          <w:szCs w:val="24"/>
        </w:rPr>
      </w:pPr>
      <w:r>
        <w:rPr>
          <w:rFonts w:ascii="Times New Roman" w:hAnsi="Times New Roman" w:cs="Times New Roman"/>
          <w:i/>
          <w:iCs/>
          <w:noProof/>
          <w:sz w:val="24"/>
          <w:szCs w:val="24"/>
        </w:rPr>
        <w:t>Exemption</w:t>
      </w:r>
      <w:r>
        <w:rPr>
          <w:rFonts w:ascii="Times New Roman" w:hAnsi="Times New Roman" w:cs="Times New Roman"/>
          <w:noProof/>
          <w:sz w:val="24"/>
          <w:szCs w:val="24"/>
        </w:rPr>
        <w:t xml:space="preserve">: the measure would exempt employers with </w:t>
      </w:r>
      <w:r>
        <w:rPr>
          <w:rFonts w:ascii="Times New Roman" w:hAnsi="Times New Roman" w:cs="Times New Roman"/>
          <w:b/>
          <w:bCs/>
          <w:noProof/>
          <w:sz w:val="24"/>
          <w:szCs w:val="24"/>
        </w:rPr>
        <w:t>less than 50 workers</w:t>
      </w:r>
      <w:r>
        <w:rPr>
          <w:rFonts w:ascii="Times New Roman" w:hAnsi="Times New Roman" w:cs="Times New Roman"/>
          <w:noProof/>
          <w:sz w:val="24"/>
          <w:szCs w:val="24"/>
        </w:rPr>
        <w:t xml:space="preserve"> from producing such periodic information </w:t>
      </w:r>
      <w:r>
        <w:rPr>
          <w:rFonts w:ascii="Times New Roman" w:hAnsi="Times New Roman" w:cs="Times New Roman"/>
          <w:b/>
          <w:bCs/>
          <w:noProof/>
          <w:sz w:val="24"/>
          <w:szCs w:val="24"/>
        </w:rPr>
        <w:t>in the absence of a worker’s request</w:t>
      </w:r>
      <w:r>
        <w:rPr>
          <w:rFonts w:ascii="Times New Roman" w:hAnsi="Times New Roman" w:cs="Times New Roman"/>
          <w:noProof/>
          <w:sz w:val="24"/>
          <w:szCs w:val="24"/>
        </w:rPr>
        <w:t xml:space="preserve">. This means that workers in such organisations would still be able to obtain the information, however only upon request. To address the possible fear of victimisation, workers would be protected by a strengthening of the existing framework regarding the </w:t>
      </w:r>
      <w:r>
        <w:rPr>
          <w:rFonts w:ascii="Times New Roman" w:hAnsi="Times New Roman" w:cs="Times New Roman"/>
          <w:i/>
          <w:iCs/>
          <w:noProof/>
          <w:sz w:val="24"/>
          <w:szCs w:val="24"/>
        </w:rPr>
        <w:t>burden of proof</w:t>
      </w:r>
      <w:r>
        <w:rPr>
          <w:rFonts w:ascii="Times New Roman" w:hAnsi="Times New Roman" w:cs="Times New Roman"/>
          <w:noProof/>
          <w:sz w:val="24"/>
          <w:szCs w:val="24"/>
        </w:rPr>
        <w:t xml:space="preserve"> (from the Recast Directive) by adding an additional alleviation of this burden regarding compliance with the pay transparency requirements set out by the initiative. Thus, in case an employer does not comply with its pay transparency obligations under the initiative, the burden of proof would be automatically shifted on the employer in case of a worker’s complaint. In addition, minimum standards on access to evidence would be set. Such alleviated provision would at the same time better reflect the case law</w:t>
      </w:r>
      <w:r>
        <w:rPr>
          <w:rStyle w:val="FootnoteReference"/>
          <w:rFonts w:ascii="Times New Roman" w:hAnsi="Times New Roman" w:cs="Times New Roman"/>
          <w:noProof/>
          <w:sz w:val="24"/>
          <w:szCs w:val="24"/>
        </w:rPr>
        <w:footnoteReference w:id="118"/>
      </w:r>
      <w:r>
        <w:rPr>
          <w:rFonts w:ascii="Times New Roman" w:hAnsi="Times New Roman" w:cs="Times New Roman"/>
          <w:noProof/>
          <w:sz w:val="24"/>
          <w:szCs w:val="24"/>
        </w:rPr>
        <w:t xml:space="preserve"> of the Court. </w:t>
      </w:r>
    </w:p>
    <w:p>
      <w:pPr>
        <w:pStyle w:val="Heading3"/>
        <w:ind w:left="720"/>
        <w:rPr>
          <w:b/>
          <w:noProof/>
          <w:u w:val="single"/>
        </w:rPr>
      </w:pPr>
      <w:r>
        <w:rPr>
          <w:b/>
          <w:bCs/>
          <w:noProof/>
          <w:u w:val="single"/>
        </w:rPr>
        <w:t>Sub-option 1B: Empower workers by granting a right to request pay information</w:t>
      </w:r>
    </w:p>
    <w:p>
      <w:pPr>
        <w:pStyle w:val="Heading4"/>
        <w:ind w:left="720"/>
        <w:rPr>
          <w:noProof/>
        </w:rPr>
      </w:pPr>
      <w:r>
        <w:rPr>
          <w:b/>
          <w:bCs/>
          <w:i/>
          <w:iCs/>
          <w:noProof/>
        </w:rPr>
        <w:t>Measure 1: Transparency of salary information prior to employment</w:t>
      </w:r>
    </w:p>
    <w:p>
      <w:pPr>
        <w:pStyle w:val="Text2"/>
        <w:ind w:left="0"/>
        <w:rPr>
          <w:noProof/>
        </w:rPr>
      </w:pPr>
      <w:r>
        <w:rPr>
          <w:noProof/>
        </w:rPr>
        <w:t>Same as measure 1 of Sub-option 1A.</w:t>
      </w:r>
    </w:p>
    <w:p>
      <w:pPr>
        <w:pStyle w:val="Heading4"/>
        <w:ind w:left="720"/>
        <w:rPr>
          <w:noProof/>
        </w:rPr>
      </w:pPr>
      <w:r>
        <w:rPr>
          <w:b/>
          <w:bCs/>
          <w:i/>
          <w:iCs/>
          <w:noProof/>
        </w:rPr>
        <w:t>Measure 2: Right of worker to receive individual information on pay compared to their category – upon request</w:t>
      </w:r>
    </w:p>
    <w:p>
      <w:pPr>
        <w:pStyle w:val="Text2"/>
        <w:spacing w:line="276" w:lineRule="auto"/>
        <w:ind w:left="0"/>
        <w:rPr>
          <w:noProof/>
        </w:rPr>
      </w:pPr>
      <w:r>
        <w:rPr>
          <w:noProof/>
        </w:rPr>
        <w:t xml:space="preserve">The right to information would be the same as in Sub-option 1A above, with the difference that the pay information under this Sub-option would be provided by the employer </w:t>
      </w:r>
      <w:r>
        <w:rPr>
          <w:noProof/>
          <w:u w:val="single"/>
        </w:rPr>
        <w:t>only upon an individual worker’s request (or by workers’ representatives or equality bodies)</w:t>
      </w:r>
      <w:r>
        <w:rPr>
          <w:noProof/>
        </w:rPr>
        <w:t>. The measure would apply to all employers without exemption.</w:t>
      </w:r>
    </w:p>
    <w:p>
      <w:pPr>
        <w:pStyle w:val="Heading2"/>
        <w:numPr>
          <w:ilvl w:val="1"/>
          <w:numId w:val="41"/>
        </w:numPr>
        <w:spacing w:after="120"/>
        <w:rPr>
          <w:noProof/>
        </w:rPr>
      </w:pPr>
      <w:bookmarkStart w:id="2555" w:name="_Toc58767205"/>
      <w:bookmarkStart w:id="2556" w:name="_Toc58769508"/>
      <w:bookmarkStart w:id="2557" w:name="_Toc58863846"/>
      <w:bookmarkStart w:id="2558" w:name="_Toc58868873"/>
      <w:bookmarkStart w:id="2559" w:name="_Toc58870704"/>
      <w:bookmarkStart w:id="2560" w:name="_Toc58870937"/>
      <w:bookmarkStart w:id="2561" w:name="_Toc58871843"/>
      <w:bookmarkStart w:id="2562" w:name="_Toc58872058"/>
      <w:bookmarkStart w:id="2563" w:name="_Toc58922805"/>
      <w:bookmarkStart w:id="2564" w:name="_Toc58925387"/>
      <w:bookmarkStart w:id="2565" w:name="_Toc58928889"/>
      <w:bookmarkStart w:id="2566" w:name="_Toc58931257"/>
      <w:bookmarkStart w:id="2567" w:name="_Toc58931891"/>
      <w:bookmarkStart w:id="2568" w:name="_Toc58950498"/>
      <w:bookmarkStart w:id="2569" w:name="_Toc58956790"/>
      <w:bookmarkStart w:id="2570" w:name="_Toc58957955"/>
      <w:bookmarkStart w:id="2571" w:name="_Toc58962488"/>
      <w:bookmarkStart w:id="2572" w:name="_Toc59096520"/>
      <w:bookmarkStart w:id="2573" w:name="_Toc59103116"/>
      <w:bookmarkStart w:id="2574" w:name="_Toc59104967"/>
      <w:bookmarkStart w:id="2575" w:name="_Toc59119927"/>
      <w:bookmarkStart w:id="2576" w:name="_Toc59121191"/>
      <w:bookmarkStart w:id="2577" w:name="_Toc59121310"/>
      <w:bookmarkStart w:id="2578" w:name="_Toc59549362"/>
      <w:bookmarkStart w:id="2579" w:name="_Toc59642315"/>
      <w:r>
        <w:rPr>
          <w:noProof/>
        </w:rPr>
        <w:t xml:space="preserve"> Option 2: Legislative action to create transparency at employer level</w:t>
      </w:r>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This option aims at increasing transparency about pay structures of employers and organisations and thus bringing to light any potential structural gender bias. It would have an indirect effect on the problem driver of asymmetries of information on pay as some information would be shared with workers or made public. However, this latter effect would be limited because of exemptions excluding a significant share of the workforce and the potential difficulty of an individual worker to position themselves with the information provided. Four alternative Sub-options are suggested under this option. As in Option 1, they balance, on the one hand, the fundamental right and the need for protection of workers and, on the other hand, the costs and burden on employers, especially SMEs.</w:t>
      </w:r>
    </w:p>
    <w:p>
      <w:pPr>
        <w:pStyle w:val="Heading3"/>
        <w:ind w:left="0" w:firstLine="0"/>
        <w:rPr>
          <w:i w:val="0"/>
          <w:noProof/>
          <w:u w:val="single"/>
        </w:rPr>
      </w:pPr>
      <w:r>
        <w:rPr>
          <w:b/>
          <w:bCs/>
          <w:noProof/>
          <w:u w:val="single"/>
        </w:rPr>
        <w:t>Sub-option 2A</w:t>
      </w:r>
      <w:r>
        <w:rPr>
          <w:noProof/>
          <w:u w:val="single"/>
        </w:rPr>
        <w:t xml:space="preserve">: </w:t>
      </w:r>
      <w:r>
        <w:rPr>
          <w:b/>
          <w:bCs/>
          <w:noProof/>
          <w:u w:val="single"/>
        </w:rPr>
        <w:t xml:space="preserve">Equal pay certification </w:t>
      </w:r>
    </w:p>
    <w:p>
      <w:pPr>
        <w:pStyle w:val="matrixnormaltext"/>
        <w:spacing w:after="120" w:line="276" w:lineRule="auto"/>
        <w:jc w:val="both"/>
        <w:rPr>
          <w:rFonts w:ascii="Times New Roman" w:hAnsi="Times New Roman"/>
          <w:noProof/>
          <w:sz w:val="24"/>
          <w:szCs w:val="24"/>
        </w:rPr>
      </w:pPr>
      <w:r>
        <w:rPr>
          <w:rFonts w:ascii="Times New Roman" w:hAnsi="Times New Roman"/>
          <w:noProof/>
          <w:sz w:val="24"/>
          <w:szCs w:val="24"/>
        </w:rPr>
        <w:t xml:space="preserve">This option would introduce the obligation for employers to receive by an accredited certification body the Standard accreditation ‘Equal Pay Standard’ (Standard ÍST 85: 2012 – Equal Pay Management System – Requirements and Guidance), which is the only example existing in the world. The accreditation certifies, </w:t>
      </w:r>
      <w:r>
        <w:rPr>
          <w:rFonts w:ascii="Times New Roman" w:hAnsi="Times New Roman"/>
          <w:i/>
          <w:iCs/>
          <w:noProof/>
          <w:sz w:val="24"/>
          <w:szCs w:val="24"/>
        </w:rPr>
        <w:t>ex ante</w:t>
      </w:r>
      <w:r>
        <w:rPr>
          <w:rFonts w:ascii="Times New Roman" w:hAnsi="Times New Roman"/>
          <w:noProof/>
          <w:sz w:val="24"/>
          <w:szCs w:val="24"/>
        </w:rPr>
        <w:t>, the gender-neutrality of the employer’s pay structure.</w:t>
      </w:r>
      <w:r>
        <w:rPr>
          <w:rStyle w:val="FootnoteReference"/>
          <w:rFonts w:ascii="Times New Roman" w:hAnsi="Times New Roman"/>
          <w:noProof/>
          <w:sz w:val="24"/>
          <w:szCs w:val="24"/>
        </w:rPr>
        <w:footnoteReference w:id="119"/>
      </w:r>
      <w:r>
        <w:rPr>
          <w:rFonts w:ascii="Times New Roman" w:hAnsi="Times New Roman"/>
          <w:noProof/>
          <w:sz w:val="24"/>
          <w:szCs w:val="24"/>
        </w:rPr>
        <w:t xml:space="preserve"> The certification ensures that the difference in the average pay of women and men for the same work or work of equal value (assessed by the employer according to the standard) is solely linked to objective factors (including employers’ discretion based on explicit gender-neutral criteria regarding both the position and the performance of the employee). There are four main criteria (expertise/competence, responsibility, strain and working conditions). Each workplace must then define its own sub-criteria. This Sub-option fundamentally differs from the next approaches considered under Option 2, which are limited to </w:t>
      </w:r>
      <w:r>
        <w:rPr>
          <w:rFonts w:ascii="Times New Roman" w:hAnsi="Times New Roman"/>
          <w:i/>
          <w:iCs/>
          <w:noProof/>
          <w:sz w:val="24"/>
          <w:szCs w:val="24"/>
        </w:rPr>
        <w:t>ex post</w:t>
      </w:r>
      <w:r>
        <w:rPr>
          <w:rFonts w:ascii="Times New Roman" w:hAnsi="Times New Roman"/>
          <w:noProof/>
          <w:sz w:val="24"/>
          <w:szCs w:val="24"/>
        </w:rPr>
        <w:t xml:space="preserve"> actions, aiming at uncovering pay inequalities in </w:t>
      </w:r>
      <w:r>
        <w:rPr>
          <w:rFonts w:ascii="Times New Roman" w:hAnsi="Times New Roman"/>
          <w:i/>
          <w:iCs/>
          <w:noProof/>
          <w:sz w:val="24"/>
          <w:szCs w:val="24"/>
        </w:rPr>
        <w:t xml:space="preserve">ad hoc </w:t>
      </w:r>
      <w:r>
        <w:rPr>
          <w:rFonts w:ascii="Times New Roman" w:hAnsi="Times New Roman"/>
          <w:noProof/>
          <w:sz w:val="24"/>
          <w:szCs w:val="24"/>
        </w:rPr>
        <w:t>cases.</w:t>
      </w:r>
    </w:p>
    <w:p>
      <w:pPr>
        <w:pStyle w:val="matrixnormaltext"/>
        <w:spacing w:after="120" w:line="276" w:lineRule="auto"/>
        <w:contextualSpacing/>
        <w:jc w:val="both"/>
        <w:rPr>
          <w:rFonts w:ascii="Times New Roman" w:hAnsi="Times New Roman"/>
          <w:noProof/>
          <w:sz w:val="24"/>
          <w:szCs w:val="24"/>
        </w:rPr>
      </w:pPr>
      <w:r>
        <w:rPr>
          <w:rFonts w:ascii="Times New Roman" w:hAnsi="Times New Roman"/>
          <w:i/>
          <w:iCs/>
          <w:noProof/>
          <w:sz w:val="24"/>
          <w:szCs w:val="24"/>
          <w:u w:val="single"/>
        </w:rPr>
        <w:t>Exemption</w:t>
      </w:r>
      <w:r>
        <w:rPr>
          <w:rFonts w:ascii="Times New Roman" w:hAnsi="Times New Roman"/>
          <w:noProof/>
          <w:sz w:val="24"/>
          <w:szCs w:val="24"/>
        </w:rPr>
        <w:t xml:space="preserve">: employers with </w:t>
      </w:r>
      <w:r>
        <w:rPr>
          <w:rFonts w:ascii="Times New Roman" w:hAnsi="Times New Roman"/>
          <w:b/>
          <w:bCs/>
          <w:noProof/>
          <w:sz w:val="24"/>
          <w:szCs w:val="24"/>
        </w:rPr>
        <w:t xml:space="preserve">less than 50 workers </w:t>
      </w:r>
      <w:r>
        <w:rPr>
          <w:rFonts w:ascii="Times New Roman" w:hAnsi="Times New Roman"/>
          <w:noProof/>
          <w:sz w:val="24"/>
          <w:szCs w:val="24"/>
        </w:rPr>
        <w:t>would be exempted from this measure.</w:t>
      </w:r>
    </w:p>
    <w:p>
      <w:pPr>
        <w:pStyle w:val="Heading3"/>
        <w:ind w:left="0" w:firstLine="0"/>
        <w:rPr>
          <w:b/>
          <w:noProof/>
          <w:u w:val="single"/>
        </w:rPr>
      </w:pPr>
      <w:r>
        <w:rPr>
          <w:b/>
          <w:bCs/>
          <w:noProof/>
          <w:u w:val="single"/>
        </w:rPr>
        <w:t xml:space="preserve">Sub-option 2B: Employers’ obligation to carry out a joint pay assessment </w:t>
      </w:r>
    </w:p>
    <w:p>
      <w:pPr>
        <w:pStyle w:val="Text2"/>
        <w:spacing w:after="120" w:line="276" w:lineRule="auto"/>
        <w:ind w:left="0"/>
        <w:rPr>
          <w:noProof/>
        </w:rPr>
      </w:pPr>
      <w:r>
        <w:rPr>
          <w:noProof/>
        </w:rPr>
        <w:t xml:space="preserve">This option would require employers to carry out an annual pay assessment in cooperation with workers’ representatives. Such joint pay assessment could also be conducted by an external audit firm. It would include an assessment of the employer’s pay structure and any pay differentials based on sex, with the aim of identifying any unjustified gender pay differences. If the assessment brings to light such differences, these would need to be remedied. </w:t>
      </w:r>
    </w:p>
    <w:p>
      <w:pPr>
        <w:pStyle w:val="Text2"/>
        <w:spacing w:after="120" w:line="276" w:lineRule="auto"/>
        <w:ind w:left="0"/>
        <w:rPr>
          <w:noProof/>
        </w:rPr>
      </w:pPr>
      <w:r>
        <w:rPr>
          <w:noProof/>
        </w:rPr>
        <w:t>This option would trigger a systematic evaluation by employers on the extent to which their own policies and practices may be, even unconsciously, biased or discriminatory and how they may thus contribute to the gender pay gap, as opposed to factors justified or outside the employer’s control. This option therefore aims at uncovering the often unconscious systemic undervaluation of women’s work. It will require remedial action.</w:t>
      </w:r>
    </w:p>
    <w:p>
      <w:pPr>
        <w:pStyle w:val="Text2"/>
        <w:spacing w:after="120" w:line="276" w:lineRule="auto"/>
        <w:ind w:left="0"/>
        <w:rPr>
          <w:noProof/>
        </w:rPr>
      </w:pPr>
      <w:r>
        <w:rPr>
          <w:noProof/>
        </w:rPr>
        <w:t>The main difference with Sub-option 2A is that all action would be at organisational, employer level, with no mandatory external or Government involvement/certification.</w:t>
      </w:r>
    </w:p>
    <w:p>
      <w:pPr>
        <w:pStyle w:val="Text2"/>
        <w:spacing w:after="120" w:line="276" w:lineRule="auto"/>
        <w:ind w:left="0"/>
        <w:rPr>
          <w:noProof/>
          <w:szCs w:val="24"/>
        </w:rPr>
      </w:pPr>
      <w:r>
        <w:rPr>
          <w:i/>
          <w:iCs/>
          <w:noProof/>
          <w:u w:val="single"/>
        </w:rPr>
        <w:t>Exemption</w:t>
      </w:r>
      <w:r>
        <w:rPr>
          <w:noProof/>
        </w:rPr>
        <w:t xml:space="preserve">: employers with </w:t>
      </w:r>
      <w:r>
        <w:rPr>
          <w:b/>
          <w:bCs/>
          <w:noProof/>
        </w:rPr>
        <w:t xml:space="preserve">less than 50 workers </w:t>
      </w:r>
      <w:r>
        <w:rPr>
          <w:noProof/>
        </w:rPr>
        <w:t>would be exempted from this measure.</w:t>
      </w:r>
    </w:p>
    <w:p>
      <w:pPr>
        <w:pStyle w:val="Text2"/>
        <w:keepNext/>
        <w:spacing w:after="120" w:line="276" w:lineRule="auto"/>
        <w:ind w:left="0"/>
        <w:jc w:val="left"/>
        <w:rPr>
          <w:rStyle w:val="Heading3Char"/>
          <w:b/>
          <w:noProof/>
          <w:u w:val="single"/>
        </w:rPr>
      </w:pPr>
      <w:r>
        <w:rPr>
          <w:rStyle w:val="Heading3Char"/>
          <w:noProof/>
        </w:rPr>
        <w:t>Sub-option 2C: Basic pay reporting combined with joint pay assessment</w:t>
      </w:r>
    </w:p>
    <w:p>
      <w:pPr>
        <w:pStyle w:val="Text2"/>
        <w:spacing w:after="120" w:line="276" w:lineRule="auto"/>
        <w:ind w:left="0"/>
        <w:jc w:val="left"/>
        <w:rPr>
          <w:b/>
          <w:i/>
          <w:noProof/>
        </w:rPr>
      </w:pPr>
      <w:r>
        <w:rPr>
          <w:noProof/>
        </w:rPr>
        <w:t>This Sub-option presents a less ambitious alternative, reserving the joint pay assessment to larger employers (measure 1), combining it with a less demanding requirement of pay reporting on the basis of easily accessible data for medium-sized employers (measure 2).</w:t>
      </w:r>
    </w:p>
    <w:p>
      <w:pPr>
        <w:pStyle w:val="Heading4"/>
        <w:ind w:left="720"/>
        <w:rPr>
          <w:b/>
          <w:noProof/>
        </w:rPr>
      </w:pPr>
      <w:r>
        <w:rPr>
          <w:b/>
          <w:bCs/>
          <w:i/>
          <w:iCs/>
          <w:noProof/>
        </w:rPr>
        <w:t>Measure 1: Employers’ obligation to carry out a joint pay assessment</w:t>
      </w:r>
    </w:p>
    <w:p>
      <w:pPr>
        <w:spacing w:after="120"/>
        <w:jc w:val="both"/>
        <w:rPr>
          <w:rFonts w:ascii="Times New Roman" w:hAnsi="Times New Roman" w:cs="Times New Roman"/>
          <w:noProof/>
          <w:sz w:val="24"/>
          <w:szCs w:val="24"/>
          <w:u w:val="single"/>
        </w:rPr>
      </w:pPr>
      <w:r>
        <w:rPr>
          <w:rFonts w:ascii="Times New Roman" w:hAnsi="Times New Roman" w:cs="Times New Roman"/>
          <w:noProof/>
          <w:sz w:val="24"/>
          <w:szCs w:val="24"/>
        </w:rPr>
        <w:t xml:space="preserve">The content of this measure would be similar to the one set out in Sub-option 2B. In light of the annual publication of a pay report (see measure 2), the assessment could be carried out on a less regular basis, every three years. </w:t>
      </w:r>
    </w:p>
    <w:p>
      <w:pPr>
        <w:spacing w:after="120"/>
        <w:jc w:val="both"/>
        <w:rPr>
          <w:noProof/>
        </w:rPr>
      </w:pPr>
      <w:r>
        <w:rPr>
          <w:rFonts w:ascii="Times New Roman" w:hAnsi="Times New Roman" w:cs="Times New Roman"/>
          <w:i/>
          <w:iCs/>
          <w:noProof/>
          <w:sz w:val="24"/>
          <w:szCs w:val="24"/>
          <w:u w:val="single"/>
        </w:rPr>
        <w:t>Exemption</w:t>
      </w:r>
      <w:r>
        <w:rPr>
          <w:rFonts w:ascii="Times New Roman" w:hAnsi="Times New Roman" w:cs="Times New Roman"/>
          <w:noProof/>
          <w:sz w:val="24"/>
          <w:szCs w:val="24"/>
        </w:rPr>
        <w:t xml:space="preserve">: </w:t>
      </w:r>
      <w:r>
        <w:rPr>
          <w:rFonts w:ascii="Times New Roman" w:hAnsi="Times New Roman"/>
          <w:noProof/>
          <w:sz w:val="24"/>
          <w:szCs w:val="24"/>
        </w:rPr>
        <w:t xml:space="preserve">employers with </w:t>
      </w:r>
      <w:r>
        <w:rPr>
          <w:rFonts w:ascii="Times New Roman" w:hAnsi="Times New Roman"/>
          <w:b/>
          <w:bCs/>
          <w:noProof/>
          <w:sz w:val="24"/>
          <w:szCs w:val="24"/>
        </w:rPr>
        <w:t xml:space="preserve">less than 250 workers </w:t>
      </w:r>
      <w:r>
        <w:rPr>
          <w:rFonts w:ascii="Times New Roman" w:hAnsi="Times New Roman"/>
          <w:noProof/>
          <w:sz w:val="24"/>
          <w:szCs w:val="24"/>
        </w:rPr>
        <w:t>would be exempted from this measure.</w:t>
      </w:r>
    </w:p>
    <w:p>
      <w:pPr>
        <w:pStyle w:val="Heading4"/>
        <w:ind w:left="720"/>
        <w:rPr>
          <w:b/>
          <w:noProof/>
        </w:rPr>
      </w:pPr>
      <w:r>
        <w:rPr>
          <w:b/>
          <w:bCs/>
          <w:i/>
          <w:iCs/>
          <w:noProof/>
        </w:rPr>
        <w:t>Measure 2: Employers’ obligation to report on average differences in pay between female and male workers</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This measure would require employers to publish annually the information on the </w:t>
      </w:r>
      <w:r>
        <w:rPr>
          <w:rFonts w:ascii="Times New Roman" w:eastAsia="Times New Roman" w:hAnsi="Times New Roman" w:cs="Times New Roman"/>
          <w:noProof/>
          <w:sz w:val="24"/>
          <w:szCs w:val="24"/>
        </w:rPr>
        <w:t>average difference in pay between female and male workers</w:t>
      </w:r>
      <w:r>
        <w:rPr>
          <w:rFonts w:ascii="Times New Roman" w:hAnsi="Times New Roman" w:cs="Times New Roman"/>
          <w:noProof/>
          <w:sz w:val="24"/>
          <w:szCs w:val="24"/>
        </w:rPr>
        <w:t xml:space="preserve"> as a percentage of the average salary of male workers in their organisation. </w:t>
      </w:r>
      <w:r>
        <w:rPr>
          <w:rFonts w:ascii="Times New Roman" w:eastAsia="Times New Roman" w:hAnsi="Times New Roman" w:cs="Times New Roman"/>
          <w:noProof/>
          <w:sz w:val="24"/>
          <w:szCs w:val="24"/>
        </w:rPr>
        <w:t xml:space="preserve">Reporting on average differences in pay between men and women in the organisation permits to see how such differences are distributed among the overall workforce within the employer, whether they are visible in regard to the basic wage or rather/also in regard to other, complementary or variable components such as benefits and bonuses and the proportion of male and female workers receiving such components. </w:t>
      </w:r>
      <w:r>
        <w:rPr>
          <w:rFonts w:ascii="Times New Roman" w:hAnsi="Times New Roman" w:cs="Times New Roman"/>
          <w:noProof/>
          <w:sz w:val="24"/>
          <w:szCs w:val="24"/>
        </w:rPr>
        <w:t>The information could be easily processed by employers on the basis of existing data. It would not contain precise information on categories of workers doing the same work or work of equal value; it can therefore only give a rough indication of possible pay inequalities. No remedial action by employers would be required. The information made accessible under this measure would ensure a minimum transparency of easily available information; as such, it would complement the more detailed pay information envisaged under option 1, which would only be available upon request. This measure can still contribute to achieving the policy objectives, since the publicity of the information and the possibility for workers and their representatives, equality bodies and labour inspectorates to ask for an explanation of any differences shown in the report is expected to work as an incentive for employers to analyse further the drivers of pay differences and act upon them.</w:t>
      </w:r>
    </w:p>
    <w:p>
      <w:pPr>
        <w:spacing w:after="120"/>
        <w:jc w:val="both"/>
        <w:rPr>
          <w:rFonts w:ascii="Times New Roman" w:hAnsi="Times New Roman" w:cs="Times New Roman"/>
          <w:noProof/>
        </w:rPr>
      </w:pPr>
      <w:r>
        <w:rPr>
          <w:rFonts w:ascii="Times New Roman" w:hAnsi="Times New Roman" w:cs="Times New Roman"/>
          <w:noProof/>
          <w:sz w:val="24"/>
          <w:szCs w:val="24"/>
        </w:rPr>
        <w:t>The information provided under this measure is to be shared with the national authorities which could use it for monitoring compliance with the obligation to report, to assess aggregated data, and possibly to tailor further targeted policy measures e.g. by sector or geographical area.</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Member States could alleviate the impact of this measure on employers by gathering the information by employer on the basis of administrative data, if available and interlinked. </w:t>
      </w:r>
    </w:p>
    <w:p>
      <w:pPr>
        <w:spacing w:after="120"/>
        <w:jc w:val="both"/>
        <w:rPr>
          <w:rFonts w:ascii="Times New Roman" w:hAnsi="Times New Roman" w:cs="Times New Roman"/>
          <w:noProof/>
          <w:sz w:val="24"/>
          <w:szCs w:val="24"/>
        </w:rPr>
      </w:pPr>
      <w:r>
        <w:rPr>
          <w:rFonts w:ascii="Times New Roman" w:hAnsi="Times New Roman" w:cs="Times New Roman"/>
          <w:i/>
          <w:iCs/>
          <w:noProof/>
          <w:sz w:val="24"/>
          <w:szCs w:val="24"/>
          <w:u w:val="single"/>
        </w:rPr>
        <w:t>Exemption</w:t>
      </w:r>
      <w:r>
        <w:rPr>
          <w:rFonts w:ascii="Times New Roman" w:hAnsi="Times New Roman" w:cs="Times New Roman"/>
          <w:noProof/>
          <w:sz w:val="24"/>
          <w:szCs w:val="24"/>
        </w:rPr>
        <w:t xml:space="preserve">: </w:t>
      </w:r>
      <w:r>
        <w:rPr>
          <w:rFonts w:ascii="Times New Roman" w:hAnsi="Times New Roman"/>
          <w:noProof/>
          <w:sz w:val="24"/>
          <w:szCs w:val="24"/>
        </w:rPr>
        <w:t xml:space="preserve">employers with </w:t>
      </w:r>
      <w:r>
        <w:rPr>
          <w:rFonts w:ascii="Times New Roman" w:hAnsi="Times New Roman"/>
          <w:b/>
          <w:bCs/>
          <w:noProof/>
          <w:sz w:val="24"/>
          <w:szCs w:val="24"/>
        </w:rPr>
        <w:t xml:space="preserve">less than 50 workers </w:t>
      </w:r>
      <w:r>
        <w:rPr>
          <w:rFonts w:ascii="Times New Roman" w:hAnsi="Times New Roman"/>
          <w:noProof/>
          <w:sz w:val="24"/>
          <w:szCs w:val="24"/>
        </w:rPr>
        <w:t xml:space="preserve">would be exempted from this measure. </w:t>
      </w:r>
    </w:p>
    <w:p>
      <w:pPr>
        <w:pStyle w:val="Heading3"/>
        <w:keepNext w:val="0"/>
        <w:ind w:left="0" w:firstLine="0"/>
        <w:rPr>
          <w:b/>
          <w:noProof/>
          <w:u w:val="single"/>
        </w:rPr>
      </w:pPr>
      <w:r>
        <w:rPr>
          <w:b/>
          <w:bCs/>
          <w:noProof/>
          <w:u w:val="single"/>
        </w:rPr>
        <w:t>Sub-option 2D: Strengthened pay reporting and joint pay assessment in case of pay differences which cannot be justified by objective, gender-neutral factors</w:t>
      </w:r>
    </w:p>
    <w:p>
      <w:pPr>
        <w:jc w:val="both"/>
        <w:rPr>
          <w:noProof/>
        </w:rPr>
      </w:pPr>
      <w:r>
        <w:rPr>
          <w:rFonts w:ascii="Times New Roman" w:hAnsi="Times New Roman" w:cs="Times New Roman"/>
          <w:noProof/>
          <w:sz w:val="24"/>
          <w:szCs w:val="24"/>
        </w:rPr>
        <w:t>This Sub-option further reduces costs and burden for employers by limiting the obligation to carry out a joint pay assessment only to those employers which have a problem of pay inequality in their organisation. Such targeted action would be based on a strengthened pay reporting obligation which gives a more refined view on pay inequalities than the pay reporting under Sub-option 2C above.</w:t>
      </w:r>
    </w:p>
    <w:p>
      <w:pPr>
        <w:pStyle w:val="Heading4"/>
        <w:ind w:left="720"/>
        <w:rPr>
          <w:b/>
          <w:i/>
          <w:noProof/>
        </w:rPr>
      </w:pPr>
      <w:r>
        <w:rPr>
          <w:b/>
          <w:bCs/>
          <w:i/>
          <w:iCs/>
          <w:noProof/>
        </w:rPr>
        <w:t xml:space="preserve">Measure 1: Employers’ obligation to report on the average difference in pay between female and male workers by worker category </w:t>
      </w:r>
    </w:p>
    <w:p>
      <w:pPr>
        <w:jc w:val="both"/>
        <w:rPr>
          <w:noProof/>
          <w:szCs w:val="24"/>
        </w:rPr>
      </w:pPr>
      <w:r>
        <w:rPr>
          <w:rFonts w:ascii="Times New Roman" w:hAnsi="Times New Roman" w:cs="Times New Roman"/>
          <w:noProof/>
          <w:sz w:val="24"/>
          <w:szCs w:val="24"/>
        </w:rPr>
        <w:t xml:space="preserve">This measure would be similar to measure 2 under Sub-option 2C above but </w:t>
      </w:r>
      <w:r>
        <w:rPr>
          <w:rFonts w:ascii="Times New Roman" w:hAnsi="Times New Roman" w:cs="Times New Roman"/>
          <w:noProof/>
          <w:sz w:val="24"/>
          <w:szCs w:val="24"/>
          <w:u w:val="single"/>
        </w:rPr>
        <w:t>would extend</w:t>
      </w:r>
      <w:r>
        <w:rPr>
          <w:rFonts w:ascii="Times New Roman" w:hAnsi="Times New Roman" w:cs="Times New Roman"/>
          <w:noProof/>
          <w:sz w:val="24"/>
          <w:szCs w:val="24"/>
        </w:rPr>
        <w:t xml:space="preserve"> the reporting exercise by the calculation of the average difference in pay between female and male employees </w:t>
      </w:r>
      <w:r>
        <w:rPr>
          <w:rFonts w:ascii="Times New Roman" w:hAnsi="Times New Roman" w:cs="Times New Roman"/>
          <w:b/>
          <w:bCs/>
          <w:i/>
          <w:iCs/>
          <w:noProof/>
          <w:sz w:val="24"/>
          <w:szCs w:val="24"/>
        </w:rPr>
        <w:t>by categories of workers doing the same work or work of equal value</w:t>
      </w:r>
      <w:r>
        <w:rPr>
          <w:rFonts w:ascii="Times New Roman" w:hAnsi="Times New Roman" w:cs="Times New Roman"/>
          <w:noProof/>
          <w:sz w:val="24"/>
          <w:szCs w:val="24"/>
        </w:rPr>
        <w:t xml:space="preserve">. As such, it would provide for a more refined diagnosis of possible pay inequalities in the organisation. This latter information would </w:t>
      </w:r>
      <w:r>
        <w:rPr>
          <w:rFonts w:ascii="Times New Roman" w:eastAsia="Times New Roman" w:hAnsi="Times New Roman" w:cs="Times New Roman"/>
          <w:noProof/>
          <w:sz w:val="24"/>
          <w:szCs w:val="24"/>
          <w:lang w:eastAsia="en-GB"/>
        </w:rPr>
        <w:t>only</w:t>
      </w:r>
      <w:r>
        <w:rPr>
          <w:rFonts w:ascii="Times New Roman" w:hAnsi="Times New Roman" w:cs="Times New Roman"/>
          <w:noProof/>
          <w:sz w:val="24"/>
          <w:szCs w:val="24"/>
        </w:rPr>
        <w:t xml:space="preserve"> be made available to workers and their representatives</w:t>
      </w:r>
      <w:r>
        <w:rPr>
          <w:rFonts w:ascii="Times New Roman" w:eastAsia="Times New Roman" w:hAnsi="Times New Roman" w:cs="Times New Roman"/>
          <w:noProof/>
          <w:sz w:val="24"/>
          <w:szCs w:val="24"/>
          <w:lang w:eastAsia="en-GB"/>
        </w:rPr>
        <w:t xml:space="preserve"> (and</w:t>
      </w:r>
      <w:r>
        <w:rPr>
          <w:rFonts w:ascii="Times New Roman" w:hAnsi="Times New Roman" w:cs="Times New Roman"/>
          <w:noProof/>
          <w:sz w:val="24"/>
          <w:szCs w:val="24"/>
        </w:rPr>
        <w:t xml:space="preserve"> equality bodies and labour inspectorates</w:t>
      </w:r>
      <w:r>
        <w:rPr>
          <w:rFonts w:ascii="Times New Roman" w:eastAsia="Times New Roman" w:hAnsi="Times New Roman" w:cs="Times New Roman"/>
          <w:noProof/>
          <w:sz w:val="24"/>
          <w:szCs w:val="24"/>
          <w:lang w:eastAsia="en-GB"/>
        </w:rPr>
        <w:t xml:space="preserve"> upon request). The reason for this is that the categorization of workers performing work of equal value is based on a combination and weight of criteria which are relevant to the specific employer concerned. Such information may more appropriately remain within the employer concerned or be shared only with designated public bodies; it does not have much added value for the general public.</w:t>
      </w:r>
      <w:r>
        <w:rPr>
          <w:rFonts w:ascii="Segoe UI" w:hAnsi="Segoe UI"/>
          <w:noProof/>
          <w:sz w:val="21"/>
          <w:szCs w:val="21"/>
        </w:rPr>
        <w:t xml:space="preserve"> </w:t>
      </w:r>
      <w:r>
        <w:rPr>
          <w:rFonts w:ascii="Times New Roman" w:hAnsi="Times New Roman" w:cs="Times New Roman"/>
          <w:noProof/>
          <w:sz w:val="24"/>
          <w:szCs w:val="24"/>
        </w:rPr>
        <w:t>The overall average pay gap at employer level would be made public as in Sub-option 2C.</w:t>
      </w:r>
    </w:p>
    <w:p>
      <w:pPr>
        <w:pStyle w:val="Text2"/>
        <w:ind w:left="0"/>
        <w:rPr>
          <w:noProof/>
        </w:rPr>
      </w:pPr>
      <w:r>
        <w:rPr>
          <w:i/>
          <w:iCs/>
          <w:noProof/>
          <w:u w:val="single"/>
        </w:rPr>
        <w:t>Exemption</w:t>
      </w:r>
      <w:r>
        <w:rPr>
          <w:noProof/>
        </w:rPr>
        <w:t xml:space="preserve">: employers with </w:t>
      </w:r>
      <w:r>
        <w:rPr>
          <w:b/>
          <w:bCs/>
          <w:noProof/>
        </w:rPr>
        <w:t xml:space="preserve">less than 250 workers </w:t>
      </w:r>
      <w:r>
        <w:rPr>
          <w:noProof/>
        </w:rPr>
        <w:t>would be exempted from this measure.</w:t>
      </w:r>
    </w:p>
    <w:p>
      <w:pPr>
        <w:pStyle w:val="Heading4"/>
        <w:ind w:left="720"/>
        <w:rPr>
          <w:b/>
          <w:noProof/>
        </w:rPr>
      </w:pPr>
      <w:r>
        <w:rPr>
          <w:b/>
          <w:bCs/>
          <w:i/>
          <w:iCs/>
          <w:noProof/>
        </w:rPr>
        <w:t>Measure 2: Employers’ obligation to carry out a joint pay assessment if pay reports show pay differences which cannot be justified by objective, gender-neutral factors</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Under this Sub-option, a joint pay assessment would only be required if the pay report under measure 1 shows a difference of average pay between female and male workers at employer level of 5% in any category of workers doing the same work or work of equal value, unless the employer can justify this difference by objective factors. In case of disagreement between the employer and workers’ representatives on the need to launch a joint pay assessment, this obligation may need to be enforced through the competent enforcement authorities.</w:t>
      </w:r>
    </w:p>
    <w:p>
      <w:pPr>
        <w:pStyle w:val="Text2"/>
        <w:tabs>
          <w:tab w:val="clear" w:pos="2302"/>
          <w:tab w:val="left" w:pos="1276"/>
        </w:tabs>
        <w:ind w:left="0"/>
        <w:rPr>
          <w:noProof/>
        </w:rPr>
      </w:pPr>
      <w:r>
        <w:rPr>
          <w:i/>
          <w:iCs/>
          <w:noProof/>
        </w:rPr>
        <w:t>Exemption</w:t>
      </w:r>
      <w:r>
        <w:rPr>
          <w:noProof/>
        </w:rPr>
        <w:t xml:space="preserve">: employers with </w:t>
      </w:r>
      <w:r>
        <w:rPr>
          <w:b/>
          <w:bCs/>
          <w:noProof/>
        </w:rPr>
        <w:t xml:space="preserve">less than 250 workers </w:t>
      </w:r>
      <w:r>
        <w:rPr>
          <w:noProof/>
        </w:rPr>
        <w:t>would be exempted from this measure.</w:t>
      </w:r>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p>
    <w:p>
      <w:pPr>
        <w:pStyle w:val="Heading2"/>
        <w:ind w:left="709" w:hanging="709"/>
        <w:rPr>
          <w:noProof/>
        </w:rPr>
      </w:pPr>
      <w:bookmarkStart w:id="2580" w:name="_Toc59549363"/>
      <w:bookmarkStart w:id="2581" w:name="_Toc59642316"/>
      <w:bookmarkStart w:id="2582" w:name="_Toc58863848"/>
      <w:bookmarkStart w:id="2583" w:name="_Toc58868875"/>
      <w:bookmarkStart w:id="2584" w:name="_Toc58870706"/>
      <w:bookmarkStart w:id="2585" w:name="_Toc58870939"/>
      <w:bookmarkStart w:id="2586" w:name="_Toc58871845"/>
      <w:bookmarkStart w:id="2587" w:name="_Toc58872060"/>
      <w:bookmarkStart w:id="2588" w:name="_Toc58922807"/>
      <w:bookmarkStart w:id="2589" w:name="_Toc58925389"/>
      <w:bookmarkStart w:id="2590" w:name="_Toc58928891"/>
      <w:bookmarkStart w:id="2591" w:name="_Toc58931259"/>
      <w:bookmarkStart w:id="2592" w:name="_Toc58931893"/>
      <w:bookmarkStart w:id="2593" w:name="_Toc58950500"/>
      <w:bookmarkStart w:id="2594" w:name="_Toc58956792"/>
      <w:bookmarkStart w:id="2595" w:name="_Toc58957957"/>
      <w:bookmarkStart w:id="2596" w:name="_Toc58962490"/>
      <w:bookmarkStart w:id="2597" w:name="_Toc59096521"/>
      <w:bookmarkStart w:id="2598" w:name="_Toc59103117"/>
      <w:bookmarkStart w:id="2599" w:name="_Toc59104968"/>
      <w:bookmarkStart w:id="2600" w:name="_Toc59119928"/>
      <w:bookmarkStart w:id="2601" w:name="_Toc59121192"/>
      <w:bookmarkStart w:id="2602" w:name="_Toc59121311"/>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r>
        <w:rPr>
          <w:noProof/>
        </w:rPr>
        <w:t>6.5.   Option 3: Legislative action to facilitate the application of and enforce the existing legal framework</w:t>
      </w:r>
      <w:bookmarkEnd w:id="2580"/>
      <w:bookmarkEnd w:id="2581"/>
      <w:r>
        <w:rPr>
          <w:noProof/>
        </w:rPr>
        <w:t xml:space="preserve"> </w:t>
      </w:r>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r>
        <w:rPr>
          <w:noProof/>
        </w:rPr>
        <w:t xml:space="preserve"> </w:t>
      </w:r>
    </w:p>
    <w:p>
      <w:pPr>
        <w:pStyle w:val="Text2"/>
        <w:spacing w:after="120" w:line="276" w:lineRule="auto"/>
        <w:ind w:left="0"/>
        <w:rPr>
          <w:noProof/>
        </w:rPr>
      </w:pPr>
      <w:r>
        <w:rPr>
          <w:noProof/>
        </w:rPr>
        <w:t xml:space="preserve">This option consists of a package of 3 measures aimed at facilitating the application of and better enforcing the existing legal framework. It would tackle the regulatory problem driver relating to the inconsistent and inadequate application of key legal concepts relating to the principle of equal pay (measure 1). It also addresses the problems relating to access to justice and deficient enforcement through addressing the procedural obstacles and victims’ support (measures 2 and 3). </w:t>
      </w:r>
    </w:p>
    <w:p>
      <w:pPr>
        <w:pStyle w:val="Heading4"/>
        <w:ind w:left="720"/>
        <w:rPr>
          <w:b/>
          <w:noProof/>
        </w:rPr>
      </w:pPr>
      <w:r>
        <w:rPr>
          <w:b/>
          <w:bCs/>
          <w:i/>
          <w:iCs/>
          <w:noProof/>
        </w:rPr>
        <w:t>Measure 1: Facilitate the application of the existing key concepts of  ‘pay’ and ‘work of equal value’</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This measure </w:t>
      </w:r>
      <w:r>
        <w:rPr>
          <w:rFonts w:ascii="Times New Roman" w:eastAsia="Times New Roman" w:hAnsi="Times New Roman" w:cs="Times New Roman"/>
          <w:noProof/>
          <w:sz w:val="24"/>
          <w:szCs w:val="24"/>
        </w:rPr>
        <w:t xml:space="preserve">especially </w:t>
      </w:r>
      <w:r>
        <w:rPr>
          <w:rFonts w:ascii="Times New Roman" w:hAnsi="Times New Roman" w:cs="Times New Roman"/>
          <w:noProof/>
          <w:sz w:val="24"/>
          <w:szCs w:val="24"/>
        </w:rPr>
        <w:t>would ensure a common approach on the application and interpretation of the EU rules on equal pay. It would enshrine the main guidelines and objective criteria set by the CJEU</w:t>
      </w:r>
      <w:r>
        <w:rPr>
          <w:rStyle w:val="FootnoteReference"/>
          <w:rFonts w:ascii="Times New Roman" w:hAnsi="Times New Roman" w:cs="Times New Roman"/>
          <w:noProof/>
          <w:sz w:val="24"/>
          <w:szCs w:val="24"/>
        </w:rPr>
        <w:footnoteReference w:id="120"/>
      </w:r>
      <w:r>
        <w:rPr>
          <w:rFonts w:ascii="Times New Roman" w:hAnsi="Times New Roman" w:cs="Times New Roman"/>
          <w:noProof/>
          <w:sz w:val="24"/>
          <w:szCs w:val="24"/>
        </w:rPr>
        <w:t xml:space="preserve"> (which is of general nature and authoritative in all Member States) in the law. The application of such criteria would facilitate compliance with the existing obligation to ensure that the pay structures of all employers are designed to uphold equality of pay between women and men doing equal work or work of equal value.</w:t>
      </w:r>
    </w:p>
    <w:p>
      <w:pPr>
        <w:spacing w:after="120"/>
        <w:jc w:val="both"/>
        <w:rPr>
          <w:rFonts w:ascii="Times New Roman" w:eastAsia="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i/>
          <w:iCs/>
          <w:noProof/>
          <w:sz w:val="24"/>
          <w:szCs w:val="24"/>
        </w:rPr>
        <w:t>legal concept of ‘pay’</w:t>
      </w:r>
      <w:r>
        <w:rPr>
          <w:rFonts w:ascii="Times New Roman" w:hAnsi="Times New Roman" w:cs="Times New Roman"/>
          <w:noProof/>
          <w:sz w:val="24"/>
          <w:szCs w:val="24"/>
        </w:rPr>
        <w:t xml:space="preserve"> </w:t>
      </w:r>
      <w:r>
        <w:rPr>
          <w:rFonts w:ascii="Times New Roman" w:eastAsia="Times New Roman" w:hAnsi="Times New Roman" w:cs="Times New Roman"/>
          <w:noProof/>
          <w:sz w:val="24"/>
          <w:szCs w:val="24"/>
        </w:rPr>
        <w:t>will be clarified to reflect that ‘pay’</w:t>
      </w:r>
      <w:r>
        <w:rPr>
          <w:rFonts w:ascii="Times New Roman" w:hAnsi="Times New Roman" w:cs="Times New Roman"/>
          <w:noProof/>
          <w:sz w:val="24"/>
          <w:szCs w:val="24"/>
        </w:rPr>
        <w:t xml:space="preserve"> </w:t>
      </w:r>
      <w:r>
        <w:rPr>
          <w:rFonts w:ascii="Times New Roman" w:eastAsia="Times New Roman" w:hAnsi="Times New Roman" w:cs="Times New Roman"/>
          <w:noProof/>
          <w:sz w:val="24"/>
          <w:szCs w:val="24"/>
        </w:rPr>
        <w:t>comprises not only salary, but also its complementary components whether in cash or in kind, which the workers receive directly or indirectly, in respect of their employment from their employer. This clarification will ensure that the equal pay principle applies to all components constituting pay – not only its fixed amount, but also variable components such as bonuses, overtime compensation, travel facilities, compensation for attending training, payments in case of dismissal, overtime supplements, and gratuities paid at the discretion of an employer, statutory sick pay, statutory required compensation and occupational pensions. The principle of equal pay does not mean that all workers should be paid equally; it means that any pay differences should be based on objective criteria, not related to sex.</w:t>
      </w:r>
    </w:p>
    <w:p>
      <w:pPr>
        <w:spacing w:after="120"/>
        <w:jc w:val="both"/>
        <w:rPr>
          <w:rFonts w:ascii="Times New Roman" w:eastAsia="Times New Roman" w:hAnsi="Times New Roman" w:cs="Times New Roman"/>
          <w:noProof/>
          <w:sz w:val="24"/>
          <w:szCs w:val="24"/>
        </w:rPr>
      </w:pPr>
      <w:r>
        <w:rPr>
          <w:rFonts w:ascii="Times New Roman" w:hAnsi="Times New Roman" w:cs="Times New Roman"/>
          <w:noProof/>
          <w:sz w:val="24"/>
          <w:szCs w:val="24"/>
        </w:rPr>
        <w:t>In regard to the concept of ‘</w:t>
      </w:r>
      <w:r>
        <w:rPr>
          <w:rFonts w:ascii="Times New Roman" w:hAnsi="Times New Roman" w:cs="Times New Roman"/>
          <w:i/>
          <w:iCs/>
          <w:noProof/>
          <w:sz w:val="24"/>
          <w:szCs w:val="24"/>
        </w:rPr>
        <w:t>work of equal value</w:t>
      </w:r>
      <w:r>
        <w:rPr>
          <w:rFonts w:ascii="Times New Roman" w:hAnsi="Times New Roman" w:cs="Times New Roman"/>
          <w:noProof/>
          <w:sz w:val="24"/>
          <w:szCs w:val="24"/>
        </w:rPr>
        <w:t xml:space="preserve">’, the Court stresses that the comparison of jobs should be made in the light of </w:t>
      </w:r>
      <w:r>
        <w:rPr>
          <w:rFonts w:ascii="Times New Roman" w:eastAsia="Times New Roman" w:hAnsi="Times New Roman" w:cs="Times New Roman"/>
          <w:noProof/>
          <w:sz w:val="24"/>
          <w:szCs w:val="24"/>
        </w:rPr>
        <w:t xml:space="preserve">objective criteria, such as education, professional and training requirements, skills, effort and responsibility, work </w:t>
      </w:r>
      <w:r>
        <w:rPr>
          <w:rFonts w:ascii="Times New Roman" w:hAnsi="Times New Roman" w:cs="Times New Roman"/>
          <w:noProof/>
          <w:sz w:val="24"/>
          <w:szCs w:val="24"/>
        </w:rPr>
        <w:t>undertaken</w:t>
      </w:r>
      <w:r>
        <w:rPr>
          <w:rFonts w:ascii="Times New Roman" w:eastAsia="Times New Roman" w:hAnsi="Times New Roman" w:cs="Times New Roman"/>
          <w:noProof/>
          <w:sz w:val="24"/>
          <w:szCs w:val="24"/>
        </w:rPr>
        <w:t xml:space="preserve"> and the nature of the tasks involved</w:t>
      </w:r>
      <w:r>
        <w:rPr>
          <w:rStyle w:val="FootnoteReference"/>
          <w:rFonts w:ascii="Times New Roman" w:hAnsi="Times New Roman" w:cs="Times New Roman"/>
          <w:noProof/>
        </w:rPr>
        <w:footnoteReference w:id="121"/>
      </w:r>
      <w:r>
        <w:rPr>
          <w:rFonts w:ascii="Times New Roman" w:hAnsi="Times New Roman" w:cs="Times New Roman"/>
          <w:noProof/>
          <w:sz w:val="24"/>
          <w:szCs w:val="24"/>
        </w:rPr>
        <w:t>.</w:t>
      </w:r>
      <w:r>
        <w:rPr>
          <w:rFonts w:ascii="Times New Roman" w:eastAsia="Times New Roman" w:hAnsi="Times New Roman" w:cs="Times New Roman"/>
          <w:noProof/>
          <w:sz w:val="24"/>
          <w:szCs w:val="24"/>
        </w:rPr>
        <w:t xml:space="preserve"> The existing legislation would benefit from an incorporation of these criteria, as examples, in the law. In practice the application of this concept means that employers have to identify key criteria which are relevant to the organisation and its business model and based on which workers doing the same work or work of equal value get comparable pay. Again, it does not preclude employers to pay workers doing the same work or work of equal value differently, as long as such differences are based on objective, gender-neutral and bias-free criteria as for example performance and competence. </w:t>
      </w:r>
    </w:p>
    <w:p>
      <w:pPr>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In order to comply with the current legal framework, all employers should be able to define which workers in their organisation are carrying out work of equal value. The application of the criteria to assess the value of work also assists workers, both women and men, who may have reason to believe their work is under-valued because of gender based discrimination, to obtain the necessary information to resolve the problem through negotiation or, as a last resort, to bring the matter to the equality body, labour inspectorate or national courts. In situations where human resource management is not formalised or clear criteria are not established by the employer, the evaluation of the categorisation of workers by value of the work within a given employer or organisation may require effort at managerial level. </w:t>
      </w:r>
    </w:p>
    <w:p>
      <w:pPr>
        <w:spacing w:after="120"/>
        <w:jc w:val="both"/>
        <w:rPr>
          <w:rFonts w:ascii="Times New Roman" w:hAnsi="Times New Roman" w:cs="Times New Roman"/>
          <w:noProof/>
          <w:sz w:val="24"/>
          <w:szCs w:val="24"/>
          <w:lang w:bidi="en-US"/>
        </w:rPr>
      </w:pPr>
      <w:r>
        <w:rPr>
          <w:rFonts w:ascii="Times New Roman" w:eastAsia="Times New Roman" w:hAnsi="Times New Roman" w:cs="Times New Roman"/>
          <w:noProof/>
          <w:sz w:val="24"/>
          <w:szCs w:val="24"/>
        </w:rPr>
        <w:t xml:space="preserve">It is important to note that the comparison of ‘work of equal value’, </w:t>
      </w:r>
      <w:r>
        <w:rPr>
          <w:rFonts w:ascii="Times New Roman" w:hAnsi="Times New Roman" w:cs="Times New Roman"/>
          <w:noProof/>
          <w:sz w:val="24"/>
          <w:szCs w:val="24"/>
        </w:rPr>
        <w:t xml:space="preserve">under the existing case law of the Court, has to be done between workers </w:t>
      </w:r>
      <w:r>
        <w:rPr>
          <w:rFonts w:ascii="Times New Roman" w:hAnsi="Times New Roman" w:cs="Times New Roman"/>
          <w:b/>
          <w:bCs/>
          <w:noProof/>
          <w:sz w:val="24"/>
          <w:szCs w:val="24"/>
          <w:lang w:val="en-US" w:bidi="en-US"/>
        </w:rPr>
        <w:t xml:space="preserve">at employer (as opposed to sectoral) level. It does not compare similar jobs at sectoral level nor similar jobs between different employers </w:t>
      </w:r>
      <w:r>
        <w:rPr>
          <w:rFonts w:ascii="Times New Roman" w:hAnsi="Times New Roman" w:cs="Times New Roman"/>
          <w:noProof/>
          <w:sz w:val="24"/>
          <w:szCs w:val="24"/>
          <w:lang w:val="en-US" w:bidi="en-US"/>
        </w:rPr>
        <w:t xml:space="preserve">except in a situation where pay structures are </w:t>
      </w:r>
      <w:r>
        <w:rPr>
          <w:rFonts w:ascii="Times New Roman" w:hAnsi="Times New Roman" w:cs="Times New Roman"/>
          <w:noProof/>
          <w:sz w:val="24"/>
          <w:szCs w:val="24"/>
          <w:lang w:bidi="en-US"/>
        </w:rPr>
        <w:t>laid down centrally for more than one organisation or business within a holding company or conglomerate</w:t>
      </w:r>
      <w:r>
        <w:rPr>
          <w:rFonts w:ascii="Times New Roman" w:hAnsi="Times New Roman" w:cs="Times New Roman"/>
          <w:noProof/>
          <w:sz w:val="24"/>
          <w:szCs w:val="24"/>
        </w:rPr>
        <w:t>. So far, the concept has not been used under EU law to address horizontal gender segregation, i.e. the part of the gender pay gap linked to the fact that women are overrepresented in low paid sectors, or other root-causes of the gender pay gap. This initiative does not aim to change this situation at this stage.</w:t>
      </w:r>
    </w:p>
    <w:p>
      <w:pPr>
        <w:autoSpaceDE w:val="0"/>
        <w:autoSpaceDN w:val="0"/>
        <w:adjustRightInd w:val="0"/>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Besides clarifying the concept of ‘equal value’ in the law, its implementation in practice would be improved by </w:t>
      </w:r>
      <w:r>
        <w:rPr>
          <w:rFonts w:ascii="Times New Roman" w:eastAsia="Times New Roman" w:hAnsi="Times New Roman" w:cs="Times New Roman"/>
          <w:i/>
          <w:iCs/>
          <w:noProof/>
          <w:sz w:val="24"/>
          <w:szCs w:val="24"/>
        </w:rPr>
        <w:t>tools or guidelines developed at EU and national</w:t>
      </w:r>
      <w:r>
        <w:rPr>
          <w:rFonts w:ascii="Times New Roman" w:eastAsia="Times New Roman" w:hAnsi="Times New Roman" w:cs="Times New Roman"/>
          <w:noProof/>
          <w:sz w:val="24"/>
          <w:szCs w:val="24"/>
        </w:rPr>
        <w:t xml:space="preserve"> </w:t>
      </w:r>
      <w:r>
        <w:rPr>
          <w:rFonts w:ascii="Times New Roman" w:eastAsia="Times New Roman" w:hAnsi="Times New Roman" w:cs="Times New Roman"/>
          <w:i/>
          <w:iCs/>
          <w:noProof/>
          <w:sz w:val="24"/>
          <w:szCs w:val="24"/>
        </w:rPr>
        <w:t>level</w:t>
      </w:r>
      <w:r>
        <w:rPr>
          <w:rFonts w:ascii="Times New Roman" w:eastAsia="Times New Roman" w:hAnsi="Times New Roman" w:cs="Times New Roman"/>
          <w:noProof/>
          <w:sz w:val="24"/>
          <w:szCs w:val="24"/>
        </w:rPr>
        <w:t xml:space="preserve">. </w:t>
      </w:r>
      <w:r>
        <w:rPr>
          <w:rFonts w:ascii="Times New Roman" w:hAnsi="Times New Roman" w:cs="Times New Roman"/>
          <w:noProof/>
          <w:sz w:val="24"/>
          <w:szCs w:val="24"/>
        </w:rPr>
        <w:t>At EU level, s</w:t>
      </w:r>
      <w:r>
        <w:rPr>
          <w:rFonts w:ascii="Times New Roman" w:eastAsia="Times New Roman" w:hAnsi="Times New Roman" w:cs="Times New Roman"/>
          <w:noProof/>
          <w:sz w:val="24"/>
          <w:szCs w:val="24"/>
        </w:rPr>
        <w:t xml:space="preserve">uch guidance would be foreseen as a flanking non-legislative measure under the Communication accompanying the legislative initiative. Flexibility would be left to Member States as to the choice of the tools or guidelines at national level; these could be developed by Governments and/or social partners. </w:t>
      </w:r>
    </w:p>
    <w:p>
      <w:pPr>
        <w:autoSpaceDE w:val="0"/>
        <w:autoSpaceDN w:val="0"/>
        <w:adjustRightInd w:val="0"/>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tools </w:t>
      </w:r>
      <w:r>
        <w:rPr>
          <w:rFonts w:ascii="Times New Roman" w:hAnsi="Times New Roman" w:cs="Times New Roman"/>
          <w:noProof/>
          <w:sz w:val="24"/>
          <w:szCs w:val="24"/>
        </w:rPr>
        <w:t>to support the application of the concept of work of equal value</w:t>
      </w:r>
      <w:r>
        <w:rPr>
          <w:rFonts w:ascii="Times New Roman" w:eastAsia="Times New Roman" w:hAnsi="Times New Roman" w:cs="Times New Roman"/>
          <w:noProof/>
          <w:sz w:val="24"/>
          <w:szCs w:val="24"/>
        </w:rPr>
        <w:t xml:space="preserve"> could consist, for instance, of  gender-neutral job evaluation and classification methodologies (see </w:t>
      </w:r>
      <w:r>
        <w:rPr>
          <w:rFonts w:ascii="Times New Roman" w:eastAsia="Times New Roman" w:hAnsi="Times New Roman" w:cs="Times New Roman"/>
          <w:i/>
          <w:iCs/>
          <w:noProof/>
          <w:sz w:val="24"/>
          <w:szCs w:val="24"/>
        </w:rPr>
        <w:t>Annex 5, Section 14</w:t>
      </w:r>
      <w:r>
        <w:rPr>
          <w:rFonts w:ascii="Times New Roman" w:eastAsia="Times New Roman" w:hAnsi="Times New Roman" w:cs="Times New Roman"/>
          <w:noProof/>
          <w:sz w:val="24"/>
          <w:szCs w:val="24"/>
        </w:rPr>
        <w:t>)</w:t>
      </w:r>
      <w:r>
        <w:rPr>
          <w:rStyle w:val="FootnoteReference"/>
          <w:rFonts w:ascii="Times New Roman" w:eastAsia="Times New Roman" w:hAnsi="Times New Roman" w:cs="Times New Roman"/>
          <w:noProof/>
          <w:sz w:val="24"/>
          <w:szCs w:val="24"/>
        </w:rPr>
        <w:footnoteReference w:id="122"/>
      </w:r>
      <w:r>
        <w:rPr>
          <w:rFonts w:ascii="Times New Roman" w:eastAsia="Times New Roman" w:hAnsi="Times New Roman" w:cs="Times New Roman"/>
          <w:noProof/>
          <w:sz w:val="24"/>
          <w:szCs w:val="24"/>
        </w:rPr>
        <w:t xml:space="preserve"> or IT tools such as Logib</w:t>
      </w:r>
      <w:r>
        <w:rPr>
          <w:rFonts w:ascii="Times New Roman" w:eastAsia="Times New Roman" w:hAnsi="Times New Roman" w:cs="Times New Roman"/>
          <w:noProof/>
          <w:sz w:val="24"/>
          <w:szCs w:val="24"/>
          <w:vertAlign w:val="superscript"/>
        </w:rPr>
        <w:footnoteReference w:id="123"/>
      </w:r>
      <w:r>
        <w:rPr>
          <w:rFonts w:ascii="Times New Roman" w:eastAsia="Times New Roman" w:hAnsi="Times New Roman" w:cs="Times New Roman"/>
          <w:noProof/>
          <w:sz w:val="24"/>
          <w:szCs w:val="24"/>
        </w:rPr>
        <w:t>.</w:t>
      </w:r>
      <w:r>
        <w:rPr>
          <w:noProof/>
        </w:rPr>
        <w:t xml:space="preserve"> </w:t>
      </w:r>
      <w:r>
        <w:rPr>
          <w:rFonts w:ascii="Times New Roman" w:hAnsi="Times New Roman" w:cs="Times New Roman"/>
          <w:noProof/>
          <w:sz w:val="24"/>
          <w:szCs w:val="24"/>
        </w:rPr>
        <w:t xml:space="preserve"> Job evaluation and classification systems,</w:t>
      </w:r>
      <w:r>
        <w:rPr>
          <w:rFonts w:ascii="Times New Roman" w:hAnsi="Times New Roman" w:cs="Times New Roman"/>
          <w:b/>
          <w:bCs/>
          <w:noProof/>
          <w:sz w:val="24"/>
          <w:szCs w:val="24"/>
        </w:rPr>
        <w:t xml:space="preserve"> </w:t>
      </w:r>
      <w:r>
        <w:rPr>
          <w:rFonts w:ascii="Times New Roman" w:hAnsi="Times New Roman" w:cs="Times New Roman"/>
          <w:noProof/>
          <w:sz w:val="24"/>
          <w:szCs w:val="24"/>
        </w:rPr>
        <w:t>can be exploited as a basis for an equitable pay structure, though</w:t>
      </w:r>
      <w:r>
        <w:rPr>
          <w:noProof/>
        </w:rPr>
        <w:t xml:space="preserve"> </w:t>
      </w:r>
      <w:r>
        <w:rPr>
          <w:rFonts w:ascii="Times New Roman" w:hAnsi="Times New Roman" w:cs="Times New Roman"/>
          <w:noProof/>
          <w:sz w:val="24"/>
          <w:szCs w:val="24"/>
        </w:rPr>
        <w:t>they usually go beyond matters relating to equal pay, including all matters relating to labour relations, such as hiring, training, health and safety, etc. Any disputes related to pay or performance evaluation can be settled conveniently by referring to the existing job evaluation mechanism. For job evaluation mechanisms to be effective in removing gender inequalities in pay structures, they must include criteria relevant to modern job descriptions and be formulated in a gender neutral way</w:t>
      </w:r>
      <w:r>
        <w:rPr>
          <w:rFonts w:ascii="Times New Roman" w:hAnsi="Times New Roman" w:cs="Times New Roman"/>
          <w:noProof/>
          <w:sz w:val="24"/>
          <w:szCs w:val="24"/>
          <w:vertAlign w:val="superscript"/>
        </w:rPr>
        <w:footnoteReference w:id="124"/>
      </w:r>
      <w:r>
        <w:rPr>
          <w:rFonts w:ascii="Times New Roman" w:hAnsi="Times New Roman" w:cs="Times New Roman"/>
          <w:noProof/>
          <w:sz w:val="24"/>
          <w:szCs w:val="24"/>
        </w:rPr>
        <w:t xml:space="preserve">, i.e. not influenced e.g. by traditional stereotypes. </w:t>
      </w:r>
    </w:p>
    <w:p>
      <w:pPr>
        <w:pStyle w:val="Heading4"/>
        <w:ind w:left="720"/>
        <w:rPr>
          <w:b/>
          <w:i/>
          <w:noProof/>
        </w:rPr>
      </w:pPr>
      <w:r>
        <w:rPr>
          <w:b/>
          <w:bCs/>
          <w:i/>
          <w:iCs/>
          <w:noProof/>
        </w:rPr>
        <w:t>Measure 2: Improved access to justice for potential victims of pay discrimination</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This measure includes a set of tools aimed at improving worker’s access to justice in case of alleged pay discrimination, addressing specifically the obstacles raised in the studies and consultations carried out for the 2020 Evaluation and this impact assessment. </w:t>
      </w:r>
    </w:p>
    <w:p>
      <w:pPr>
        <w:rPr>
          <w:noProof/>
          <w:szCs w:val="24"/>
        </w:rPr>
      </w:pPr>
      <w:r>
        <w:rPr>
          <w:rFonts w:ascii="Times New Roman" w:hAnsi="Times New Roman" w:cs="Times New Roman"/>
          <w:b/>
          <w:bCs/>
          <w:noProof/>
          <w:sz w:val="24"/>
          <w:szCs w:val="24"/>
        </w:rPr>
        <w:t>Victims’ representation (legal standing and representative actions)</w:t>
      </w:r>
      <w:r>
        <w:rPr>
          <w:noProof/>
        </w:rPr>
        <w:t xml:space="preserve"> </w:t>
      </w:r>
    </w:p>
    <w:p>
      <w:pPr>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This measure would strengthen the provisions of the Recast Directive regarding the defence of rights (Article 17) in matters of pay equality. Equality bodies and workers representatives’ organisations would have the capacity to act not only in support but also on behalf of victims in any judicial or administrative procedure. The aim is to relieve the burden of bringing a claim from the individual victim of pay discrimination, who may be in a precarious and vulnerable situation and fear victimisation. The measure would include the possibility for equality bodies or workers’ representatives to join claims of several victims, with the aim of supporting the latter but also possibly address structural discrimination in pay structures.</w:t>
      </w:r>
    </w:p>
    <w:p>
      <w:pPr>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An alternative would be to extend the right of action also to a</w:t>
      </w:r>
      <w:r>
        <w:rPr>
          <w:rFonts w:ascii="Times New Roman" w:eastAsia="Times New Roman" w:hAnsi="Times New Roman" w:cs="Times New Roman"/>
          <w:noProof/>
          <w:sz w:val="24"/>
          <w:szCs w:val="24"/>
          <w:lang w:val="en-IE"/>
        </w:rPr>
        <w:t>ssociations, organisations or other legal entities pursuing the enforcement of the right to equal pay.</w:t>
      </w:r>
      <w:r>
        <w:rPr>
          <w:rFonts w:ascii="Times New Roman" w:eastAsia="Times New Roman" w:hAnsi="Times New Roman" w:cs="Times New Roman"/>
          <w:noProof/>
          <w:sz w:val="24"/>
          <w:szCs w:val="24"/>
        </w:rPr>
        <w:t xml:space="preserve"> </w:t>
      </w:r>
    </w:p>
    <w:p>
      <w:pPr>
        <w:keepNext/>
        <w:rPr>
          <w:b/>
          <w:noProof/>
        </w:rPr>
      </w:pPr>
      <w:r>
        <w:rPr>
          <w:rFonts w:ascii="Times New Roman" w:hAnsi="Times New Roman" w:cs="Times New Roman"/>
          <w:b/>
          <w:bCs/>
          <w:noProof/>
          <w:sz w:val="24"/>
          <w:szCs w:val="24"/>
        </w:rPr>
        <w:t>Strengthened and new remedies (compensation and injunction orders)</w:t>
      </w:r>
    </w:p>
    <w:p>
      <w:pPr>
        <w:spacing w:after="120"/>
        <w:jc w:val="both"/>
        <w:rPr>
          <w:rFonts w:ascii="Times New Roman" w:eastAsia="ECSquareSansPro" w:hAnsi="Times New Roman" w:cs="Times New Roman"/>
          <w:noProof/>
          <w:sz w:val="24"/>
          <w:szCs w:val="24"/>
          <w:lang w:val="en-IE"/>
        </w:rPr>
      </w:pPr>
      <w:r>
        <w:rPr>
          <w:rFonts w:ascii="Times New Roman" w:eastAsia="Times New Roman" w:hAnsi="Times New Roman" w:cs="Times New Roman"/>
          <w:noProof/>
          <w:sz w:val="24"/>
          <w:szCs w:val="24"/>
        </w:rPr>
        <w:t>This measure would strengthen the already existing right to compensation under the Recast Directive (Article 18) by requiring Member States to enable victims who have suffered harm caused by unjustified pay differences to obtain full compensation. T</w:t>
      </w:r>
      <w:r>
        <w:rPr>
          <w:rFonts w:ascii="Times New Roman" w:eastAsia="ECSquareSansPro" w:hAnsi="Times New Roman" w:cs="Times New Roman"/>
          <w:noProof/>
          <w:sz w:val="24"/>
          <w:szCs w:val="24"/>
          <w:lang w:val="en-IE"/>
        </w:rPr>
        <w:t>he CJEU already clarified that measures appropriate to restore genuine equality of opportunity must guarantee real and effective judicial protection and have a genuine deterrent effect on the employer.</w:t>
      </w:r>
      <w:r>
        <w:rPr>
          <w:rStyle w:val="FootnoteReference"/>
          <w:rFonts w:ascii="Times New Roman" w:eastAsia="ECSquareSansPro" w:hAnsi="Times New Roman" w:cs="Times New Roman"/>
          <w:noProof/>
          <w:sz w:val="24"/>
          <w:szCs w:val="24"/>
          <w:lang w:val="en-IE"/>
        </w:rPr>
        <w:footnoteReference w:id="125"/>
      </w:r>
      <w:r>
        <w:rPr>
          <w:rFonts w:ascii="Times New Roman" w:eastAsia="ECSquareSansPro" w:hAnsi="Times New Roman" w:cs="Times New Roman"/>
          <w:noProof/>
          <w:sz w:val="24"/>
          <w:szCs w:val="24"/>
          <w:lang w:val="en-IE"/>
        </w:rPr>
        <w:t xml:space="preserve"> This measure aims at translating this general requirement into more specific minimum standards applicable to matters covered by the initiative. </w:t>
      </w:r>
      <w:r>
        <w:rPr>
          <w:rFonts w:ascii="Times New Roman" w:eastAsia="Times New Roman" w:hAnsi="Times New Roman" w:cs="Times New Roman"/>
          <w:noProof/>
          <w:sz w:val="24"/>
          <w:szCs w:val="24"/>
        </w:rPr>
        <w:t xml:space="preserve">It would ensure that the worker is placed in the position they would have been in if no unjustified pay difference had taken place (including full recovery of back pay and related bonuses or payments in kind, compensation for lost opportunities, and moral prejudice). </w:t>
      </w:r>
    </w:p>
    <w:p>
      <w:pPr>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Furthermore, under this measure, national courts would have the possibility to stop an infringement or to order the implementation of structural or organisational measures to comply with the obligations foreseen under the proposed initiative.</w:t>
      </w:r>
    </w:p>
    <w:p>
      <w:pPr>
        <w:keepNext/>
        <w:rPr>
          <w:noProof/>
        </w:rPr>
      </w:pPr>
      <w:r>
        <w:rPr>
          <w:rFonts w:ascii="Times New Roman" w:hAnsi="Times New Roman" w:cs="Times New Roman"/>
          <w:b/>
          <w:bCs/>
          <w:noProof/>
          <w:sz w:val="24"/>
          <w:szCs w:val="24"/>
        </w:rPr>
        <w:t xml:space="preserve">Limitation periods and legal costs  </w:t>
      </w:r>
    </w:p>
    <w:p>
      <w:pPr>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One of the obstacles raised in the context of gender pay discrimination claims is the deadlines for claims to be brought before the courts (limitation periods). If they are too short or start running before the victim may actually be aware of the existing discrimination, limitation periods may make it impossible in practice for the victim to exercise their rights. Under this measure, therefore, Member States would be required to comply with minimum standards set out by the initiative and applicable to matters covered by the initiative. Member States will determine when the period starts, its duration and the circumstances under which it is interrupted or suspended.</w:t>
      </w:r>
    </w:p>
    <w:p>
      <w:pPr>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Probably the most important obstacle preventing access to justice is the financial burden of enforcing the equal pay right. Such burden could be alleviated by allowing successful claimants to recover proceedings’ costs while defendants who are successful in rebutting a pay discrimination claim would, on the other hand, not have the right to recover such costs from the claimant. The envisaged rule would be accompanied by an additional safeguard so that the claimant-friendly rule would not apply in case of claims brought in bad faith, claims which are clearly frivolous or when the non-recovery by the defendant would be considered unreasonable under the circumstances. An alternative could be that the claimant would always be allowed to recover proceedings’ costs in an equal pay case from the defendant whether successful or not. </w:t>
      </w:r>
    </w:p>
    <w:p>
      <w:pPr>
        <w:pStyle w:val="Heading4"/>
        <w:ind w:left="720"/>
        <w:rPr>
          <w:b/>
          <w:i/>
          <w:noProof/>
        </w:rPr>
      </w:pPr>
      <w:r>
        <w:rPr>
          <w:b/>
          <w:bCs/>
          <w:i/>
          <w:iCs/>
          <w:noProof/>
        </w:rPr>
        <w:t>Measure 3: Other measures to enhance enforcement and implementation</w:t>
      </w:r>
    </w:p>
    <w:p>
      <w:pPr>
        <w:spacing w:after="120"/>
        <w:jc w:val="both"/>
        <w:rPr>
          <w:rFonts w:ascii="Times New Roman" w:eastAsia="Times New Roman" w:hAnsi="Times New Roman" w:cs="Times New Roman"/>
          <w:b/>
          <w:noProof/>
          <w:sz w:val="24"/>
          <w:szCs w:val="24"/>
        </w:rPr>
      </w:pPr>
      <w:r>
        <w:rPr>
          <w:rFonts w:ascii="Times New Roman" w:eastAsia="Times New Roman" w:hAnsi="Times New Roman" w:cs="Times New Roman"/>
          <w:b/>
          <w:bCs/>
          <w:noProof/>
          <w:sz w:val="24"/>
          <w:szCs w:val="24"/>
        </w:rPr>
        <w:t>Penalties</w:t>
      </w:r>
    </w:p>
    <w:p>
      <w:pPr>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This measure would require Member States to lay down administrative or criminal sanctions or penalties aimed at enforcing rights and obligations under the initiative. The level of sanctions/penalties should be effective, proportionate and dissuasive. The level of fines should include a minimum level and be set at such a level as to reflect the value of equal pay as a core element of the fundamental right to equality and equal opportunities, ensuring a deterrent effect. </w:t>
      </w:r>
    </w:p>
    <w:p>
      <w:pPr>
        <w:keepNext/>
        <w:spacing w:after="120"/>
        <w:jc w:val="both"/>
        <w:rPr>
          <w:rFonts w:ascii="Times New Roman" w:eastAsia="Times New Roman" w:hAnsi="Times New Roman" w:cs="Times New Roman"/>
          <w:b/>
          <w:noProof/>
          <w:sz w:val="24"/>
          <w:szCs w:val="24"/>
        </w:rPr>
      </w:pPr>
      <w:r>
        <w:rPr>
          <w:rFonts w:ascii="Times New Roman" w:eastAsia="Times New Roman" w:hAnsi="Times New Roman" w:cs="Times New Roman"/>
          <w:b/>
          <w:bCs/>
          <w:noProof/>
          <w:sz w:val="24"/>
          <w:szCs w:val="24"/>
        </w:rPr>
        <w:t>Involvement of the social partners</w:t>
      </w:r>
    </w:p>
    <w:p>
      <w:pPr>
        <w:jc w:val="both"/>
        <w:rPr>
          <w:rFonts w:ascii="Times New Roman" w:hAnsi="Times New Roman" w:cs="Times New Roman"/>
          <w:noProof/>
          <w:sz w:val="24"/>
          <w:szCs w:val="24"/>
        </w:rPr>
      </w:pPr>
      <w:r>
        <w:rPr>
          <w:rFonts w:ascii="Times New Roman" w:hAnsi="Times New Roman" w:cs="Times New Roman"/>
          <w:noProof/>
          <w:sz w:val="24"/>
          <w:szCs w:val="24"/>
        </w:rPr>
        <w:t>Social partners at all levels (e.g. employer, sectoral, national) play a crucial role in ensuring the proper implementation of the right to equal pay. While the matter is high on the agenda of social partners in some Member States, it is hardly ever discussed in some others</w:t>
      </w:r>
      <w:r>
        <w:rPr>
          <w:rFonts w:ascii="Times New Roman" w:hAnsi="Times New Roman" w:cs="Times New Roman"/>
          <w:noProof/>
          <w:sz w:val="24"/>
          <w:szCs w:val="24"/>
          <w:vertAlign w:val="superscript"/>
        </w:rPr>
        <w:footnoteReference w:id="126"/>
      </w:r>
      <w:r>
        <w:rPr>
          <w:rFonts w:ascii="Times New Roman" w:hAnsi="Times New Roman" w:cs="Times New Roman"/>
          <w:noProof/>
          <w:sz w:val="24"/>
          <w:szCs w:val="24"/>
        </w:rPr>
        <w:t>. The initiative, with due respect to the autonomy of social partners and in accordance with national law and practice, would require Member States to take appropriate measures ensuring that the implementation of the rights and obligations under this initiative be discussed with social partners. This could be achieved through different policy measures to help develop active social partnership and inclusion of equal pay matters, especially ensuring proper implementation of the right to equal pay for work of equal value as a key element of collective bargaining. The participation of social partners is important, for instance, in case gender-neutral job evaluation and classification methods are established to prevent or identify and tackle possible direct or indirect gender-based pay discrimination.</w:t>
      </w:r>
    </w:p>
    <w:p>
      <w:pPr>
        <w:pStyle w:val="Heading2"/>
        <w:ind w:hanging="3306"/>
        <w:rPr>
          <w:noProof/>
        </w:rPr>
      </w:pPr>
      <w:bookmarkStart w:id="2603" w:name="_Toc59549364"/>
      <w:bookmarkStart w:id="2604" w:name="_Toc59642317"/>
      <w:r>
        <w:rPr>
          <w:noProof/>
        </w:rPr>
        <w:t>6.6. Overview of the policy options</w:t>
      </w:r>
      <w:bookmarkEnd w:id="2603"/>
      <w:bookmarkEnd w:id="2604"/>
      <w:r>
        <w:rPr>
          <w:noProof/>
        </w:rPr>
        <w:t xml:space="preserve"> </w:t>
      </w:r>
    </w:p>
    <w:tbl>
      <w:tblPr>
        <w:tblStyle w:val="TableGrid"/>
        <w:tblW w:w="0" w:type="auto"/>
        <w:tblLook w:val="04A0" w:firstRow="1" w:lastRow="0" w:firstColumn="1" w:lastColumn="0" w:noHBand="0" w:noVBand="1"/>
      </w:tblPr>
      <w:tblGrid>
        <w:gridCol w:w="8608"/>
      </w:tblGrid>
      <w:tr>
        <w:tc>
          <w:tcPr>
            <w:tcW w:w="860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pPr>
              <w:spacing w:before="120" w:after="120"/>
              <w:rPr>
                <w:b/>
                <w:bCs/>
                <w:noProof/>
                <w:sz w:val="24"/>
                <w:szCs w:val="24"/>
              </w:rPr>
            </w:pPr>
            <w:r>
              <w:rPr>
                <w:b/>
                <w:bCs/>
                <w:noProof/>
                <w:sz w:val="24"/>
                <w:szCs w:val="24"/>
              </w:rPr>
              <w:t>Option 1: Legislative action to create pay transparency for individual workers</w:t>
            </w:r>
          </w:p>
        </w:tc>
      </w:tr>
      <w:tr>
        <w:tc>
          <w:tcPr>
            <w:tcW w:w="860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pPr>
              <w:spacing w:before="120" w:after="120"/>
              <w:rPr>
                <w:b/>
                <w:bCs/>
                <w:i/>
                <w:iCs/>
                <w:noProof/>
                <w:sz w:val="24"/>
                <w:szCs w:val="24"/>
              </w:rPr>
            </w:pPr>
            <w:r>
              <w:rPr>
                <w:b/>
                <w:bCs/>
                <w:i/>
                <w:iCs/>
                <w:noProof/>
                <w:sz w:val="24"/>
                <w:szCs w:val="24"/>
              </w:rPr>
              <w:t>Sub-option 1A: Empower workers by granting a right to pay information</w:t>
            </w:r>
          </w:p>
        </w:tc>
      </w:tr>
      <w:tr>
        <w:tc>
          <w:tcPr>
            <w:tcW w:w="8608" w:type="dxa"/>
            <w:tcBorders>
              <w:top w:val="single" w:sz="4" w:space="0" w:color="auto"/>
              <w:left w:val="single" w:sz="4" w:space="0" w:color="auto"/>
              <w:bottom w:val="single" w:sz="4" w:space="0" w:color="auto"/>
              <w:right w:val="single" w:sz="4" w:space="0" w:color="auto"/>
            </w:tcBorders>
            <w:hideMark/>
          </w:tcPr>
          <w:p>
            <w:pPr>
              <w:spacing w:before="120" w:after="120"/>
              <w:ind w:left="567"/>
              <w:rPr>
                <w:noProof/>
                <w:sz w:val="24"/>
                <w:szCs w:val="24"/>
              </w:rPr>
            </w:pPr>
            <w:r>
              <w:rPr>
                <w:i/>
                <w:iCs/>
                <w:noProof/>
                <w:sz w:val="24"/>
                <w:szCs w:val="24"/>
              </w:rPr>
              <w:t>Measure 1</w:t>
            </w:r>
            <w:r>
              <w:rPr>
                <w:noProof/>
                <w:sz w:val="24"/>
                <w:szCs w:val="24"/>
              </w:rPr>
              <w:t>: Transparency of salary information prior to employment (exemption: none)</w:t>
            </w:r>
          </w:p>
        </w:tc>
      </w:tr>
      <w:tr>
        <w:tc>
          <w:tcPr>
            <w:tcW w:w="8608" w:type="dxa"/>
            <w:tcBorders>
              <w:top w:val="single" w:sz="4" w:space="0" w:color="auto"/>
              <w:left w:val="single" w:sz="4" w:space="0" w:color="auto"/>
              <w:bottom w:val="single" w:sz="4" w:space="0" w:color="auto"/>
              <w:right w:val="single" w:sz="4" w:space="0" w:color="auto"/>
            </w:tcBorders>
            <w:hideMark/>
          </w:tcPr>
          <w:p>
            <w:pPr>
              <w:spacing w:before="120" w:after="120"/>
              <w:ind w:left="567"/>
              <w:jc w:val="both"/>
              <w:rPr>
                <w:noProof/>
                <w:sz w:val="24"/>
                <w:szCs w:val="24"/>
              </w:rPr>
            </w:pPr>
            <w:r>
              <w:rPr>
                <w:i/>
                <w:iCs/>
                <w:noProof/>
                <w:sz w:val="24"/>
                <w:szCs w:val="24"/>
              </w:rPr>
              <w:t>Measure 2</w:t>
            </w:r>
            <w:r>
              <w:rPr>
                <w:noProof/>
                <w:sz w:val="24"/>
                <w:szCs w:val="24"/>
              </w:rPr>
              <w:t>: Employers’ obligation to provide all workers with individual information on pay compared to their category doing the same work or work of equal value within the organisation (exemption: &lt;50 workers)</w:t>
            </w:r>
          </w:p>
        </w:tc>
      </w:tr>
      <w:tr>
        <w:tc>
          <w:tcPr>
            <w:tcW w:w="860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pPr>
              <w:spacing w:before="120" w:after="120"/>
              <w:rPr>
                <w:b/>
                <w:bCs/>
                <w:i/>
                <w:iCs/>
                <w:noProof/>
                <w:sz w:val="24"/>
                <w:szCs w:val="24"/>
              </w:rPr>
            </w:pPr>
            <w:r>
              <w:rPr>
                <w:b/>
                <w:bCs/>
                <w:i/>
                <w:iCs/>
                <w:noProof/>
                <w:sz w:val="24"/>
                <w:szCs w:val="24"/>
              </w:rPr>
              <w:t>Sub-option 1B: Empower workers by granting right to request pay information</w:t>
            </w:r>
          </w:p>
        </w:tc>
      </w:tr>
      <w:tr>
        <w:tc>
          <w:tcPr>
            <w:tcW w:w="8608" w:type="dxa"/>
            <w:tcBorders>
              <w:top w:val="single" w:sz="4" w:space="0" w:color="auto"/>
              <w:left w:val="single" w:sz="4" w:space="0" w:color="auto"/>
              <w:bottom w:val="single" w:sz="4" w:space="0" w:color="auto"/>
              <w:right w:val="single" w:sz="4" w:space="0" w:color="auto"/>
            </w:tcBorders>
            <w:hideMark/>
          </w:tcPr>
          <w:p>
            <w:pPr>
              <w:spacing w:before="120" w:after="120"/>
              <w:ind w:left="567"/>
              <w:rPr>
                <w:noProof/>
                <w:sz w:val="24"/>
                <w:szCs w:val="24"/>
              </w:rPr>
            </w:pPr>
            <w:r>
              <w:rPr>
                <w:i/>
                <w:iCs/>
                <w:noProof/>
                <w:sz w:val="24"/>
                <w:szCs w:val="24"/>
              </w:rPr>
              <w:t>Measure 1</w:t>
            </w:r>
            <w:r>
              <w:rPr>
                <w:noProof/>
                <w:sz w:val="24"/>
                <w:szCs w:val="24"/>
              </w:rPr>
              <w:t>: Transparency of salary information prior to employment (exemption: none)</w:t>
            </w:r>
          </w:p>
        </w:tc>
      </w:tr>
      <w:tr>
        <w:tc>
          <w:tcPr>
            <w:tcW w:w="8608" w:type="dxa"/>
            <w:tcBorders>
              <w:top w:val="single" w:sz="4" w:space="0" w:color="auto"/>
              <w:left w:val="single" w:sz="4" w:space="0" w:color="auto"/>
              <w:bottom w:val="single" w:sz="4" w:space="0" w:color="auto"/>
              <w:right w:val="single" w:sz="4" w:space="0" w:color="auto"/>
            </w:tcBorders>
            <w:hideMark/>
          </w:tcPr>
          <w:p>
            <w:pPr>
              <w:spacing w:before="120" w:after="120"/>
              <w:ind w:left="567"/>
              <w:jc w:val="both"/>
              <w:rPr>
                <w:noProof/>
                <w:sz w:val="24"/>
                <w:szCs w:val="24"/>
              </w:rPr>
            </w:pPr>
            <w:r>
              <w:rPr>
                <w:i/>
                <w:iCs/>
                <w:noProof/>
                <w:sz w:val="24"/>
                <w:szCs w:val="24"/>
              </w:rPr>
              <w:t>Measure 2</w:t>
            </w:r>
            <w:r>
              <w:rPr>
                <w:noProof/>
                <w:sz w:val="24"/>
                <w:szCs w:val="24"/>
              </w:rPr>
              <w:t>: Right of workers to receive individual information on pay compared to their category doing the same work or work of equal value within the organisation  - upon request (exemption: none)</w:t>
            </w:r>
          </w:p>
        </w:tc>
      </w:tr>
      <w:tr>
        <w:tc>
          <w:tcPr>
            <w:tcW w:w="860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pPr>
              <w:spacing w:before="120" w:after="120"/>
              <w:rPr>
                <w:b/>
                <w:bCs/>
                <w:noProof/>
                <w:sz w:val="24"/>
                <w:szCs w:val="24"/>
              </w:rPr>
            </w:pPr>
            <w:r>
              <w:rPr>
                <w:b/>
                <w:bCs/>
                <w:noProof/>
                <w:sz w:val="24"/>
                <w:szCs w:val="24"/>
              </w:rPr>
              <w:t>Option 2: Legislative action to create pay transparency at employer level</w:t>
            </w:r>
          </w:p>
        </w:tc>
      </w:tr>
      <w:tr>
        <w:tc>
          <w:tcPr>
            <w:tcW w:w="860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spacing w:before="120" w:after="120"/>
              <w:rPr>
                <w:b/>
                <w:bCs/>
                <w:i/>
                <w:iCs/>
                <w:noProof/>
                <w:sz w:val="24"/>
                <w:szCs w:val="24"/>
              </w:rPr>
            </w:pPr>
            <w:r>
              <w:rPr>
                <w:b/>
                <w:bCs/>
                <w:i/>
                <w:iCs/>
                <w:noProof/>
                <w:sz w:val="24"/>
                <w:szCs w:val="24"/>
              </w:rPr>
              <w:t xml:space="preserve">Sub-option 2A: Equal pay certification </w:t>
            </w:r>
            <w:r>
              <w:rPr>
                <w:noProof/>
                <w:sz w:val="24"/>
                <w:szCs w:val="24"/>
              </w:rPr>
              <w:t>(exemption: &lt;50 workers)</w:t>
            </w:r>
          </w:p>
        </w:tc>
      </w:tr>
      <w:tr>
        <w:tc>
          <w:tcPr>
            <w:tcW w:w="860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spacing w:before="120" w:after="120"/>
              <w:rPr>
                <w:b/>
                <w:bCs/>
                <w:i/>
                <w:iCs/>
                <w:noProof/>
                <w:sz w:val="24"/>
                <w:szCs w:val="24"/>
              </w:rPr>
            </w:pPr>
            <w:r>
              <w:rPr>
                <w:b/>
                <w:bCs/>
                <w:i/>
                <w:iCs/>
                <w:noProof/>
                <w:sz w:val="24"/>
                <w:szCs w:val="24"/>
              </w:rPr>
              <w:t xml:space="preserve">Sub-option 2B: Joint pay assessment </w:t>
            </w:r>
            <w:r>
              <w:rPr>
                <w:noProof/>
                <w:sz w:val="24"/>
                <w:szCs w:val="24"/>
              </w:rPr>
              <w:t>(exemption: &lt;50 workers)</w:t>
            </w:r>
          </w:p>
        </w:tc>
      </w:tr>
      <w:tr>
        <w:tc>
          <w:tcPr>
            <w:tcW w:w="860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spacing w:before="120" w:after="120"/>
              <w:rPr>
                <w:b/>
                <w:bCs/>
                <w:i/>
                <w:iCs/>
                <w:noProof/>
                <w:sz w:val="24"/>
                <w:szCs w:val="24"/>
              </w:rPr>
            </w:pPr>
            <w:r>
              <w:rPr>
                <w:b/>
                <w:bCs/>
                <w:i/>
                <w:iCs/>
                <w:noProof/>
                <w:sz w:val="24"/>
                <w:szCs w:val="24"/>
              </w:rPr>
              <w:t>Sub-option 2C: Basic pay reporting combined with joint pay assessment</w:t>
            </w:r>
          </w:p>
        </w:tc>
      </w:tr>
      <w:tr>
        <w:tc>
          <w:tcPr>
            <w:tcW w:w="8608" w:type="dxa"/>
            <w:tcBorders>
              <w:top w:val="single" w:sz="4" w:space="0" w:color="auto"/>
              <w:left w:val="single" w:sz="4" w:space="0" w:color="auto"/>
              <w:bottom w:val="single" w:sz="4" w:space="0" w:color="auto"/>
              <w:right w:val="single" w:sz="4" w:space="0" w:color="auto"/>
            </w:tcBorders>
            <w:hideMark/>
          </w:tcPr>
          <w:p>
            <w:pPr>
              <w:spacing w:before="120" w:after="120"/>
              <w:ind w:left="567"/>
              <w:jc w:val="both"/>
              <w:rPr>
                <w:noProof/>
                <w:sz w:val="24"/>
                <w:szCs w:val="24"/>
              </w:rPr>
            </w:pPr>
            <w:r>
              <w:rPr>
                <w:i/>
                <w:iCs/>
                <w:noProof/>
                <w:sz w:val="24"/>
                <w:szCs w:val="24"/>
              </w:rPr>
              <w:t>Measure 1</w:t>
            </w:r>
            <w:r>
              <w:rPr>
                <w:noProof/>
                <w:sz w:val="24"/>
                <w:szCs w:val="24"/>
              </w:rPr>
              <w:t>: Employers’ obligation to carry out a joint pay assessment (exemption: &lt;250 workers)</w:t>
            </w:r>
          </w:p>
        </w:tc>
      </w:tr>
      <w:tr>
        <w:tc>
          <w:tcPr>
            <w:tcW w:w="8608" w:type="dxa"/>
            <w:tcBorders>
              <w:top w:val="single" w:sz="4" w:space="0" w:color="auto"/>
              <w:left w:val="single" w:sz="4" w:space="0" w:color="auto"/>
              <w:bottom w:val="single" w:sz="4" w:space="0" w:color="auto"/>
              <w:right w:val="single" w:sz="4" w:space="0" w:color="auto"/>
            </w:tcBorders>
            <w:hideMark/>
          </w:tcPr>
          <w:p>
            <w:pPr>
              <w:spacing w:before="120" w:after="120"/>
              <w:ind w:left="567"/>
              <w:jc w:val="both"/>
              <w:rPr>
                <w:noProof/>
                <w:sz w:val="24"/>
                <w:szCs w:val="24"/>
              </w:rPr>
            </w:pPr>
            <w:r>
              <w:rPr>
                <w:i/>
                <w:iCs/>
                <w:noProof/>
                <w:sz w:val="24"/>
                <w:szCs w:val="24"/>
              </w:rPr>
              <w:t>Measure 2</w:t>
            </w:r>
            <w:r>
              <w:rPr>
                <w:noProof/>
                <w:sz w:val="24"/>
                <w:szCs w:val="24"/>
              </w:rPr>
              <w:t xml:space="preserve">: Employers’ obligation to report on average differences in pay between female and male workers at employer level (exemption: &lt;50 workers) </w:t>
            </w:r>
          </w:p>
        </w:tc>
      </w:tr>
      <w:tr>
        <w:tc>
          <w:tcPr>
            <w:tcW w:w="860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spacing w:before="120" w:after="120"/>
              <w:rPr>
                <w:b/>
                <w:bCs/>
                <w:i/>
                <w:iCs/>
                <w:noProof/>
                <w:sz w:val="24"/>
                <w:szCs w:val="24"/>
              </w:rPr>
            </w:pPr>
            <w:r>
              <w:rPr>
                <w:b/>
                <w:bCs/>
                <w:i/>
                <w:iCs/>
                <w:noProof/>
                <w:sz w:val="24"/>
                <w:szCs w:val="24"/>
              </w:rPr>
              <w:t>Sub</w:t>
            </w:r>
            <w:r>
              <w:rPr>
                <w:b/>
                <w:bCs/>
                <w:i/>
                <w:iCs/>
                <w:noProof/>
                <w:sz w:val="24"/>
                <w:szCs w:val="24"/>
                <w:shd w:val="clear" w:color="auto" w:fill="DBE5F1" w:themeFill="accent1" w:themeFillTint="33"/>
              </w:rPr>
              <w:t xml:space="preserve">-option 2D: </w:t>
            </w:r>
            <w:r>
              <w:rPr>
                <w:b/>
                <w:bCs/>
                <w:i/>
                <w:iCs/>
                <w:noProof/>
                <w:sz w:val="24"/>
                <w:szCs w:val="24"/>
              </w:rPr>
              <w:t xml:space="preserve">Strengthened </w:t>
            </w:r>
            <w:r>
              <w:rPr>
                <w:b/>
                <w:bCs/>
                <w:i/>
                <w:iCs/>
                <w:noProof/>
                <w:sz w:val="24"/>
                <w:szCs w:val="24"/>
                <w:shd w:val="clear" w:color="auto" w:fill="DBE5F1" w:themeFill="accent1" w:themeFillTint="33"/>
              </w:rPr>
              <w:t xml:space="preserve">pay reporting and joint pay assessment if </w:t>
            </w:r>
            <w:r>
              <w:rPr>
                <w:b/>
                <w:bCs/>
                <w:i/>
                <w:iCs/>
                <w:noProof/>
                <w:sz w:val="24"/>
                <w:szCs w:val="24"/>
              </w:rPr>
              <w:t>pay report shows pay differences which cannot be justified by objective, gender-neutral factors</w:t>
            </w:r>
          </w:p>
        </w:tc>
      </w:tr>
      <w:tr>
        <w:tc>
          <w:tcPr>
            <w:tcW w:w="8608" w:type="dxa"/>
            <w:tcBorders>
              <w:top w:val="single" w:sz="4" w:space="0" w:color="auto"/>
              <w:left w:val="single" w:sz="4" w:space="0" w:color="auto"/>
              <w:bottom w:val="single" w:sz="4" w:space="0" w:color="auto"/>
              <w:right w:val="single" w:sz="4" w:space="0" w:color="auto"/>
            </w:tcBorders>
            <w:hideMark/>
          </w:tcPr>
          <w:p>
            <w:pPr>
              <w:spacing w:before="120" w:after="120"/>
              <w:ind w:left="567"/>
              <w:jc w:val="both"/>
              <w:rPr>
                <w:noProof/>
                <w:sz w:val="24"/>
                <w:szCs w:val="24"/>
              </w:rPr>
            </w:pPr>
            <w:r>
              <w:rPr>
                <w:i/>
                <w:iCs/>
                <w:noProof/>
                <w:sz w:val="24"/>
                <w:szCs w:val="24"/>
              </w:rPr>
              <w:t>Measure 1</w:t>
            </w:r>
            <w:r>
              <w:rPr>
                <w:noProof/>
                <w:sz w:val="24"/>
                <w:szCs w:val="24"/>
              </w:rPr>
              <w:t xml:space="preserve">: Employers’ obligation to report on average differences in pay between female and male workers at employer level and by worker category doing the same work or work of equal value within the organisation (exemption: &lt;250 workers) </w:t>
            </w:r>
          </w:p>
        </w:tc>
      </w:tr>
      <w:tr>
        <w:tc>
          <w:tcPr>
            <w:tcW w:w="8608" w:type="dxa"/>
            <w:tcBorders>
              <w:top w:val="single" w:sz="4" w:space="0" w:color="auto"/>
              <w:left w:val="single" w:sz="4" w:space="0" w:color="auto"/>
              <w:bottom w:val="single" w:sz="4" w:space="0" w:color="auto"/>
              <w:right w:val="single" w:sz="4" w:space="0" w:color="auto"/>
            </w:tcBorders>
            <w:hideMark/>
          </w:tcPr>
          <w:p>
            <w:pPr>
              <w:spacing w:before="120" w:after="120"/>
              <w:ind w:left="567"/>
              <w:jc w:val="both"/>
              <w:rPr>
                <w:noProof/>
                <w:sz w:val="24"/>
                <w:szCs w:val="24"/>
              </w:rPr>
            </w:pPr>
            <w:r>
              <w:rPr>
                <w:i/>
                <w:iCs/>
                <w:noProof/>
                <w:sz w:val="24"/>
                <w:szCs w:val="24"/>
              </w:rPr>
              <w:t>Measure 2</w:t>
            </w:r>
            <w:r>
              <w:rPr>
                <w:noProof/>
                <w:sz w:val="24"/>
                <w:szCs w:val="24"/>
              </w:rPr>
              <w:t>: Employers’ obligation to carry out joint pay assessment if pay report shows pay differences which cannot be justified by objective, gender-neutral factors</w:t>
            </w:r>
          </w:p>
        </w:tc>
      </w:tr>
      <w:tr>
        <w:tc>
          <w:tcPr>
            <w:tcW w:w="860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pPr>
              <w:spacing w:before="120" w:after="120"/>
              <w:rPr>
                <w:b/>
                <w:bCs/>
                <w:noProof/>
                <w:sz w:val="24"/>
                <w:szCs w:val="24"/>
              </w:rPr>
            </w:pPr>
            <w:r>
              <w:rPr>
                <w:b/>
                <w:bCs/>
                <w:noProof/>
                <w:sz w:val="24"/>
                <w:szCs w:val="24"/>
              </w:rPr>
              <w:t xml:space="preserve">Option 3: Legislative action to facilitate the application of and enforce the existing legal framework </w:t>
            </w:r>
          </w:p>
        </w:tc>
      </w:tr>
      <w:tr>
        <w:trPr>
          <w:trHeight w:val="533"/>
        </w:trPr>
        <w:tc>
          <w:tcPr>
            <w:tcW w:w="86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pStyle w:val="Heading4"/>
              <w:ind w:left="600" w:firstLine="0"/>
              <w:outlineLvl w:val="3"/>
              <w:rPr>
                <w:noProof/>
              </w:rPr>
            </w:pPr>
            <w:r>
              <w:rPr>
                <w:i/>
                <w:iCs/>
                <w:noProof/>
              </w:rPr>
              <w:t>Measure 1</w:t>
            </w:r>
            <w:r>
              <w:rPr>
                <w:noProof/>
              </w:rPr>
              <w:t>: Facilitate the application of the existing key concepts of ‘pay’ and ‘work of equal value’</w:t>
            </w:r>
          </w:p>
        </w:tc>
      </w:tr>
      <w:tr>
        <w:tc>
          <w:tcPr>
            <w:tcW w:w="86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pStyle w:val="Heading4"/>
              <w:ind w:left="720" w:hanging="120"/>
              <w:outlineLvl w:val="3"/>
              <w:rPr>
                <w:noProof/>
                <w:szCs w:val="24"/>
              </w:rPr>
            </w:pPr>
            <w:r>
              <w:rPr>
                <w:i/>
                <w:iCs/>
                <w:noProof/>
              </w:rPr>
              <w:t>Measure 2</w:t>
            </w:r>
            <w:r>
              <w:rPr>
                <w:noProof/>
              </w:rPr>
              <w:t>: Improved access to justice for potential victims of pay discrimination</w:t>
            </w:r>
          </w:p>
        </w:tc>
      </w:tr>
      <w:tr>
        <w:tc>
          <w:tcPr>
            <w:tcW w:w="86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pStyle w:val="Heading4"/>
              <w:ind w:left="720" w:hanging="120"/>
              <w:outlineLvl w:val="3"/>
              <w:rPr>
                <w:noProof/>
                <w:szCs w:val="24"/>
              </w:rPr>
            </w:pPr>
            <w:r>
              <w:rPr>
                <w:i/>
                <w:iCs/>
                <w:noProof/>
              </w:rPr>
              <w:t>Measure 3</w:t>
            </w:r>
            <w:r>
              <w:rPr>
                <w:noProof/>
              </w:rPr>
              <w:t>: Other measures to enhance enforcement and implementation</w:t>
            </w:r>
          </w:p>
        </w:tc>
      </w:tr>
    </w:tbl>
    <w:p>
      <w:pPr>
        <w:jc w:val="both"/>
        <w:rPr>
          <w:noProof/>
          <w:szCs w:val="24"/>
        </w:rPr>
      </w:pPr>
    </w:p>
    <w:p>
      <w:pPr>
        <w:pStyle w:val="Heading1"/>
        <w:numPr>
          <w:ilvl w:val="0"/>
          <w:numId w:val="41"/>
        </w:numPr>
        <w:spacing w:before="120" w:after="120" w:line="276" w:lineRule="auto"/>
        <w:ind w:left="567" w:hanging="567"/>
        <w:rPr>
          <w:smallCaps w:val="0"/>
          <w:noProof/>
        </w:rPr>
      </w:pPr>
      <w:bookmarkStart w:id="2605" w:name="_Toc49879435"/>
      <w:bookmarkStart w:id="2606" w:name="_Toc49879575"/>
      <w:bookmarkStart w:id="2607" w:name="_Toc49879643"/>
      <w:bookmarkStart w:id="2608" w:name="_Toc49879711"/>
      <w:bookmarkStart w:id="2609" w:name="_Toc49879779"/>
      <w:bookmarkStart w:id="2610" w:name="_Toc49879823"/>
      <w:bookmarkStart w:id="2611" w:name="_Toc49879959"/>
      <w:bookmarkStart w:id="2612" w:name="_Toc49880141"/>
      <w:bookmarkStart w:id="2613" w:name="_Toc49880209"/>
      <w:bookmarkStart w:id="2614" w:name="_Toc49880439"/>
      <w:bookmarkStart w:id="2615" w:name="_Toc49880507"/>
      <w:bookmarkStart w:id="2616" w:name="_Toc49880992"/>
      <w:bookmarkStart w:id="2617" w:name="_Toc49881151"/>
      <w:bookmarkStart w:id="2618" w:name="_Toc49881670"/>
      <w:bookmarkStart w:id="2619" w:name="_Toc49883540"/>
      <w:bookmarkStart w:id="2620" w:name="_Toc49883778"/>
      <w:bookmarkStart w:id="2621" w:name="_Toc49884144"/>
      <w:bookmarkStart w:id="2622" w:name="_Toc49884212"/>
      <w:bookmarkStart w:id="2623" w:name="_Toc49884288"/>
      <w:bookmarkStart w:id="2624" w:name="_Toc49888715"/>
      <w:bookmarkStart w:id="2625" w:name="_Toc49893544"/>
      <w:bookmarkStart w:id="2626" w:name="_Toc49893858"/>
      <w:bookmarkStart w:id="2627" w:name="_Toc49895373"/>
      <w:bookmarkStart w:id="2628" w:name="_Toc49896908"/>
      <w:bookmarkStart w:id="2629" w:name="_Toc49926272"/>
      <w:bookmarkStart w:id="2630" w:name="_Toc49928826"/>
      <w:bookmarkStart w:id="2631" w:name="_Toc49928896"/>
      <w:bookmarkStart w:id="2632" w:name="_Toc49928976"/>
      <w:bookmarkStart w:id="2633" w:name="_Toc49930185"/>
      <w:bookmarkStart w:id="2634" w:name="_Toc49930407"/>
      <w:bookmarkStart w:id="2635" w:name="_Toc49930477"/>
      <w:bookmarkStart w:id="2636" w:name="_Toc49930547"/>
      <w:bookmarkStart w:id="2637" w:name="_Toc49930617"/>
      <w:bookmarkStart w:id="2638" w:name="_Toc49930687"/>
      <w:bookmarkStart w:id="2639" w:name="_Toc49930828"/>
      <w:bookmarkStart w:id="2640" w:name="_Toc49930971"/>
      <w:bookmarkStart w:id="2641" w:name="_Toc49931225"/>
      <w:bookmarkStart w:id="2642" w:name="_Toc49931431"/>
      <w:bookmarkStart w:id="2643" w:name="_Toc49931732"/>
      <w:bookmarkStart w:id="2644" w:name="_Toc49931865"/>
      <w:bookmarkStart w:id="2645" w:name="_Toc49932170"/>
      <w:bookmarkStart w:id="2646" w:name="_Toc49932301"/>
      <w:bookmarkStart w:id="2647" w:name="_Toc49932859"/>
      <w:bookmarkStart w:id="2648" w:name="_Toc49933193"/>
      <w:bookmarkStart w:id="2649" w:name="_Toc49933263"/>
      <w:bookmarkStart w:id="2650" w:name="_Toc49933789"/>
      <w:bookmarkStart w:id="2651" w:name="_Toc49933932"/>
      <w:bookmarkStart w:id="2652" w:name="_Toc49934058"/>
      <w:bookmarkStart w:id="2653" w:name="_Toc49934173"/>
      <w:bookmarkStart w:id="2654" w:name="_Toc49934854"/>
      <w:bookmarkStart w:id="2655" w:name="_Toc49935119"/>
      <w:bookmarkStart w:id="2656" w:name="_Toc49935189"/>
      <w:bookmarkStart w:id="2657" w:name="_Toc49935409"/>
      <w:bookmarkStart w:id="2658" w:name="_Toc49935479"/>
      <w:bookmarkStart w:id="2659" w:name="_Toc49935656"/>
      <w:bookmarkStart w:id="2660" w:name="_Toc49935597"/>
      <w:bookmarkStart w:id="2661" w:name="_Toc49936067"/>
      <w:bookmarkStart w:id="2662" w:name="_Toc49936137"/>
      <w:bookmarkStart w:id="2663" w:name="_Toc49936207"/>
      <w:bookmarkStart w:id="2664" w:name="_Toc49937028"/>
      <w:bookmarkStart w:id="2665" w:name="_Toc49937146"/>
      <w:bookmarkStart w:id="2666" w:name="_Toc49937655"/>
      <w:bookmarkStart w:id="2667" w:name="_Toc49938035"/>
      <w:bookmarkStart w:id="2668" w:name="_Toc49938840"/>
      <w:bookmarkStart w:id="2669" w:name="_Toc49938973"/>
      <w:bookmarkStart w:id="2670" w:name="_Toc49938942"/>
      <w:bookmarkStart w:id="2671" w:name="_Toc49939082"/>
      <w:bookmarkStart w:id="2672" w:name="_Toc49939152"/>
      <w:bookmarkStart w:id="2673" w:name="_Toc49939215"/>
      <w:bookmarkStart w:id="2674" w:name="_Toc49939285"/>
      <w:bookmarkStart w:id="2675" w:name="_Toc49939587"/>
      <w:bookmarkStart w:id="2676" w:name="_Toc49939933"/>
      <w:bookmarkStart w:id="2677" w:name="_Toc49940468"/>
      <w:bookmarkStart w:id="2678" w:name="_Toc49941619"/>
      <w:bookmarkStart w:id="2679" w:name="_Toc49941689"/>
      <w:bookmarkStart w:id="2680" w:name="_Toc49942065"/>
      <w:bookmarkStart w:id="2681" w:name="_Toc49942249"/>
      <w:bookmarkStart w:id="2682" w:name="_Toc49942457"/>
      <w:bookmarkStart w:id="2683" w:name="_Toc49942691"/>
      <w:bookmarkStart w:id="2684" w:name="_Toc49942806"/>
      <w:bookmarkStart w:id="2685" w:name="_Toc49944343"/>
      <w:bookmarkStart w:id="2686" w:name="_Toc49945120"/>
      <w:bookmarkStart w:id="2687" w:name="_Toc49945914"/>
      <w:bookmarkStart w:id="2688" w:name="_Toc49946272"/>
      <w:bookmarkStart w:id="2689" w:name="_Toc49946559"/>
      <w:bookmarkStart w:id="2690" w:name="_Toc49946668"/>
      <w:bookmarkStart w:id="2691" w:name="_Toc49947268"/>
      <w:bookmarkStart w:id="2692" w:name="_Toc49946371"/>
      <w:bookmarkStart w:id="2693" w:name="_Toc49947150"/>
      <w:bookmarkStart w:id="2694" w:name="_Toc49947404"/>
      <w:bookmarkStart w:id="2695" w:name="_Toc49947782"/>
      <w:bookmarkStart w:id="2696" w:name="_Toc49947877"/>
      <w:bookmarkStart w:id="2697" w:name="_Toc49947947"/>
      <w:bookmarkStart w:id="2698" w:name="_Toc49948042"/>
      <w:bookmarkStart w:id="2699" w:name="_Toc49948112"/>
      <w:bookmarkStart w:id="2700" w:name="_Toc49948323"/>
      <w:bookmarkStart w:id="2701" w:name="_Toc49948393"/>
      <w:bookmarkStart w:id="2702" w:name="_Toc49948463"/>
      <w:bookmarkStart w:id="2703" w:name="_Toc49948533"/>
      <w:bookmarkStart w:id="2704" w:name="_Toc49948652"/>
      <w:bookmarkStart w:id="2705" w:name="_Toc49943502"/>
      <w:bookmarkStart w:id="2706" w:name="_Toc49948746"/>
      <w:bookmarkStart w:id="2707" w:name="_Toc49949539"/>
      <w:bookmarkStart w:id="2708" w:name="_Toc49949609"/>
      <w:bookmarkStart w:id="2709" w:name="_Toc49950645"/>
      <w:bookmarkStart w:id="2710" w:name="_Toc49950812"/>
      <w:bookmarkStart w:id="2711" w:name="_Toc49951163"/>
      <w:bookmarkStart w:id="2712" w:name="_Toc49951414"/>
      <w:bookmarkStart w:id="2713" w:name="_Toc49951474"/>
      <w:bookmarkStart w:id="2714" w:name="_Toc49951581"/>
      <w:bookmarkStart w:id="2715" w:name="_Toc49951668"/>
      <w:bookmarkStart w:id="2716" w:name="_Toc49951738"/>
      <w:bookmarkStart w:id="2717" w:name="_Toc49951977"/>
      <w:bookmarkStart w:id="2718" w:name="_Toc49952076"/>
      <w:bookmarkStart w:id="2719" w:name="_Toc49952252"/>
      <w:bookmarkStart w:id="2720" w:name="_Toc49953007"/>
      <w:bookmarkStart w:id="2721" w:name="_Toc49953098"/>
      <w:bookmarkStart w:id="2722" w:name="_Toc49953168"/>
      <w:bookmarkStart w:id="2723" w:name="_Toc49952952"/>
      <w:bookmarkStart w:id="2724" w:name="_Toc49953813"/>
      <w:bookmarkStart w:id="2725" w:name="_Toc49953883"/>
      <w:bookmarkStart w:id="2726" w:name="_Toc49953953"/>
      <w:bookmarkStart w:id="2727" w:name="_Toc49954106"/>
      <w:bookmarkStart w:id="2728" w:name="_Toc49949667"/>
      <w:bookmarkStart w:id="2729" w:name="_Toc49953667"/>
      <w:bookmarkStart w:id="2730" w:name="_Toc49953792"/>
      <w:bookmarkStart w:id="2731" w:name="_Toc49954172"/>
      <w:bookmarkStart w:id="2732" w:name="_Toc49954279"/>
      <w:bookmarkStart w:id="2733" w:name="_Toc49954382"/>
      <w:bookmarkStart w:id="2734" w:name="_Toc49954282"/>
      <w:bookmarkStart w:id="2735" w:name="_Toc49954513"/>
      <w:bookmarkStart w:id="2736" w:name="_Toc49954583"/>
      <w:bookmarkStart w:id="2737" w:name="_Toc49954653"/>
      <w:bookmarkStart w:id="2738" w:name="_Toc49954547"/>
      <w:bookmarkStart w:id="2739" w:name="_Toc49954757"/>
      <w:bookmarkStart w:id="2740" w:name="_Toc49954812"/>
      <w:bookmarkStart w:id="2741" w:name="_Toc49954882"/>
      <w:bookmarkStart w:id="2742" w:name="_Toc49954687"/>
      <w:bookmarkStart w:id="2743" w:name="_Toc49954976"/>
      <w:bookmarkStart w:id="2744" w:name="_Toc49955046"/>
      <w:bookmarkStart w:id="2745" w:name="_Toc49955116"/>
      <w:bookmarkStart w:id="2746" w:name="_Toc49955080"/>
      <w:bookmarkStart w:id="2747" w:name="_Toc49955256"/>
      <w:bookmarkStart w:id="2748" w:name="_Toc49955326"/>
      <w:bookmarkStart w:id="2749" w:name="_Toc49955396"/>
      <w:bookmarkStart w:id="2750" w:name="_Toc49955704"/>
      <w:bookmarkStart w:id="2751" w:name="_Toc49955774"/>
      <w:bookmarkStart w:id="2752" w:name="_Toc49956129"/>
      <w:bookmarkStart w:id="2753" w:name="_Toc49958274"/>
      <w:bookmarkStart w:id="2754" w:name="_Toc49958399"/>
      <w:bookmarkStart w:id="2755" w:name="_Toc49958469"/>
      <w:bookmarkStart w:id="2756" w:name="_Toc49958539"/>
      <w:bookmarkStart w:id="2757" w:name="_Toc49879436"/>
      <w:bookmarkStart w:id="2758" w:name="_Toc49879576"/>
      <w:bookmarkStart w:id="2759" w:name="_Toc49879644"/>
      <w:bookmarkStart w:id="2760" w:name="_Toc49879712"/>
      <w:bookmarkStart w:id="2761" w:name="_Toc49879780"/>
      <w:bookmarkStart w:id="2762" w:name="_Toc49879824"/>
      <w:bookmarkStart w:id="2763" w:name="_Toc49879960"/>
      <w:bookmarkStart w:id="2764" w:name="_Toc49880142"/>
      <w:bookmarkStart w:id="2765" w:name="_Toc49880210"/>
      <w:bookmarkStart w:id="2766" w:name="_Toc49880440"/>
      <w:bookmarkStart w:id="2767" w:name="_Toc49880508"/>
      <w:bookmarkStart w:id="2768" w:name="_Toc49880993"/>
      <w:bookmarkStart w:id="2769" w:name="_Toc49881152"/>
      <w:bookmarkStart w:id="2770" w:name="_Toc49881671"/>
      <w:bookmarkStart w:id="2771" w:name="_Toc49883541"/>
      <w:bookmarkStart w:id="2772" w:name="_Toc49883779"/>
      <w:bookmarkStart w:id="2773" w:name="_Toc49884145"/>
      <w:bookmarkStart w:id="2774" w:name="_Toc49884213"/>
      <w:bookmarkStart w:id="2775" w:name="_Toc49884289"/>
      <w:bookmarkStart w:id="2776" w:name="_Toc49888716"/>
      <w:bookmarkStart w:id="2777" w:name="_Toc49893545"/>
      <w:bookmarkStart w:id="2778" w:name="_Toc49893859"/>
      <w:bookmarkStart w:id="2779" w:name="_Toc49895374"/>
      <w:bookmarkStart w:id="2780" w:name="_Toc49896909"/>
      <w:bookmarkStart w:id="2781" w:name="_Toc49926273"/>
      <w:bookmarkStart w:id="2782" w:name="_Toc49928827"/>
      <w:bookmarkStart w:id="2783" w:name="_Toc49928897"/>
      <w:bookmarkStart w:id="2784" w:name="_Toc49928977"/>
      <w:bookmarkStart w:id="2785" w:name="_Toc49930186"/>
      <w:bookmarkStart w:id="2786" w:name="_Toc49930408"/>
      <w:bookmarkStart w:id="2787" w:name="_Toc49930478"/>
      <w:bookmarkStart w:id="2788" w:name="_Toc49930548"/>
      <w:bookmarkStart w:id="2789" w:name="_Toc49930618"/>
      <w:bookmarkStart w:id="2790" w:name="_Toc49930688"/>
      <w:bookmarkStart w:id="2791" w:name="_Toc49930829"/>
      <w:bookmarkStart w:id="2792" w:name="_Toc49930972"/>
      <w:bookmarkStart w:id="2793" w:name="_Toc49931226"/>
      <w:bookmarkStart w:id="2794" w:name="_Toc49931432"/>
      <w:bookmarkStart w:id="2795" w:name="_Toc49931733"/>
      <w:bookmarkStart w:id="2796" w:name="_Toc49931866"/>
      <w:bookmarkStart w:id="2797" w:name="_Toc49932171"/>
      <w:bookmarkStart w:id="2798" w:name="_Toc49932302"/>
      <w:bookmarkStart w:id="2799" w:name="_Toc49932860"/>
      <w:bookmarkStart w:id="2800" w:name="_Toc49933194"/>
      <w:bookmarkStart w:id="2801" w:name="_Toc49933264"/>
      <w:bookmarkStart w:id="2802" w:name="_Toc49933790"/>
      <w:bookmarkStart w:id="2803" w:name="_Toc49933933"/>
      <w:bookmarkStart w:id="2804" w:name="_Toc49934059"/>
      <w:bookmarkStart w:id="2805" w:name="_Toc49934174"/>
      <w:bookmarkStart w:id="2806" w:name="_Toc49934855"/>
      <w:bookmarkStart w:id="2807" w:name="_Toc49935120"/>
      <w:bookmarkStart w:id="2808" w:name="_Toc49935190"/>
      <w:bookmarkStart w:id="2809" w:name="_Toc49935410"/>
      <w:bookmarkStart w:id="2810" w:name="_Toc49935480"/>
      <w:bookmarkStart w:id="2811" w:name="_Toc49935657"/>
      <w:bookmarkStart w:id="2812" w:name="_Toc49935605"/>
      <w:bookmarkStart w:id="2813" w:name="_Toc49936068"/>
      <w:bookmarkStart w:id="2814" w:name="_Toc49936138"/>
      <w:bookmarkStart w:id="2815" w:name="_Toc49936208"/>
      <w:bookmarkStart w:id="2816" w:name="_Toc49937029"/>
      <w:bookmarkStart w:id="2817" w:name="_Toc49937147"/>
      <w:bookmarkStart w:id="2818" w:name="_Toc49937656"/>
      <w:bookmarkStart w:id="2819" w:name="_Toc49938036"/>
      <w:bookmarkStart w:id="2820" w:name="_Toc49938841"/>
      <w:bookmarkStart w:id="2821" w:name="_Toc49938974"/>
      <w:bookmarkStart w:id="2822" w:name="_Toc49938943"/>
      <w:bookmarkStart w:id="2823" w:name="_Toc49939083"/>
      <w:bookmarkStart w:id="2824" w:name="_Toc49939153"/>
      <w:bookmarkStart w:id="2825" w:name="_Toc49939216"/>
      <w:bookmarkStart w:id="2826" w:name="_Toc49939286"/>
      <w:bookmarkStart w:id="2827" w:name="_Toc49939588"/>
      <w:bookmarkStart w:id="2828" w:name="_Toc49939934"/>
      <w:bookmarkStart w:id="2829" w:name="_Toc49940469"/>
      <w:bookmarkStart w:id="2830" w:name="_Toc49941690"/>
      <w:bookmarkStart w:id="2831" w:name="_Toc49942066"/>
      <w:bookmarkStart w:id="2832" w:name="_Toc49942250"/>
      <w:bookmarkStart w:id="2833" w:name="_Toc49942458"/>
      <w:bookmarkStart w:id="2834" w:name="_Toc49942692"/>
      <w:bookmarkStart w:id="2835" w:name="_Toc49942807"/>
      <w:bookmarkStart w:id="2836" w:name="_Toc49944344"/>
      <w:bookmarkStart w:id="2837" w:name="_Toc49945121"/>
      <w:bookmarkStart w:id="2838" w:name="_Toc49945915"/>
      <w:bookmarkStart w:id="2839" w:name="_Toc49946273"/>
      <w:bookmarkStart w:id="2840" w:name="_Toc49946560"/>
      <w:bookmarkStart w:id="2841" w:name="_Toc49946669"/>
      <w:bookmarkStart w:id="2842" w:name="_Toc49947269"/>
      <w:bookmarkStart w:id="2843" w:name="_Toc49946372"/>
      <w:bookmarkStart w:id="2844" w:name="_Toc49947151"/>
      <w:bookmarkStart w:id="2845" w:name="_Toc49947405"/>
      <w:bookmarkStart w:id="2846" w:name="_Toc49947783"/>
      <w:bookmarkStart w:id="2847" w:name="_Toc49947878"/>
      <w:bookmarkStart w:id="2848" w:name="_Toc49947948"/>
      <w:bookmarkStart w:id="2849" w:name="_Toc49948043"/>
      <w:bookmarkStart w:id="2850" w:name="_Toc49948113"/>
      <w:bookmarkStart w:id="2851" w:name="_Toc49948324"/>
      <w:bookmarkStart w:id="2852" w:name="_Toc49948394"/>
      <w:bookmarkStart w:id="2853" w:name="_Toc49948464"/>
      <w:bookmarkStart w:id="2854" w:name="_Toc49948534"/>
      <w:bookmarkStart w:id="2855" w:name="_Toc49948653"/>
      <w:bookmarkStart w:id="2856" w:name="_Toc49943503"/>
      <w:bookmarkStart w:id="2857" w:name="_Toc49948747"/>
      <w:bookmarkStart w:id="2858" w:name="_Toc49949540"/>
      <w:bookmarkStart w:id="2859" w:name="_Toc49949610"/>
      <w:bookmarkStart w:id="2860" w:name="_Toc49950646"/>
      <w:bookmarkStart w:id="2861" w:name="_Toc49950813"/>
      <w:bookmarkStart w:id="2862" w:name="_Toc49951164"/>
      <w:bookmarkStart w:id="2863" w:name="_Toc49951415"/>
      <w:bookmarkStart w:id="2864" w:name="_Toc49951475"/>
      <w:bookmarkStart w:id="2865" w:name="_Toc49951582"/>
      <w:bookmarkStart w:id="2866" w:name="_Toc49951669"/>
      <w:bookmarkStart w:id="2867" w:name="_Toc49951739"/>
      <w:bookmarkStart w:id="2868" w:name="_Toc49951978"/>
      <w:bookmarkStart w:id="2869" w:name="_Toc49952077"/>
      <w:bookmarkStart w:id="2870" w:name="_Toc49952253"/>
      <w:bookmarkStart w:id="2871" w:name="_Toc49953008"/>
      <w:bookmarkStart w:id="2872" w:name="_Toc49953099"/>
      <w:bookmarkStart w:id="2873" w:name="_Toc49953169"/>
      <w:bookmarkStart w:id="2874" w:name="_Toc49952953"/>
      <w:bookmarkStart w:id="2875" w:name="_Toc49953814"/>
      <w:bookmarkStart w:id="2876" w:name="_Toc49953884"/>
      <w:bookmarkStart w:id="2877" w:name="_Toc49953954"/>
      <w:bookmarkStart w:id="2878" w:name="_Toc49954037"/>
      <w:bookmarkStart w:id="2879" w:name="_Toc49954107"/>
      <w:bookmarkStart w:id="2880" w:name="_Toc49949668"/>
      <w:bookmarkStart w:id="2881" w:name="_Toc49953668"/>
      <w:bookmarkStart w:id="2882" w:name="_Toc49953793"/>
      <w:bookmarkStart w:id="2883" w:name="_Toc49954173"/>
      <w:bookmarkStart w:id="2884" w:name="_Toc49954280"/>
      <w:bookmarkStart w:id="2885" w:name="_Toc49954383"/>
      <w:bookmarkStart w:id="2886" w:name="_Toc49954284"/>
      <w:bookmarkStart w:id="2887" w:name="_Toc49954514"/>
      <w:bookmarkStart w:id="2888" w:name="_Toc49954584"/>
      <w:bookmarkStart w:id="2889" w:name="_Toc49954654"/>
      <w:bookmarkStart w:id="2890" w:name="_Toc49954548"/>
      <w:bookmarkStart w:id="2891" w:name="_Toc49954758"/>
      <w:bookmarkStart w:id="2892" w:name="_Toc49954813"/>
      <w:bookmarkStart w:id="2893" w:name="_Toc49954883"/>
      <w:bookmarkStart w:id="2894" w:name="_Toc49954688"/>
      <w:bookmarkStart w:id="2895" w:name="_Toc49954977"/>
      <w:bookmarkStart w:id="2896" w:name="_Toc49955047"/>
      <w:bookmarkStart w:id="2897" w:name="_Toc49955117"/>
      <w:bookmarkStart w:id="2898" w:name="_Toc49955081"/>
      <w:bookmarkStart w:id="2899" w:name="_Toc49955257"/>
      <w:bookmarkStart w:id="2900" w:name="_Toc49955327"/>
      <w:bookmarkStart w:id="2901" w:name="_Toc49955397"/>
      <w:bookmarkStart w:id="2902" w:name="_Toc49955705"/>
      <w:bookmarkStart w:id="2903" w:name="_Toc49955775"/>
      <w:bookmarkStart w:id="2904" w:name="_Toc49956130"/>
      <w:bookmarkStart w:id="2905" w:name="_Toc49958275"/>
      <w:bookmarkStart w:id="2906" w:name="_Toc49958400"/>
      <w:bookmarkStart w:id="2907" w:name="_Toc49958470"/>
      <w:bookmarkStart w:id="2908" w:name="_Toc49958540"/>
      <w:bookmarkStart w:id="2909" w:name="_Toc49879437"/>
      <w:bookmarkStart w:id="2910" w:name="_Toc49879577"/>
      <w:bookmarkStart w:id="2911" w:name="_Toc49879645"/>
      <w:bookmarkStart w:id="2912" w:name="_Toc49879713"/>
      <w:bookmarkStart w:id="2913" w:name="_Toc49879781"/>
      <w:bookmarkStart w:id="2914" w:name="_Toc49879825"/>
      <w:bookmarkStart w:id="2915" w:name="_Toc49879961"/>
      <w:bookmarkStart w:id="2916" w:name="_Toc49880143"/>
      <w:bookmarkStart w:id="2917" w:name="_Toc49880211"/>
      <w:bookmarkStart w:id="2918" w:name="_Toc49880441"/>
      <w:bookmarkStart w:id="2919" w:name="_Toc49880509"/>
      <w:bookmarkStart w:id="2920" w:name="_Toc49880994"/>
      <w:bookmarkStart w:id="2921" w:name="_Toc49881153"/>
      <w:bookmarkStart w:id="2922" w:name="_Toc49881672"/>
      <w:bookmarkStart w:id="2923" w:name="_Toc49883542"/>
      <w:bookmarkStart w:id="2924" w:name="_Toc49883780"/>
      <w:bookmarkStart w:id="2925" w:name="_Toc49884146"/>
      <w:bookmarkStart w:id="2926" w:name="_Toc49884214"/>
      <w:bookmarkStart w:id="2927" w:name="_Toc49884290"/>
      <w:bookmarkStart w:id="2928" w:name="_Toc49888717"/>
      <w:bookmarkStart w:id="2929" w:name="_Toc49893546"/>
      <w:bookmarkStart w:id="2930" w:name="_Toc49893860"/>
      <w:bookmarkStart w:id="2931" w:name="_Toc49895375"/>
      <w:bookmarkStart w:id="2932" w:name="_Toc49896910"/>
      <w:bookmarkStart w:id="2933" w:name="_Toc49926274"/>
      <w:bookmarkStart w:id="2934" w:name="_Toc49928828"/>
      <w:bookmarkStart w:id="2935" w:name="_Toc49928898"/>
      <w:bookmarkStart w:id="2936" w:name="_Toc49928978"/>
      <w:bookmarkStart w:id="2937" w:name="_Toc49930187"/>
      <w:bookmarkStart w:id="2938" w:name="_Toc49930409"/>
      <w:bookmarkStart w:id="2939" w:name="_Toc49930479"/>
      <w:bookmarkStart w:id="2940" w:name="_Toc49930549"/>
      <w:bookmarkStart w:id="2941" w:name="_Toc49930619"/>
      <w:bookmarkStart w:id="2942" w:name="_Toc49930689"/>
      <w:bookmarkStart w:id="2943" w:name="_Toc49930830"/>
      <w:bookmarkStart w:id="2944" w:name="_Toc49930973"/>
      <w:bookmarkStart w:id="2945" w:name="_Toc49931227"/>
      <w:bookmarkStart w:id="2946" w:name="_Toc49931433"/>
      <w:bookmarkStart w:id="2947" w:name="_Toc49931734"/>
      <w:bookmarkStart w:id="2948" w:name="_Toc49931867"/>
      <w:bookmarkStart w:id="2949" w:name="_Toc49932172"/>
      <w:bookmarkStart w:id="2950" w:name="_Toc49932303"/>
      <w:bookmarkStart w:id="2951" w:name="_Toc49932861"/>
      <w:bookmarkStart w:id="2952" w:name="_Toc49933195"/>
      <w:bookmarkStart w:id="2953" w:name="_Toc49933265"/>
      <w:bookmarkStart w:id="2954" w:name="_Toc49933791"/>
      <w:bookmarkStart w:id="2955" w:name="_Toc49933934"/>
      <w:bookmarkStart w:id="2956" w:name="_Toc49934060"/>
      <w:bookmarkStart w:id="2957" w:name="_Toc49934175"/>
      <w:bookmarkStart w:id="2958" w:name="_Toc49934856"/>
      <w:bookmarkStart w:id="2959" w:name="_Toc49935121"/>
      <w:bookmarkStart w:id="2960" w:name="_Toc49935191"/>
      <w:bookmarkStart w:id="2961" w:name="_Toc49935411"/>
      <w:bookmarkStart w:id="2962" w:name="_Toc49935481"/>
      <w:bookmarkStart w:id="2963" w:name="_Toc49935658"/>
      <w:bookmarkStart w:id="2964" w:name="_Toc49935616"/>
      <w:bookmarkStart w:id="2965" w:name="_Toc49936069"/>
      <w:bookmarkStart w:id="2966" w:name="_Toc49936139"/>
      <w:bookmarkStart w:id="2967" w:name="_Toc49936209"/>
      <w:bookmarkStart w:id="2968" w:name="_Toc49937030"/>
      <w:bookmarkStart w:id="2969" w:name="_Toc49937148"/>
      <w:bookmarkStart w:id="2970" w:name="_Toc49937657"/>
      <w:bookmarkStart w:id="2971" w:name="_Toc49938037"/>
      <w:bookmarkStart w:id="2972" w:name="_Toc49938842"/>
      <w:bookmarkStart w:id="2973" w:name="_Toc49938975"/>
      <w:bookmarkStart w:id="2974" w:name="_Toc49939014"/>
      <w:bookmarkStart w:id="2975" w:name="_Toc49939084"/>
      <w:bookmarkStart w:id="2976" w:name="_Toc49939154"/>
      <w:bookmarkStart w:id="2977" w:name="_Toc49939217"/>
      <w:bookmarkStart w:id="2978" w:name="_Toc49939287"/>
      <w:bookmarkStart w:id="2979" w:name="_Toc49939589"/>
      <w:bookmarkStart w:id="2980" w:name="_Toc49939935"/>
      <w:bookmarkStart w:id="2981" w:name="_Toc49940470"/>
      <w:bookmarkStart w:id="2982" w:name="_Toc49941621"/>
      <w:bookmarkStart w:id="2983" w:name="_Toc49941691"/>
      <w:bookmarkStart w:id="2984" w:name="_Toc49942067"/>
      <w:bookmarkStart w:id="2985" w:name="_Toc49942251"/>
      <w:bookmarkStart w:id="2986" w:name="_Toc49942459"/>
      <w:bookmarkStart w:id="2987" w:name="_Toc49942693"/>
      <w:bookmarkStart w:id="2988" w:name="_Toc49942808"/>
      <w:bookmarkStart w:id="2989" w:name="_Toc49944345"/>
      <w:bookmarkStart w:id="2990" w:name="_Toc49945122"/>
      <w:bookmarkStart w:id="2991" w:name="_Toc49945916"/>
      <w:bookmarkStart w:id="2992" w:name="_Toc49946274"/>
      <w:bookmarkStart w:id="2993" w:name="_Toc49946561"/>
      <w:bookmarkStart w:id="2994" w:name="_Toc49946670"/>
      <w:bookmarkStart w:id="2995" w:name="_Toc49947270"/>
      <w:bookmarkStart w:id="2996" w:name="_Toc49946373"/>
      <w:bookmarkStart w:id="2997" w:name="_Toc49947152"/>
      <w:bookmarkStart w:id="2998" w:name="_Toc49947406"/>
      <w:bookmarkStart w:id="2999" w:name="_Toc49947784"/>
      <w:bookmarkStart w:id="3000" w:name="_Toc49947879"/>
      <w:bookmarkStart w:id="3001" w:name="_Toc49947949"/>
      <w:bookmarkStart w:id="3002" w:name="_Toc49948044"/>
      <w:bookmarkStart w:id="3003" w:name="_Toc49948114"/>
      <w:bookmarkStart w:id="3004" w:name="_Toc49948325"/>
      <w:bookmarkStart w:id="3005" w:name="_Toc49948395"/>
      <w:bookmarkStart w:id="3006" w:name="_Toc49948465"/>
      <w:bookmarkStart w:id="3007" w:name="_Toc49948535"/>
      <w:bookmarkStart w:id="3008" w:name="_Toc49948654"/>
      <w:bookmarkStart w:id="3009" w:name="_Toc49943504"/>
      <w:bookmarkStart w:id="3010" w:name="_Toc49948748"/>
      <w:bookmarkStart w:id="3011" w:name="_Toc49949541"/>
      <w:bookmarkStart w:id="3012" w:name="_Toc49949611"/>
      <w:bookmarkStart w:id="3013" w:name="_Toc49950647"/>
      <w:bookmarkStart w:id="3014" w:name="_Toc49950814"/>
      <w:bookmarkStart w:id="3015" w:name="_Toc49951165"/>
      <w:bookmarkStart w:id="3016" w:name="_Toc49951416"/>
      <w:bookmarkStart w:id="3017" w:name="_Toc49951476"/>
      <w:bookmarkStart w:id="3018" w:name="_Toc49951583"/>
      <w:bookmarkStart w:id="3019" w:name="_Toc49951670"/>
      <w:bookmarkStart w:id="3020" w:name="_Toc49951740"/>
      <w:bookmarkStart w:id="3021" w:name="_Toc49951979"/>
      <w:bookmarkStart w:id="3022" w:name="_Toc49952078"/>
      <w:bookmarkStart w:id="3023" w:name="_Toc49952254"/>
      <w:bookmarkStart w:id="3024" w:name="_Toc49953009"/>
      <w:bookmarkStart w:id="3025" w:name="_Toc49953100"/>
      <w:bookmarkStart w:id="3026" w:name="_Toc49953170"/>
      <w:bookmarkStart w:id="3027" w:name="_Toc49952954"/>
      <w:bookmarkStart w:id="3028" w:name="_Toc49953815"/>
      <w:bookmarkStart w:id="3029" w:name="_Toc49953885"/>
      <w:bookmarkStart w:id="3030" w:name="_Toc49953955"/>
      <w:bookmarkStart w:id="3031" w:name="_Toc49954038"/>
      <w:bookmarkStart w:id="3032" w:name="_Toc49954108"/>
      <w:bookmarkStart w:id="3033" w:name="_Toc49949669"/>
      <w:bookmarkStart w:id="3034" w:name="_Toc49953669"/>
      <w:bookmarkStart w:id="3035" w:name="_Toc49953794"/>
      <w:bookmarkStart w:id="3036" w:name="_Toc49954174"/>
      <w:bookmarkStart w:id="3037" w:name="_Toc49954281"/>
      <w:bookmarkStart w:id="3038" w:name="_Toc49954384"/>
      <w:bookmarkStart w:id="3039" w:name="_Toc49954288"/>
      <w:bookmarkStart w:id="3040" w:name="_Toc49954515"/>
      <w:bookmarkStart w:id="3041" w:name="_Toc49954585"/>
      <w:bookmarkStart w:id="3042" w:name="_Toc49954655"/>
      <w:bookmarkStart w:id="3043" w:name="_Toc49954549"/>
      <w:bookmarkStart w:id="3044" w:name="_Toc49954759"/>
      <w:bookmarkStart w:id="3045" w:name="_Toc49954814"/>
      <w:bookmarkStart w:id="3046" w:name="_Toc49954884"/>
      <w:bookmarkStart w:id="3047" w:name="_Toc49954689"/>
      <w:bookmarkStart w:id="3048" w:name="_Toc49954978"/>
      <w:bookmarkStart w:id="3049" w:name="_Toc49955048"/>
      <w:bookmarkStart w:id="3050" w:name="_Toc49955118"/>
      <w:bookmarkStart w:id="3051" w:name="_Toc49955082"/>
      <w:bookmarkStart w:id="3052" w:name="_Toc49955258"/>
      <w:bookmarkStart w:id="3053" w:name="_Toc49955328"/>
      <w:bookmarkStart w:id="3054" w:name="_Toc49955398"/>
      <w:bookmarkStart w:id="3055" w:name="_Toc49955706"/>
      <w:bookmarkStart w:id="3056" w:name="_Toc49955776"/>
      <w:bookmarkStart w:id="3057" w:name="_Toc49956131"/>
      <w:bookmarkStart w:id="3058" w:name="_Toc49958276"/>
      <w:bookmarkStart w:id="3059" w:name="_Toc49958401"/>
      <w:bookmarkStart w:id="3060" w:name="_Toc49958471"/>
      <w:bookmarkStart w:id="3061" w:name="_Toc49958541"/>
      <w:bookmarkStart w:id="3062" w:name="_Toc49517464"/>
      <w:bookmarkStart w:id="3063" w:name="_Toc49517696"/>
      <w:bookmarkStart w:id="3064" w:name="_Toc49517995"/>
      <w:bookmarkStart w:id="3065" w:name="_Toc49518227"/>
      <w:bookmarkStart w:id="3066" w:name="_Toc49518459"/>
      <w:bookmarkStart w:id="3067" w:name="_Toc49695784"/>
      <w:bookmarkStart w:id="3068" w:name="_Toc49876190"/>
      <w:bookmarkStart w:id="3069" w:name="_Toc49876292"/>
      <w:bookmarkStart w:id="3070" w:name="_Toc49877359"/>
      <w:bookmarkStart w:id="3071" w:name="_Toc49877816"/>
      <w:bookmarkStart w:id="3072" w:name="_Toc49878167"/>
      <w:bookmarkStart w:id="3073" w:name="_Toc49878131"/>
      <w:bookmarkStart w:id="3074" w:name="_Toc49878232"/>
      <w:bookmarkStart w:id="3075" w:name="_Toc49878297"/>
      <w:bookmarkStart w:id="3076" w:name="_Toc49878352"/>
      <w:bookmarkStart w:id="3077" w:name="_Toc49878417"/>
      <w:bookmarkStart w:id="3078" w:name="_Toc49878565"/>
      <w:bookmarkStart w:id="3079" w:name="_Toc49878655"/>
      <w:bookmarkStart w:id="3080" w:name="_Toc49878768"/>
      <w:bookmarkStart w:id="3081" w:name="_Toc49878833"/>
      <w:bookmarkStart w:id="3082" w:name="_Toc49879067"/>
      <w:bookmarkStart w:id="3083" w:name="_Toc49879439"/>
      <w:bookmarkStart w:id="3084" w:name="_Toc49879579"/>
      <w:bookmarkStart w:id="3085" w:name="_Toc49879647"/>
      <w:bookmarkStart w:id="3086" w:name="_Toc49879715"/>
      <w:bookmarkStart w:id="3087" w:name="_Toc49879783"/>
      <w:bookmarkStart w:id="3088" w:name="_Toc49879827"/>
      <w:bookmarkStart w:id="3089" w:name="_Toc49879963"/>
      <w:bookmarkStart w:id="3090" w:name="_Toc49880145"/>
      <w:bookmarkStart w:id="3091" w:name="_Toc49880213"/>
      <w:bookmarkStart w:id="3092" w:name="_Toc49880443"/>
      <w:bookmarkStart w:id="3093" w:name="_Toc49880511"/>
      <w:bookmarkStart w:id="3094" w:name="_Toc49880996"/>
      <w:bookmarkStart w:id="3095" w:name="_Toc49881155"/>
      <w:bookmarkStart w:id="3096" w:name="_Toc49881674"/>
      <w:bookmarkStart w:id="3097" w:name="_Toc49883544"/>
      <w:bookmarkStart w:id="3098" w:name="_Toc49883782"/>
      <w:bookmarkStart w:id="3099" w:name="_Toc49884148"/>
      <w:bookmarkStart w:id="3100" w:name="_Toc49884216"/>
      <w:bookmarkStart w:id="3101" w:name="_Toc49884292"/>
      <w:bookmarkStart w:id="3102" w:name="_Toc49888719"/>
      <w:bookmarkStart w:id="3103" w:name="_Toc49893548"/>
      <w:bookmarkStart w:id="3104" w:name="_Toc49893862"/>
      <w:bookmarkStart w:id="3105" w:name="_Toc49895377"/>
      <w:bookmarkStart w:id="3106" w:name="_Toc49896912"/>
      <w:bookmarkStart w:id="3107" w:name="_Toc49926276"/>
      <w:bookmarkStart w:id="3108" w:name="_Toc49928830"/>
      <w:bookmarkStart w:id="3109" w:name="_Toc49928900"/>
      <w:bookmarkStart w:id="3110" w:name="_Toc49928980"/>
      <w:bookmarkStart w:id="3111" w:name="_Toc49930189"/>
      <w:bookmarkStart w:id="3112" w:name="_Toc49930411"/>
      <w:bookmarkStart w:id="3113" w:name="_Toc49930481"/>
      <w:bookmarkStart w:id="3114" w:name="_Toc49930551"/>
      <w:bookmarkStart w:id="3115" w:name="_Toc49930621"/>
      <w:bookmarkStart w:id="3116" w:name="_Toc49930691"/>
      <w:bookmarkStart w:id="3117" w:name="_Toc49930832"/>
      <w:bookmarkStart w:id="3118" w:name="_Toc49930975"/>
      <w:bookmarkStart w:id="3119" w:name="_Toc49931229"/>
      <w:bookmarkStart w:id="3120" w:name="_Toc49931435"/>
      <w:bookmarkStart w:id="3121" w:name="_Toc49931736"/>
      <w:bookmarkStart w:id="3122" w:name="_Toc49931869"/>
      <w:bookmarkStart w:id="3123" w:name="_Toc49932174"/>
      <w:bookmarkStart w:id="3124" w:name="_Toc49932305"/>
      <w:bookmarkStart w:id="3125" w:name="_Toc49932863"/>
      <w:bookmarkStart w:id="3126" w:name="_Toc49933197"/>
      <w:bookmarkStart w:id="3127" w:name="_Toc49933267"/>
      <w:bookmarkStart w:id="3128" w:name="_Toc49933793"/>
      <w:bookmarkStart w:id="3129" w:name="_Toc49933936"/>
      <w:bookmarkStart w:id="3130" w:name="_Toc49934062"/>
      <w:bookmarkStart w:id="3131" w:name="_Toc49934177"/>
      <w:bookmarkStart w:id="3132" w:name="_Toc49934858"/>
      <w:bookmarkStart w:id="3133" w:name="_Toc49935123"/>
      <w:bookmarkStart w:id="3134" w:name="_Toc49935193"/>
      <w:bookmarkStart w:id="3135" w:name="_Toc49935413"/>
      <w:bookmarkStart w:id="3136" w:name="_Toc49935483"/>
      <w:bookmarkStart w:id="3137" w:name="_Toc49935660"/>
      <w:bookmarkStart w:id="3138" w:name="_Toc49935618"/>
      <w:bookmarkStart w:id="3139" w:name="_Toc49936071"/>
      <w:bookmarkStart w:id="3140" w:name="_Toc49936141"/>
      <w:bookmarkStart w:id="3141" w:name="_Toc49936211"/>
      <w:bookmarkStart w:id="3142" w:name="_Toc49937032"/>
      <w:bookmarkStart w:id="3143" w:name="_Toc49937150"/>
      <w:bookmarkStart w:id="3144" w:name="_Toc49937659"/>
      <w:bookmarkStart w:id="3145" w:name="_Toc49938039"/>
      <w:bookmarkStart w:id="3146" w:name="_Toc49938844"/>
      <w:bookmarkStart w:id="3147" w:name="_Toc49938977"/>
      <w:bookmarkStart w:id="3148" w:name="_Toc49939016"/>
      <w:bookmarkStart w:id="3149" w:name="_Toc49939086"/>
      <w:bookmarkStart w:id="3150" w:name="_Toc49939156"/>
      <w:bookmarkStart w:id="3151" w:name="_Toc49939219"/>
      <w:bookmarkStart w:id="3152" w:name="_Toc49939289"/>
      <w:bookmarkStart w:id="3153" w:name="_Toc49939591"/>
      <w:bookmarkStart w:id="3154" w:name="_Toc49939937"/>
      <w:bookmarkStart w:id="3155" w:name="_Toc49940472"/>
      <w:bookmarkStart w:id="3156" w:name="_Toc49941693"/>
      <w:bookmarkStart w:id="3157" w:name="_Toc49941629"/>
      <w:bookmarkStart w:id="3158" w:name="_Toc49942069"/>
      <w:bookmarkStart w:id="3159" w:name="_Toc49942253"/>
      <w:bookmarkStart w:id="3160" w:name="_Toc49942461"/>
      <w:bookmarkStart w:id="3161" w:name="_Toc49942695"/>
      <w:bookmarkStart w:id="3162" w:name="_Toc49942810"/>
      <w:bookmarkStart w:id="3163" w:name="_Toc49944347"/>
      <w:bookmarkStart w:id="3164" w:name="_Toc49945124"/>
      <w:bookmarkStart w:id="3165" w:name="_Toc49945918"/>
      <w:bookmarkStart w:id="3166" w:name="_Toc49946276"/>
      <w:bookmarkStart w:id="3167" w:name="_Toc49946563"/>
      <w:bookmarkStart w:id="3168" w:name="_Toc49946672"/>
      <w:bookmarkStart w:id="3169" w:name="_Toc49947272"/>
      <w:bookmarkStart w:id="3170" w:name="_Toc49946375"/>
      <w:bookmarkStart w:id="3171" w:name="_Toc49947154"/>
      <w:bookmarkStart w:id="3172" w:name="_Toc49947408"/>
      <w:bookmarkStart w:id="3173" w:name="_Toc49947786"/>
      <w:bookmarkStart w:id="3174" w:name="_Toc49947881"/>
      <w:bookmarkStart w:id="3175" w:name="_Toc49947951"/>
      <w:bookmarkStart w:id="3176" w:name="_Toc49948046"/>
      <w:bookmarkStart w:id="3177" w:name="_Toc49948116"/>
      <w:bookmarkStart w:id="3178" w:name="_Toc49948327"/>
      <w:bookmarkStart w:id="3179" w:name="_Toc49948397"/>
      <w:bookmarkStart w:id="3180" w:name="_Toc49948467"/>
      <w:bookmarkStart w:id="3181" w:name="_Toc49948537"/>
      <w:bookmarkStart w:id="3182" w:name="_Toc49948656"/>
      <w:bookmarkStart w:id="3183" w:name="_Toc49943506"/>
      <w:bookmarkStart w:id="3184" w:name="_Toc49948750"/>
      <w:bookmarkStart w:id="3185" w:name="_Toc49949543"/>
      <w:bookmarkStart w:id="3186" w:name="_Toc49949613"/>
      <w:bookmarkStart w:id="3187" w:name="_Toc49950649"/>
      <w:bookmarkStart w:id="3188" w:name="_Toc49950816"/>
      <w:bookmarkStart w:id="3189" w:name="_Toc49951167"/>
      <w:bookmarkStart w:id="3190" w:name="_Toc49951418"/>
      <w:bookmarkStart w:id="3191" w:name="_Toc49951478"/>
      <w:bookmarkStart w:id="3192" w:name="_Toc49951585"/>
      <w:bookmarkStart w:id="3193" w:name="_Toc49951672"/>
      <w:bookmarkStart w:id="3194" w:name="_Toc49951742"/>
      <w:bookmarkStart w:id="3195" w:name="_Toc49951981"/>
      <w:bookmarkStart w:id="3196" w:name="_Toc49952080"/>
      <w:bookmarkStart w:id="3197" w:name="_Toc49952256"/>
      <w:bookmarkStart w:id="3198" w:name="_Toc49953011"/>
      <w:bookmarkStart w:id="3199" w:name="_Toc49953102"/>
      <w:bookmarkStart w:id="3200" w:name="_Toc49953172"/>
      <w:bookmarkStart w:id="3201" w:name="_Toc49952956"/>
      <w:bookmarkStart w:id="3202" w:name="_Toc49953887"/>
      <w:bookmarkStart w:id="3203" w:name="_Toc49953957"/>
      <w:bookmarkStart w:id="3204" w:name="_Toc49954110"/>
      <w:bookmarkStart w:id="3205" w:name="_Toc49949671"/>
      <w:bookmarkStart w:id="3206" w:name="_Toc49953671"/>
      <w:bookmarkStart w:id="3207" w:name="_Toc49954176"/>
      <w:bookmarkStart w:id="3208" w:name="_Toc49954283"/>
      <w:bookmarkStart w:id="3209" w:name="_Toc49954386"/>
      <w:bookmarkStart w:id="3210" w:name="_Toc49954290"/>
      <w:bookmarkStart w:id="3211" w:name="_Toc49954517"/>
      <w:bookmarkStart w:id="3212" w:name="_Toc49954587"/>
      <w:bookmarkStart w:id="3213" w:name="_Toc49954657"/>
      <w:bookmarkStart w:id="3214" w:name="_Toc49954551"/>
      <w:bookmarkStart w:id="3215" w:name="_Toc49954761"/>
      <w:bookmarkStart w:id="3216" w:name="_Toc49954816"/>
      <w:bookmarkStart w:id="3217" w:name="_Toc49954886"/>
      <w:bookmarkStart w:id="3218" w:name="_Toc49954691"/>
      <w:bookmarkStart w:id="3219" w:name="_Toc49954980"/>
      <w:bookmarkStart w:id="3220" w:name="_Toc49955050"/>
      <w:bookmarkStart w:id="3221" w:name="_Toc49955120"/>
      <w:bookmarkStart w:id="3222" w:name="_Toc49955084"/>
      <w:bookmarkStart w:id="3223" w:name="_Toc49955260"/>
      <w:bookmarkStart w:id="3224" w:name="_Toc49955330"/>
      <w:bookmarkStart w:id="3225" w:name="_Toc49955400"/>
      <w:bookmarkStart w:id="3226" w:name="_Toc49955708"/>
      <w:bookmarkStart w:id="3227" w:name="_Toc49955778"/>
      <w:bookmarkStart w:id="3228" w:name="_Toc49956133"/>
      <w:bookmarkStart w:id="3229" w:name="_Toc49958278"/>
      <w:bookmarkStart w:id="3230" w:name="_Toc49958403"/>
      <w:bookmarkStart w:id="3231" w:name="_Toc49958473"/>
      <w:bookmarkStart w:id="3232" w:name="_Toc49958543"/>
      <w:bookmarkStart w:id="3233" w:name="_Toc49876194"/>
      <w:bookmarkStart w:id="3234" w:name="_Toc49876296"/>
      <w:bookmarkStart w:id="3235" w:name="_Toc49877363"/>
      <w:bookmarkStart w:id="3236" w:name="_Toc49877820"/>
      <w:bookmarkStart w:id="3237" w:name="_Toc49878106"/>
      <w:bookmarkStart w:id="3238" w:name="_Toc49878171"/>
      <w:bookmarkStart w:id="3239" w:name="_Toc49878135"/>
      <w:bookmarkStart w:id="3240" w:name="_Toc49878236"/>
      <w:bookmarkStart w:id="3241" w:name="_Toc49878301"/>
      <w:bookmarkStart w:id="3242" w:name="_Toc49878356"/>
      <w:bookmarkStart w:id="3243" w:name="_Toc49878453"/>
      <w:bookmarkStart w:id="3244" w:name="_Toc49878569"/>
      <w:bookmarkStart w:id="3245" w:name="_Toc49878659"/>
      <w:bookmarkStart w:id="3246" w:name="_Toc49878772"/>
      <w:bookmarkStart w:id="3247" w:name="_Toc49878837"/>
      <w:bookmarkStart w:id="3248" w:name="_Toc49879071"/>
      <w:bookmarkStart w:id="3249" w:name="_Toc49879443"/>
      <w:bookmarkStart w:id="3250" w:name="_Toc49879583"/>
      <w:bookmarkStart w:id="3251" w:name="_Toc49879651"/>
      <w:bookmarkStart w:id="3252" w:name="_Toc49879787"/>
      <w:bookmarkStart w:id="3253" w:name="_Toc49879831"/>
      <w:bookmarkStart w:id="3254" w:name="_Toc49879967"/>
      <w:bookmarkStart w:id="3255" w:name="_Toc49880149"/>
      <w:bookmarkStart w:id="3256" w:name="_Toc49880217"/>
      <w:bookmarkStart w:id="3257" w:name="_Toc49880447"/>
      <w:bookmarkStart w:id="3258" w:name="_Toc49880515"/>
      <w:bookmarkStart w:id="3259" w:name="_Toc49879719"/>
      <w:bookmarkStart w:id="3260" w:name="_Toc49881000"/>
      <w:bookmarkStart w:id="3261" w:name="_Toc49881159"/>
      <w:bookmarkStart w:id="3262" w:name="_Toc49881678"/>
      <w:bookmarkStart w:id="3263" w:name="_Toc49883548"/>
      <w:bookmarkStart w:id="3264" w:name="_Toc49883786"/>
      <w:bookmarkStart w:id="3265" w:name="_Toc49884152"/>
      <w:bookmarkStart w:id="3266" w:name="_Toc49884220"/>
      <w:bookmarkStart w:id="3267" w:name="_Toc49884296"/>
      <w:bookmarkStart w:id="3268" w:name="_Toc49888723"/>
      <w:bookmarkStart w:id="3269" w:name="_Toc49893552"/>
      <w:bookmarkStart w:id="3270" w:name="_Toc49893866"/>
      <w:bookmarkStart w:id="3271" w:name="_Toc49895381"/>
      <w:bookmarkStart w:id="3272" w:name="_Toc49896916"/>
      <w:bookmarkStart w:id="3273" w:name="_Toc49926280"/>
      <w:bookmarkStart w:id="3274" w:name="_Toc49928834"/>
      <w:bookmarkStart w:id="3275" w:name="_Toc49928904"/>
      <w:bookmarkStart w:id="3276" w:name="_Toc49928984"/>
      <w:bookmarkStart w:id="3277" w:name="_Toc49930193"/>
      <w:bookmarkStart w:id="3278" w:name="_Toc49930415"/>
      <w:bookmarkStart w:id="3279" w:name="_Toc49930485"/>
      <w:bookmarkStart w:id="3280" w:name="_Toc49930555"/>
      <w:bookmarkStart w:id="3281" w:name="_Toc49930625"/>
      <w:bookmarkStart w:id="3282" w:name="_Toc49930695"/>
      <w:bookmarkStart w:id="3283" w:name="_Toc49930836"/>
      <w:bookmarkStart w:id="3284" w:name="_Toc49930979"/>
      <w:bookmarkStart w:id="3285" w:name="_Toc49931233"/>
      <w:bookmarkStart w:id="3286" w:name="_Toc49931439"/>
      <w:bookmarkStart w:id="3287" w:name="_Toc49931740"/>
      <w:bookmarkStart w:id="3288" w:name="_Toc49931873"/>
      <w:bookmarkStart w:id="3289" w:name="_Toc49932178"/>
      <w:bookmarkStart w:id="3290" w:name="_Toc49932309"/>
      <w:bookmarkStart w:id="3291" w:name="_Toc49932867"/>
      <w:bookmarkStart w:id="3292" w:name="_Toc49933201"/>
      <w:bookmarkStart w:id="3293" w:name="_Toc49933271"/>
      <w:bookmarkStart w:id="3294" w:name="_Toc49933797"/>
      <w:bookmarkStart w:id="3295" w:name="_Toc49933940"/>
      <w:bookmarkStart w:id="3296" w:name="_Toc49934066"/>
      <w:bookmarkStart w:id="3297" w:name="_Toc49934181"/>
      <w:bookmarkStart w:id="3298" w:name="_Toc49934862"/>
      <w:bookmarkStart w:id="3299" w:name="_Toc49935127"/>
      <w:bookmarkStart w:id="3300" w:name="_Toc49935197"/>
      <w:bookmarkStart w:id="3301" w:name="_Toc49935417"/>
      <w:bookmarkStart w:id="3302" w:name="_Toc49935487"/>
      <w:bookmarkStart w:id="3303" w:name="_Toc49935594"/>
      <w:bookmarkStart w:id="3304" w:name="_Toc49935664"/>
      <w:bookmarkStart w:id="3305" w:name="_Toc49935622"/>
      <w:bookmarkStart w:id="3306" w:name="_Toc49936075"/>
      <w:bookmarkStart w:id="3307" w:name="_Toc49936145"/>
      <w:bookmarkStart w:id="3308" w:name="_Toc49936215"/>
      <w:bookmarkStart w:id="3309" w:name="_Toc49937036"/>
      <w:bookmarkStart w:id="3310" w:name="_Toc49937154"/>
      <w:bookmarkStart w:id="3311" w:name="_Toc49937663"/>
      <w:bookmarkStart w:id="3312" w:name="_Toc49938043"/>
      <w:bookmarkStart w:id="3313" w:name="_Toc49938848"/>
      <w:bookmarkStart w:id="3314" w:name="_Toc49938981"/>
      <w:bookmarkStart w:id="3315" w:name="_Toc49939020"/>
      <w:bookmarkStart w:id="3316" w:name="_Toc49939090"/>
      <w:bookmarkStart w:id="3317" w:name="_Toc49939160"/>
      <w:bookmarkStart w:id="3318" w:name="_Toc49939223"/>
      <w:bookmarkStart w:id="3319" w:name="_Toc49939293"/>
      <w:bookmarkStart w:id="3320" w:name="_Toc49939595"/>
      <w:bookmarkStart w:id="3321" w:name="_Toc49939941"/>
      <w:bookmarkStart w:id="3322" w:name="_Toc49940476"/>
      <w:bookmarkStart w:id="3323" w:name="_Toc49941627"/>
      <w:bookmarkStart w:id="3324" w:name="_Toc49941697"/>
      <w:bookmarkStart w:id="3325" w:name="_Toc49942073"/>
      <w:bookmarkStart w:id="3326" w:name="_Toc49942257"/>
      <w:bookmarkStart w:id="3327" w:name="_Toc49942465"/>
      <w:bookmarkStart w:id="3328" w:name="_Toc49942699"/>
      <w:bookmarkStart w:id="3329" w:name="_Toc49942814"/>
      <w:bookmarkStart w:id="3330" w:name="_Toc49944351"/>
      <w:bookmarkStart w:id="3331" w:name="_Toc49945128"/>
      <w:bookmarkStart w:id="3332" w:name="_Toc49945922"/>
      <w:bookmarkStart w:id="3333" w:name="_Toc49946280"/>
      <w:bookmarkStart w:id="3334" w:name="_Toc49946567"/>
      <w:bookmarkStart w:id="3335" w:name="_Toc49946676"/>
      <w:bookmarkStart w:id="3336" w:name="_Toc49947276"/>
      <w:bookmarkStart w:id="3337" w:name="_Toc49946379"/>
      <w:bookmarkStart w:id="3338" w:name="_Toc49947158"/>
      <w:bookmarkStart w:id="3339" w:name="_Toc49947412"/>
      <w:bookmarkStart w:id="3340" w:name="_Toc49947790"/>
      <w:bookmarkStart w:id="3341" w:name="_Toc49947885"/>
      <w:bookmarkStart w:id="3342" w:name="_Toc49947955"/>
      <w:bookmarkStart w:id="3343" w:name="_Toc49948050"/>
      <w:bookmarkStart w:id="3344" w:name="_Toc49948120"/>
      <w:bookmarkStart w:id="3345" w:name="_Toc49948331"/>
      <w:bookmarkStart w:id="3346" w:name="_Toc49948401"/>
      <w:bookmarkStart w:id="3347" w:name="_Toc49948471"/>
      <w:bookmarkStart w:id="3348" w:name="_Toc49948541"/>
      <w:bookmarkStart w:id="3349" w:name="_Toc49948660"/>
      <w:bookmarkStart w:id="3350" w:name="_Toc49943510"/>
      <w:bookmarkStart w:id="3351" w:name="_Toc49949547"/>
      <w:bookmarkStart w:id="3352" w:name="_Toc49949617"/>
      <w:bookmarkStart w:id="3353" w:name="_Toc49950653"/>
      <w:bookmarkStart w:id="3354" w:name="_Toc49950820"/>
      <w:bookmarkStart w:id="3355" w:name="_Toc49951171"/>
      <w:bookmarkStart w:id="3356" w:name="_Toc49951422"/>
      <w:bookmarkStart w:id="3357" w:name="_Toc49951482"/>
      <w:bookmarkStart w:id="3358" w:name="_Toc49951589"/>
      <w:bookmarkStart w:id="3359" w:name="_Toc49951676"/>
      <w:bookmarkStart w:id="3360" w:name="_Toc49951746"/>
      <w:bookmarkStart w:id="3361" w:name="_Toc49951985"/>
      <w:bookmarkStart w:id="3362" w:name="_Toc49952084"/>
      <w:bookmarkStart w:id="3363" w:name="_Toc49952260"/>
      <w:bookmarkStart w:id="3364" w:name="_Toc49953015"/>
      <w:bookmarkStart w:id="3365" w:name="_Toc49953106"/>
      <w:bookmarkStart w:id="3366" w:name="_Toc49953176"/>
      <w:bookmarkStart w:id="3367" w:name="_Toc49952960"/>
      <w:bookmarkStart w:id="3368" w:name="_Toc49953821"/>
      <w:bookmarkStart w:id="3369" w:name="_Toc49953891"/>
      <w:bookmarkStart w:id="3370" w:name="_Toc49953961"/>
      <w:bookmarkStart w:id="3371" w:name="_Toc49954044"/>
      <w:bookmarkStart w:id="3372" w:name="_Toc49954114"/>
      <w:bookmarkStart w:id="3373" w:name="_Toc49949675"/>
      <w:bookmarkStart w:id="3374" w:name="_Toc49953675"/>
      <w:bookmarkStart w:id="3375" w:name="_Toc49953800"/>
      <w:bookmarkStart w:id="3376" w:name="_Toc49954180"/>
      <w:bookmarkStart w:id="3377" w:name="_Toc49954287"/>
      <w:bookmarkStart w:id="3378" w:name="_Toc49954320"/>
      <w:bookmarkStart w:id="3379" w:name="_Toc49954390"/>
      <w:bookmarkStart w:id="3380" w:name="_Toc49954311"/>
      <w:bookmarkStart w:id="3381" w:name="_Toc49954521"/>
      <w:bookmarkStart w:id="3382" w:name="_Toc49954591"/>
      <w:bookmarkStart w:id="3383" w:name="_Toc49954661"/>
      <w:bookmarkStart w:id="3384" w:name="_Toc49954695"/>
      <w:bookmarkStart w:id="3385" w:name="_Toc49954765"/>
      <w:bookmarkStart w:id="3386" w:name="_Toc49954820"/>
      <w:bookmarkStart w:id="3387" w:name="_Toc49954890"/>
      <w:bookmarkStart w:id="3388" w:name="_Toc49954984"/>
      <w:bookmarkStart w:id="3389" w:name="_Toc49955054"/>
      <w:bookmarkStart w:id="3390" w:name="_Toc49955124"/>
      <w:bookmarkStart w:id="3391" w:name="_Toc49955158"/>
      <w:bookmarkStart w:id="3392" w:name="_Toc49955194"/>
      <w:bookmarkStart w:id="3393" w:name="_Toc49955264"/>
      <w:bookmarkStart w:id="3394" w:name="_Toc49955334"/>
      <w:bookmarkStart w:id="3395" w:name="_Toc49955404"/>
      <w:bookmarkStart w:id="3396" w:name="_Toc49955712"/>
      <w:bookmarkStart w:id="3397" w:name="_Toc49955782"/>
      <w:bookmarkStart w:id="3398" w:name="_Toc49956137"/>
      <w:bookmarkStart w:id="3399" w:name="_Toc49958282"/>
      <w:bookmarkStart w:id="3400" w:name="_Toc49958407"/>
      <w:bookmarkStart w:id="3401" w:name="_Toc49958477"/>
      <w:bookmarkStart w:id="3402" w:name="_Toc49958547"/>
      <w:bookmarkStart w:id="3403" w:name="_Toc49517634"/>
      <w:bookmarkStart w:id="3404" w:name="_Toc49517866"/>
      <w:bookmarkStart w:id="3405" w:name="_Toc49518165"/>
      <w:bookmarkStart w:id="3406" w:name="_Toc49518397"/>
      <w:bookmarkStart w:id="3407" w:name="_Toc49518629"/>
      <w:bookmarkStart w:id="3408" w:name="_Toc53677596"/>
      <w:bookmarkStart w:id="3409" w:name="_Toc53678014"/>
      <w:bookmarkStart w:id="3410" w:name="_Toc53678124"/>
      <w:bookmarkStart w:id="3411" w:name="_Toc53678741"/>
      <w:bookmarkStart w:id="3412" w:name="_Toc53678974"/>
      <w:bookmarkStart w:id="3413" w:name="_Toc53679140"/>
      <w:bookmarkStart w:id="3414" w:name="_Toc53679289"/>
      <w:bookmarkStart w:id="3415" w:name="_Toc53680928"/>
      <w:bookmarkStart w:id="3416" w:name="_Toc47455482"/>
      <w:bookmarkStart w:id="3417" w:name="_Toc49527881"/>
      <w:bookmarkStart w:id="3418" w:name="_Toc49530002"/>
      <w:bookmarkStart w:id="3419" w:name="_Toc49530666"/>
      <w:bookmarkStart w:id="3420" w:name="_Toc49532616"/>
      <w:bookmarkStart w:id="3421" w:name="_Toc49695786"/>
      <w:bookmarkStart w:id="3422" w:name="_Toc49695964"/>
      <w:bookmarkStart w:id="3423" w:name="_Toc49805485"/>
      <w:bookmarkStart w:id="3424" w:name="_Toc49806197"/>
      <w:bookmarkStart w:id="3425" w:name="_Toc49877758"/>
      <w:bookmarkStart w:id="3426" w:name="_Toc49881160"/>
      <w:bookmarkStart w:id="3427" w:name="_Toc49884221"/>
      <w:bookmarkStart w:id="3428" w:name="_Toc49884297"/>
      <w:bookmarkStart w:id="3429" w:name="_Toc49893553"/>
      <w:bookmarkStart w:id="3430" w:name="_Toc49933941"/>
      <w:bookmarkStart w:id="3431" w:name="_Toc49937844"/>
      <w:bookmarkStart w:id="3432" w:name="_Toc49939224"/>
      <w:bookmarkStart w:id="3433" w:name="_Toc49942074"/>
      <w:bookmarkStart w:id="3434" w:name="_Toc49948542"/>
      <w:bookmarkStart w:id="3435" w:name="_Toc49953016"/>
      <w:bookmarkStart w:id="3436" w:name="_Toc49954321"/>
      <w:bookmarkStart w:id="3437" w:name="_Toc49954766"/>
      <w:bookmarkStart w:id="3438" w:name="_Toc49955195"/>
      <w:bookmarkStart w:id="3439" w:name="_Toc49955783"/>
      <w:bookmarkStart w:id="3440" w:name="_Toc49958283"/>
      <w:bookmarkStart w:id="3441" w:name="_Toc49958478"/>
      <w:bookmarkStart w:id="3442" w:name="_Toc49961987"/>
      <w:bookmarkStart w:id="3443" w:name="_Toc49963174"/>
      <w:bookmarkStart w:id="3444" w:name="_Toc53678201"/>
      <w:bookmarkStart w:id="3445" w:name="_Toc53678421"/>
      <w:bookmarkStart w:id="3446" w:name="_Toc53678742"/>
      <w:bookmarkStart w:id="3447" w:name="_Toc53680092"/>
      <w:bookmarkStart w:id="3448" w:name="_Toc54289114"/>
      <w:bookmarkStart w:id="3449" w:name="_Toc54290599"/>
      <w:bookmarkStart w:id="3450" w:name="_Toc54290968"/>
      <w:bookmarkStart w:id="3451" w:name="_Toc54292093"/>
      <w:bookmarkStart w:id="3452" w:name="_Toc54340650"/>
      <w:bookmarkStart w:id="3453" w:name="_Toc54345752"/>
      <w:bookmarkStart w:id="3454" w:name="_Toc54348765"/>
      <w:bookmarkStart w:id="3455" w:name="_Toc54355095"/>
      <w:bookmarkStart w:id="3456" w:name="_Toc54355148"/>
      <w:bookmarkStart w:id="3457" w:name="_Toc54355620"/>
      <w:bookmarkStart w:id="3458" w:name="_Toc54355768"/>
      <w:bookmarkStart w:id="3459" w:name="_Toc54356135"/>
      <w:bookmarkStart w:id="3460" w:name="_Toc54356686"/>
      <w:bookmarkStart w:id="3461" w:name="_Toc54357553"/>
      <w:bookmarkStart w:id="3462" w:name="_Toc54357650"/>
      <w:bookmarkStart w:id="3463" w:name="_Toc54364601"/>
      <w:bookmarkStart w:id="3464" w:name="_Toc54371209"/>
      <w:bookmarkStart w:id="3465" w:name="_Toc54372046"/>
      <w:bookmarkStart w:id="3466" w:name="_Toc54376653"/>
      <w:bookmarkStart w:id="3467" w:name="_Toc58767207"/>
      <w:bookmarkStart w:id="3468" w:name="_Toc58769510"/>
      <w:bookmarkStart w:id="3469" w:name="_Toc58863849"/>
      <w:bookmarkStart w:id="3470" w:name="_Toc58868876"/>
      <w:bookmarkStart w:id="3471" w:name="_Toc58870707"/>
      <w:bookmarkStart w:id="3472" w:name="_Toc58870940"/>
      <w:bookmarkStart w:id="3473" w:name="_Toc58871846"/>
      <w:bookmarkStart w:id="3474" w:name="_Toc58872061"/>
      <w:bookmarkStart w:id="3475" w:name="_Toc58922808"/>
      <w:bookmarkStart w:id="3476" w:name="_Toc58925390"/>
      <w:bookmarkStart w:id="3477" w:name="_Toc58928892"/>
      <w:bookmarkStart w:id="3478" w:name="_Toc58931260"/>
      <w:bookmarkStart w:id="3479" w:name="_Toc58931894"/>
      <w:bookmarkStart w:id="3480" w:name="_Toc58950501"/>
      <w:bookmarkStart w:id="3481" w:name="_Toc58956793"/>
      <w:bookmarkStart w:id="3482" w:name="_Toc58957958"/>
      <w:bookmarkStart w:id="3483" w:name="_Toc58962491"/>
      <w:bookmarkStart w:id="3484" w:name="_Toc59096522"/>
      <w:bookmarkStart w:id="3485" w:name="_Toc59103118"/>
      <w:bookmarkStart w:id="3486" w:name="_Toc59104969"/>
      <w:bookmarkStart w:id="3487" w:name="_Toc59119929"/>
      <w:bookmarkStart w:id="3488" w:name="_Toc59121193"/>
      <w:bookmarkStart w:id="3489" w:name="_Toc59121312"/>
      <w:bookmarkStart w:id="3490" w:name="_Toc59549365"/>
      <w:bookmarkStart w:id="3491" w:name="_Toc59642318"/>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r>
        <w:rPr>
          <w:smallCaps w:val="0"/>
          <w:noProof/>
        </w:rPr>
        <w:t>What are the impacts of the policy options?</w:t>
      </w:r>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p>
    <w:p>
      <w:pPr>
        <w:pStyle w:val="Heading2"/>
        <w:numPr>
          <w:ilvl w:val="1"/>
          <w:numId w:val="60"/>
        </w:numPr>
        <w:spacing w:after="120"/>
        <w:rPr>
          <w:noProof/>
        </w:rPr>
      </w:pPr>
      <w:bookmarkStart w:id="3492" w:name="_Toc54290600"/>
      <w:bookmarkStart w:id="3493" w:name="_Toc54290969"/>
      <w:bookmarkStart w:id="3494" w:name="_Toc53678743"/>
      <w:bookmarkStart w:id="3495" w:name="_Toc49527882"/>
      <w:bookmarkStart w:id="3496" w:name="_Toc49530003"/>
      <w:bookmarkStart w:id="3497" w:name="_Toc49530667"/>
      <w:bookmarkStart w:id="3498" w:name="_Toc49532617"/>
      <w:bookmarkStart w:id="3499" w:name="_Toc49695787"/>
      <w:bookmarkStart w:id="3500" w:name="_Toc49695965"/>
      <w:bookmarkStart w:id="3501" w:name="_Toc49805486"/>
      <w:bookmarkStart w:id="3502" w:name="_Toc49806198"/>
      <w:bookmarkStart w:id="3503" w:name="_Toc49877759"/>
      <w:bookmarkStart w:id="3504" w:name="_Toc49881161"/>
      <w:bookmarkStart w:id="3505" w:name="_Toc49884222"/>
      <w:bookmarkStart w:id="3506" w:name="_Toc49884298"/>
      <w:bookmarkStart w:id="3507" w:name="_Toc49893554"/>
      <w:bookmarkStart w:id="3508" w:name="_Toc49933942"/>
      <w:bookmarkStart w:id="3509" w:name="_Toc49937845"/>
      <w:bookmarkStart w:id="3510" w:name="_Toc49939225"/>
      <w:bookmarkStart w:id="3511" w:name="_Toc49942075"/>
      <w:bookmarkStart w:id="3512" w:name="_Toc49948543"/>
      <w:bookmarkStart w:id="3513" w:name="_Toc49953017"/>
      <w:bookmarkStart w:id="3514" w:name="_Toc49954322"/>
      <w:bookmarkStart w:id="3515" w:name="_Toc49954767"/>
      <w:bookmarkStart w:id="3516" w:name="_Toc49955196"/>
      <w:bookmarkStart w:id="3517" w:name="_Toc49955784"/>
      <w:bookmarkStart w:id="3518" w:name="_Toc49958284"/>
      <w:bookmarkStart w:id="3519" w:name="_Toc49958479"/>
      <w:bookmarkStart w:id="3520" w:name="_Toc49961988"/>
      <w:bookmarkStart w:id="3521" w:name="_Toc49963175"/>
      <w:bookmarkStart w:id="3522" w:name="_Toc53678202"/>
      <w:bookmarkStart w:id="3523" w:name="_Toc53678422"/>
      <w:bookmarkStart w:id="3524" w:name="_Toc53680093"/>
      <w:bookmarkStart w:id="3525" w:name="_Toc54289115"/>
      <w:bookmarkStart w:id="3526" w:name="_Toc54292094"/>
      <w:bookmarkStart w:id="3527" w:name="_Toc54340651"/>
      <w:bookmarkStart w:id="3528" w:name="_Toc54345753"/>
      <w:bookmarkStart w:id="3529" w:name="_Toc54348766"/>
      <w:bookmarkStart w:id="3530" w:name="_Toc54355096"/>
      <w:bookmarkStart w:id="3531" w:name="_Toc54355149"/>
      <w:bookmarkStart w:id="3532" w:name="_Toc54355621"/>
      <w:bookmarkStart w:id="3533" w:name="_Toc54355769"/>
      <w:bookmarkStart w:id="3534" w:name="_Toc54356136"/>
      <w:bookmarkStart w:id="3535" w:name="_Toc54356687"/>
      <w:bookmarkStart w:id="3536" w:name="_Toc54357554"/>
      <w:bookmarkStart w:id="3537" w:name="_Toc54357651"/>
      <w:bookmarkStart w:id="3538" w:name="_Toc54364602"/>
      <w:bookmarkStart w:id="3539" w:name="_Toc54371210"/>
      <w:bookmarkStart w:id="3540" w:name="_Toc54372047"/>
      <w:bookmarkStart w:id="3541" w:name="_Toc54376654"/>
      <w:bookmarkStart w:id="3542" w:name="_Toc58767208"/>
      <w:bookmarkStart w:id="3543" w:name="_Toc58769511"/>
      <w:bookmarkStart w:id="3544" w:name="_Toc58863850"/>
      <w:bookmarkStart w:id="3545" w:name="_Toc58868877"/>
      <w:bookmarkStart w:id="3546" w:name="_Toc58870708"/>
      <w:bookmarkStart w:id="3547" w:name="_Toc58870941"/>
      <w:bookmarkStart w:id="3548" w:name="_Toc58871847"/>
      <w:bookmarkStart w:id="3549" w:name="_Toc58872062"/>
      <w:bookmarkStart w:id="3550" w:name="_Toc58922809"/>
      <w:bookmarkStart w:id="3551" w:name="_Toc58925391"/>
      <w:bookmarkStart w:id="3552" w:name="_Toc58928893"/>
      <w:bookmarkStart w:id="3553" w:name="_Toc58931261"/>
      <w:bookmarkStart w:id="3554" w:name="_Toc58931895"/>
      <w:bookmarkStart w:id="3555" w:name="_Toc58950502"/>
      <w:bookmarkStart w:id="3556" w:name="_Toc58956794"/>
      <w:bookmarkStart w:id="3557" w:name="_Toc58957959"/>
      <w:bookmarkStart w:id="3558" w:name="_Toc58962492"/>
      <w:bookmarkStart w:id="3559" w:name="_Toc59096523"/>
      <w:bookmarkStart w:id="3560" w:name="_Toc59103119"/>
      <w:bookmarkStart w:id="3561" w:name="_Toc59104970"/>
      <w:bookmarkStart w:id="3562" w:name="_Toc59119930"/>
      <w:bookmarkStart w:id="3563" w:name="_Toc59121194"/>
      <w:bookmarkStart w:id="3564" w:name="_Toc59121313"/>
      <w:r>
        <w:rPr>
          <w:noProof/>
        </w:rPr>
        <w:t xml:space="preserve"> </w:t>
      </w:r>
      <w:bookmarkStart w:id="3565" w:name="_Toc59549366"/>
      <w:r>
        <w:rPr>
          <w:noProof/>
        </w:rPr>
        <w:t xml:space="preserve">   </w:t>
      </w:r>
      <w:bookmarkStart w:id="3566" w:name="_Toc59642319"/>
      <w:r>
        <w:rPr>
          <w:noProof/>
        </w:rPr>
        <w:t>Option 0: Status Quo</w:t>
      </w:r>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p>
    <w:p>
      <w:pPr>
        <w:pStyle w:val="ListNumber"/>
        <w:tabs>
          <w:tab w:val="clear" w:pos="709"/>
          <w:tab w:val="num" w:pos="0"/>
        </w:tabs>
        <w:ind w:left="0" w:firstLine="0"/>
        <w:rPr>
          <w:noProof/>
          <w:szCs w:val="24"/>
        </w:rPr>
      </w:pPr>
      <w:r>
        <w:rPr>
          <w:rStyle w:val="normaltextrun"/>
          <w:noProof/>
        </w:rPr>
        <w:t>See the Baseline (</w:t>
      </w:r>
      <w:r>
        <w:rPr>
          <w:rStyle w:val="normaltextrun"/>
          <w:i/>
          <w:iCs/>
          <w:noProof/>
        </w:rPr>
        <w:t>Section 4.3</w:t>
      </w:r>
      <w:r>
        <w:rPr>
          <w:rStyle w:val="normaltextrun"/>
          <w:noProof/>
        </w:rPr>
        <w:t>).</w:t>
      </w:r>
      <w:r>
        <w:rPr>
          <w:noProof/>
        </w:rPr>
        <w:t xml:space="preserve"> </w:t>
      </w:r>
    </w:p>
    <w:p>
      <w:pPr>
        <w:pStyle w:val="Heading2"/>
        <w:numPr>
          <w:ilvl w:val="1"/>
          <w:numId w:val="60"/>
        </w:numPr>
        <w:spacing w:after="120"/>
        <w:ind w:left="709" w:hanging="709"/>
        <w:rPr>
          <w:noProof/>
        </w:rPr>
      </w:pPr>
      <w:bookmarkStart w:id="3567" w:name="_Toc58767209"/>
      <w:bookmarkStart w:id="3568" w:name="_Toc58769512"/>
      <w:bookmarkStart w:id="3569" w:name="_Toc58863851"/>
      <w:bookmarkStart w:id="3570" w:name="_Toc58868878"/>
      <w:bookmarkStart w:id="3571" w:name="_Toc58870709"/>
      <w:bookmarkStart w:id="3572" w:name="_Toc58870942"/>
      <w:bookmarkStart w:id="3573" w:name="_Toc58871848"/>
      <w:bookmarkStart w:id="3574" w:name="_Toc58872063"/>
      <w:bookmarkStart w:id="3575" w:name="_Toc58922810"/>
      <w:bookmarkStart w:id="3576" w:name="_Toc58925392"/>
      <w:bookmarkStart w:id="3577" w:name="_Toc58928894"/>
      <w:bookmarkStart w:id="3578" w:name="_Toc58931262"/>
      <w:bookmarkStart w:id="3579" w:name="_Toc58931896"/>
      <w:bookmarkStart w:id="3580" w:name="_Toc58950503"/>
      <w:bookmarkStart w:id="3581" w:name="_Toc58956795"/>
      <w:bookmarkStart w:id="3582" w:name="_Toc58957960"/>
      <w:bookmarkStart w:id="3583" w:name="_Toc58962493"/>
      <w:bookmarkStart w:id="3584" w:name="_Toc59096524"/>
      <w:bookmarkStart w:id="3585" w:name="_Toc59103120"/>
      <w:bookmarkStart w:id="3586" w:name="_Toc59104971"/>
      <w:bookmarkStart w:id="3587" w:name="_Toc59119931"/>
      <w:bookmarkStart w:id="3588" w:name="_Toc59121195"/>
      <w:bookmarkStart w:id="3589" w:name="_Toc59121314"/>
      <w:bookmarkStart w:id="3590" w:name="_Toc59549367"/>
      <w:bookmarkStart w:id="3591" w:name="_Toc59642320"/>
      <w:r>
        <w:rPr>
          <w:noProof/>
        </w:rPr>
        <w:t xml:space="preserve">Option 1: Legislative action to create transparency </w:t>
      </w:r>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r>
        <w:rPr>
          <w:noProof/>
        </w:rPr>
        <w:t>for individual workers</w:t>
      </w:r>
      <w:bookmarkEnd w:id="3584"/>
      <w:bookmarkEnd w:id="3585"/>
      <w:bookmarkEnd w:id="3586"/>
      <w:bookmarkEnd w:id="3587"/>
      <w:bookmarkEnd w:id="3588"/>
      <w:bookmarkEnd w:id="3589"/>
      <w:bookmarkEnd w:id="3590"/>
      <w:bookmarkEnd w:id="3591"/>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eastAsia="Times New Roman" w:hAnsi="Times New Roman" w:cs="Times New Roman"/>
          <w:noProof/>
          <w:sz w:val="24"/>
          <w:szCs w:val="24"/>
        </w:rPr>
        <w:t>policy sub-options</w:t>
      </w:r>
      <w:r>
        <w:rPr>
          <w:rFonts w:ascii="Times New Roman" w:hAnsi="Times New Roman" w:cs="Times New Roman"/>
          <w:noProof/>
          <w:sz w:val="24"/>
          <w:szCs w:val="24"/>
        </w:rPr>
        <w:t xml:space="preserve"> identified in this section primarily address the first specific objective (</w:t>
      </w:r>
      <w:r>
        <w:rPr>
          <w:rFonts w:ascii="Times New Roman" w:hAnsi="Times New Roman" w:cs="Times New Roman"/>
          <w:i/>
          <w:iCs/>
          <w:noProof/>
          <w:sz w:val="24"/>
          <w:szCs w:val="24"/>
        </w:rPr>
        <w:t>see Section 4.2</w:t>
      </w:r>
      <w:r>
        <w:rPr>
          <w:rFonts w:ascii="Times New Roman" w:hAnsi="Times New Roman" w:cs="Times New Roman"/>
          <w:noProof/>
          <w:sz w:val="24"/>
          <w:szCs w:val="24"/>
        </w:rPr>
        <w:t xml:space="preserve">) of this initiative, i.e. </w:t>
      </w:r>
      <w:r>
        <w:rPr>
          <w:rFonts w:ascii="Times New Roman" w:hAnsi="Times New Roman" w:cs="Times New Roman"/>
          <w:i/>
          <w:iCs/>
          <w:noProof/>
          <w:sz w:val="24"/>
          <w:szCs w:val="24"/>
        </w:rPr>
        <w:t>empowering workers to enforce their right to equal pay</w:t>
      </w:r>
      <w:r>
        <w:rPr>
          <w:rFonts w:ascii="Times New Roman" w:hAnsi="Times New Roman" w:cs="Times New Roman"/>
          <w:noProof/>
          <w:sz w:val="24"/>
          <w:szCs w:val="24"/>
        </w:rPr>
        <w:t>. They aim at strengthening workers’ bargaining power when it comes to pay setting and their understanding of their position in regard to pay compared to other workers carrying out equal work or work of equal value in the organisation (not across sectors).</w:t>
      </w:r>
    </w:p>
    <w:p>
      <w:pPr>
        <w:pStyle w:val="Heading3"/>
        <w:spacing w:after="120" w:line="276" w:lineRule="auto"/>
        <w:ind w:left="720"/>
        <w:rPr>
          <w:b/>
          <w:noProof/>
          <w:u w:val="single"/>
        </w:rPr>
      </w:pPr>
      <w:r>
        <w:rPr>
          <w:b/>
          <w:bCs/>
          <w:noProof/>
          <w:u w:val="single"/>
        </w:rPr>
        <w:t xml:space="preserve">Sub-option 1A: Empower workers by granting a right to receive pay information </w:t>
      </w:r>
    </w:p>
    <w:p>
      <w:pPr>
        <w:pStyle w:val="Heading4"/>
        <w:spacing w:after="120" w:line="276" w:lineRule="auto"/>
        <w:ind w:left="1440" w:hanging="1440"/>
        <w:rPr>
          <w:b/>
          <w:i/>
          <w:noProof/>
        </w:rPr>
      </w:pPr>
      <w:r>
        <w:rPr>
          <w:b/>
          <w:bCs/>
          <w:i/>
          <w:iCs/>
          <w:noProof/>
        </w:rPr>
        <w:t>Measure 1: Transparency of salary information prior to employment</w:t>
      </w:r>
    </w:p>
    <w:p>
      <w:pPr>
        <w:spacing w:after="120"/>
        <w:jc w:val="both"/>
        <w:rPr>
          <w:rFonts w:ascii="Times New Roman" w:hAnsi="Times New Roman" w:cs="Times New Roman"/>
          <w:noProof/>
          <w:sz w:val="24"/>
          <w:szCs w:val="24"/>
        </w:rPr>
      </w:pPr>
      <w:r>
        <w:rPr>
          <w:rFonts w:ascii="Times New Roman" w:eastAsiaTheme="minorEastAsia" w:hAnsi="Times New Roman" w:cs="Times New Roman"/>
          <w:noProof/>
          <w:sz w:val="24"/>
          <w:szCs w:val="24"/>
        </w:rPr>
        <w:t xml:space="preserve">This measure is likely to reduce the risk of gender bias when salary is set for a newly hired worker. The measure is twofold: first, it provides workers with </w:t>
      </w:r>
      <w:r>
        <w:rPr>
          <w:rFonts w:ascii="Times New Roman" w:hAnsi="Times New Roman" w:cs="Times New Roman"/>
          <w:noProof/>
          <w:sz w:val="24"/>
          <w:szCs w:val="24"/>
        </w:rPr>
        <w:t>information</w:t>
      </w:r>
      <w:r>
        <w:rPr>
          <w:rFonts w:ascii="Times New Roman" w:eastAsiaTheme="minorEastAsia" w:hAnsi="Times New Roman" w:cs="Times New Roman"/>
          <w:noProof/>
          <w:sz w:val="24"/>
          <w:szCs w:val="24"/>
        </w:rPr>
        <w:t xml:space="preserve"> on the range of the salary envisaged for the vacancy </w:t>
      </w:r>
      <w:r>
        <w:rPr>
          <w:rFonts w:ascii="Times New Roman" w:eastAsiaTheme="minorEastAsia" w:hAnsi="Times New Roman" w:cs="Times New Roman"/>
          <w:i/>
          <w:iCs/>
          <w:noProof/>
          <w:sz w:val="24"/>
          <w:szCs w:val="24"/>
        </w:rPr>
        <w:t>before</w:t>
      </w:r>
      <w:r>
        <w:rPr>
          <w:rFonts w:ascii="Times New Roman" w:eastAsiaTheme="minorEastAsia" w:hAnsi="Times New Roman" w:cs="Times New Roman"/>
          <w:noProof/>
          <w:sz w:val="24"/>
          <w:szCs w:val="24"/>
        </w:rPr>
        <w:t xml:space="preserve"> starting negotiating their salaries</w:t>
      </w:r>
      <w:r>
        <w:rPr>
          <w:rStyle w:val="FootnoteReference"/>
          <w:rFonts w:ascii="Times New Roman" w:hAnsi="Times New Roman" w:cs="Times New Roman"/>
          <w:noProof/>
          <w:sz w:val="24"/>
          <w:szCs w:val="24"/>
        </w:rPr>
        <w:footnoteReference w:id="127"/>
      </w:r>
      <w:r>
        <w:rPr>
          <w:rFonts w:ascii="Times New Roman" w:hAnsi="Times New Roman" w:cs="Times New Roman"/>
          <w:noProof/>
          <w:sz w:val="24"/>
          <w:szCs w:val="24"/>
        </w:rPr>
        <w:t>.</w:t>
      </w:r>
      <w:r>
        <w:rPr>
          <w:rFonts w:ascii="Times New Roman" w:eastAsiaTheme="minorEastAsia" w:hAnsi="Times New Roman" w:cs="Times New Roman"/>
          <w:noProof/>
          <w:sz w:val="24"/>
          <w:szCs w:val="24"/>
        </w:rPr>
        <w:t xml:space="preserve"> As such, it strengthens workers’ bargaining position by ensuring they have all relevant information to negotiate on an appropriate basis. Secondly, it prohibits to ask for previous salary, something which has been shown to perpetuate gender gaps in pay over time, especially when changing job. Overall, this measure would ensure that parties to the salary negotiation are on equal footing as regards the information relating to the value (or range) assigned by the employer to that position. It would ensure that salary negotiations are unbiased by possible gendered expectations, which tend to work (more frequently) to the disadvantage of women, with consequences lasting during the entire career. </w:t>
      </w:r>
      <w:r>
        <w:rPr>
          <w:rFonts w:ascii="Times New Roman" w:hAnsi="Times New Roman" w:cs="Times New Roman"/>
          <w:i/>
          <w:iCs/>
          <w:noProof/>
          <w:sz w:val="24"/>
          <w:szCs w:val="24"/>
        </w:rPr>
        <w:t>Stakeholders’ views</w:t>
      </w:r>
      <w:r>
        <w:rPr>
          <w:rFonts w:ascii="Times New Roman" w:hAnsi="Times New Roman" w:cs="Times New Roman"/>
          <w:noProof/>
          <w:sz w:val="24"/>
          <w:szCs w:val="24"/>
        </w:rPr>
        <w:t>: the targeted consultation with social partners informed that the inclusion of expected salary in job postings is supported by the large majority of trade unions (78%) that participated in the consultation. It is also the most preferred option for action on the side of employer association respondents, though not reaching a majority (41%) among them. As for the prohibition to ask about previous salaries, in the targeted consultation with Member States, seven out of the 13 who replied to the question included this option in their ideal preferred package of measures, five included the prohibition to ask for previous salary and six the prohibition of confidentiality agreements. In the targeted consultation with social partners about 38% supported this option, as the envisaged measures are yet known only in a limited number of Member States (see below).</w:t>
      </w:r>
    </w:p>
    <w:p>
      <w:pPr>
        <w:spacing w:after="120"/>
        <w:jc w:val="both"/>
        <w:rPr>
          <w:rFonts w:ascii="Times New Roman" w:hAnsi="Times New Roman" w:cs="Times New Roman"/>
          <w:noProof/>
          <w:sz w:val="24"/>
          <w:szCs w:val="24"/>
        </w:rPr>
      </w:pPr>
      <w:r>
        <w:rPr>
          <w:rFonts w:ascii="Times New Roman" w:hAnsi="Times New Roman" w:cs="Times New Roman"/>
          <w:i/>
          <w:iCs/>
          <w:noProof/>
          <w:sz w:val="24"/>
          <w:szCs w:val="24"/>
        </w:rPr>
        <w:t>Costs:</w:t>
      </w:r>
      <w:r>
        <w:rPr>
          <w:rFonts w:ascii="Times New Roman" w:hAnsi="Times New Roman" w:cs="Times New Roman"/>
          <w:noProof/>
          <w:sz w:val="24"/>
          <w:szCs w:val="24"/>
        </w:rPr>
        <w:t xml:space="preserve"> there are no direct costs related to the right to information on pay before employment, and the prohibition to ask about previous salary. Indirect costs could arise if the measure would lead to a limitation of the negotiating space for both parties, which is not the case. The measure only requires to share/receive information on the starting offer (or reasonable range) and would not constrain the negotiating power of either employer or worker.</w:t>
      </w:r>
      <w:r>
        <w:rPr>
          <w:rStyle w:val="FootnoteReference"/>
          <w:rFonts w:ascii="Times New Roman" w:hAnsi="Times New Roman" w:cs="Times New Roman"/>
          <w:noProof/>
          <w:sz w:val="24"/>
          <w:szCs w:val="24"/>
        </w:rPr>
        <w:footnoteReference w:id="128"/>
      </w:r>
      <w:r>
        <w:rPr>
          <w:rFonts w:ascii="Times New Roman" w:hAnsi="Times New Roman" w:cs="Times New Roman"/>
          <w:noProof/>
          <w:sz w:val="24"/>
          <w:szCs w:val="24"/>
        </w:rPr>
        <w:t xml:space="preserve"> Employers could be protected from the risk of having prospective candidates ‘poached’ in very competitive job markets by the possibility, in the absence of a vacancy notice, to inform about the initial offer only at the beginning of the interview. While this would to some extent reduce the effectiveness of the measure, it would still enable workers to come better informed at the negotiating table. This measure would only carry an opportunity cost if the employer had intended to benefit from a gender-biased salary offer, which would be discriminatory and therefore illegal. Finally, in general terms, it is also more efficient to avoid having good candidates competing for positions that they would eventually refuse because paid below their minimum expectations.</w:t>
      </w:r>
    </w:p>
    <w:p>
      <w:pPr>
        <w:spacing w:after="120"/>
        <w:jc w:val="both"/>
        <w:rPr>
          <w:rFonts w:ascii="Times New Roman" w:hAnsi="Times New Roman" w:cs="Times New Roman"/>
          <w:noProof/>
          <w:sz w:val="24"/>
          <w:szCs w:val="24"/>
        </w:rPr>
      </w:pPr>
      <w:r>
        <w:rPr>
          <w:rFonts w:ascii="Times New Roman" w:hAnsi="Times New Roman" w:cs="Times New Roman"/>
          <w:i/>
          <w:iCs/>
          <w:noProof/>
          <w:sz w:val="24"/>
          <w:szCs w:val="24"/>
        </w:rPr>
        <w:t>Benefits</w:t>
      </w:r>
      <w:r>
        <w:rPr>
          <w:rFonts w:ascii="Times New Roman" w:hAnsi="Times New Roman" w:cs="Times New Roman"/>
          <w:noProof/>
          <w:sz w:val="24"/>
          <w:szCs w:val="24"/>
        </w:rPr>
        <w:t>: Beyond rebalancing the information asymmetry and reducing the risk of gender bias in negotiations</w:t>
      </w:r>
      <w:r>
        <w:rPr>
          <w:rFonts w:ascii="Times New Roman" w:hAnsi="Times New Roman" w:cs="Times New Roman"/>
          <w:noProof/>
          <w:sz w:val="24"/>
          <w:szCs w:val="24"/>
          <w:vertAlign w:val="superscript"/>
        </w:rPr>
        <w:footnoteReference w:id="129"/>
      </w:r>
      <w:r>
        <w:rPr>
          <w:rFonts w:ascii="Times New Roman" w:hAnsi="Times New Roman" w:cs="Times New Roman"/>
          <w:noProof/>
          <w:sz w:val="24"/>
          <w:szCs w:val="24"/>
        </w:rPr>
        <w:t>, disclosing the pay range offered shows to prospective workers how the skills and job requirements are evaluated and valued (</w:t>
      </w:r>
      <w:r>
        <w:rPr>
          <w:rFonts w:ascii="Times New Roman" w:hAnsi="Times New Roman" w:cs="Times New Roman"/>
          <w:i/>
          <w:iCs/>
          <w:noProof/>
          <w:sz w:val="24"/>
          <w:szCs w:val="24"/>
        </w:rPr>
        <w:t>process transparency</w:t>
      </w:r>
      <w:r>
        <w:rPr>
          <w:rFonts w:ascii="Times New Roman" w:hAnsi="Times New Roman" w:cs="Times New Roman"/>
          <w:noProof/>
          <w:sz w:val="24"/>
          <w:szCs w:val="24"/>
        </w:rPr>
        <w:t>). It also motivates employers to analyse the pay setting criteria due to be applied when making the offer, and to ensure that these are gender neutral. The measure is expected to have a positive gender effect, as studies show that women negotiate better in transparent environments</w:t>
      </w:r>
      <w:r>
        <w:rPr>
          <w:rStyle w:val="FootnoteReference"/>
          <w:rFonts w:ascii="Times New Roman" w:hAnsi="Times New Roman" w:cs="Times New Roman"/>
          <w:noProof/>
          <w:sz w:val="24"/>
          <w:szCs w:val="24"/>
        </w:rPr>
        <w:footnoteReference w:id="130"/>
      </w:r>
      <w:r>
        <w:rPr>
          <w:rFonts w:ascii="Times New Roman" w:hAnsi="Times New Roman" w:cs="Times New Roman"/>
          <w:noProof/>
          <w:sz w:val="24"/>
          <w:szCs w:val="24"/>
        </w:rPr>
        <w:t xml:space="preserve">. Finally, it contributes to building trust between workers and employers therefore promoting a better work environment. It is further reinforced by the prohibition to ask about previous salary that breaks a vicious circle of path dependency in salary setting. </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The measures envisaged may be expected to gradually benefit an increasing number of workers entering the labour market or changing job.</w:t>
      </w:r>
      <w:r>
        <w:rPr>
          <w:rFonts w:ascii="Times New Roman" w:hAnsi="Times New Roman" w:cs="Times New Roman"/>
          <w:noProof/>
          <w:sz w:val="24"/>
          <w:szCs w:val="24"/>
          <w:vertAlign w:val="superscript"/>
        </w:rPr>
        <w:footnoteReference w:id="131"/>
      </w:r>
      <w:r>
        <w:rPr>
          <w:rFonts w:ascii="Times New Roman" w:hAnsi="Times New Roman" w:cs="Times New Roman"/>
          <w:noProof/>
          <w:sz w:val="24"/>
          <w:szCs w:val="24"/>
        </w:rPr>
        <w:t xml:space="preserve"> They may lead to an increase in women’s salaries. Estimating such increase cannot, however, be predicted with reliability – it would need to be based on an estimate of the gender biased difference in salary</w:t>
      </w:r>
      <w:r>
        <w:rPr>
          <w:rFonts w:ascii="Times New Roman" w:eastAsia="Calibri" w:hAnsi="Times New Roman" w:cs="Times New Roman"/>
          <w:noProof/>
          <w:sz w:val="24"/>
          <w:szCs w:val="24"/>
          <w:vertAlign w:val="superscript"/>
        </w:rPr>
        <w:footnoteReference w:id="132"/>
      </w:r>
      <w:r>
        <w:rPr>
          <w:rFonts w:ascii="Times New Roman" w:hAnsi="Times New Roman" w:cs="Times New Roman"/>
          <w:noProof/>
          <w:sz w:val="24"/>
          <w:szCs w:val="24"/>
        </w:rPr>
        <w:t xml:space="preserve"> that would have been offered in the absence of measures applied to an also estimated share of job applicants for each employer. This measure may benefit most women in precarious situations, such as single mothers, and women potentially subject to multiple discrimination, two categories which can be expected to face higher gender discrimination (see problem definition). Finally, the consequent increase in women’s salaries may have a negative impact on the profits made by employers, profits which, however, were potentially based on illegal behaviour. </w:t>
      </w:r>
    </w:p>
    <w:p>
      <w:pPr>
        <w:spacing w:after="120"/>
        <w:jc w:val="both"/>
        <w:rPr>
          <w:rFonts w:ascii="Times New Roman" w:hAnsi="Times New Roman" w:cs="Times New Roman"/>
          <w:noProof/>
          <w:sz w:val="24"/>
          <w:szCs w:val="24"/>
        </w:rPr>
      </w:pPr>
      <w:r>
        <w:rPr>
          <w:rFonts w:ascii="Times New Roman" w:hAnsi="Times New Roman" w:cs="Times New Roman"/>
          <w:i/>
          <w:iCs/>
          <w:noProof/>
          <w:sz w:val="24"/>
          <w:szCs w:val="24"/>
        </w:rPr>
        <w:t>Legal change</w:t>
      </w:r>
      <w:r>
        <w:rPr>
          <w:rFonts w:ascii="Times New Roman" w:hAnsi="Times New Roman" w:cs="Times New Roman"/>
          <w:noProof/>
          <w:sz w:val="24"/>
          <w:szCs w:val="24"/>
        </w:rPr>
        <w:t>: Transparency of salary information prior to employment is currently available in 4 Member States (AT, LV, PT, SK) and the prohibition to ask about previous salary only exists in PT.</w:t>
      </w:r>
      <w:r>
        <w:rPr>
          <w:rStyle w:val="FootnoteReference"/>
          <w:rFonts w:ascii="Times New Roman" w:hAnsi="Times New Roman" w:cs="Times New Roman"/>
          <w:noProof/>
          <w:sz w:val="24"/>
          <w:szCs w:val="24"/>
        </w:rPr>
        <w:footnoteReference w:id="133"/>
      </w:r>
      <w:r>
        <w:rPr>
          <w:rFonts w:ascii="Times New Roman" w:hAnsi="Times New Roman" w:cs="Times New Roman"/>
          <w:noProof/>
          <w:sz w:val="24"/>
          <w:szCs w:val="24"/>
        </w:rPr>
        <w:t xml:space="preserve"> No concern has been expressed in the support study that introducing this measure would raise questions of feasibility. </w:t>
      </w:r>
    </w:p>
    <w:p>
      <w:pPr>
        <w:spacing w:after="120"/>
        <w:jc w:val="both"/>
        <w:rPr>
          <w:rFonts w:ascii="Times New Roman" w:hAnsi="Times New Roman" w:cs="Times New Roman"/>
          <w:i/>
          <w:noProof/>
          <w:sz w:val="24"/>
          <w:szCs w:val="24"/>
        </w:rPr>
      </w:pPr>
      <w:r>
        <w:rPr>
          <w:rFonts w:ascii="Times New Roman" w:hAnsi="Times New Roman" w:cs="Times New Roman"/>
          <w:i/>
          <w:iCs/>
          <w:noProof/>
          <w:sz w:val="24"/>
          <w:szCs w:val="24"/>
        </w:rPr>
        <w:t xml:space="preserve">Conclusion: </w:t>
      </w:r>
      <w:r>
        <w:rPr>
          <w:rFonts w:ascii="Times New Roman" w:hAnsi="Times New Roman" w:cs="Times New Roman"/>
          <w:noProof/>
          <w:sz w:val="24"/>
          <w:szCs w:val="24"/>
        </w:rPr>
        <w:t>This measure entails low costs in comparison to related benefits, remedying the asymmetry of information on pay prior to employment and preventing a perpetuation of an existing unjustified pay difference between women and men. The cost/benefit analysis is therefore positive, even if it entails a change in the majority of Member States.</w:t>
      </w:r>
      <w:r>
        <w:rPr>
          <w:rFonts w:ascii="Times New Roman" w:hAnsi="Times New Roman" w:cs="Times New Roman"/>
          <w:i/>
          <w:iCs/>
          <w:noProof/>
          <w:sz w:val="24"/>
          <w:szCs w:val="24"/>
        </w:rPr>
        <w:t xml:space="preserve"> </w:t>
      </w:r>
    </w:p>
    <w:p>
      <w:pPr>
        <w:pStyle w:val="Heading4"/>
        <w:ind w:left="0" w:firstLine="0"/>
        <w:rPr>
          <w:b/>
          <w:i/>
          <w:noProof/>
        </w:rPr>
      </w:pPr>
      <w:r>
        <w:rPr>
          <w:b/>
          <w:bCs/>
          <w:i/>
          <w:iCs/>
          <w:noProof/>
        </w:rPr>
        <w:t xml:space="preserve">Measure 2: </w:t>
      </w:r>
      <w:r>
        <w:rPr>
          <w:b/>
          <w:bCs/>
          <w:i/>
          <w:iCs/>
          <w:noProof/>
          <w:lang w:val="en-IE"/>
        </w:rPr>
        <w:t>Employers’ obligation to provide all workers with individual information on pay compared to their category</w:t>
      </w:r>
    </w:p>
    <w:p>
      <w:pPr>
        <w:spacing w:after="120"/>
        <w:jc w:val="both"/>
        <w:rPr>
          <w:rFonts w:ascii="Times New Roman" w:hAnsi="Times New Roman" w:cs="Times New Roman"/>
          <w:noProof/>
          <w:sz w:val="24"/>
          <w:szCs w:val="24"/>
        </w:rPr>
      </w:pPr>
      <w:r>
        <w:rPr>
          <w:rFonts w:ascii="Times New Roman" w:eastAsia="Times New Roman" w:hAnsi="Times New Roman" w:cs="Times New Roman"/>
          <w:noProof/>
          <w:sz w:val="24"/>
          <w:szCs w:val="24"/>
        </w:rPr>
        <w:t xml:space="preserve">In order to be able to meaningfully exercise their right to equal pay, workers must have the information necessary to assess </w:t>
      </w:r>
      <w:r>
        <w:rPr>
          <w:rFonts w:ascii="Times New Roman" w:eastAsia="Times New Roman" w:hAnsi="Times New Roman" w:cs="Times New Roman"/>
          <w:i/>
          <w:iCs/>
          <w:noProof/>
          <w:sz w:val="24"/>
          <w:szCs w:val="24"/>
        </w:rPr>
        <w:t xml:space="preserve">prima facie </w:t>
      </w:r>
      <w:r>
        <w:rPr>
          <w:rFonts w:ascii="Times New Roman" w:eastAsia="Times New Roman" w:hAnsi="Times New Roman" w:cs="Times New Roman"/>
          <w:noProof/>
          <w:sz w:val="24"/>
          <w:szCs w:val="24"/>
        </w:rPr>
        <w:t>whether they may be the victim of pay discrimination. This measure would achieve that objective, by making available the information on the average level of pay of their comparators (i.e. workers carrying out the same work or work of equal value). In order to best address a possible fear of victimisation on the part of workers, the information would be provided without workers having to ask for it.</w:t>
      </w:r>
    </w:p>
    <w:p>
      <w:pPr>
        <w:spacing w:after="120"/>
        <w:jc w:val="both"/>
        <w:rPr>
          <w:rFonts w:ascii="Times New Roman" w:eastAsia="Times New Roman" w:hAnsi="Times New Roman" w:cs="Times New Roman"/>
          <w:noProof/>
          <w:sz w:val="24"/>
          <w:szCs w:val="24"/>
        </w:rPr>
      </w:pPr>
      <w:r>
        <w:rPr>
          <w:rFonts w:ascii="Times New Roman" w:hAnsi="Times New Roman" w:cs="Times New Roman"/>
          <w:noProof/>
          <w:sz w:val="24"/>
          <w:szCs w:val="24"/>
        </w:rPr>
        <w:t xml:space="preserve">To the extent that employers have a firm-specific grouping or classification available, the information to be provided can easily be gathered (see Section 6.3, Sub-option 1A). If no such grouping or classification is available, the employer would need to determine first which workers carry out the same work or work of equal value. </w:t>
      </w:r>
      <w:r>
        <w:rPr>
          <w:rFonts w:ascii="Times New Roman" w:eastAsia="Times New Roman" w:hAnsi="Times New Roman" w:cs="Times New Roman"/>
          <w:noProof/>
          <w:sz w:val="24"/>
          <w:szCs w:val="24"/>
        </w:rPr>
        <w:t>The transparent classification of jobs and positions by the employer provides an objective picture of the pay structure</w:t>
      </w:r>
      <w:r>
        <w:rPr>
          <w:rFonts w:ascii="Times New Roman" w:hAnsi="Times New Roman" w:cs="Times New Roman"/>
          <w:noProof/>
          <w:sz w:val="24"/>
          <w:szCs w:val="24"/>
        </w:rPr>
        <w:t xml:space="preserve"> and </w:t>
      </w:r>
      <w:r>
        <w:rPr>
          <w:rFonts w:ascii="Times New Roman" w:eastAsia="Times New Roman" w:hAnsi="Times New Roman" w:cs="Times New Roman"/>
          <w:noProof/>
          <w:sz w:val="24"/>
          <w:szCs w:val="24"/>
        </w:rPr>
        <w:t>implicitly of the pay setting and progression mechanisms. As such, it brings to light possible biases on which employers could, but would not be obliged to act unless a worker were to show an unjustified gender-based pay difference.</w:t>
      </w:r>
    </w:p>
    <w:p>
      <w:pPr>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u w:val="single"/>
        </w:rPr>
        <w:t xml:space="preserve">Exemption regarding the </w:t>
      </w:r>
      <w:r>
        <w:rPr>
          <w:rFonts w:ascii="Times New Roman" w:eastAsia="Times New Roman" w:hAnsi="Times New Roman" w:cs="Times New Roman"/>
          <w:i/>
          <w:iCs/>
          <w:noProof/>
          <w:sz w:val="24"/>
          <w:szCs w:val="24"/>
          <w:u w:val="single"/>
        </w:rPr>
        <w:t>automatic</w:t>
      </w:r>
      <w:r>
        <w:rPr>
          <w:rFonts w:ascii="Times New Roman" w:eastAsia="Times New Roman" w:hAnsi="Times New Roman" w:cs="Times New Roman"/>
          <w:noProof/>
          <w:sz w:val="24"/>
          <w:szCs w:val="24"/>
          <w:u w:val="single"/>
        </w:rPr>
        <w:t xml:space="preserve"> provision of information for smaller employers</w:t>
      </w:r>
      <w:r>
        <w:rPr>
          <w:rFonts w:ascii="Times New Roman" w:eastAsia="Times New Roman" w:hAnsi="Times New Roman" w:cs="Times New Roman"/>
          <w:noProof/>
          <w:sz w:val="24"/>
          <w:szCs w:val="24"/>
        </w:rPr>
        <w:t xml:space="preserve">. </w:t>
      </w:r>
    </w:p>
    <w:p>
      <w:pPr>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grouping of workers into categories based on the content or value of the work they are attributed to do requires a minimum number of observations to be effective.</w:t>
      </w:r>
      <w:r>
        <w:rPr>
          <w:rStyle w:val="FootnoteReference"/>
          <w:rFonts w:ascii="Times New Roman" w:eastAsia="Times New Roman" w:hAnsi="Times New Roman" w:cs="Times New Roman"/>
          <w:noProof/>
          <w:sz w:val="24"/>
          <w:szCs w:val="24"/>
        </w:rPr>
        <w:footnoteReference w:id="134"/>
      </w:r>
      <w:r>
        <w:rPr>
          <w:rFonts w:ascii="Times New Roman" w:eastAsia="Times New Roman" w:hAnsi="Times New Roman" w:cs="Times New Roman"/>
          <w:noProof/>
          <w:sz w:val="24"/>
          <w:szCs w:val="24"/>
        </w:rPr>
        <w:t xml:space="preserve"> This minimum number is influenced by the specific field, the organisation of work in the organisation and the proportion between women and men. In general, one can expect that smaller employers may have less room for differentiating between categories of workers or may possibly have categories with no possible gender split. In Member States that have such type of measure in place, the threshold varies very widely, between 10 and 500 workers - most often it is set below or at 50 workers. Studying the preparation of measures under national law shows that the applicable threshold is mostly the result of political decision-making. For this initiative, it may reasonably be assumed that the useful headcount making this measure meaningful, also in statistical terms, may be set at least 50 workers. Requiring smaller employers to pro-actively classify their workers and provide regular information may be considered as disproportionate. The ‘50+ workers’ threshold is also the one retained in the 2014 Recommendation. Using such threshold, the right to receive relevant information on pay </w:t>
      </w:r>
      <w:r>
        <w:rPr>
          <w:rFonts w:ascii="Times New Roman" w:eastAsia="Times New Roman" w:hAnsi="Times New Roman" w:cs="Times New Roman"/>
          <w:noProof/>
          <w:sz w:val="24"/>
          <w:szCs w:val="24"/>
          <w:u w:val="single"/>
        </w:rPr>
        <w:t>automatically</w:t>
      </w:r>
      <w:r>
        <w:rPr>
          <w:rFonts w:ascii="Times New Roman" w:eastAsia="Times New Roman" w:hAnsi="Times New Roman" w:cs="Times New Roman"/>
          <w:noProof/>
          <w:sz w:val="24"/>
          <w:szCs w:val="24"/>
        </w:rPr>
        <w:t xml:space="preserve"> would apply to </w:t>
      </w:r>
      <w:r>
        <w:rPr>
          <w:rFonts w:ascii="Times New Roman" w:eastAsia="Times New Roman" w:hAnsi="Times New Roman" w:cs="Times New Roman"/>
          <w:b/>
          <w:bCs/>
          <w:noProof/>
          <w:sz w:val="24"/>
          <w:szCs w:val="24"/>
        </w:rPr>
        <w:t>50%</w:t>
      </w:r>
      <w:r>
        <w:rPr>
          <w:rFonts w:ascii="Times New Roman" w:eastAsia="Times New Roman" w:hAnsi="Times New Roman" w:cs="Times New Roman"/>
          <w:noProof/>
          <w:sz w:val="24"/>
          <w:szCs w:val="24"/>
        </w:rPr>
        <w:t xml:space="preserve"> of the EU27 workforce and on average </w:t>
      </w:r>
      <w:r>
        <w:rPr>
          <w:rFonts w:ascii="Times New Roman" w:eastAsia="Times New Roman" w:hAnsi="Times New Roman" w:cs="Times New Roman"/>
          <w:b/>
          <w:bCs/>
          <w:noProof/>
          <w:sz w:val="24"/>
          <w:szCs w:val="24"/>
        </w:rPr>
        <w:t>1%</w:t>
      </w:r>
      <w:r>
        <w:rPr>
          <w:rFonts w:ascii="Times New Roman" w:eastAsia="Times New Roman" w:hAnsi="Times New Roman" w:cs="Times New Roman"/>
          <w:noProof/>
          <w:sz w:val="24"/>
          <w:szCs w:val="24"/>
        </w:rPr>
        <w:t xml:space="preserve"> of EU27 enterprises. </w:t>
      </w:r>
    </w:p>
    <w:p>
      <w:pPr>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To protect the right of workers in organisations with less than 50 workers, it must be ensured that the latter always have the right to request the information on the comparators that is relevant for them. Nevertheless, additional protection seems to be needed since experience in Member States (e.g. Germany) shows that workers frequently hesitate to request information on their comparators for fear of victimisation (e.g. being perceived as uncollegial or pushy). Although workers would have the right to request pay information, they might be reluctant to do so. Therefore, their right to request is accompanied by a strengthened mechanism regarding the shift of the burden of proof in case of pay discrimination. Under this mechanism, would an employer not reply to a worker’s request, this would trigger a presumption of gender pay discrimination and the burden to prove that there is no discrimination would automatically shift to the employer. Though this would not dispel fear of victimisation, it might provide more motivation for workers to act.</w:t>
      </w:r>
    </w:p>
    <w:p>
      <w:pPr>
        <w:spacing w:after="120"/>
        <w:jc w:val="both"/>
        <w:rPr>
          <w:rFonts w:ascii="Times New Roman" w:hAnsi="Times New Roman" w:cs="Times New Roman"/>
          <w:noProof/>
          <w:sz w:val="24"/>
          <w:szCs w:val="24"/>
          <w:lang w:eastAsia="en-GB"/>
        </w:rPr>
      </w:pPr>
      <w:r>
        <w:rPr>
          <w:rFonts w:ascii="Times New Roman" w:hAnsi="Times New Roman" w:cs="Times New Roman"/>
          <w:noProof/>
          <w:sz w:val="24"/>
          <w:szCs w:val="24"/>
          <w:u w:val="single"/>
        </w:rPr>
        <w:t>Data protection</w:t>
      </w:r>
      <w:r>
        <w:rPr>
          <w:rFonts w:ascii="Times New Roman" w:hAnsi="Times New Roman" w:cs="Times New Roman"/>
          <w:noProof/>
          <w:sz w:val="24"/>
          <w:szCs w:val="24"/>
        </w:rPr>
        <w:t xml:space="preserve">. </w:t>
      </w:r>
      <w:r>
        <w:rPr>
          <w:rFonts w:ascii="Times New Roman" w:eastAsia="Times New Roman" w:hAnsi="Times New Roman" w:cs="Times New Roman"/>
          <w:noProof/>
          <w:sz w:val="24"/>
          <w:szCs w:val="24"/>
        </w:rPr>
        <w:t xml:space="preserve">During the targeted hearing with social partners, employers’ organisations raised certain concerns about </w:t>
      </w:r>
      <w:r>
        <w:rPr>
          <w:rFonts w:ascii="Times New Roman" w:eastAsia="Times New Roman" w:hAnsi="Times New Roman" w:cs="Times New Roman"/>
          <w:i/>
          <w:iCs/>
          <w:noProof/>
          <w:sz w:val="24"/>
          <w:szCs w:val="24"/>
        </w:rPr>
        <w:t>data protection,</w:t>
      </w:r>
      <w:r>
        <w:rPr>
          <w:rFonts w:ascii="Times New Roman" w:eastAsia="Times New Roman" w:hAnsi="Times New Roman" w:cs="Times New Roman"/>
          <w:noProof/>
          <w:sz w:val="24"/>
          <w:szCs w:val="24"/>
        </w:rPr>
        <w:t xml:space="preserve"> especially on the conciliation of potential transparency obligations with their obligations under the EU </w:t>
      </w:r>
      <w:r>
        <w:rPr>
          <w:rFonts w:ascii="Times New Roman" w:hAnsi="Times New Roman" w:cs="Times New Roman"/>
          <w:noProof/>
          <w:sz w:val="24"/>
          <w:szCs w:val="24"/>
        </w:rPr>
        <w:t>General Data Protection Regulation (GDPR).</w:t>
      </w:r>
      <w:r>
        <w:rPr>
          <w:rFonts w:ascii="Times New Roman" w:hAnsi="Times New Roman" w:cs="Times New Roman"/>
          <w:noProof/>
        </w:rPr>
        <w:t xml:space="preserve"> </w:t>
      </w:r>
      <w:r>
        <w:rPr>
          <w:rFonts w:ascii="Times New Roman" w:eastAsia="Times New Roman" w:hAnsi="Times New Roman" w:cs="Times New Roman"/>
          <w:noProof/>
          <w:sz w:val="24"/>
          <w:szCs w:val="24"/>
        </w:rPr>
        <w:t xml:space="preserve">These concerns were not shared by trade unions (see </w:t>
      </w:r>
      <w:r>
        <w:rPr>
          <w:rFonts w:ascii="Times New Roman" w:eastAsia="Times New Roman" w:hAnsi="Times New Roman" w:cs="Times New Roman"/>
          <w:i/>
          <w:iCs/>
          <w:noProof/>
          <w:sz w:val="24"/>
          <w:szCs w:val="24"/>
        </w:rPr>
        <w:t>Annex 2</w:t>
      </w:r>
      <w:r>
        <w:rPr>
          <w:rFonts w:ascii="Times New Roman" w:eastAsia="Times New Roman" w:hAnsi="Times New Roman" w:cs="Times New Roman"/>
          <w:noProof/>
          <w:sz w:val="24"/>
          <w:szCs w:val="24"/>
        </w:rPr>
        <w:t>). Disclosure of private data is allowed if required by a legal obligation with a legitimate aim – here the enforcement of the equal pay principle.</w:t>
      </w:r>
      <w:r>
        <w:rPr>
          <w:rFonts w:ascii="Times New Roman" w:hAnsi="Times New Roman" w:cs="Times New Roman"/>
          <w:noProof/>
          <w:vertAlign w:val="superscript"/>
        </w:rPr>
        <w:footnoteReference w:id="135"/>
      </w:r>
      <w:r>
        <w:rPr>
          <w:rFonts w:ascii="Times New Roman" w:eastAsia="Times New Roman" w:hAnsi="Times New Roman" w:cs="Times New Roman"/>
          <w:noProof/>
          <w:sz w:val="24"/>
          <w:szCs w:val="24"/>
        </w:rPr>
        <w:t xml:space="preserve"> Nevertheless, as the culture around pay secrecy varies across Member States and in order to address the concerns, safeguards may be needed. First of all, disclosure of personal data of an identifiable individual could be avoided while protecting workers’ right to information. This could be done by disclosing the information through a third party, such as an equality body, bound to maintain the confidentiality of the data. In addition, the initiative would permit to limit the use of the information obtained for purposes of making a claim relating to equal pay only. </w:t>
      </w:r>
    </w:p>
    <w:p>
      <w:pPr>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i/>
          <w:iCs/>
          <w:noProof/>
          <w:sz w:val="24"/>
          <w:szCs w:val="24"/>
        </w:rPr>
        <w:t>Stakeholder views:</w:t>
      </w:r>
      <w:r>
        <w:rPr>
          <w:rFonts w:ascii="Times New Roman" w:hAnsi="Times New Roman" w:cs="Times New Roman"/>
          <w:noProof/>
        </w:rPr>
        <w:t xml:space="preserve"> </w:t>
      </w:r>
      <w:r>
        <w:rPr>
          <w:rFonts w:ascii="Times New Roman" w:eastAsia="Times New Roman" w:hAnsi="Times New Roman" w:cs="Times New Roman"/>
          <w:noProof/>
          <w:sz w:val="24"/>
          <w:szCs w:val="24"/>
        </w:rPr>
        <w:t xml:space="preserve">EU citizens who replied to the public consultation largely favour this measure (88%), as do trade union organisations (89%). Among employers’ organisations, only 18% support the measure. The main concerns expressed by employers relate not to the measure itself, but to the possible difficulties relating to the grouping of workers in categories of equal work or work of equal value (see Option 3) and data protection. The consultation with Member States revealed that a majority (59%) of them </w:t>
      </w:r>
      <w:r>
        <w:rPr>
          <w:rFonts w:ascii="Times New Roman" w:hAnsi="Times New Roman" w:cs="Times New Roman"/>
          <w:noProof/>
          <w:sz w:val="24"/>
          <w:szCs w:val="24"/>
        </w:rPr>
        <w:t xml:space="preserve">thinks this measure would be the most effective and would best support a better enforcement of the equal pay principle across the EU. </w:t>
      </w:r>
    </w:p>
    <w:p>
      <w:pPr>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i/>
          <w:iCs/>
          <w:noProof/>
          <w:sz w:val="24"/>
          <w:szCs w:val="24"/>
        </w:rPr>
        <w:t>Costs: For employers</w:t>
      </w:r>
      <w:r>
        <w:rPr>
          <w:rFonts w:ascii="Times New Roman" w:eastAsia="Times New Roman" w:hAnsi="Times New Roman" w:cs="Times New Roman"/>
          <w:noProof/>
          <w:sz w:val="24"/>
          <w:szCs w:val="24"/>
        </w:rPr>
        <w:t xml:space="preserve">, the direct cost would arise from assembling the necessary information and communicating it to workers in a transparent manner. The communication cost itself would be very low: automatic information can be easily added to the payslip and punctual replies to requests are even less costly overall. The </w:t>
      </w:r>
      <w:r>
        <w:rPr>
          <w:rFonts w:ascii="Times New Roman" w:eastAsia="Times New Roman" w:hAnsi="Times New Roman" w:cs="Times New Roman"/>
          <w:b/>
          <w:bCs/>
          <w:noProof/>
          <w:sz w:val="24"/>
          <w:szCs w:val="24"/>
        </w:rPr>
        <w:t>overall communication cost for employers in EU27</w:t>
      </w:r>
      <w:r>
        <w:rPr>
          <w:rStyle w:val="FootnoteReference"/>
          <w:rFonts w:ascii="Times New Roman" w:eastAsia="Times New Roman" w:hAnsi="Times New Roman" w:cs="Times New Roman"/>
          <w:b/>
          <w:bCs/>
          <w:noProof/>
          <w:sz w:val="24"/>
          <w:szCs w:val="24"/>
        </w:rPr>
        <w:footnoteReference w:id="136"/>
      </w:r>
      <w:r>
        <w:rPr>
          <w:rFonts w:ascii="Times New Roman" w:eastAsia="Times New Roman" w:hAnsi="Times New Roman" w:cs="Times New Roman"/>
          <w:b/>
          <w:bCs/>
          <w:noProof/>
          <w:sz w:val="24"/>
          <w:szCs w:val="24"/>
        </w:rPr>
        <w:t xml:space="preserve"> </w:t>
      </w:r>
      <w:r>
        <w:rPr>
          <w:rFonts w:ascii="Times New Roman" w:eastAsia="Times New Roman" w:hAnsi="Times New Roman" w:cs="Times New Roman"/>
          <w:noProof/>
          <w:sz w:val="24"/>
          <w:szCs w:val="24"/>
        </w:rPr>
        <w:t>was estimated</w:t>
      </w:r>
      <w:r>
        <w:rPr>
          <w:rFonts w:ascii="Times New Roman" w:eastAsia="Times New Roman" w:hAnsi="Times New Roman" w:cs="Times New Roman"/>
          <w:b/>
          <w:bCs/>
          <w:noProof/>
          <w:sz w:val="24"/>
          <w:szCs w:val="24"/>
        </w:rPr>
        <w:t xml:space="preserve"> at between 70 and 137 million EUR, i.e. an average cost per employer between a minimum of 32-135 EUR and a maximum of 53-262 EUR depending on size</w:t>
      </w:r>
      <w:r>
        <w:rPr>
          <w:rFonts w:ascii="Times New Roman" w:eastAsia="Times New Roman" w:hAnsi="Times New Roman" w:cs="Times New Roman"/>
          <w:noProof/>
          <w:sz w:val="24"/>
          <w:szCs w:val="24"/>
        </w:rPr>
        <w:t xml:space="preserve"> (see </w:t>
      </w:r>
      <w:r>
        <w:rPr>
          <w:rFonts w:ascii="Times New Roman" w:eastAsia="Times New Roman" w:hAnsi="Times New Roman" w:cs="Times New Roman"/>
          <w:i/>
          <w:iCs/>
          <w:noProof/>
          <w:sz w:val="24"/>
          <w:szCs w:val="24"/>
        </w:rPr>
        <w:t>Annex 5, section 11</w:t>
      </w:r>
      <w:r>
        <w:rPr>
          <w:rFonts w:ascii="Times New Roman" w:eastAsia="Times New Roman" w:hAnsi="Times New Roman" w:cs="Times New Roman"/>
          <w:noProof/>
          <w:sz w:val="24"/>
          <w:szCs w:val="24"/>
        </w:rPr>
        <w:t xml:space="preserve"> for details by Member State/employer size). These costs are recurring.</w:t>
      </w:r>
    </w:p>
    <w:p>
      <w:pPr>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If the employer has not yet compared the value of work carried out by workers in its organisation, the direct cost of this measure might be more substantial. Such cost would, however, only arise from the non-respect of the current legal obligations under the EU Treaty and Recast directive. In that case, the preparatory work might be the most time-consuming and therefore costly activity under this measure, though the bulk of this cost would be one-off. The time would depend on the level of preparedness of the employer, the complexity of the organisation and the tasks performed in the different positions</w:t>
      </w:r>
      <w:r>
        <w:rPr>
          <w:rStyle w:val="FootnoteReference"/>
          <w:rFonts w:ascii="Times New Roman" w:eastAsia="Times New Roman" w:hAnsi="Times New Roman" w:cs="Times New Roman"/>
          <w:noProof/>
          <w:sz w:val="24"/>
          <w:szCs w:val="24"/>
        </w:rPr>
        <w:footnoteReference w:id="137"/>
      </w:r>
      <w:r>
        <w:rPr>
          <w:rFonts w:ascii="Times New Roman" w:eastAsia="Times New Roman" w:hAnsi="Times New Roman" w:cs="Times New Roman"/>
          <w:noProof/>
          <w:sz w:val="24"/>
          <w:szCs w:val="24"/>
        </w:rPr>
        <w:t xml:space="preserve">. </w:t>
      </w:r>
    </w:p>
    <w:p>
      <w:pPr>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In practice, the employer will build on the existing pay structure, hence no employer is likely to start entirely from scratch. Employers must review the criteria used to reward the different positions (not workers) and then group workers accordingly. The only constraint is that these criteria must not be gender biased and must apply to all workers. They can however be defined taking into account discretionary elements as long as these elements are objective and free from gender bias. Collective agreements may already provide for classifications that can further inform the process and therefore their coverage is another factor influencing how demanding the process would be and how many employers would be concerned. In addition, as set out in Option 3, the initiative could propose tools to support the classification exercise, thus limiting any burden which the measure may entail. </w:t>
      </w:r>
    </w:p>
    <w:p>
      <w:pPr>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For employers with 50 workers or more, this classification would need to take place pro-actively in order to deliver the required information to workers. For employers with less than 50 workers, such classification would only need to be carried out in case of a request and would be limited to the category to which the requesting worker belongs. </w:t>
      </w:r>
    </w:p>
    <w:p>
      <w:pPr>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w:t>
      </w:r>
      <w:r>
        <w:rPr>
          <w:rFonts w:ascii="Times New Roman" w:eastAsia="Times New Roman" w:hAnsi="Times New Roman" w:cs="Times New Roman"/>
          <w:b/>
          <w:bCs/>
          <w:noProof/>
          <w:sz w:val="24"/>
          <w:szCs w:val="24"/>
        </w:rPr>
        <w:t>possible</w:t>
      </w:r>
      <w:r>
        <w:rPr>
          <w:rFonts w:ascii="Times New Roman" w:eastAsia="Times New Roman" w:hAnsi="Times New Roman" w:cs="Times New Roman"/>
          <w:noProof/>
          <w:sz w:val="24"/>
          <w:szCs w:val="24"/>
        </w:rPr>
        <w:t xml:space="preserve"> </w:t>
      </w:r>
      <w:r>
        <w:rPr>
          <w:rFonts w:ascii="Times New Roman" w:eastAsia="Times New Roman" w:hAnsi="Times New Roman" w:cs="Times New Roman"/>
          <w:b/>
          <w:bCs/>
          <w:noProof/>
          <w:sz w:val="24"/>
          <w:szCs w:val="24"/>
        </w:rPr>
        <w:t>additional estimated average cost of setting up the grouping of workers would be between 217 and 1080 EUR per employer</w:t>
      </w:r>
      <w:r>
        <w:rPr>
          <w:rFonts w:ascii="Times New Roman" w:eastAsia="Times New Roman" w:hAnsi="Times New Roman" w:cs="Times New Roman"/>
          <w:noProof/>
          <w:sz w:val="24"/>
          <w:szCs w:val="24"/>
        </w:rPr>
        <w:t xml:space="preserve"> depending on employer size (taking into account that several Member States already have tools available to support the classification). It is not possible to reliably estimate the number of employers that would have to incur these costs and therefore the total cost at EU level. This action is necessary only the first year and only requires adaptations in the following years.</w:t>
      </w:r>
    </w:p>
    <w:p>
      <w:pPr>
        <w:spacing w:after="120"/>
        <w:jc w:val="both"/>
        <w:rPr>
          <w:rFonts w:ascii="Times New Roman" w:eastAsia="Times New Roman" w:hAnsi="Times New Roman" w:cs="Times New Roman"/>
          <w:noProof/>
          <w:sz w:val="24"/>
          <w:szCs w:val="24"/>
        </w:rPr>
      </w:pPr>
      <w:r>
        <w:rPr>
          <w:rFonts w:ascii="Times New Roman" w:hAnsi="Times New Roman"/>
          <w:b/>
          <w:bCs/>
          <w:noProof/>
          <w:sz w:val="24"/>
          <w:szCs w:val="24"/>
        </w:rPr>
        <w:t xml:space="preserve">For </w:t>
      </w:r>
      <w:r>
        <w:rPr>
          <w:rFonts w:ascii="Times New Roman" w:hAnsi="Times New Roman"/>
          <w:b/>
          <w:bCs/>
          <w:i/>
          <w:iCs/>
          <w:noProof/>
          <w:sz w:val="24"/>
          <w:szCs w:val="24"/>
        </w:rPr>
        <w:t>Member States</w:t>
      </w:r>
      <w:r>
        <w:rPr>
          <w:rFonts w:ascii="Times New Roman" w:eastAsia="Times New Roman" w:hAnsi="Times New Roman" w:cs="Times New Roman"/>
          <w:i/>
          <w:iCs/>
          <w:noProof/>
          <w:sz w:val="24"/>
          <w:szCs w:val="24"/>
        </w:rPr>
        <w:t>:</w:t>
      </w:r>
      <w:r>
        <w:rPr>
          <w:rFonts w:ascii="Times New Roman" w:eastAsia="Times New Roman" w:hAnsi="Times New Roman" w:cs="Times New Roman"/>
          <w:noProof/>
          <w:sz w:val="24"/>
          <w:szCs w:val="24"/>
        </w:rPr>
        <w:t xml:space="preserve"> </w:t>
      </w:r>
      <w:r>
        <w:rPr>
          <w:rFonts w:ascii="Times New Roman" w:hAnsi="Times New Roman"/>
          <w:b/>
          <w:bCs/>
          <w:noProof/>
          <w:sz w:val="24"/>
          <w:szCs w:val="24"/>
        </w:rPr>
        <w:t>the costs of this measure is negligible.</w:t>
      </w:r>
      <w:r>
        <w:rPr>
          <w:rFonts w:ascii="Times New Roman" w:eastAsia="Times New Roman" w:hAnsi="Times New Roman" w:cs="Times New Roman"/>
          <w:noProof/>
          <w:sz w:val="24"/>
          <w:szCs w:val="24"/>
        </w:rPr>
        <w:t xml:space="preserve"> It was estimated in the 2014 Recommendation impact assessment as negligible</w:t>
      </w:r>
      <w:r>
        <w:rPr>
          <w:rStyle w:val="FootnoteReference"/>
          <w:rFonts w:ascii="Times New Roman" w:eastAsia="Times New Roman" w:hAnsi="Times New Roman" w:cs="Times New Roman"/>
          <w:noProof/>
          <w:sz w:val="24"/>
          <w:szCs w:val="24"/>
        </w:rPr>
        <w:footnoteReference w:id="138"/>
      </w:r>
      <w:r>
        <w:rPr>
          <w:rFonts w:ascii="Times New Roman" w:eastAsia="Times New Roman" w:hAnsi="Times New Roman" w:cs="Times New Roman"/>
          <w:noProof/>
          <w:sz w:val="24"/>
          <w:szCs w:val="24"/>
        </w:rPr>
        <w:t xml:space="preserve">, linked to adding an additional task consisting of regular monitoring of employers’ compliance and dealing with possible complaints. </w:t>
      </w:r>
    </w:p>
    <w:p>
      <w:pPr>
        <w:spacing w:after="120"/>
        <w:jc w:val="both"/>
        <w:rPr>
          <w:rFonts w:ascii="Times New Roman" w:hAnsi="Times New Roman" w:cs="Times New Roman"/>
          <w:noProof/>
          <w:sz w:val="24"/>
          <w:szCs w:val="24"/>
        </w:rPr>
      </w:pPr>
      <w:r>
        <w:rPr>
          <w:rFonts w:ascii="Times New Roman" w:hAnsi="Times New Roman" w:cs="Times New Roman"/>
          <w:i/>
          <w:iCs/>
          <w:noProof/>
          <w:sz w:val="24"/>
          <w:szCs w:val="24"/>
        </w:rPr>
        <w:t>Unintended effects</w:t>
      </w:r>
      <w:r>
        <w:rPr>
          <w:rFonts w:ascii="Times New Roman" w:hAnsi="Times New Roman" w:cs="Times New Roman"/>
          <w:noProof/>
          <w:sz w:val="24"/>
          <w:szCs w:val="24"/>
        </w:rPr>
        <w:t>:</w:t>
      </w:r>
      <w:r>
        <w:rPr>
          <w:rFonts w:ascii="Times New Roman" w:hAnsi="Times New Roman" w:cs="Times New Roman"/>
          <w:noProof/>
        </w:rPr>
        <w:t xml:space="preserve"> </w:t>
      </w:r>
      <w:r>
        <w:rPr>
          <w:rFonts w:ascii="Times New Roman" w:hAnsi="Times New Roman" w:cs="Times New Roman"/>
          <w:noProof/>
          <w:sz w:val="24"/>
          <w:szCs w:val="24"/>
        </w:rPr>
        <w:t xml:space="preserve">Granting access to </w:t>
      </w:r>
      <w:r>
        <w:rPr>
          <w:rFonts w:ascii="Times New Roman" w:eastAsia="Times New Roman" w:hAnsi="Times New Roman" w:cs="Times New Roman"/>
          <w:noProof/>
          <w:sz w:val="24"/>
          <w:szCs w:val="24"/>
        </w:rPr>
        <w:t>information on pay could produce a ‘</w:t>
      </w:r>
      <w:r>
        <w:rPr>
          <w:rFonts w:ascii="Times New Roman" w:eastAsia="Times New Roman" w:hAnsi="Times New Roman" w:cs="Times New Roman"/>
          <w:b/>
          <w:bCs/>
          <w:noProof/>
          <w:sz w:val="24"/>
          <w:szCs w:val="24"/>
        </w:rPr>
        <w:t>disgruntlement effect</w:t>
      </w:r>
      <w:r>
        <w:rPr>
          <w:rFonts w:ascii="Times New Roman" w:eastAsia="Times New Roman" w:hAnsi="Times New Roman" w:cs="Times New Roman"/>
          <w:noProof/>
          <w:sz w:val="24"/>
          <w:szCs w:val="24"/>
        </w:rPr>
        <w:t>’, i.e. a decrease in productivity from workers who find out to be paid unfairly. Would the difference be large, workers might decide to leave the employer with</w:t>
      </w:r>
      <w:r>
        <w:rPr>
          <w:rFonts w:ascii="Times New Roman" w:hAnsi="Times New Roman" w:cs="Times New Roman"/>
          <w:noProof/>
          <w:sz w:val="24"/>
          <w:szCs w:val="24"/>
        </w:rPr>
        <w:t xml:space="preserve"> a turnover cost to organisations</w:t>
      </w:r>
      <w:r>
        <w:rPr>
          <w:rFonts w:ascii="Times New Roman" w:eastAsia="Times New Roman" w:hAnsi="Times New Roman" w:cs="Times New Roman"/>
          <w:noProof/>
          <w:sz w:val="24"/>
          <w:szCs w:val="24"/>
        </w:rPr>
        <w:t xml:space="preserve"> estimated </w:t>
      </w:r>
      <w:r>
        <w:rPr>
          <w:rFonts w:ascii="Times New Roman" w:hAnsi="Times New Roman" w:cs="Times New Roman"/>
          <w:noProof/>
          <w:sz w:val="24"/>
          <w:szCs w:val="24"/>
        </w:rPr>
        <w:t>at 100-150% of the salary of the worker concerned</w:t>
      </w:r>
      <w:r>
        <w:rPr>
          <w:rFonts w:ascii="Times New Roman" w:hAnsi="Times New Roman" w:cs="Times New Roman"/>
          <w:noProof/>
          <w:sz w:val="24"/>
          <w:szCs w:val="24"/>
          <w:vertAlign w:val="superscript"/>
        </w:rPr>
        <w:footnoteReference w:id="139"/>
      </w:r>
      <w:r>
        <w:rPr>
          <w:rFonts w:ascii="Times New Roman" w:hAnsi="Times New Roman" w:cs="Times New Roman"/>
          <w:noProof/>
          <w:sz w:val="24"/>
          <w:szCs w:val="24"/>
        </w:rPr>
        <w:t xml:space="preserve">. </w:t>
      </w:r>
      <w:r>
        <w:rPr>
          <w:rFonts w:ascii="Times New Roman" w:eastAsia="Times New Roman" w:hAnsi="Times New Roman" w:cs="Times New Roman"/>
          <w:noProof/>
          <w:sz w:val="24"/>
          <w:szCs w:val="24"/>
        </w:rPr>
        <w:t xml:space="preserve">Other concerns include </w:t>
      </w:r>
      <w:r>
        <w:rPr>
          <w:rFonts w:ascii="Times New Roman" w:eastAsia="Times New Roman" w:hAnsi="Times New Roman" w:cs="Times New Roman"/>
          <w:b/>
          <w:bCs/>
          <w:noProof/>
          <w:sz w:val="24"/>
          <w:szCs w:val="24"/>
        </w:rPr>
        <w:t>upward pressure</w:t>
      </w:r>
      <w:r>
        <w:rPr>
          <w:rStyle w:val="FootnoteReference"/>
          <w:rFonts w:ascii="Times New Roman" w:hAnsi="Times New Roman" w:cs="Times New Roman"/>
          <w:noProof/>
          <w:sz w:val="24"/>
          <w:szCs w:val="24"/>
        </w:rPr>
        <w:footnoteReference w:id="140"/>
      </w:r>
      <w:r>
        <w:rPr>
          <w:rFonts w:ascii="Times New Roman" w:eastAsia="Times New Roman" w:hAnsi="Times New Roman" w:cs="Times New Roman"/>
          <w:noProof/>
          <w:sz w:val="24"/>
          <w:szCs w:val="24"/>
        </w:rPr>
        <w:t xml:space="preserve"> on wages</w:t>
      </w:r>
      <w:r>
        <w:rPr>
          <w:rFonts w:ascii="Times New Roman" w:hAnsi="Times New Roman" w:cs="Times New Roman"/>
          <w:noProof/>
          <w:sz w:val="24"/>
          <w:szCs w:val="24"/>
        </w:rPr>
        <w:t xml:space="preserve"> </w:t>
      </w:r>
      <w:r>
        <w:rPr>
          <w:rFonts w:ascii="Times New Roman" w:hAnsi="Times New Roman" w:cs="Times New Roman"/>
          <w:b/>
          <w:bCs/>
          <w:noProof/>
          <w:sz w:val="24"/>
          <w:szCs w:val="24"/>
        </w:rPr>
        <w:t>or pay compression</w:t>
      </w:r>
      <w:r>
        <w:rPr>
          <w:rFonts w:ascii="Times New Roman" w:hAnsi="Times New Roman" w:cs="Times New Roman"/>
          <w:noProof/>
          <w:vertAlign w:val="superscript"/>
        </w:rPr>
        <w:footnoteReference w:id="141"/>
      </w:r>
      <w:r>
        <w:rPr>
          <w:rFonts w:ascii="Times New Roman" w:hAnsi="Times New Roman" w:cs="Times New Roman"/>
          <w:noProof/>
          <w:sz w:val="24"/>
          <w:szCs w:val="24"/>
        </w:rPr>
        <w:t xml:space="preserve">, </w:t>
      </w:r>
      <w:r>
        <w:rPr>
          <w:rFonts w:ascii="Times New Roman" w:eastAsia="Times New Roman" w:hAnsi="Times New Roman" w:cs="Times New Roman"/>
          <w:noProof/>
          <w:sz w:val="24"/>
          <w:szCs w:val="24"/>
        </w:rPr>
        <w:t>and potential tensions and conflicts</w:t>
      </w:r>
      <w:r>
        <w:rPr>
          <w:rStyle w:val="FootnoteReference"/>
          <w:rFonts w:ascii="Times New Roman" w:hAnsi="Times New Roman" w:cs="Times New Roman"/>
          <w:noProof/>
          <w:sz w:val="24"/>
          <w:szCs w:val="24"/>
        </w:rPr>
        <w:footnoteReference w:id="142"/>
      </w:r>
      <w:r>
        <w:rPr>
          <w:rFonts w:ascii="Times New Roman" w:hAnsi="Times New Roman" w:cs="Times New Roman"/>
          <w:noProof/>
          <w:sz w:val="24"/>
          <w:szCs w:val="24"/>
        </w:rPr>
        <w:t xml:space="preserve">, which may contribute to increased rates of </w:t>
      </w:r>
      <w:r>
        <w:rPr>
          <w:rFonts w:ascii="Times New Roman" w:hAnsi="Times New Roman" w:cs="Times New Roman"/>
          <w:b/>
          <w:bCs/>
          <w:noProof/>
          <w:sz w:val="24"/>
          <w:szCs w:val="24"/>
        </w:rPr>
        <w:t>absenteeism</w:t>
      </w:r>
      <w:r>
        <w:rPr>
          <w:rFonts w:ascii="Times New Roman" w:hAnsi="Times New Roman" w:cs="Times New Roman"/>
          <w:noProof/>
          <w:sz w:val="24"/>
          <w:szCs w:val="24"/>
        </w:rPr>
        <w:t>. While these effects cannot be excluded, it should be noted, that even without this measure, workers could in any case</w:t>
      </w:r>
      <w:r>
        <w:rPr>
          <w:rStyle w:val="FootnoteReference"/>
          <w:rFonts w:ascii="Times New Roman" w:hAnsi="Times New Roman" w:cs="Times New Roman"/>
          <w:noProof/>
          <w:sz w:val="24"/>
          <w:szCs w:val="24"/>
        </w:rPr>
        <w:footnoteReference w:id="143"/>
      </w:r>
      <w:r>
        <w:rPr>
          <w:rFonts w:ascii="Times New Roman" w:hAnsi="Times New Roman" w:cs="Times New Roman"/>
          <w:noProof/>
          <w:sz w:val="24"/>
          <w:szCs w:val="24"/>
        </w:rPr>
        <w:t xml:space="preserve"> suspect pay discrimination or misinterpret informal information on salaries. This underlines the importance of addressing possible unjustified pay differences and establishing effective communication on what justifies differences.</w:t>
      </w:r>
      <w:r>
        <w:rPr>
          <w:rFonts w:ascii="Times New Roman" w:hAnsi="Times New Roman" w:cs="Times New Roman"/>
          <w:noProof/>
        </w:rPr>
        <w:t xml:space="preserve"> </w:t>
      </w:r>
      <w:r>
        <w:rPr>
          <w:rFonts w:ascii="Times New Roman" w:hAnsi="Times New Roman" w:cs="Times New Roman"/>
          <w:noProof/>
          <w:sz w:val="24"/>
          <w:szCs w:val="24"/>
        </w:rPr>
        <w:t>A PayScale survey of 70,000 US employees in 2015 showed that when people know why they earn what they earn through open and honest discussions about pay, they are less likely to quit their job</w:t>
      </w:r>
      <w:r>
        <w:rPr>
          <w:rStyle w:val="FootnoteReference"/>
          <w:rFonts w:ascii="Times New Roman" w:hAnsi="Times New Roman" w:cs="Times New Roman"/>
          <w:noProof/>
          <w:sz w:val="24"/>
          <w:szCs w:val="24"/>
        </w:rPr>
        <w:t xml:space="preserve"> </w:t>
      </w:r>
      <w:r>
        <w:rPr>
          <w:rStyle w:val="FootnoteReference"/>
          <w:rFonts w:ascii="Times New Roman" w:hAnsi="Times New Roman" w:cs="Times New Roman"/>
          <w:noProof/>
          <w:sz w:val="24"/>
          <w:szCs w:val="24"/>
        </w:rPr>
        <w:footnoteReference w:id="144"/>
      </w:r>
      <w:r>
        <w:rPr>
          <w:rFonts w:ascii="Times New Roman" w:hAnsi="Times New Roman" w:cs="Times New Roman"/>
          <w:noProof/>
          <w:sz w:val="24"/>
          <w:szCs w:val="24"/>
        </w:rPr>
        <w:t>.</w:t>
      </w:r>
    </w:p>
    <w:p>
      <w:pPr>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There are only two empirical studies in the EU on this topic with divergent findings. Bennedsen et al. (2019) found some evidence of ‘disgruntlement’ after the introduction of pay transparency measures in Denmark, though there was no effect</w:t>
      </w:r>
      <w:r>
        <w:rPr>
          <w:rStyle w:val="FootnoteReference"/>
          <w:rFonts w:ascii="Times New Roman" w:eastAsia="Times New Roman" w:hAnsi="Times New Roman" w:cs="Times New Roman"/>
          <w:noProof/>
          <w:sz w:val="24"/>
          <w:szCs w:val="24"/>
        </w:rPr>
        <w:footnoteReference w:id="145"/>
      </w:r>
      <w:r>
        <w:rPr>
          <w:rFonts w:ascii="Times New Roman" w:eastAsia="Times New Roman" w:hAnsi="Times New Roman" w:cs="Times New Roman"/>
          <w:noProof/>
          <w:sz w:val="24"/>
          <w:szCs w:val="24"/>
        </w:rPr>
        <w:t xml:space="preserve"> on </w:t>
      </w:r>
      <w:r>
        <w:rPr>
          <w:rFonts w:ascii="Times New Roman" w:hAnsi="Times New Roman" w:cs="Times New Roman"/>
          <w:noProof/>
          <w:sz w:val="24"/>
          <w:szCs w:val="24"/>
        </w:rPr>
        <w:t xml:space="preserve">firms’ profitability </w:t>
      </w:r>
      <w:r>
        <w:rPr>
          <w:rFonts w:ascii="Times New Roman" w:eastAsia="Times New Roman" w:hAnsi="Times New Roman" w:cs="Times New Roman"/>
          <w:noProof/>
          <w:sz w:val="24"/>
          <w:szCs w:val="24"/>
        </w:rPr>
        <w:t xml:space="preserve">because the reduction in productivity was offset by the lower wage growth of male employees. </w:t>
      </w:r>
      <w:r>
        <w:rPr>
          <w:rFonts w:ascii="Times New Roman" w:hAnsi="Times New Roman" w:cs="Times New Roman"/>
          <w:noProof/>
          <w:sz w:val="24"/>
          <w:szCs w:val="24"/>
        </w:rPr>
        <w:t>Gulyas et al. (2020)</w:t>
      </w:r>
      <w:r>
        <w:rPr>
          <w:rStyle w:val="FootnoteReference"/>
          <w:rFonts w:ascii="Times New Roman" w:hAnsi="Times New Roman" w:cs="Times New Roman"/>
          <w:noProof/>
          <w:sz w:val="24"/>
          <w:szCs w:val="24"/>
        </w:rPr>
        <w:footnoteReference w:id="146"/>
      </w:r>
      <w:r>
        <w:rPr>
          <w:rFonts w:ascii="Times New Roman" w:hAnsi="Times New Roman" w:cs="Times New Roman"/>
          <w:noProof/>
          <w:sz w:val="24"/>
          <w:szCs w:val="24"/>
        </w:rPr>
        <w:t xml:space="preserve"> found that in Austria, introducing pay transparency laws led to an increased retention rate of workers, pointing towards higher job satisfaction. </w:t>
      </w:r>
      <w:r>
        <w:rPr>
          <w:rFonts w:ascii="Times New Roman" w:eastAsia="Times New Roman" w:hAnsi="Times New Roman" w:cs="Times New Roman"/>
          <w:noProof/>
          <w:sz w:val="24"/>
          <w:szCs w:val="24"/>
        </w:rPr>
        <w:t>There is no evidence on the extent to which these results can be generalised, although there is evidence that pay transparency has a positive effect on motivation (</w:t>
      </w:r>
      <w:r>
        <w:rPr>
          <w:rFonts w:ascii="Times New Roman" w:eastAsia="Times New Roman" w:hAnsi="Times New Roman" w:cs="Times New Roman"/>
          <w:i/>
          <w:iCs/>
          <w:noProof/>
          <w:sz w:val="24"/>
          <w:szCs w:val="24"/>
        </w:rPr>
        <w:t>see section 2.1 and below</w:t>
      </w:r>
      <w:r>
        <w:rPr>
          <w:rFonts w:ascii="Times New Roman" w:eastAsia="Times New Roman" w:hAnsi="Times New Roman" w:cs="Times New Roman"/>
          <w:noProof/>
          <w:sz w:val="24"/>
          <w:szCs w:val="24"/>
        </w:rPr>
        <w:t>).</w:t>
      </w:r>
    </w:p>
    <w:p>
      <w:pPr>
        <w:spacing w:after="120"/>
        <w:jc w:val="both"/>
        <w:rPr>
          <w:rFonts w:ascii="Times New Roman" w:eastAsia="Times New Roman" w:hAnsi="Times New Roman" w:cs="Times New Roman"/>
          <w:noProof/>
          <w:sz w:val="24"/>
          <w:szCs w:val="24"/>
        </w:rPr>
      </w:pPr>
      <w:r>
        <w:rPr>
          <w:rFonts w:ascii="Times New Roman" w:hAnsi="Times New Roman" w:cs="Times New Roman"/>
          <w:i/>
          <w:iCs/>
          <w:noProof/>
          <w:sz w:val="24"/>
          <w:szCs w:val="24"/>
        </w:rPr>
        <w:t>Benefits</w:t>
      </w:r>
      <w:r>
        <w:rPr>
          <w:rFonts w:ascii="Times New Roman" w:eastAsia="Times New Roman" w:hAnsi="Times New Roman" w:cs="Times New Roman"/>
          <w:noProof/>
        </w:rPr>
        <w:t xml:space="preserve">: </w:t>
      </w:r>
      <w:r>
        <w:rPr>
          <w:rFonts w:ascii="Times New Roman" w:eastAsia="Times New Roman" w:hAnsi="Times New Roman" w:cs="Times New Roman"/>
          <w:noProof/>
          <w:sz w:val="24"/>
          <w:szCs w:val="24"/>
        </w:rPr>
        <w:t xml:space="preserve">The most important benefit for </w:t>
      </w:r>
      <w:r>
        <w:rPr>
          <w:rFonts w:ascii="Times New Roman" w:eastAsia="Times New Roman" w:hAnsi="Times New Roman" w:cs="Times New Roman"/>
          <w:i/>
          <w:iCs/>
          <w:noProof/>
          <w:sz w:val="24"/>
          <w:szCs w:val="24"/>
        </w:rPr>
        <w:t>workers</w:t>
      </w:r>
      <w:r>
        <w:rPr>
          <w:rFonts w:ascii="Times New Roman" w:eastAsia="Times New Roman" w:hAnsi="Times New Roman" w:cs="Times New Roman"/>
          <w:noProof/>
          <w:sz w:val="24"/>
          <w:szCs w:val="24"/>
        </w:rPr>
        <w:t xml:space="preserve"> is </w:t>
      </w:r>
      <w:r>
        <w:rPr>
          <w:rFonts w:ascii="Times New Roman" w:eastAsia="Times New Roman" w:hAnsi="Times New Roman" w:cs="Times New Roman"/>
          <w:b/>
          <w:bCs/>
          <w:noProof/>
          <w:sz w:val="24"/>
          <w:szCs w:val="24"/>
        </w:rPr>
        <w:t>empowerment</w:t>
      </w:r>
      <w:r>
        <w:rPr>
          <w:rFonts w:ascii="Times New Roman" w:eastAsia="Times New Roman" w:hAnsi="Times New Roman" w:cs="Times New Roman"/>
          <w:noProof/>
          <w:sz w:val="24"/>
          <w:szCs w:val="24"/>
        </w:rPr>
        <w:t xml:space="preserve"> as they have the necessary information to assess whether they are paid in a non-discriminatory manner compared to other workers in the same organisation carrying out equal work or work of equal value – and </w:t>
      </w:r>
      <w:r>
        <w:rPr>
          <w:rFonts w:ascii="Times New Roman" w:eastAsia="Times New Roman" w:hAnsi="Times New Roman" w:cs="Times New Roman"/>
          <w:i/>
          <w:iCs/>
          <w:noProof/>
          <w:sz w:val="24"/>
          <w:szCs w:val="24"/>
        </w:rPr>
        <w:t>a fortiori</w:t>
      </w:r>
      <w:r>
        <w:rPr>
          <w:rFonts w:ascii="Times New Roman" w:eastAsia="Times New Roman" w:hAnsi="Times New Roman" w:cs="Times New Roman"/>
          <w:noProof/>
          <w:sz w:val="24"/>
          <w:szCs w:val="24"/>
        </w:rPr>
        <w:t xml:space="preserve"> to enforce their right to equal pay. As to </w:t>
      </w:r>
      <w:r>
        <w:rPr>
          <w:rFonts w:ascii="Times New Roman" w:eastAsia="Times New Roman" w:hAnsi="Times New Roman" w:cs="Times New Roman"/>
          <w:i/>
          <w:iCs/>
          <w:noProof/>
          <w:sz w:val="24"/>
          <w:szCs w:val="24"/>
        </w:rPr>
        <w:t>employers</w:t>
      </w:r>
      <w:r>
        <w:rPr>
          <w:rFonts w:ascii="Times New Roman" w:eastAsia="Times New Roman" w:hAnsi="Times New Roman" w:cs="Times New Roman"/>
          <w:noProof/>
          <w:sz w:val="24"/>
          <w:szCs w:val="24"/>
        </w:rPr>
        <w:t xml:space="preserve">, while no remedial action is required unless a claim about unjustified pay differences is made, the measure may nevertheless invite them to look at their pay structures as regards the category/ies of work of equal value for which information is given. </w:t>
      </w:r>
    </w:p>
    <w:p>
      <w:pPr>
        <w:jc w:val="both"/>
        <w:rPr>
          <w:rFonts w:ascii="Times New Roman" w:eastAsia="Times New Roman" w:hAnsi="Times New Roman" w:cs="Times New Roman"/>
          <w:noProof/>
          <w:sz w:val="24"/>
          <w:szCs w:val="24"/>
        </w:rPr>
      </w:pPr>
      <w:r>
        <w:rPr>
          <w:rFonts w:ascii="Times New Roman" w:hAnsi="Times New Roman" w:cs="Times New Roman"/>
          <w:i/>
          <w:iCs/>
          <w:noProof/>
          <w:sz w:val="24"/>
          <w:szCs w:val="24"/>
          <w:lang w:val="en-IE"/>
        </w:rPr>
        <w:t>Conclusion:</w:t>
      </w:r>
      <w:r>
        <w:rPr>
          <w:rFonts w:ascii="Times New Roman" w:hAnsi="Times New Roman" w:cs="Times New Roman"/>
          <w:noProof/>
          <w:sz w:val="24"/>
          <w:szCs w:val="24"/>
          <w:lang w:val="en-IE"/>
        </w:rPr>
        <w:t xml:space="preserve"> </w:t>
      </w:r>
      <w:r>
        <w:rPr>
          <w:rFonts w:ascii="Times New Roman" w:hAnsi="Times New Roman" w:cs="Times New Roman"/>
          <w:noProof/>
          <w:sz w:val="24"/>
          <w:szCs w:val="24"/>
        </w:rPr>
        <w:t>This measure has a positive impact on empowering workers to enforce their fundamental right to equal pay by requiring employers to provide information automatically to workers</w:t>
      </w:r>
      <w:r>
        <w:rPr>
          <w:rFonts w:ascii="Times New Roman" w:eastAsia="Times New Roman" w:hAnsi="Times New Roman" w:cs="Times New Roman"/>
          <w:noProof/>
          <w:sz w:val="24"/>
          <w:szCs w:val="24"/>
        </w:rPr>
        <w:t xml:space="preserve">.  While being effective in reaching the first specific objective, it would be less effective in removing bias in pay structures. In addition, it would impose </w:t>
      </w:r>
      <w:r>
        <w:rPr>
          <w:rFonts w:ascii="Times New Roman" w:hAnsi="Times New Roman" w:cs="Times New Roman"/>
          <w:noProof/>
          <w:sz w:val="24"/>
          <w:szCs w:val="24"/>
        </w:rPr>
        <w:t>a burden of communicating information</w:t>
      </w:r>
      <w:r>
        <w:rPr>
          <w:rFonts w:ascii="Times New Roman" w:eastAsia="Times New Roman" w:hAnsi="Times New Roman" w:cs="Times New Roman"/>
          <w:noProof/>
          <w:sz w:val="24"/>
          <w:szCs w:val="24"/>
        </w:rPr>
        <w:t xml:space="preserve"> to a great number of organisations, including those that may not have a problem of pay inequalities</w:t>
      </w:r>
      <w:r>
        <w:rPr>
          <w:rFonts w:ascii="Times New Roman" w:hAnsi="Times New Roman" w:cs="Times New Roman"/>
          <w:noProof/>
          <w:sz w:val="24"/>
          <w:szCs w:val="24"/>
        </w:rPr>
        <w:t xml:space="preserve">. Therefore, while having a positive impact on protecting the fundamental right to equal pay, this Sub-option may be disproportionate, particularly taking into account the lack of hard data on the extent of the problem. Also, the current economic crisis as a result of the COVID-19 pandemic already puts enterprises under a lot of strain; imposing a broad measure covering all employers, including those that may have no problem, would be difficult to justify at the present time. </w:t>
      </w:r>
    </w:p>
    <w:p>
      <w:pPr>
        <w:pStyle w:val="Heading3"/>
        <w:ind w:left="720"/>
        <w:rPr>
          <w:b/>
          <w:noProof/>
          <w:u w:val="single"/>
          <w:lang w:val="en-US"/>
        </w:rPr>
      </w:pPr>
      <w:r>
        <w:rPr>
          <w:b/>
          <w:bCs/>
          <w:noProof/>
          <w:u w:val="single"/>
          <w:lang w:val="en-US"/>
        </w:rPr>
        <w:t>Sub-option 1B</w:t>
      </w:r>
      <w:r>
        <w:rPr>
          <w:b/>
          <w:bCs/>
          <w:noProof/>
          <w:lang w:val="en-US"/>
        </w:rPr>
        <w:t xml:space="preserve">: </w:t>
      </w:r>
      <w:r>
        <w:rPr>
          <w:b/>
          <w:bCs/>
          <w:noProof/>
          <w:lang w:val="en-IE"/>
        </w:rPr>
        <w:t>Empower workers by granting a right to request pay information</w:t>
      </w:r>
      <w:r>
        <w:rPr>
          <w:b/>
          <w:bCs/>
          <w:noProof/>
          <w:u w:val="single"/>
          <w:lang w:val="en-US"/>
        </w:rPr>
        <w:t xml:space="preserve"> </w:t>
      </w:r>
    </w:p>
    <w:p>
      <w:pPr>
        <w:pStyle w:val="Heading4"/>
        <w:ind w:left="720"/>
        <w:rPr>
          <w:b/>
          <w:i/>
          <w:noProof/>
        </w:rPr>
      </w:pPr>
      <w:r>
        <w:rPr>
          <w:b/>
          <w:bCs/>
          <w:i/>
          <w:iCs/>
          <w:noProof/>
        </w:rPr>
        <w:t>Measure 1: Transparency of salary information prior to employment</w:t>
      </w:r>
    </w:p>
    <w:p>
      <w:pPr>
        <w:pStyle w:val="Text2"/>
        <w:ind w:left="0"/>
        <w:rPr>
          <w:noProof/>
        </w:rPr>
      </w:pPr>
      <w:r>
        <w:rPr>
          <w:noProof/>
        </w:rPr>
        <w:t>As in Sub-option 1A.</w:t>
      </w:r>
    </w:p>
    <w:p>
      <w:pPr>
        <w:pStyle w:val="Heading4"/>
        <w:ind w:left="720"/>
        <w:rPr>
          <w:b/>
          <w:noProof/>
        </w:rPr>
      </w:pPr>
      <w:r>
        <w:rPr>
          <w:b/>
          <w:bCs/>
          <w:i/>
          <w:iCs/>
          <w:noProof/>
        </w:rPr>
        <w:t>Measure</w:t>
      </w:r>
      <w:r>
        <w:rPr>
          <w:b/>
          <w:bCs/>
          <w:noProof/>
        </w:rPr>
        <w:t xml:space="preserve"> </w:t>
      </w:r>
      <w:r>
        <w:rPr>
          <w:b/>
          <w:bCs/>
          <w:i/>
          <w:iCs/>
          <w:noProof/>
        </w:rPr>
        <w:t>2</w:t>
      </w:r>
      <w:r>
        <w:rPr>
          <w:b/>
          <w:bCs/>
          <w:noProof/>
        </w:rPr>
        <w:t xml:space="preserve">: </w:t>
      </w:r>
      <w:r>
        <w:rPr>
          <w:b/>
          <w:bCs/>
          <w:i/>
          <w:iCs/>
          <w:noProof/>
          <w:lang w:val="en-IE"/>
        </w:rPr>
        <w:t>Right of workers to receive individual information on pay compared to their category upon request</w:t>
      </w:r>
      <w:r>
        <w:rPr>
          <w:b/>
          <w:bCs/>
          <w:noProof/>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Under this sub-option, the right to information would only be enforced </w:t>
      </w:r>
      <w:r>
        <w:rPr>
          <w:rFonts w:ascii="Times New Roman" w:hAnsi="Times New Roman" w:cs="Times New Roman"/>
          <w:noProof/>
          <w:sz w:val="24"/>
          <w:szCs w:val="24"/>
          <w:u w:val="single"/>
        </w:rPr>
        <w:t>upon request from a worker</w:t>
      </w:r>
      <w:r>
        <w:rPr>
          <w:rFonts w:ascii="Times New Roman" w:hAnsi="Times New Roman" w:cs="Times New Roman"/>
          <w:noProof/>
          <w:sz w:val="24"/>
          <w:szCs w:val="24"/>
        </w:rPr>
        <w:t xml:space="preserve">. The type of impact of this measure would be the same as for Sub-option 1A; the difference would mainly lie in a lower administrative burden on employers, depending on the number of worker requests; there would be no requirement to pro-actively inform each worker on an annual basis. </w:t>
      </w:r>
    </w:p>
    <w:p>
      <w:pPr>
        <w:jc w:val="both"/>
        <w:rPr>
          <w:rFonts w:ascii="Times New Roman" w:hAnsi="Times New Roman" w:cs="Times New Roman"/>
          <w:noProof/>
          <w:sz w:val="24"/>
          <w:szCs w:val="24"/>
        </w:rPr>
      </w:pPr>
      <w:r>
        <w:rPr>
          <w:rFonts w:ascii="Times New Roman" w:hAnsi="Times New Roman" w:cs="Times New Roman"/>
          <w:i/>
          <w:iCs/>
          <w:noProof/>
          <w:sz w:val="24"/>
          <w:szCs w:val="24"/>
        </w:rPr>
        <w:t>Costs</w:t>
      </w:r>
      <w:r>
        <w:rPr>
          <w:rFonts w:ascii="Times New Roman" w:hAnsi="Times New Roman" w:cs="Times New Roman"/>
          <w:noProof/>
          <w:sz w:val="24"/>
          <w:szCs w:val="24"/>
        </w:rPr>
        <w:t>: It can reasonably be assumed that the communication cost</w:t>
      </w:r>
      <w:r>
        <w:rPr>
          <w:rStyle w:val="FootnoteReference"/>
          <w:rFonts w:ascii="Times New Roman" w:hAnsi="Times New Roman" w:cs="Times New Roman"/>
          <w:noProof/>
          <w:sz w:val="24"/>
          <w:szCs w:val="24"/>
        </w:rPr>
        <w:footnoteReference w:id="147"/>
      </w:r>
      <w:r>
        <w:rPr>
          <w:rFonts w:ascii="Times New Roman" w:hAnsi="Times New Roman" w:cs="Times New Roman"/>
          <w:noProof/>
          <w:sz w:val="24"/>
          <w:szCs w:val="24"/>
        </w:rPr>
        <w:t xml:space="preserve"> for a single request would be proportionally higher than the cost of a single request under Sub-option 1A/ measure 2, as there would be no economies of scale. The total cost per employer would, however, remain below the cost of the automatic right to information, at least up to the point where the loss of economies of scale in replying to single requests would make it more efficient for the company to automatically provide the information to all employees. </w:t>
      </w:r>
    </w:p>
    <w:p>
      <w:pPr>
        <w:jc w:val="both"/>
        <w:rPr>
          <w:rFonts w:ascii="Times New Roman" w:hAnsi="Times New Roman" w:cs="Times New Roman"/>
          <w:noProof/>
          <w:sz w:val="24"/>
          <w:szCs w:val="24"/>
        </w:rPr>
      </w:pPr>
      <w:r>
        <w:rPr>
          <w:rFonts w:ascii="Times New Roman" w:hAnsi="Times New Roman" w:cs="Times New Roman"/>
          <w:noProof/>
          <w:sz w:val="24"/>
          <w:szCs w:val="24"/>
        </w:rPr>
        <w:t>An accurate estimate of the number of requests is not possible</w:t>
      </w:r>
      <w:r>
        <w:rPr>
          <w:rStyle w:val="FootnoteReference"/>
          <w:rFonts w:ascii="Times New Roman" w:hAnsi="Times New Roman" w:cs="Times New Roman"/>
          <w:noProof/>
          <w:sz w:val="24"/>
          <w:szCs w:val="24"/>
        </w:rPr>
        <w:footnoteReference w:id="148"/>
      </w:r>
      <w:r>
        <w:rPr>
          <w:rFonts w:ascii="Times New Roman" w:hAnsi="Times New Roman" w:cs="Times New Roman"/>
          <w:noProof/>
          <w:sz w:val="24"/>
          <w:szCs w:val="24"/>
        </w:rPr>
        <w:t>. Estimating this number requires hypotheses on the percentage of employees that would request the information. This depends on many factors, e.g. the level of awareness about gender pay differences, the perception of gender pay differences being justified or not , the availability of relevant comparators, the fear of victimisation etc. The number would also depend on whether or not this measure is combined with Option 2. Considering that the overall cost is not likely to remain substantial, an estimate is not provided. As a reference, in Germany, the cost of a single request (under the German law) was estimated at 20 EUR</w:t>
      </w:r>
      <w:r>
        <w:rPr>
          <w:rStyle w:val="FootnoteReference"/>
          <w:rFonts w:ascii="Times New Roman" w:hAnsi="Times New Roman" w:cs="Times New Roman"/>
          <w:noProof/>
          <w:sz w:val="24"/>
          <w:szCs w:val="24"/>
        </w:rPr>
        <w:footnoteReference w:id="149"/>
      </w:r>
      <w:r>
        <w:rPr>
          <w:rFonts w:ascii="Times New Roman" w:hAnsi="Times New Roman" w:cs="Times New Roman"/>
          <w:noProof/>
          <w:sz w:val="24"/>
          <w:szCs w:val="24"/>
        </w:rPr>
        <w:t xml:space="preserve"> and a request was filed by 4% of those entitled to ask, i.e. workers in organisations with more than 500 employees (i.e. for a company of 500 employees, the cost of the requests would be of 400 EUR).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For </w:t>
      </w:r>
      <w:r>
        <w:rPr>
          <w:rFonts w:ascii="Times New Roman" w:hAnsi="Times New Roman" w:cs="Times New Roman"/>
          <w:i/>
          <w:iCs/>
          <w:noProof/>
          <w:sz w:val="24"/>
          <w:szCs w:val="24"/>
        </w:rPr>
        <w:t>Member States</w:t>
      </w:r>
      <w:r>
        <w:rPr>
          <w:rFonts w:ascii="Times New Roman" w:hAnsi="Times New Roman" w:cs="Times New Roman"/>
          <w:noProof/>
          <w:sz w:val="24"/>
          <w:szCs w:val="24"/>
        </w:rPr>
        <w:t>: the costs of this measure, as in measure 2 sub-option 1A, would be linked to monitoring compliance and negligible.</w:t>
      </w:r>
    </w:p>
    <w:p>
      <w:pPr>
        <w:jc w:val="both"/>
        <w:rPr>
          <w:rFonts w:ascii="Times New Roman" w:hAnsi="Times New Roman" w:cs="Times New Roman"/>
          <w:noProof/>
          <w:sz w:val="24"/>
          <w:szCs w:val="24"/>
        </w:rPr>
      </w:pPr>
      <w:r>
        <w:rPr>
          <w:rFonts w:ascii="Times New Roman" w:hAnsi="Times New Roman" w:cs="Times New Roman"/>
          <w:i/>
          <w:iCs/>
          <w:noProof/>
          <w:sz w:val="24"/>
          <w:szCs w:val="24"/>
        </w:rPr>
        <w:t>Benefits</w:t>
      </w:r>
      <w:r>
        <w:rPr>
          <w:rFonts w:ascii="Times New Roman" w:hAnsi="Times New Roman" w:cs="Times New Roman"/>
          <w:noProof/>
          <w:sz w:val="24"/>
          <w:szCs w:val="24"/>
        </w:rPr>
        <w:t>: The benefits of this sub-option are, at individual level, of the same nature as in sub-option 1A, insofar as the worker has the possibility to obtain the information relevant to assess potential gender pay discrimination. However, under this Sub-option the responsibility, including risk of victimisation, left to the individual worker is larger as it is the worker who needs to initiate action to uncover gender pay discrimination. This could be countered, however, by alleviating the worker’s burden in accessing justice, especially by further alleviating the burden of proof as in sub-option 1A.</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u w:val="single"/>
        </w:rPr>
        <w:t>Legal change across Member States</w:t>
      </w:r>
      <w:r>
        <w:rPr>
          <w:rFonts w:ascii="Times New Roman" w:hAnsi="Times New Roman" w:cs="Times New Roman"/>
          <w:noProof/>
          <w:sz w:val="24"/>
          <w:szCs w:val="24"/>
        </w:rPr>
        <w:t xml:space="preserve">: The right to request information exists, in various forms, in 10 Member States, either </w:t>
      </w:r>
      <w:r>
        <w:rPr>
          <w:rFonts w:ascii="Times New Roman" w:hAnsi="Times New Roman" w:cs="Times New Roman"/>
          <w:i/>
          <w:iCs/>
          <w:noProof/>
          <w:sz w:val="24"/>
          <w:szCs w:val="24"/>
        </w:rPr>
        <w:t>directly from the employer</w:t>
      </w:r>
      <w:r>
        <w:rPr>
          <w:rFonts w:ascii="Times New Roman" w:hAnsi="Times New Roman" w:cs="Times New Roman"/>
          <w:noProof/>
          <w:sz w:val="24"/>
          <w:szCs w:val="24"/>
        </w:rPr>
        <w:t xml:space="preserve"> </w:t>
      </w:r>
      <w:r>
        <w:rPr>
          <w:rFonts w:ascii="Times New Roman" w:eastAsia="Times New Roman" w:hAnsi="Times New Roman" w:cs="Times New Roman"/>
          <w:noProof/>
          <w:sz w:val="24"/>
          <w:szCs w:val="24"/>
        </w:rPr>
        <w:t>and</w:t>
      </w:r>
      <w:r>
        <w:rPr>
          <w:rFonts w:ascii="Times New Roman" w:hAnsi="Times New Roman" w:cs="Times New Roman"/>
          <w:noProof/>
          <w:sz w:val="24"/>
          <w:szCs w:val="24"/>
        </w:rPr>
        <w:t>/or</w:t>
      </w:r>
      <w:r>
        <w:rPr>
          <w:rFonts w:ascii="Times New Roman" w:eastAsia="Times New Roman" w:hAnsi="Times New Roman" w:cs="Times New Roman"/>
          <w:noProof/>
          <w:sz w:val="24"/>
          <w:szCs w:val="24"/>
        </w:rPr>
        <w:t xml:space="preserve"> </w:t>
      </w:r>
      <w:r>
        <w:rPr>
          <w:rFonts w:ascii="Times New Roman" w:eastAsia="Times New Roman" w:hAnsi="Times New Roman" w:cs="Times New Roman"/>
          <w:i/>
          <w:iCs/>
          <w:noProof/>
          <w:sz w:val="24"/>
          <w:szCs w:val="24"/>
        </w:rPr>
        <w:t>through a third party.</w:t>
      </w:r>
      <w:r>
        <w:rPr>
          <w:rStyle w:val="FootnoteReference"/>
          <w:rFonts w:ascii="Times New Roman" w:eastAsia="Times New Roman" w:hAnsi="Times New Roman" w:cs="Times New Roman"/>
          <w:noProof/>
          <w:sz w:val="24"/>
          <w:szCs w:val="24"/>
        </w:rPr>
        <w:footnoteReference w:id="150"/>
      </w:r>
      <w:r>
        <w:rPr>
          <w:rFonts w:ascii="Times New Roman" w:eastAsia="Times New Roman" w:hAnsi="Times New Roman" w:cs="Times New Roman"/>
          <w:noProof/>
          <w:sz w:val="24"/>
          <w:szCs w:val="24"/>
        </w:rPr>
        <w:t xml:space="preserve"> No major institutional or legal barriers to the implementation of this measure have been highlighted.</w:t>
      </w:r>
    </w:p>
    <w:p>
      <w:pPr>
        <w:jc w:val="both"/>
        <w:rPr>
          <w:rFonts w:ascii="Times New Roman" w:hAnsi="Times New Roman" w:cs="Times New Roman"/>
          <w:noProof/>
          <w:sz w:val="24"/>
          <w:szCs w:val="24"/>
        </w:rPr>
      </w:pPr>
      <w:r>
        <w:rPr>
          <w:rFonts w:ascii="Times New Roman" w:hAnsi="Times New Roman" w:cs="Times New Roman"/>
          <w:i/>
          <w:iCs/>
          <w:noProof/>
          <w:sz w:val="24"/>
          <w:szCs w:val="24"/>
          <w:u w:val="single"/>
        </w:rPr>
        <w:t>Conclusion</w:t>
      </w:r>
      <w:r>
        <w:rPr>
          <w:rFonts w:ascii="Times New Roman" w:hAnsi="Times New Roman" w:cs="Times New Roman"/>
          <w:noProof/>
          <w:sz w:val="24"/>
          <w:szCs w:val="24"/>
        </w:rPr>
        <w:t xml:space="preserve">: This measure has a positive impact on empowering workers to enforce their fundamental right to equal pay. Compared to Sub-option 1A, it shifts the responsibility of triggering transparency on the worker. As such, it may be considered less effective than Sub-option 1A. On the other hand, it gives greater consideration to the proportionality arguments and the lack of knowledge about the size of the problem: it is less demanding for employers and would be more coherent with the current economic recovery policy. In order to counter the lower effectiveness for workers, it could be accompanied by an alleviation of workers’ burden in accessing justice. </w:t>
      </w:r>
    </w:p>
    <w:p>
      <w:pPr>
        <w:pStyle w:val="Heading2"/>
        <w:numPr>
          <w:ilvl w:val="1"/>
          <w:numId w:val="60"/>
        </w:numPr>
        <w:spacing w:after="120"/>
        <w:ind w:left="709" w:hanging="709"/>
        <w:rPr>
          <w:noProof/>
        </w:rPr>
      </w:pPr>
      <w:bookmarkStart w:id="3592" w:name="_Toc58767210"/>
      <w:bookmarkStart w:id="3593" w:name="_Toc58769513"/>
      <w:bookmarkStart w:id="3594" w:name="_Toc58863852"/>
      <w:bookmarkStart w:id="3595" w:name="_Toc58868879"/>
      <w:bookmarkStart w:id="3596" w:name="_Toc58870710"/>
      <w:bookmarkStart w:id="3597" w:name="_Toc58870943"/>
      <w:bookmarkStart w:id="3598" w:name="_Toc58871849"/>
      <w:bookmarkStart w:id="3599" w:name="_Toc58872064"/>
      <w:bookmarkStart w:id="3600" w:name="_Toc58922811"/>
      <w:bookmarkStart w:id="3601" w:name="_Toc58925393"/>
      <w:bookmarkStart w:id="3602" w:name="_Toc58928895"/>
      <w:bookmarkStart w:id="3603" w:name="_Toc58931263"/>
      <w:bookmarkStart w:id="3604" w:name="_Toc58931897"/>
      <w:bookmarkStart w:id="3605" w:name="_Toc58950504"/>
      <w:bookmarkStart w:id="3606" w:name="_Toc58956796"/>
      <w:bookmarkStart w:id="3607" w:name="_Toc58957961"/>
      <w:bookmarkStart w:id="3608" w:name="_Toc58962494"/>
      <w:bookmarkStart w:id="3609" w:name="_Toc59096525"/>
      <w:bookmarkStart w:id="3610" w:name="_Toc59103121"/>
      <w:bookmarkStart w:id="3611" w:name="_Toc59104972"/>
      <w:bookmarkStart w:id="3612" w:name="_Toc59119932"/>
      <w:bookmarkStart w:id="3613" w:name="_Toc59121196"/>
      <w:bookmarkStart w:id="3614" w:name="_Toc59121315"/>
      <w:bookmarkStart w:id="3615" w:name="_Toc59549368"/>
      <w:bookmarkStart w:id="3616" w:name="_Toc59642321"/>
      <w:r>
        <w:rPr>
          <w:noProof/>
        </w:rPr>
        <w:t>Option 2: Legislative action to create transparency at employer level</w:t>
      </w:r>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p>
    <w:p>
      <w:pPr>
        <w:jc w:val="both"/>
        <w:rPr>
          <w:noProof/>
        </w:rPr>
      </w:pPr>
      <w:r>
        <w:rPr>
          <w:rFonts w:ascii="Times New Roman" w:hAnsi="Times New Roman" w:cs="Times New Roman"/>
          <w:noProof/>
          <w:sz w:val="24"/>
          <w:szCs w:val="24"/>
        </w:rPr>
        <w:t xml:space="preserve">The </w:t>
      </w:r>
      <w:r>
        <w:rPr>
          <w:rFonts w:ascii="Times New Roman" w:eastAsia="Times New Roman" w:hAnsi="Times New Roman" w:cs="Times New Roman"/>
          <w:noProof/>
          <w:sz w:val="24"/>
          <w:szCs w:val="24"/>
        </w:rPr>
        <w:t>policy sub-options</w:t>
      </w:r>
      <w:r>
        <w:rPr>
          <w:rFonts w:ascii="Times New Roman" w:hAnsi="Times New Roman" w:cs="Times New Roman"/>
          <w:noProof/>
          <w:sz w:val="24"/>
          <w:szCs w:val="24"/>
        </w:rPr>
        <w:t xml:space="preserve"> identified in this section aim at realising mainly the specific objective of  </w:t>
      </w:r>
      <w:r>
        <w:rPr>
          <w:rFonts w:ascii="Times New Roman" w:eastAsia="Times New Roman" w:hAnsi="Times New Roman" w:cs="Times New Roman"/>
          <w:i/>
          <w:iCs/>
          <w:noProof/>
          <w:sz w:val="24"/>
          <w:szCs w:val="24"/>
        </w:rPr>
        <w:t>addressing a systemic undervaluation of women’s work at employer level</w:t>
      </w:r>
      <w:r>
        <w:rPr>
          <w:rFonts w:ascii="Times New Roman" w:hAnsi="Times New Roman" w:cs="Times New Roman"/>
          <w:noProof/>
          <w:sz w:val="24"/>
          <w:szCs w:val="24"/>
        </w:rPr>
        <w:t xml:space="preserve"> by reducing the scope for gender pay discrimination attracting management’s attention to possible gender pay inequalities in wage structures. This recognises that pay inequalities do not only concern individual workers comparing their pay to co-workers of the other sex carrying out the same work or work of equal value, but can be embedded in a systemic way in the pay structures of an organisation, which may not value all relevant skills, and/or do so in a discriminatory manner. </w:t>
      </w:r>
    </w:p>
    <w:p>
      <w:pPr>
        <w:pStyle w:val="Heading3"/>
        <w:ind w:left="0" w:firstLine="0"/>
        <w:rPr>
          <w:b/>
          <w:noProof/>
          <w:u w:val="single"/>
        </w:rPr>
      </w:pPr>
      <w:r>
        <w:rPr>
          <w:b/>
          <w:bCs/>
          <w:noProof/>
          <w:u w:val="single"/>
        </w:rPr>
        <w:t xml:space="preserve">Sub-option 2A: Equal pay certification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This certification,  as developed in Iceland, ensures that ‘women and men, working for the same employer, are paid equal wages and enjoyed equal terms of employment for the same jobs or jobs of equal value, unless such differences can be justified by relevant considerations’. (IST 85). </w:t>
      </w:r>
    </w:p>
    <w:p>
      <w:pPr>
        <w:jc w:val="both"/>
        <w:rPr>
          <w:rFonts w:ascii="Times New Roman" w:hAnsi="Times New Roman" w:cs="Times New Roman"/>
          <w:noProof/>
          <w:sz w:val="24"/>
          <w:szCs w:val="24"/>
        </w:rPr>
      </w:pPr>
      <w:r>
        <w:rPr>
          <w:rFonts w:ascii="Times New Roman" w:eastAsia="Times New Roman" w:hAnsi="Times New Roman" w:cs="Times New Roman"/>
          <w:i/>
          <w:iCs/>
          <w:noProof/>
          <w:color w:val="000000"/>
          <w:sz w:val="24"/>
          <w:szCs w:val="24"/>
        </w:rPr>
        <w:t>Small employers’ exemption:</w:t>
      </w:r>
      <w:r>
        <w:rPr>
          <w:rFonts w:ascii="Times New Roman" w:hAnsi="Times New Roman" w:cs="Times New Roman"/>
          <w:noProof/>
          <w:sz w:val="24"/>
          <w:szCs w:val="24"/>
        </w:rPr>
        <w:t xml:space="preserve"> The application of the standard in SMEs may be hampered by the lack of formal human resource practices (e.g. where each member of staff carries out multiple tasks and there exists no HR management) or may require hiring specialised staff. The measure may therefore involve proportionally more costs. In Iceland the measure applies to employers with more than 25 workers – a threshold which also applies for the obligation to develop equality plans at employer level – and follows a very strong and sustained political commitment at political level. To limit the burden which certification may bring for smaller employers and in coherence with the other envisaged measures, we rather propose a threshold of </w:t>
      </w:r>
      <w:r>
        <w:rPr>
          <w:rFonts w:ascii="Times New Roman" w:hAnsi="Times New Roman" w:cs="Times New Roman"/>
          <w:b/>
          <w:bCs/>
          <w:noProof/>
          <w:sz w:val="24"/>
          <w:szCs w:val="24"/>
        </w:rPr>
        <w:t>at least 50 employees</w:t>
      </w:r>
      <w:r>
        <w:rPr>
          <w:rFonts w:ascii="Times New Roman" w:hAnsi="Times New Roman" w:cs="Times New Roman"/>
          <w:noProof/>
          <w:sz w:val="24"/>
          <w:szCs w:val="24"/>
        </w:rPr>
        <w:t xml:space="preserve">, which allows to </w:t>
      </w:r>
      <w:r>
        <w:rPr>
          <w:rFonts w:ascii="Times New Roman" w:hAnsi="Times New Roman" w:cs="Times New Roman"/>
          <w:b/>
          <w:bCs/>
          <w:noProof/>
          <w:sz w:val="24"/>
          <w:szCs w:val="24"/>
        </w:rPr>
        <w:t>cover 50% of the EU27 workforce</w:t>
      </w:r>
      <w:r>
        <w:rPr>
          <w:rFonts w:ascii="Times New Roman" w:hAnsi="Times New Roman" w:cs="Times New Roman"/>
          <w:noProof/>
          <w:sz w:val="24"/>
          <w:szCs w:val="24"/>
        </w:rPr>
        <w:t>. Again, also in Iceland it appears that the decision on the threshold ultimately was a political decision, balancing workers’ coverage with employers’ burden. This balance also depends on the distribution of workers by employer size, which explains why a higher threshold may be justified in the EU than in Iceland.</w:t>
      </w:r>
    </w:p>
    <w:p>
      <w:pPr>
        <w:jc w:val="both"/>
        <w:rPr>
          <w:rFonts w:ascii="Times New Roman" w:hAnsi="Times New Roman" w:cs="Times New Roman"/>
          <w:noProof/>
          <w:sz w:val="24"/>
          <w:szCs w:val="24"/>
        </w:rPr>
      </w:pPr>
      <w:r>
        <w:rPr>
          <w:rFonts w:ascii="Times New Roman" w:hAnsi="Times New Roman" w:cs="Times New Roman"/>
          <w:i/>
          <w:iCs/>
          <w:noProof/>
          <w:sz w:val="24"/>
          <w:szCs w:val="24"/>
        </w:rPr>
        <w:t>Costs</w:t>
      </w:r>
      <w:r>
        <w:rPr>
          <w:rFonts w:ascii="Times New Roman" w:hAnsi="Times New Roman" w:cs="Times New Roman"/>
          <w:noProof/>
          <w:sz w:val="24"/>
          <w:szCs w:val="24"/>
        </w:rPr>
        <w:t xml:space="preserve"> – The requirement currently exists only in Iceland. It was introduced without a formal impact assessment (See </w:t>
      </w:r>
      <w:r>
        <w:rPr>
          <w:rFonts w:ascii="Times New Roman" w:hAnsi="Times New Roman" w:cs="Times New Roman"/>
          <w:i/>
          <w:iCs/>
          <w:noProof/>
          <w:sz w:val="24"/>
          <w:szCs w:val="24"/>
        </w:rPr>
        <w:t>Annex 5, section</w:t>
      </w:r>
      <w:r>
        <w:rPr>
          <w:rFonts w:ascii="Times New Roman" w:hAnsi="Times New Roman" w:cs="Times New Roman"/>
          <w:noProof/>
          <w:sz w:val="24"/>
          <w:szCs w:val="24"/>
        </w:rPr>
        <w:t xml:space="preserve"> </w:t>
      </w:r>
      <w:r>
        <w:rPr>
          <w:rFonts w:ascii="Times New Roman" w:hAnsi="Times New Roman" w:cs="Times New Roman"/>
          <w:i/>
          <w:iCs/>
          <w:noProof/>
          <w:sz w:val="24"/>
          <w:szCs w:val="24"/>
        </w:rPr>
        <w:t xml:space="preserve">9 </w:t>
      </w:r>
      <w:r>
        <w:rPr>
          <w:rFonts w:ascii="Times New Roman" w:hAnsi="Times New Roman" w:cs="Times New Roman"/>
          <w:noProof/>
          <w:sz w:val="24"/>
          <w:szCs w:val="24"/>
        </w:rPr>
        <w:t>for details) and the implementation is still being rolled out, so there is no comprehensive evaluation yet. Empirical data are also scarce. The estimates of costs are based on preliminary information from employers having already applied the scheme, as shared in a Mutual Learning Seminar organised by Icelandic authorities in 2019.</w:t>
      </w:r>
    </w:p>
    <w:p>
      <w:pPr>
        <w:jc w:val="both"/>
        <w:rPr>
          <w:rFonts w:ascii="Times New Roman" w:hAnsi="Times New Roman" w:cs="Times New Roman"/>
          <w:i/>
          <w:noProof/>
          <w:sz w:val="24"/>
          <w:szCs w:val="24"/>
        </w:rPr>
      </w:pPr>
      <w:r>
        <w:rPr>
          <w:rFonts w:ascii="Times New Roman" w:hAnsi="Times New Roman" w:cs="Times New Roman"/>
          <w:i/>
          <w:iCs/>
          <w:noProof/>
          <w:sz w:val="24"/>
          <w:szCs w:val="24"/>
        </w:rPr>
        <w:t xml:space="preserve">For national administrations. </w:t>
      </w:r>
      <w:r>
        <w:rPr>
          <w:rFonts w:ascii="Times New Roman" w:hAnsi="Times New Roman" w:cs="Times New Roman"/>
          <w:noProof/>
          <w:sz w:val="24"/>
          <w:szCs w:val="24"/>
        </w:rPr>
        <w:t>This option is the most demanding among those proposed. As the standard was developed by Icelandic Standards</w:t>
      </w:r>
      <w:r>
        <w:rPr>
          <w:rFonts w:ascii="Times New Roman" w:hAnsi="Times New Roman" w:cs="Times New Roman"/>
          <w:noProof/>
          <w:color w:val="333333"/>
          <w:sz w:val="24"/>
          <w:szCs w:val="24"/>
        </w:rPr>
        <w:t xml:space="preserve">, </w:t>
      </w:r>
      <w:r>
        <w:rPr>
          <w:rFonts w:ascii="Times New Roman" w:hAnsi="Times New Roman" w:cs="Times New Roman"/>
          <w:noProof/>
          <w:sz w:val="24"/>
          <w:szCs w:val="24"/>
        </w:rPr>
        <w:t xml:space="preserve">national administrations/social partners incur no costs beyond negligible adaptations to each country’s specific labour market and labour laws. However, a public authority must be tasked to manage the scheme, i.e. organise the accreditation of auditors, keep the companies’ register, possibly control the use of a logo, monitor application and levy possible sanctions in case of non-respect of the standard. This function could be carried out by an existing body or department in a ministry or an entirely new body, which could presumably also take up additional tasks related to gender equality in general. Extrapolating the cost for a voluntary labelling scheme computed in the impact assessment carried out for the 2014 Recommendation, the cost of setting up a </w:t>
      </w:r>
      <w:r>
        <w:rPr>
          <w:rFonts w:ascii="Times New Roman" w:hAnsi="Times New Roman" w:cs="Times New Roman"/>
          <w:b/>
          <w:bCs/>
          <w:noProof/>
          <w:sz w:val="24"/>
          <w:szCs w:val="24"/>
        </w:rPr>
        <w:t xml:space="preserve">new dedicated body </w:t>
      </w:r>
      <w:r>
        <w:rPr>
          <w:rFonts w:ascii="Times New Roman" w:hAnsi="Times New Roman" w:cs="Times New Roman"/>
          <w:noProof/>
          <w:sz w:val="24"/>
          <w:szCs w:val="24"/>
        </w:rPr>
        <w:t>may be estimated in current prices at</w:t>
      </w:r>
      <w:r>
        <w:rPr>
          <w:rFonts w:ascii="Times New Roman" w:hAnsi="Times New Roman" w:cs="Times New Roman"/>
          <w:b/>
          <w:bCs/>
          <w:noProof/>
          <w:sz w:val="24"/>
          <w:szCs w:val="24"/>
        </w:rPr>
        <w:t xml:space="preserve"> 190,000 EUR</w:t>
      </w:r>
      <w:r>
        <w:rPr>
          <w:rStyle w:val="FootnoteReference"/>
          <w:rFonts w:ascii="Times New Roman" w:hAnsi="Times New Roman" w:cs="Times New Roman"/>
          <w:b/>
          <w:bCs/>
          <w:noProof/>
          <w:sz w:val="24"/>
          <w:szCs w:val="24"/>
        </w:rPr>
        <w:footnoteReference w:id="151"/>
      </w:r>
      <w:r>
        <w:rPr>
          <w:rFonts w:ascii="Times New Roman" w:hAnsi="Times New Roman" w:cs="Times New Roman"/>
          <w:b/>
          <w:bCs/>
          <w:noProof/>
          <w:sz w:val="24"/>
          <w:szCs w:val="24"/>
        </w:rPr>
        <w:t xml:space="preserve">. </w:t>
      </w:r>
      <w:r>
        <w:rPr>
          <w:rFonts w:ascii="Times New Roman" w:hAnsi="Times New Roman" w:cs="Times New Roman"/>
          <w:noProof/>
          <w:sz w:val="24"/>
          <w:szCs w:val="24"/>
        </w:rPr>
        <w:t xml:space="preserve">This cost, if incurred, would come </w:t>
      </w:r>
      <w:r>
        <w:rPr>
          <w:rFonts w:ascii="Times New Roman" w:hAnsi="Times New Roman" w:cs="Times New Roman"/>
          <w:b/>
          <w:bCs/>
          <w:noProof/>
          <w:sz w:val="24"/>
          <w:szCs w:val="24"/>
        </w:rPr>
        <w:t>in addition</w:t>
      </w:r>
      <w:r>
        <w:rPr>
          <w:rFonts w:ascii="Times New Roman" w:hAnsi="Times New Roman" w:cs="Times New Roman"/>
          <w:noProof/>
          <w:sz w:val="24"/>
          <w:szCs w:val="24"/>
        </w:rPr>
        <w:t xml:space="preserve"> to the costs estimated for monitoring compliance, i.e. a one-off cost of </w:t>
      </w:r>
      <w:r>
        <w:rPr>
          <w:rFonts w:ascii="Times New Roman" w:hAnsi="Times New Roman" w:cs="Times New Roman"/>
          <w:b/>
          <w:bCs/>
          <w:noProof/>
          <w:sz w:val="24"/>
          <w:szCs w:val="24"/>
        </w:rPr>
        <w:t>around 400,000 EUR for setting up a database and website and a recurrent maintenance cost of around 50,000 EUR</w:t>
      </w:r>
      <w:r>
        <w:rPr>
          <w:rFonts w:ascii="Times New Roman" w:hAnsi="Times New Roman" w:cs="Times New Roman"/>
          <w:noProof/>
          <w:sz w:val="24"/>
          <w:szCs w:val="24"/>
        </w:rPr>
        <w:t xml:space="preserve"> </w:t>
      </w:r>
      <w:r>
        <w:rPr>
          <w:rFonts w:ascii="Times New Roman" w:hAnsi="Times New Roman" w:cs="Times New Roman"/>
          <w:b/>
          <w:bCs/>
          <w:noProof/>
          <w:sz w:val="24"/>
          <w:szCs w:val="24"/>
        </w:rPr>
        <w:t xml:space="preserve">annually. </w:t>
      </w:r>
      <w:r>
        <w:rPr>
          <w:rFonts w:ascii="Times New Roman" w:hAnsi="Times New Roman" w:cs="Times New Roman"/>
          <w:noProof/>
          <w:sz w:val="24"/>
          <w:szCs w:val="24"/>
        </w:rPr>
        <w:t xml:space="preserve">Running costs would depend on the number of new employees assigned to these functions. </w:t>
      </w:r>
    </w:p>
    <w:p>
      <w:pPr>
        <w:jc w:val="both"/>
        <w:rPr>
          <w:rFonts w:ascii="Times New Roman" w:hAnsi="Times New Roman" w:cs="Times New Roman"/>
          <w:noProof/>
          <w:sz w:val="24"/>
          <w:szCs w:val="24"/>
        </w:rPr>
      </w:pPr>
      <w:r>
        <w:rPr>
          <w:rFonts w:ascii="Times New Roman" w:hAnsi="Times New Roman" w:cs="Times New Roman"/>
          <w:i/>
          <w:iCs/>
          <w:noProof/>
          <w:sz w:val="24"/>
          <w:szCs w:val="24"/>
        </w:rPr>
        <w:t>For employers</w:t>
      </w:r>
      <w:r>
        <w:rPr>
          <w:rFonts w:ascii="Times New Roman" w:hAnsi="Times New Roman" w:cs="Times New Roman"/>
          <w:noProof/>
          <w:sz w:val="24"/>
          <w:szCs w:val="24"/>
        </w:rPr>
        <w:t xml:space="preserve"> - A certification is more demanding than a pay reporting or a joint pay assessment presented under the next Sub-options, especially in terms of time invested and burden on the part of employers</w:t>
      </w:r>
      <w:r>
        <w:rPr>
          <w:rStyle w:val="FootnoteReference"/>
          <w:rFonts w:ascii="Times New Roman" w:hAnsi="Times New Roman" w:cs="Times New Roman"/>
          <w:noProof/>
          <w:sz w:val="24"/>
          <w:szCs w:val="24"/>
        </w:rPr>
        <w:footnoteReference w:id="152"/>
      </w:r>
      <w:r>
        <w:rPr>
          <w:rFonts w:ascii="Times New Roman" w:hAnsi="Times New Roman" w:cs="Times New Roman"/>
          <w:noProof/>
          <w:sz w:val="24"/>
          <w:szCs w:val="24"/>
        </w:rPr>
        <w:t>. Interestingly, according to unpublished information from a survey among the first employers that introduced the standard in Iceland, it appears that employers at the beginning of the process had overestimated the costs but underestimated the time and efforts needed for the implementation</w:t>
      </w:r>
      <w:r>
        <w:rPr>
          <w:rStyle w:val="FootnoteReference"/>
          <w:rFonts w:ascii="Times New Roman" w:hAnsi="Times New Roman" w:cs="Times New Roman"/>
          <w:noProof/>
          <w:sz w:val="24"/>
          <w:szCs w:val="24"/>
        </w:rPr>
        <w:footnoteReference w:id="153"/>
      </w:r>
      <w:r>
        <w:rPr>
          <w:rFonts w:ascii="Times New Roman" w:hAnsi="Times New Roman" w:cs="Times New Roman"/>
          <w:noProof/>
          <w:sz w:val="24"/>
          <w:szCs w:val="24"/>
        </w:rPr>
        <w:t xml:space="preserve">. The main reported challenges were the job classification, the implementation of procedures, the lack of time for implementation, and the certification process itself. The financial cost was not among the main challenges cited by employers; it was named only on 8th place out of a choice of 11 factors. Employers that already apply other management quality standards can build on those and reduce costs. Moreover, after the initial cost, the costs are likely to be significantly lower in the following years. </w:t>
      </w:r>
    </w:p>
    <w:p>
      <w:pPr>
        <w:jc w:val="both"/>
        <w:rPr>
          <w:rFonts w:ascii="Times New Roman" w:hAnsi="Times New Roman" w:cs="Times New Roman"/>
          <w:noProof/>
          <w:sz w:val="24"/>
          <w:szCs w:val="24"/>
        </w:rPr>
      </w:pPr>
      <w:r>
        <w:rPr>
          <w:rFonts w:ascii="Times New Roman" w:hAnsi="Times New Roman" w:cs="Times New Roman"/>
          <w:noProof/>
          <w:sz w:val="24"/>
          <w:szCs w:val="24"/>
        </w:rPr>
        <w:t>The estimated cost is relatively high (and substantially higher than for the other Sub-options presented below):</w:t>
      </w:r>
      <w:r>
        <w:rPr>
          <w:rFonts w:ascii="Times New Roman" w:hAnsi="Times New Roman" w:cs="Times New Roman"/>
          <w:b/>
          <w:bCs/>
          <w:noProof/>
          <w:sz w:val="24"/>
          <w:szCs w:val="24"/>
        </w:rPr>
        <w:t xml:space="preserve"> between a minimum of 2.2 and a maximum 3.4 billion EUR for all companies with at least 50 employees, i.e. an average cost per employer between a minimum of 5,791 and 13,136 EUR and a maximum between 8,301 and 24,512 EUR depending on the size of the organisation</w:t>
      </w:r>
      <w:r>
        <w:rPr>
          <w:rFonts w:ascii="Times New Roman" w:hAnsi="Times New Roman" w:cs="Times New Roman"/>
          <w:noProof/>
          <w:sz w:val="24"/>
          <w:szCs w:val="24"/>
        </w:rPr>
        <w:t>.</w:t>
      </w:r>
      <w:r>
        <w:rPr>
          <w:rFonts w:ascii="Times New Roman" w:hAnsi="Times New Roman" w:cs="Times New Roman"/>
          <w:b/>
          <w:bCs/>
          <w:noProof/>
          <w:sz w:val="24"/>
          <w:szCs w:val="24"/>
        </w:rPr>
        <w:t xml:space="preserve"> </w:t>
      </w:r>
      <w:r>
        <w:rPr>
          <w:rFonts w:ascii="Times New Roman" w:hAnsi="Times New Roman" w:cs="Times New Roman"/>
          <w:noProof/>
          <w:sz w:val="24"/>
          <w:szCs w:val="24"/>
        </w:rPr>
        <w:t xml:space="preserve">For comparison, the estimated costs of an audit in the UK impact assessment on the national pay transparency measures was around 15,000 EUR. The impact assessment for the 2014 Recommendation estimated an actualised amount of between 1,500 and 5,600 EUR, depending on the size of employer, for applying a voluntary labelling scheme. Finally, the more employers apply the scheme the lower the consultancy fees are likely to be. </w:t>
      </w:r>
    </w:p>
    <w:p>
      <w:pPr>
        <w:jc w:val="both"/>
        <w:rPr>
          <w:rFonts w:ascii="Times New Roman" w:hAnsi="Times New Roman" w:cs="Times New Roman"/>
          <w:noProof/>
          <w:sz w:val="24"/>
          <w:szCs w:val="24"/>
        </w:rPr>
      </w:pPr>
      <w:r>
        <w:rPr>
          <w:rFonts w:ascii="Times New Roman" w:hAnsi="Times New Roman" w:cs="Times New Roman"/>
          <w:i/>
          <w:iCs/>
          <w:noProof/>
          <w:sz w:val="24"/>
          <w:szCs w:val="24"/>
        </w:rPr>
        <w:t>Benefits</w:t>
      </w:r>
      <w:r>
        <w:rPr>
          <w:rFonts w:ascii="Times New Roman" w:hAnsi="Times New Roman" w:cs="Times New Roman"/>
          <w:noProof/>
          <w:sz w:val="24"/>
          <w:szCs w:val="24"/>
        </w:rPr>
        <w:t xml:space="preserve"> – Based on the experience from Iceland, there are indications of behavioural changes triggered by the certification. Most surveyed employers</w:t>
      </w:r>
      <w:r>
        <w:rPr>
          <w:rStyle w:val="FootnoteReference"/>
          <w:rFonts w:ascii="Times New Roman" w:hAnsi="Times New Roman" w:cs="Times New Roman"/>
          <w:noProof/>
          <w:sz w:val="24"/>
          <w:szCs w:val="24"/>
        </w:rPr>
        <w:footnoteReference w:id="154"/>
      </w:r>
      <w:r>
        <w:rPr>
          <w:rFonts w:ascii="Times New Roman" w:hAnsi="Times New Roman" w:cs="Times New Roman"/>
          <w:noProof/>
          <w:sz w:val="24"/>
          <w:szCs w:val="24"/>
        </w:rPr>
        <w:t xml:space="preserve"> are satisfied with the standard: it </w:t>
      </w:r>
      <w:r>
        <w:rPr>
          <w:rFonts w:ascii="Times New Roman" w:hAnsi="Times New Roman" w:cs="Times New Roman"/>
          <w:b/>
          <w:bCs/>
          <w:noProof/>
          <w:sz w:val="24"/>
          <w:szCs w:val="24"/>
        </w:rPr>
        <w:t xml:space="preserve">increased the quality of human resource management and pay systems </w:t>
      </w:r>
      <w:r>
        <w:rPr>
          <w:rFonts w:ascii="Times New Roman" w:hAnsi="Times New Roman" w:cs="Times New Roman"/>
          <w:noProof/>
          <w:sz w:val="24"/>
          <w:szCs w:val="24"/>
        </w:rPr>
        <w:t xml:space="preserve">and </w:t>
      </w:r>
      <w:r>
        <w:rPr>
          <w:rFonts w:ascii="Times New Roman" w:hAnsi="Times New Roman" w:cs="Times New Roman"/>
          <w:b/>
          <w:bCs/>
          <w:noProof/>
          <w:sz w:val="24"/>
          <w:szCs w:val="24"/>
        </w:rPr>
        <w:t>highlighted pay inequalities</w:t>
      </w:r>
      <w:r>
        <w:rPr>
          <w:rFonts w:ascii="Times New Roman" w:hAnsi="Times New Roman" w:cs="Times New Roman"/>
          <w:noProof/>
          <w:sz w:val="24"/>
          <w:szCs w:val="24"/>
        </w:rPr>
        <w:t xml:space="preserve"> as well as </w:t>
      </w:r>
      <w:r>
        <w:rPr>
          <w:rFonts w:ascii="Times New Roman" w:hAnsi="Times New Roman" w:cs="Times New Roman"/>
          <w:b/>
          <w:bCs/>
          <w:noProof/>
          <w:sz w:val="24"/>
          <w:szCs w:val="24"/>
        </w:rPr>
        <w:t>the intersectional dimension of discrimination</w:t>
      </w:r>
      <w:r>
        <w:rPr>
          <w:rFonts w:ascii="Times New Roman" w:hAnsi="Times New Roman" w:cs="Times New Roman"/>
          <w:noProof/>
          <w:sz w:val="24"/>
          <w:szCs w:val="24"/>
        </w:rPr>
        <w:t xml:space="preserve">. Employers are able to </w:t>
      </w:r>
      <w:r>
        <w:rPr>
          <w:rFonts w:ascii="Times New Roman" w:hAnsi="Times New Roman" w:cs="Times New Roman"/>
          <w:b/>
          <w:bCs/>
          <w:noProof/>
          <w:sz w:val="24"/>
          <w:szCs w:val="24"/>
        </w:rPr>
        <w:t>improve their job evaluation</w:t>
      </w:r>
      <w:r>
        <w:rPr>
          <w:rStyle w:val="FootnoteReference"/>
          <w:rFonts w:ascii="Times New Roman" w:hAnsi="Times New Roman" w:cs="Times New Roman"/>
          <w:b/>
          <w:bCs/>
          <w:noProof/>
          <w:sz w:val="24"/>
          <w:szCs w:val="24"/>
        </w:rPr>
        <w:footnoteReference w:id="155"/>
      </w:r>
      <w:r>
        <w:rPr>
          <w:rFonts w:ascii="Times New Roman" w:hAnsi="Times New Roman" w:cs="Times New Roman"/>
          <w:b/>
          <w:bCs/>
          <w:noProof/>
          <w:sz w:val="24"/>
          <w:szCs w:val="24"/>
        </w:rPr>
        <w:t xml:space="preserve"> systems and correct undervalued salaries</w:t>
      </w:r>
      <w:r>
        <w:rPr>
          <w:rFonts w:ascii="Times New Roman" w:hAnsi="Times New Roman" w:cs="Times New Roman"/>
          <w:noProof/>
          <w:sz w:val="24"/>
          <w:szCs w:val="24"/>
        </w:rPr>
        <w:t xml:space="preserve">. 60% of the surveyed employers corrected salaries of specific people and 11% corrected it for wage groups. 1/3 made improvements to the evaluation system or reviewed the salary system, and ¼ changed job titles or reviewed perks and bonuses. One-third of respondents also looked at </w:t>
      </w:r>
      <w:r>
        <w:rPr>
          <w:rFonts w:ascii="Times New Roman" w:hAnsi="Times New Roman" w:cs="Times New Roman"/>
          <w:b/>
          <w:bCs/>
          <w:noProof/>
          <w:sz w:val="24"/>
          <w:szCs w:val="24"/>
        </w:rPr>
        <w:t>equality factors not strictly required by the standard</w:t>
      </w:r>
      <w:r>
        <w:rPr>
          <w:rFonts w:ascii="Times New Roman" w:hAnsi="Times New Roman" w:cs="Times New Roman"/>
          <w:noProof/>
          <w:sz w:val="24"/>
          <w:szCs w:val="24"/>
        </w:rPr>
        <w:t xml:space="preserve">, e.g. number of women administrators, appointments to boards and committees, gender ratio in job classification, training and other professional growth opportunities within the job. Finally, over 30% which did not previously have any </w:t>
      </w:r>
      <w:r>
        <w:rPr>
          <w:rFonts w:ascii="Times New Roman" w:hAnsi="Times New Roman" w:cs="Times New Roman"/>
          <w:b/>
          <w:bCs/>
          <w:noProof/>
          <w:sz w:val="24"/>
          <w:szCs w:val="24"/>
        </w:rPr>
        <w:t>written procedures or quality systems</w:t>
      </w:r>
      <w:r>
        <w:rPr>
          <w:rFonts w:ascii="Times New Roman" w:hAnsi="Times New Roman" w:cs="Times New Roman"/>
          <w:noProof/>
          <w:sz w:val="24"/>
          <w:szCs w:val="24"/>
        </w:rPr>
        <w:t xml:space="preserve"> developed them according to the standard. These findings correspond to the objective of the Standard to have better organised and formalised remuneration practices. The whole process required the involvement of senior management and reinforced the priority given to equality within the employer. Other benefits included increased </w:t>
      </w:r>
      <w:r>
        <w:rPr>
          <w:rFonts w:ascii="Times New Roman" w:hAnsi="Times New Roman" w:cs="Times New Roman"/>
          <w:b/>
          <w:bCs/>
          <w:noProof/>
          <w:sz w:val="24"/>
          <w:szCs w:val="24"/>
        </w:rPr>
        <w:t>employee satisfaction</w:t>
      </w:r>
      <w:r>
        <w:rPr>
          <w:rFonts w:ascii="Times New Roman" w:hAnsi="Times New Roman" w:cs="Times New Roman"/>
          <w:noProof/>
          <w:sz w:val="24"/>
          <w:szCs w:val="24"/>
        </w:rPr>
        <w:t xml:space="preserve"> and a </w:t>
      </w:r>
      <w:r>
        <w:rPr>
          <w:rFonts w:ascii="Times New Roman" w:hAnsi="Times New Roman" w:cs="Times New Roman"/>
          <w:b/>
          <w:bCs/>
          <w:noProof/>
          <w:sz w:val="24"/>
          <w:szCs w:val="24"/>
        </w:rPr>
        <w:t>reduction in staff turnover</w:t>
      </w:r>
      <w:r>
        <w:rPr>
          <w:rFonts w:ascii="Times New Roman" w:hAnsi="Times New Roman" w:cs="Times New Roman"/>
          <w:noProof/>
          <w:sz w:val="24"/>
          <w:szCs w:val="24"/>
        </w:rPr>
        <w:t>. We can expect that similar benefits would come from an application at EU level.</w:t>
      </w:r>
    </w:p>
    <w:p>
      <w:pPr>
        <w:jc w:val="both"/>
        <w:rPr>
          <w:rFonts w:ascii="Times New Roman" w:hAnsi="Times New Roman" w:cs="Times New Roman"/>
          <w:noProof/>
          <w:sz w:val="24"/>
          <w:szCs w:val="24"/>
        </w:rPr>
      </w:pPr>
      <w:r>
        <w:rPr>
          <w:rFonts w:ascii="Times New Roman" w:hAnsi="Times New Roman" w:cs="Times New Roman"/>
          <w:i/>
          <w:iCs/>
          <w:noProof/>
          <w:sz w:val="24"/>
          <w:szCs w:val="24"/>
        </w:rPr>
        <w:t>Conclusion:</w:t>
      </w:r>
      <w:r>
        <w:rPr>
          <w:rFonts w:ascii="Times New Roman" w:hAnsi="Times New Roman" w:cs="Times New Roman"/>
          <w:noProof/>
          <w:sz w:val="24"/>
          <w:szCs w:val="24"/>
        </w:rPr>
        <w:t xml:space="preserve"> This option would in principle eliminate any difference (at employer level) in pay by gender not linked to objective factors (including gender-neutral factors specific to the position or to the worker). As such, it would in particular address a systemic undervaluation of women’s work and remove hidden gender bias. It would also be very visible and increase awareness of the equal pay principle. Theoretically, there should not even be a further need to empower workers in organisations covered by certification nor to increase access to justice as the absence of differences in pay linked to gender bias is certified </w:t>
      </w:r>
      <w:r>
        <w:rPr>
          <w:rFonts w:ascii="Times New Roman" w:hAnsi="Times New Roman" w:cs="Times New Roman"/>
          <w:i/>
          <w:iCs/>
          <w:noProof/>
          <w:sz w:val="24"/>
          <w:szCs w:val="24"/>
        </w:rPr>
        <w:t>ex ante</w:t>
      </w:r>
      <w:r>
        <w:rPr>
          <w:rFonts w:ascii="Times New Roman" w:hAnsi="Times New Roman" w:cs="Times New Roman"/>
          <w:noProof/>
          <w:sz w:val="24"/>
          <w:szCs w:val="24"/>
        </w:rPr>
        <w:t xml:space="preserve">. In order to guarantee the right to equal pay also in smaller organisations, this option could be combined with Sub-option 1B, especially Measure 2, which ensures that workers always have access to pay information relevant to assess whether they may be victim of pay discrimination. Nevertheless, it might be that the great visibility of the measure might already motivate smaller employers to comply voluntarily with the Equal pay standard, which would reduce the number of individual requests. To optimise its effectiveness, the certification could be supported by a clarification of the key legal concepts relating to ‘pay’ and ‘equal value’ (see </w:t>
      </w:r>
      <w:r>
        <w:rPr>
          <w:rFonts w:ascii="Times New Roman" w:hAnsi="Times New Roman" w:cs="Times New Roman"/>
          <w:noProof/>
          <w:sz w:val="24"/>
          <w:szCs w:val="24"/>
          <w:u w:val="single"/>
        </w:rPr>
        <w:t>Option 3</w:t>
      </w:r>
      <w:r>
        <w:rPr>
          <w:rFonts w:ascii="Times New Roman" w:hAnsi="Times New Roman" w:cs="Times New Roman"/>
          <w:noProof/>
          <w:sz w:val="24"/>
          <w:szCs w:val="24"/>
        </w:rPr>
        <w:t>).</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main limitation of this measure consists in the </w:t>
      </w:r>
      <w:r>
        <w:rPr>
          <w:rFonts w:ascii="Times New Roman" w:hAnsi="Times New Roman" w:cs="Times New Roman"/>
          <w:b/>
          <w:bCs/>
          <w:noProof/>
          <w:sz w:val="24"/>
          <w:szCs w:val="24"/>
        </w:rPr>
        <w:t>costs and the burden</w:t>
      </w:r>
      <w:r>
        <w:rPr>
          <w:rFonts w:ascii="Times New Roman" w:hAnsi="Times New Roman" w:cs="Times New Roman"/>
          <w:noProof/>
          <w:sz w:val="24"/>
          <w:szCs w:val="24"/>
        </w:rPr>
        <w:t xml:space="preserve"> it brings </w:t>
      </w:r>
      <w:r>
        <w:rPr>
          <w:rFonts w:ascii="Times New Roman" w:hAnsi="Times New Roman" w:cs="Times New Roman"/>
          <w:b/>
          <w:bCs/>
          <w:noProof/>
          <w:sz w:val="24"/>
          <w:szCs w:val="24"/>
        </w:rPr>
        <w:t>for employers</w:t>
      </w:r>
      <w:r>
        <w:rPr>
          <w:rFonts w:ascii="Times New Roman" w:hAnsi="Times New Roman" w:cs="Times New Roman"/>
          <w:noProof/>
          <w:sz w:val="24"/>
          <w:szCs w:val="24"/>
        </w:rPr>
        <w:t>. Taking into account the difficulty in assessing the scale of the problem and at a time of economic downturn,</w:t>
      </w:r>
      <w:r>
        <w:rPr>
          <w:rStyle w:val="FootnoteReference"/>
          <w:rFonts w:ascii="Times New Roman" w:hAnsi="Times New Roman" w:cs="Times New Roman"/>
          <w:noProof/>
          <w:sz w:val="24"/>
          <w:szCs w:val="24"/>
        </w:rPr>
        <w:footnoteReference w:id="156"/>
      </w:r>
      <w:r>
        <w:rPr>
          <w:rFonts w:ascii="Times New Roman" w:hAnsi="Times New Roman" w:cs="Times New Roman"/>
          <w:noProof/>
          <w:sz w:val="24"/>
          <w:szCs w:val="24"/>
        </w:rPr>
        <w:t xml:space="preserve"> it makes it score low from a proportionality perspective. It requires a strong commitment from the management at employer level and a strong political commitment to pass and monitor the implementation of the certification. Iceland has a longstanding tradition in this regard: employers with 25 workers or more are already required to have a gender equality plan and boards of employers with 50 or more workers are required to have gender balance (60/40 at least). </w:t>
      </w:r>
    </w:p>
    <w:p>
      <w:pPr>
        <w:pStyle w:val="Heading3"/>
        <w:ind w:left="0" w:firstLine="0"/>
        <w:rPr>
          <w:b/>
          <w:noProof/>
          <w:u w:val="single"/>
        </w:rPr>
      </w:pPr>
      <w:r>
        <w:rPr>
          <w:b/>
          <w:bCs/>
          <w:noProof/>
          <w:u w:val="single"/>
        </w:rPr>
        <w:t xml:space="preserve">Sub-option 2B: Joint pay assessment </w:t>
      </w:r>
    </w:p>
    <w:p>
      <w:pPr>
        <w:pStyle w:val="Text2"/>
        <w:spacing w:after="120" w:line="276" w:lineRule="auto"/>
        <w:ind w:left="0"/>
        <w:rPr>
          <w:noProof/>
        </w:rPr>
      </w:pPr>
      <w:r>
        <w:rPr>
          <w:noProof/>
        </w:rPr>
        <w:t>The joint pay assessment involves a systematic revision of pay structures combined with remedial action where needed.</w:t>
      </w:r>
    </w:p>
    <w:p>
      <w:pPr>
        <w:spacing w:after="120"/>
        <w:jc w:val="both"/>
        <w:rPr>
          <w:rFonts w:ascii="Times New Roman" w:hAnsi="Times New Roman" w:cs="Times New Roman"/>
          <w:noProof/>
          <w:sz w:val="24"/>
          <w:szCs w:val="24"/>
        </w:rPr>
      </w:pPr>
      <w:r>
        <w:rPr>
          <w:rFonts w:ascii="Times New Roman" w:hAnsi="Times New Roman" w:cs="Times New Roman"/>
          <w:i/>
          <w:iCs/>
          <w:noProof/>
          <w:sz w:val="24"/>
          <w:szCs w:val="24"/>
          <w:u w:val="single"/>
        </w:rPr>
        <w:t>Exemption</w:t>
      </w:r>
      <w:r>
        <w:rPr>
          <w:rFonts w:ascii="Times New Roman" w:hAnsi="Times New Roman" w:cs="Times New Roman"/>
          <w:noProof/>
          <w:sz w:val="24"/>
          <w:szCs w:val="24"/>
        </w:rPr>
        <w:t>: There may be an issue in implementing this measure in smaller organisations as the computation of the average pay differences can be easily distorted by outliers - few employees at the top or at the bottom of the wage distribution. In light of this possible distortion and weighing this risk against the burden of producing the assessment, the initiative would limit the obligation of pay assessment</w:t>
      </w:r>
      <w:r>
        <w:rPr>
          <w:rFonts w:ascii="Times New Roman" w:hAnsi="Times New Roman" w:cs="Times New Roman"/>
          <w:b/>
          <w:bCs/>
          <w:noProof/>
          <w:sz w:val="24"/>
          <w:szCs w:val="24"/>
        </w:rPr>
        <w:t xml:space="preserve"> </w:t>
      </w:r>
      <w:r>
        <w:rPr>
          <w:rFonts w:ascii="Times New Roman" w:hAnsi="Times New Roman" w:cs="Times New Roman"/>
          <w:noProof/>
          <w:sz w:val="24"/>
          <w:szCs w:val="24"/>
        </w:rPr>
        <w:t>to</w:t>
      </w:r>
      <w:r>
        <w:rPr>
          <w:rFonts w:ascii="Times New Roman" w:hAnsi="Times New Roman" w:cs="Times New Roman"/>
          <w:b/>
          <w:bCs/>
          <w:noProof/>
          <w:sz w:val="24"/>
          <w:szCs w:val="24"/>
        </w:rPr>
        <w:t xml:space="preserve"> employers with at least 50 workers</w:t>
      </w:r>
      <w:r>
        <w:rPr>
          <w:rFonts w:ascii="Times New Roman" w:hAnsi="Times New Roman" w:cs="Times New Roman"/>
          <w:noProof/>
          <w:sz w:val="24"/>
          <w:szCs w:val="24"/>
        </w:rPr>
        <w:t xml:space="preserve">. Applying such threshold, the pay assessment would apply to </w:t>
      </w:r>
      <w:r>
        <w:rPr>
          <w:rFonts w:ascii="Times New Roman" w:hAnsi="Times New Roman" w:cs="Times New Roman"/>
          <w:b/>
          <w:bCs/>
          <w:noProof/>
          <w:sz w:val="24"/>
          <w:szCs w:val="24"/>
        </w:rPr>
        <w:t>50%</w:t>
      </w:r>
      <w:r>
        <w:rPr>
          <w:rFonts w:ascii="Times New Roman" w:hAnsi="Times New Roman" w:cs="Times New Roman"/>
          <w:noProof/>
          <w:sz w:val="24"/>
          <w:szCs w:val="24"/>
        </w:rPr>
        <w:t xml:space="preserve"> </w:t>
      </w:r>
      <w:r>
        <w:rPr>
          <w:rFonts w:ascii="Times New Roman" w:hAnsi="Times New Roman" w:cs="Times New Roman"/>
          <w:b/>
          <w:bCs/>
          <w:noProof/>
          <w:sz w:val="24"/>
          <w:szCs w:val="24"/>
        </w:rPr>
        <w:t>of the EU27 workforce</w:t>
      </w:r>
      <w:r>
        <w:rPr>
          <w:rFonts w:ascii="Times New Roman" w:hAnsi="Times New Roman" w:cs="Times New Roman"/>
          <w:noProof/>
          <w:sz w:val="24"/>
          <w:szCs w:val="24"/>
        </w:rPr>
        <w:t xml:space="preserve"> and an average of </w:t>
      </w:r>
      <w:r>
        <w:rPr>
          <w:rFonts w:ascii="Times New Roman" w:hAnsi="Times New Roman" w:cs="Times New Roman"/>
          <w:b/>
          <w:bCs/>
          <w:noProof/>
          <w:sz w:val="24"/>
          <w:szCs w:val="24"/>
        </w:rPr>
        <w:t>1%</w:t>
      </w:r>
      <w:r>
        <w:rPr>
          <w:rFonts w:ascii="Times New Roman" w:hAnsi="Times New Roman" w:cs="Times New Roman"/>
          <w:noProof/>
          <w:sz w:val="24"/>
          <w:szCs w:val="24"/>
        </w:rPr>
        <w:t xml:space="preserve"> </w:t>
      </w:r>
      <w:r>
        <w:rPr>
          <w:rFonts w:ascii="Times New Roman" w:hAnsi="Times New Roman" w:cs="Times New Roman"/>
          <w:b/>
          <w:bCs/>
          <w:noProof/>
          <w:sz w:val="24"/>
          <w:szCs w:val="24"/>
        </w:rPr>
        <w:t>of EU27 enterprises</w:t>
      </w:r>
      <w:r>
        <w:rPr>
          <w:rFonts w:ascii="Times New Roman" w:hAnsi="Times New Roman" w:cs="Times New Roman"/>
          <w:noProof/>
          <w:sz w:val="24"/>
          <w:szCs w:val="24"/>
        </w:rPr>
        <w:t>.</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Carrying out, on a regular basis, an assessment of the employer’s pay structure and any pay differentials based on sex, would ensure a regular analysis of the proportion of female and male workers in each category doing the same work or work of equal value, information on average pay levels in those categories, and an analysis of the reasons for any pay differences between women and men.</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The effectiveness of the measure would depend on the follow-up action on problems brought to light in the assessment. The Eurofound study showed significant differences between employers and workers in terms of perception of actions taken (Eurofound, 2020), suggesting the importance of addressing and communicating the pay audit results with workers. It also relies on the relevant expertise available at workers’ representatives level to be able to assess the root-causes of possible differences in pay – which might be stronger than workers’ own assessment of the same information. </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This measure provides for a diagnosis helping the development of targeted action on equal pay within the organisation and would contribute to bringing to light conscious or unconscious gender bias in pay setting and discriminatory pay practices. </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Ideally, an assessment should take place on an </w:t>
      </w:r>
      <w:r>
        <w:rPr>
          <w:rFonts w:ascii="Times New Roman" w:hAnsi="Times New Roman" w:cs="Times New Roman"/>
          <w:noProof/>
          <w:sz w:val="24"/>
          <w:szCs w:val="24"/>
          <w:u w:val="single"/>
        </w:rPr>
        <w:t>annual basis</w:t>
      </w:r>
      <w:r>
        <w:rPr>
          <w:rFonts w:ascii="Times New Roman" w:hAnsi="Times New Roman" w:cs="Times New Roman"/>
          <w:noProof/>
          <w:sz w:val="24"/>
          <w:szCs w:val="24"/>
        </w:rPr>
        <w:t>. This would allow to include short term, seasonal and interim workers where relevant and would follow from the definition of ‘pay’ encompassing all the elements going beyond basic pay that are best accounted for on an annual basis. It would also reduce the costs as it may be expected that no relevant major changes take place from one year to the next one, thus allowing employers and workers’ representatives to easily build on the results and actions from the previous year. It also allows to link the exercise to regular the workers’ evaluation, normally carried out every year, which might result in a revision of job descriptions (and possibly of pay) or the introduction of new profiles at employer’s level. Nevertheless, despite all the above reasons for an annual exercise, it may be noted that, in those Member States that have introduced a similar type of measure, the decision on the frequency of the assessment (between 1 to 4 years) is typically subject to political decision-making.</w:t>
      </w:r>
    </w:p>
    <w:p>
      <w:pPr>
        <w:jc w:val="both"/>
        <w:rPr>
          <w:rFonts w:ascii="Times New Roman" w:hAnsi="Times New Roman" w:cs="Times New Roman"/>
          <w:noProof/>
          <w:sz w:val="24"/>
          <w:szCs w:val="24"/>
        </w:rPr>
      </w:pPr>
      <w:r>
        <w:rPr>
          <w:rFonts w:ascii="Times New Roman" w:hAnsi="Times New Roman" w:cs="Times New Roman"/>
          <w:i/>
          <w:iCs/>
          <w:noProof/>
          <w:sz w:val="24"/>
          <w:szCs w:val="24"/>
        </w:rPr>
        <w:t>Stakeholders’ views</w:t>
      </w:r>
      <w:r>
        <w:rPr>
          <w:rFonts w:ascii="Times New Roman" w:hAnsi="Times New Roman" w:cs="Times New Roman"/>
          <w:noProof/>
          <w:sz w:val="24"/>
          <w:szCs w:val="24"/>
        </w:rPr>
        <w:t xml:space="preserve">: pay auditing/assessment is among the most preferred options for trade union respondents to the consultation strategy (95.6%), but received limited support from employers’ associations (23.5%). The </w:t>
      </w:r>
      <w:r>
        <w:rPr>
          <w:rFonts w:ascii="Times New Roman" w:hAnsi="Times New Roman" w:cs="Times New Roman"/>
          <w:i/>
          <w:iCs/>
          <w:noProof/>
          <w:sz w:val="24"/>
          <w:szCs w:val="24"/>
        </w:rPr>
        <w:t xml:space="preserve">ILO </w:t>
      </w:r>
      <w:r>
        <w:rPr>
          <w:rFonts w:ascii="Times New Roman" w:hAnsi="Times New Roman" w:cs="Times New Roman"/>
          <w:noProof/>
          <w:sz w:val="24"/>
          <w:szCs w:val="24"/>
        </w:rPr>
        <w:t xml:space="preserve">highlighted pay audits as a platform for change in helping to expose pay differentials and to reveal the need for structural change in the workplace. It pointed to the value of providing practical support for employers to implement measures; making employer action plans public; involving employers’ and workers’ organisations; recognising the effective contribution made by collective bargaining; and strengthening complaint mechanisms. The </w:t>
      </w:r>
      <w:r>
        <w:rPr>
          <w:rFonts w:ascii="Times New Roman" w:hAnsi="Times New Roman" w:cs="Times New Roman"/>
          <w:i/>
          <w:iCs/>
          <w:noProof/>
          <w:sz w:val="24"/>
          <w:szCs w:val="24"/>
        </w:rPr>
        <w:t>European Women’s Lobby</w:t>
      </w:r>
      <w:r>
        <w:rPr>
          <w:rFonts w:ascii="Times New Roman" w:hAnsi="Times New Roman" w:cs="Times New Roman"/>
          <w:noProof/>
          <w:sz w:val="24"/>
          <w:szCs w:val="24"/>
        </w:rPr>
        <w:t xml:space="preserve"> recommended the introduction of mandatory joint pay assessments in all organisations, regardless of size. Support to employers with up to 500 workers is recommended by the Business &amp; Professional Women organisation in order to create a culture of reporting and auditing on gender issues in the workplace, including pay. </w:t>
      </w:r>
    </w:p>
    <w:p>
      <w:pPr>
        <w:spacing w:after="120"/>
        <w:jc w:val="both"/>
        <w:rPr>
          <w:rFonts w:ascii="Times New Roman" w:hAnsi="Times New Roman" w:cs="Times New Roman"/>
          <w:noProof/>
          <w:sz w:val="24"/>
          <w:szCs w:val="24"/>
        </w:rPr>
      </w:pPr>
      <w:r>
        <w:rPr>
          <w:rFonts w:ascii="Times New Roman" w:hAnsi="Times New Roman" w:cs="Times New Roman"/>
          <w:i/>
          <w:iCs/>
          <w:noProof/>
          <w:sz w:val="24"/>
          <w:szCs w:val="24"/>
          <w:u w:val="single"/>
        </w:rPr>
        <w:t>Costs</w:t>
      </w:r>
      <w:r>
        <w:rPr>
          <w:rFonts w:ascii="Times New Roman" w:hAnsi="Times New Roman" w:cs="Times New Roman"/>
          <w:i/>
          <w:iCs/>
          <w:noProof/>
          <w:sz w:val="24"/>
          <w:szCs w:val="24"/>
        </w:rPr>
        <w:t>:</w:t>
      </w:r>
      <w:r>
        <w:rPr>
          <w:i/>
          <w:iCs/>
          <w:noProof/>
        </w:rPr>
        <w:t xml:space="preserve"> </w:t>
      </w:r>
      <w:r>
        <w:rPr>
          <w:rFonts w:ascii="Times New Roman" w:hAnsi="Times New Roman" w:cs="Times New Roman"/>
          <w:noProof/>
          <w:sz w:val="24"/>
          <w:szCs w:val="24"/>
        </w:rPr>
        <w:t xml:space="preserve">The Eurofound report found that this measure would be more time consuming and costly than other transparency measures while nevertheless remaining moderate. The costs range from 88 EUR per audit in Estonia (where it is done only in the public sector) to 820 SEK (80 EUR) in Sweden (according to the reply from Sweden to the targeted survey), and to 1,390 EUR on an annual basis for the compilation of a full gender equality plan including a pay audit in Finland. </w:t>
      </w:r>
    </w:p>
    <w:p>
      <w:pPr>
        <w:spacing w:after="120"/>
        <w:jc w:val="both"/>
        <w:rPr>
          <w:rFonts w:ascii="Times New Roman" w:hAnsi="Times New Roman" w:cs="Times New Roman"/>
          <w:noProof/>
          <w:sz w:val="24"/>
          <w:szCs w:val="24"/>
        </w:rPr>
      </w:pPr>
      <w:r>
        <w:rPr>
          <w:rFonts w:ascii="Times New Roman" w:hAnsi="Times New Roman"/>
          <w:b/>
          <w:bCs/>
          <w:noProof/>
          <w:sz w:val="24"/>
          <w:szCs w:val="24"/>
        </w:rPr>
        <w:t>The average cost per employer (all sizes) would be between 1,800 and 2,500 EUR in their first year.</w:t>
      </w:r>
      <w:r>
        <w:rPr>
          <w:rFonts w:ascii="Times New Roman" w:hAnsi="Times New Roman" w:cs="Times New Roman"/>
          <w:noProof/>
          <w:sz w:val="24"/>
          <w:szCs w:val="24"/>
        </w:rPr>
        <w:t xml:space="preserve"> This cost might decrease in the following exercises depending on the learning curve in relation to the exercise and specific context for the employer. It should be noted that the costs of an internal assessment are manifestly lower than those related to an audit carried out by an external consultant (e.g. in UK, the costs of an external audit have been calculated at around 15,000 EUR). The recurring costs relating to any subsequent assessments are expected to be lower. </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The total cost for the EU 27 is estimated at</w:t>
      </w:r>
      <w:r>
        <w:rPr>
          <w:rFonts w:ascii="Times New Roman" w:hAnsi="Times New Roman" w:cs="Times New Roman"/>
          <w:b/>
          <w:bCs/>
          <w:noProof/>
          <w:sz w:val="24"/>
          <w:szCs w:val="24"/>
        </w:rPr>
        <w:t xml:space="preserve"> between 636 and 932 EUR million</w:t>
      </w:r>
      <w:r>
        <w:rPr>
          <w:rFonts w:ascii="Times New Roman" w:hAnsi="Times New Roman" w:cs="Times New Roman"/>
          <w:noProof/>
          <w:sz w:val="24"/>
          <w:szCs w:val="24"/>
        </w:rPr>
        <w:t xml:space="preserve">, again taking into account that some Member States already apply similar measures. (See </w:t>
      </w:r>
      <w:r>
        <w:rPr>
          <w:rFonts w:ascii="Times New Roman" w:hAnsi="Times New Roman" w:cs="Times New Roman"/>
          <w:i/>
          <w:iCs/>
          <w:noProof/>
          <w:sz w:val="24"/>
          <w:szCs w:val="24"/>
        </w:rPr>
        <w:t>Annex 5, section 11</w:t>
      </w:r>
      <w:r>
        <w:rPr>
          <w:rFonts w:ascii="Times New Roman" w:hAnsi="Times New Roman" w:cs="Times New Roman"/>
          <w:noProof/>
          <w:sz w:val="24"/>
          <w:szCs w:val="24"/>
        </w:rPr>
        <w:t xml:space="preserve"> - for the split by Member States and employer size).</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For </w:t>
      </w:r>
      <w:r>
        <w:rPr>
          <w:rFonts w:ascii="Times New Roman" w:hAnsi="Times New Roman" w:cs="Times New Roman"/>
          <w:i/>
          <w:iCs/>
          <w:noProof/>
          <w:sz w:val="24"/>
          <w:szCs w:val="24"/>
        </w:rPr>
        <w:t>Member States</w:t>
      </w:r>
      <w:r>
        <w:rPr>
          <w:rFonts w:ascii="Times New Roman" w:hAnsi="Times New Roman" w:cs="Times New Roman"/>
          <w:noProof/>
          <w:sz w:val="24"/>
          <w:szCs w:val="24"/>
        </w:rPr>
        <w:t>: the costs of this measure would be linked to monitoring compliance and therefore negligible.</w:t>
      </w:r>
    </w:p>
    <w:p>
      <w:pPr>
        <w:spacing w:after="120"/>
        <w:jc w:val="both"/>
        <w:rPr>
          <w:rFonts w:ascii="Times New Roman" w:hAnsi="Times New Roman" w:cs="Times New Roman"/>
          <w:noProof/>
          <w:sz w:val="24"/>
          <w:szCs w:val="24"/>
        </w:rPr>
      </w:pPr>
      <w:r>
        <w:rPr>
          <w:rFonts w:ascii="Times New Roman" w:hAnsi="Times New Roman" w:cs="Times New Roman"/>
          <w:i/>
          <w:iCs/>
          <w:noProof/>
          <w:sz w:val="24"/>
          <w:szCs w:val="24"/>
          <w:u w:val="single"/>
        </w:rPr>
        <w:t>Benefits</w:t>
      </w:r>
      <w:r>
        <w:rPr>
          <w:rFonts w:ascii="Times New Roman" w:hAnsi="Times New Roman" w:cs="Times New Roman"/>
          <w:noProof/>
          <w:sz w:val="24"/>
          <w:szCs w:val="24"/>
        </w:rPr>
        <w:t>: The cooperation between employers and workers’ representatives ensures a supported approach and leads to common action. The communication of the results contributes to a better workplace environment and has an additional deterrent effect against non-compliance or failure to follow up. This measure triggers mandatory action on the part of employers to look into their pay setting practices and address any potential gender bias in pay structures. By encouraging proactive measures, it reduces the risk of legal action for the employer and the need to respond to individual requests, hence savings of time and money.</w:t>
      </w:r>
      <w:r>
        <w:rPr>
          <w:rFonts w:ascii="Times New Roman" w:hAnsi="Times New Roman" w:cs="Times New Roman"/>
          <w:noProof/>
        </w:rPr>
        <w:t xml:space="preserve"> </w:t>
      </w:r>
      <w:r>
        <w:rPr>
          <w:rFonts w:ascii="Times New Roman" w:hAnsi="Times New Roman" w:cs="Times New Roman"/>
          <w:noProof/>
          <w:sz w:val="24"/>
          <w:szCs w:val="24"/>
        </w:rPr>
        <w:t>Employers could make use of tools to assess work of equal value, such as gender-neutral job evaluation and classification systems, which would effectively contribute to the implementation of the joint pay assessment.</w:t>
      </w:r>
    </w:p>
    <w:p>
      <w:pPr>
        <w:spacing w:after="120"/>
        <w:jc w:val="both"/>
        <w:rPr>
          <w:rFonts w:ascii="Times New Roman" w:hAnsi="Times New Roman" w:cs="Times New Roman"/>
          <w:noProof/>
          <w:sz w:val="24"/>
          <w:szCs w:val="24"/>
        </w:rPr>
      </w:pPr>
      <w:r>
        <w:rPr>
          <w:rFonts w:ascii="Times New Roman" w:hAnsi="Times New Roman" w:cs="Times New Roman"/>
          <w:i/>
          <w:iCs/>
          <w:noProof/>
          <w:sz w:val="24"/>
          <w:szCs w:val="24"/>
          <w:u w:val="single"/>
        </w:rPr>
        <w:t>Data protection</w:t>
      </w:r>
      <w:r>
        <w:rPr>
          <w:rFonts w:ascii="Times New Roman" w:hAnsi="Times New Roman" w:cs="Times New Roman"/>
          <w:noProof/>
          <w:sz w:val="24"/>
          <w:szCs w:val="24"/>
          <w:u w:val="single"/>
        </w:rPr>
        <w:t>: see Option 1, Sub-option 1A, measure 2</w:t>
      </w:r>
    </w:p>
    <w:p>
      <w:pPr>
        <w:spacing w:before="120" w:after="120"/>
        <w:jc w:val="both"/>
        <w:rPr>
          <w:rFonts w:ascii="Times New Roman" w:hAnsi="Times New Roman" w:cs="Times New Roman"/>
          <w:noProof/>
          <w:sz w:val="24"/>
          <w:szCs w:val="24"/>
        </w:rPr>
      </w:pPr>
      <w:r>
        <w:rPr>
          <w:rFonts w:ascii="Times New Roman" w:hAnsi="Times New Roman" w:cs="Times New Roman"/>
          <w:i/>
          <w:iCs/>
          <w:noProof/>
          <w:sz w:val="24"/>
          <w:szCs w:val="24"/>
          <w:u w:val="single"/>
        </w:rPr>
        <w:t>Legal change across Member States</w:t>
      </w:r>
      <w:r>
        <w:rPr>
          <w:rFonts w:ascii="Times New Roman" w:hAnsi="Times New Roman" w:cs="Times New Roman"/>
          <w:i/>
          <w:iCs/>
          <w:noProof/>
          <w:sz w:val="24"/>
          <w:szCs w:val="24"/>
        </w:rPr>
        <w:t xml:space="preserve">: </w:t>
      </w:r>
      <w:r>
        <w:rPr>
          <w:rFonts w:ascii="Times New Roman" w:hAnsi="Times New Roman" w:cs="Times New Roman"/>
          <w:noProof/>
          <w:sz w:val="24"/>
          <w:szCs w:val="24"/>
        </w:rPr>
        <w:t xml:space="preserve">several models of pay auditing are currently available in 8 Member States (BE, DE, DK, ES, FI, FR, PT, SE). Their frequency ranges between 1 and 4 years. The degree of legal change required in these Member States would vary depending on what they already have in place. The measure would need to be set up in the remaining 19 Member States which do not provide for a joint pay assessment yet. </w:t>
      </w:r>
    </w:p>
    <w:p>
      <w:pPr>
        <w:spacing w:before="120" w:after="120"/>
        <w:jc w:val="both"/>
        <w:rPr>
          <w:rFonts w:ascii="Times New Roman" w:hAnsi="Times New Roman" w:cs="Times New Roman"/>
          <w:noProof/>
          <w:sz w:val="24"/>
          <w:szCs w:val="24"/>
        </w:rPr>
      </w:pPr>
      <w:r>
        <w:rPr>
          <w:rFonts w:ascii="Times New Roman" w:hAnsi="Times New Roman" w:cs="Times New Roman"/>
          <w:i/>
          <w:iCs/>
          <w:noProof/>
          <w:sz w:val="24"/>
          <w:szCs w:val="24"/>
          <w:u w:val="single"/>
        </w:rPr>
        <w:t>Conclusion</w:t>
      </w:r>
      <w:r>
        <w:rPr>
          <w:rFonts w:ascii="Times New Roman" w:hAnsi="Times New Roman" w:cs="Times New Roman"/>
          <w:i/>
          <w:iCs/>
          <w:noProof/>
          <w:sz w:val="24"/>
          <w:szCs w:val="24"/>
        </w:rPr>
        <w:t>:</w:t>
      </w:r>
      <w:r>
        <w:rPr>
          <w:rFonts w:ascii="Times New Roman" w:hAnsi="Times New Roman" w:cs="Times New Roman"/>
          <w:b/>
          <w:bCs/>
          <w:noProof/>
          <w:sz w:val="24"/>
          <w:szCs w:val="24"/>
        </w:rPr>
        <w:t xml:space="preserve"> </w:t>
      </w:r>
      <w:r>
        <w:rPr>
          <w:rFonts w:ascii="Times New Roman" w:hAnsi="Times New Roman" w:cs="Times New Roman"/>
          <w:noProof/>
          <w:sz w:val="24"/>
          <w:szCs w:val="24"/>
        </w:rPr>
        <w:t>In a situation where no ex-ante certification would be organised at Governmental level, an annual joint pay assessment involving workers’ representatives and employers would be the second best option to create pay transparency at employer level. The overall positive scoring of this measure by experts interviewed for the support study from across the different assessment criteria reflects the significant expected effectiveness of joint pay assessments in removing gender bias in pay structures. The institutional assessment points towards a positive conclusion in spite of challenges in relation to stakeholder resistance. There is no indication of legal barriers, including on data protection concerns as the information would not be about individual identifiable workers’ data. Overall, all perspectives converge to a positive assessment with the scope to boost equality outcomes through this measure. At the same time this option would bring the same proportionality questions as mentioned in Sub-option 2A.</w:t>
      </w:r>
    </w:p>
    <w:p>
      <w:pPr>
        <w:spacing w:before="120" w:after="120"/>
        <w:jc w:val="both"/>
        <w:rPr>
          <w:rFonts w:ascii="Times New Roman" w:hAnsi="Times New Roman" w:cs="Times New Roman"/>
          <w:noProof/>
          <w:sz w:val="24"/>
          <w:szCs w:val="24"/>
        </w:rPr>
      </w:pPr>
      <w:r>
        <w:rPr>
          <w:rFonts w:ascii="Times New Roman" w:hAnsi="Times New Roman" w:cs="Times New Roman"/>
          <w:noProof/>
          <w:sz w:val="24"/>
          <w:szCs w:val="24"/>
        </w:rPr>
        <w:t xml:space="preserve">Finally, as with pay certification, this measure could be accompanied by an additional measure ensuring that the right to equal pay is ensured for those workers not covered by any joint pay assessment, i.e. in </w:t>
      </w:r>
      <w:r>
        <w:rPr>
          <w:rFonts w:ascii="Times New Roman" w:hAnsi="Times New Roman" w:cs="Times New Roman"/>
          <w:b/>
          <w:bCs/>
          <w:noProof/>
          <w:sz w:val="24"/>
          <w:szCs w:val="24"/>
        </w:rPr>
        <w:t>employers with less than 50 workers</w:t>
      </w:r>
      <w:r>
        <w:rPr>
          <w:rFonts w:ascii="Times New Roman" w:hAnsi="Times New Roman" w:cs="Times New Roman"/>
          <w:noProof/>
          <w:sz w:val="24"/>
          <w:szCs w:val="24"/>
        </w:rPr>
        <w:t xml:space="preserve">. This option could therefore be combined with Sub-option 1A, in particular Measure 2, which ensures that workers in such organisations have </w:t>
      </w:r>
      <w:r>
        <w:rPr>
          <w:rFonts w:ascii="Times New Roman" w:hAnsi="Times New Roman" w:cs="Times New Roman"/>
          <w:b/>
          <w:bCs/>
          <w:noProof/>
          <w:sz w:val="24"/>
          <w:szCs w:val="24"/>
        </w:rPr>
        <w:t>access to pay information</w:t>
      </w:r>
      <w:r>
        <w:rPr>
          <w:rFonts w:ascii="Times New Roman" w:hAnsi="Times New Roman" w:cs="Times New Roman"/>
          <w:noProof/>
          <w:sz w:val="24"/>
          <w:szCs w:val="24"/>
        </w:rPr>
        <w:t xml:space="preserve"> relevant to assess whether they may be the victim of pay discrimination. In addition, its implementation would be strengthened if combined with measures aimed at </w:t>
      </w:r>
      <w:r>
        <w:rPr>
          <w:rFonts w:ascii="Times New Roman" w:hAnsi="Times New Roman" w:cs="Times New Roman"/>
          <w:b/>
          <w:bCs/>
          <w:noProof/>
          <w:sz w:val="24"/>
          <w:szCs w:val="24"/>
        </w:rPr>
        <w:t>the facilitation of the application of the key legal concepts</w:t>
      </w:r>
      <w:r>
        <w:rPr>
          <w:rFonts w:ascii="Times New Roman" w:hAnsi="Times New Roman" w:cs="Times New Roman"/>
          <w:noProof/>
          <w:sz w:val="24"/>
          <w:szCs w:val="24"/>
        </w:rPr>
        <w:t xml:space="preserve"> relating to ‘pay’ and ‘equal value’ (see Option 3). Finally, as no ex ante screening of pay structures is organised by public authorities, this option could be further supported by measures aimed at </w:t>
      </w:r>
      <w:r>
        <w:rPr>
          <w:rFonts w:ascii="Times New Roman" w:hAnsi="Times New Roman" w:cs="Times New Roman"/>
          <w:b/>
          <w:bCs/>
          <w:noProof/>
          <w:sz w:val="24"/>
          <w:szCs w:val="24"/>
        </w:rPr>
        <w:t>improving access to justice</w:t>
      </w:r>
      <w:r>
        <w:rPr>
          <w:rFonts w:ascii="Times New Roman" w:hAnsi="Times New Roman" w:cs="Times New Roman"/>
          <w:noProof/>
          <w:sz w:val="24"/>
          <w:szCs w:val="24"/>
        </w:rPr>
        <w:t xml:space="preserve"> and other </w:t>
      </w:r>
      <w:r>
        <w:rPr>
          <w:rFonts w:ascii="Times New Roman" w:hAnsi="Times New Roman" w:cs="Times New Roman"/>
          <w:b/>
          <w:bCs/>
          <w:noProof/>
          <w:sz w:val="24"/>
          <w:szCs w:val="24"/>
        </w:rPr>
        <w:t>enforcement and implementation</w:t>
      </w:r>
      <w:r>
        <w:rPr>
          <w:rFonts w:ascii="Times New Roman" w:hAnsi="Times New Roman" w:cs="Times New Roman"/>
          <w:noProof/>
          <w:sz w:val="24"/>
          <w:szCs w:val="24"/>
        </w:rPr>
        <w:t xml:space="preserve"> measures (see Option 3).</w:t>
      </w:r>
    </w:p>
    <w:p>
      <w:pPr>
        <w:spacing w:after="120"/>
        <w:jc w:val="both"/>
        <w:rPr>
          <w:b/>
          <w:noProof/>
          <w:u w:val="single"/>
        </w:rPr>
      </w:pPr>
    </w:p>
    <w:p>
      <w:pPr>
        <w:pStyle w:val="Heading3"/>
        <w:ind w:left="0" w:firstLine="0"/>
        <w:rPr>
          <w:b/>
          <w:noProof/>
          <w:u w:val="single"/>
        </w:rPr>
      </w:pPr>
      <w:r>
        <w:rPr>
          <w:b/>
          <w:bCs/>
          <w:noProof/>
          <w:u w:val="single"/>
        </w:rPr>
        <w:t>Sub-option 2C: Basic pay reporting combined with joint pay assessment</w:t>
      </w:r>
    </w:p>
    <w:p>
      <w:pPr>
        <w:pStyle w:val="Heading4"/>
        <w:ind w:left="720"/>
        <w:rPr>
          <w:b/>
          <w:i/>
          <w:noProof/>
        </w:rPr>
      </w:pPr>
      <w:r>
        <w:rPr>
          <w:b/>
          <w:bCs/>
          <w:i/>
          <w:iCs/>
          <w:noProof/>
        </w:rPr>
        <w:t>Measure 1: Employer obligation to carry out a joint pay assessment</w:t>
      </w:r>
    </w:p>
    <w:p>
      <w:pPr>
        <w:keepNext/>
        <w:spacing w:after="120"/>
        <w:jc w:val="both"/>
        <w:rPr>
          <w:rFonts w:ascii="Times New Roman" w:hAnsi="Times New Roman" w:cs="Times New Roman"/>
          <w:noProof/>
          <w:sz w:val="24"/>
          <w:szCs w:val="24"/>
        </w:rPr>
      </w:pPr>
      <w:r>
        <w:rPr>
          <w:rFonts w:ascii="Times New Roman" w:hAnsi="Times New Roman" w:cs="Times New Roman"/>
          <w:noProof/>
          <w:sz w:val="24"/>
          <w:szCs w:val="24"/>
        </w:rPr>
        <w:t>This measure would trigger a transparent revision of pay structures as set out under Sub-option 2B but only on the part of larger employers. In order to create at least some degree of transparency in medium-sized employers, it would be complemented by a pay reporting as referred to in measure 2.</w:t>
      </w:r>
    </w:p>
    <w:p>
      <w:pPr>
        <w:keepNext/>
        <w:spacing w:after="120"/>
        <w:jc w:val="both"/>
        <w:rPr>
          <w:rFonts w:ascii="Times New Roman" w:hAnsi="Times New Roman" w:cs="Times New Roman"/>
          <w:noProof/>
          <w:sz w:val="24"/>
          <w:szCs w:val="24"/>
        </w:rPr>
      </w:pPr>
      <w:r>
        <w:rPr>
          <w:rFonts w:ascii="Times New Roman" w:hAnsi="Times New Roman" w:cs="Times New Roman"/>
          <w:i/>
          <w:iCs/>
          <w:noProof/>
          <w:sz w:val="24"/>
          <w:szCs w:val="24"/>
          <w:u w:val="single"/>
        </w:rPr>
        <w:t>Exemption</w:t>
      </w:r>
      <w:r>
        <w:rPr>
          <w:rFonts w:ascii="Times New Roman" w:hAnsi="Times New Roman" w:cs="Times New Roman"/>
          <w:noProof/>
          <w:sz w:val="24"/>
          <w:szCs w:val="24"/>
        </w:rPr>
        <w:t>: Considering that employers already produce pay reports (measure 2), action may already be triggered by stakeholders, and given the costs involved of a pay assessment, this additional measure would be limited to those employers expected to have increasingly formalised human resources in-house, i.e. usually employers with more than 250 employees. This threshold is the one usually used to refer to larger organisations in the European Union.</w:t>
      </w:r>
      <w:r>
        <w:rPr>
          <w:rStyle w:val="FootnoteReference"/>
          <w:rFonts w:ascii="Times New Roman" w:hAnsi="Times New Roman" w:cs="Times New Roman"/>
          <w:noProof/>
          <w:sz w:val="24"/>
          <w:szCs w:val="24"/>
        </w:rPr>
        <w:footnoteReference w:id="157"/>
      </w:r>
      <w:r>
        <w:rPr>
          <w:rFonts w:ascii="Times New Roman" w:hAnsi="Times New Roman" w:cs="Times New Roman"/>
          <w:noProof/>
          <w:sz w:val="24"/>
          <w:szCs w:val="24"/>
        </w:rPr>
        <w:t xml:space="preserve"> It is also in between the thresholds set at national level for similar measures.</w:t>
      </w:r>
      <w:r>
        <w:rPr>
          <w:rStyle w:val="FootnoteReference"/>
          <w:rFonts w:ascii="Times New Roman" w:hAnsi="Times New Roman" w:cs="Times New Roman"/>
          <w:noProof/>
          <w:sz w:val="24"/>
          <w:szCs w:val="24"/>
        </w:rPr>
        <w:footnoteReference w:id="158"/>
      </w:r>
      <w:r>
        <w:rPr>
          <w:rFonts w:ascii="Times New Roman" w:hAnsi="Times New Roman" w:cs="Times New Roman"/>
          <w:noProof/>
          <w:sz w:val="24"/>
          <w:szCs w:val="24"/>
        </w:rPr>
        <w:t xml:space="preserve"> The study of preparatory work at national level shows that the threshold is ultimately the subject of political decision. Finally, an integral part of a pay assessment is an analysis of pay structures and therefore also of the job evaluation and classification system in the organisation, in order to ensure that all relevant skills are valued and that they are valued in a gender-neutral way. This brings benefits mostly for employers of a certain size.</w:t>
      </w:r>
      <w:r>
        <w:rPr>
          <w:rFonts w:ascii="Times New Roman" w:hAnsi="Times New Roman" w:cs="Times New Roman"/>
          <w:noProof/>
          <w:sz w:val="24"/>
          <w:szCs w:val="24"/>
          <w:vertAlign w:val="superscript"/>
        </w:rPr>
        <w:footnoteReference w:id="159"/>
      </w:r>
      <w:r>
        <w:rPr>
          <w:rFonts w:ascii="Times New Roman" w:hAnsi="Times New Roman" w:cs="Times New Roman"/>
          <w:noProof/>
          <w:sz w:val="24"/>
          <w:szCs w:val="24"/>
        </w:rPr>
        <w:t xml:space="preserve"> </w:t>
      </w:r>
      <w:r>
        <w:rPr>
          <w:rFonts w:ascii="Times New Roman" w:hAnsi="Times New Roman" w:cs="Times New Roman"/>
          <w:b/>
          <w:bCs/>
          <w:noProof/>
          <w:sz w:val="24"/>
          <w:szCs w:val="24"/>
        </w:rPr>
        <w:t>Exempting</w:t>
      </w:r>
      <w:r>
        <w:rPr>
          <w:rFonts w:ascii="Times New Roman" w:hAnsi="Times New Roman" w:cs="Times New Roman"/>
          <w:noProof/>
          <w:sz w:val="24"/>
          <w:szCs w:val="24"/>
        </w:rPr>
        <w:t xml:space="preserve"> employers with </w:t>
      </w:r>
      <w:r>
        <w:rPr>
          <w:rFonts w:ascii="Times New Roman" w:hAnsi="Times New Roman" w:cs="Times New Roman"/>
          <w:b/>
          <w:bCs/>
          <w:noProof/>
          <w:sz w:val="24"/>
          <w:szCs w:val="24"/>
        </w:rPr>
        <w:t>less than 250 employees</w:t>
      </w:r>
      <w:r>
        <w:rPr>
          <w:rFonts w:ascii="Times New Roman" w:hAnsi="Times New Roman" w:cs="Times New Roman"/>
          <w:noProof/>
          <w:sz w:val="24"/>
          <w:szCs w:val="24"/>
        </w:rPr>
        <w:t xml:space="preserve"> from the obligation of conducting the joint pay assessment, while further reducing the administrative burden from employers (as compared to Sub-option 2A), would limit the coverage of the measure to </w:t>
      </w:r>
      <w:r>
        <w:rPr>
          <w:rFonts w:ascii="Times New Roman" w:hAnsi="Times New Roman" w:cs="Times New Roman"/>
          <w:b/>
          <w:bCs/>
          <w:noProof/>
          <w:sz w:val="24"/>
          <w:szCs w:val="24"/>
        </w:rPr>
        <w:t>33% of the EU27 workforce</w:t>
      </w:r>
      <w:r>
        <w:rPr>
          <w:rFonts w:ascii="Times New Roman" w:hAnsi="Times New Roman" w:cs="Times New Roman"/>
          <w:noProof/>
          <w:sz w:val="24"/>
          <w:szCs w:val="24"/>
        </w:rPr>
        <w:t xml:space="preserve"> and an average of </w:t>
      </w:r>
      <w:r>
        <w:rPr>
          <w:rFonts w:ascii="Times New Roman" w:hAnsi="Times New Roman" w:cs="Times New Roman"/>
          <w:b/>
          <w:bCs/>
          <w:noProof/>
          <w:sz w:val="24"/>
          <w:szCs w:val="24"/>
        </w:rPr>
        <w:t>0.2% of EU27 enterprises.</w:t>
      </w:r>
      <w:r>
        <w:rPr>
          <w:rFonts w:ascii="Times New Roman" w:hAnsi="Times New Roman" w:cs="Times New Roman"/>
          <w:noProof/>
          <w:sz w:val="24"/>
          <w:szCs w:val="24"/>
          <w:vertAlign w:val="superscript"/>
        </w:rPr>
        <w:footnoteReference w:id="160"/>
      </w:r>
    </w:p>
    <w:p>
      <w:pPr>
        <w:spacing w:after="120"/>
        <w:jc w:val="both"/>
        <w:rPr>
          <w:rFonts w:ascii="Times New Roman" w:hAnsi="Times New Roman" w:cs="Times New Roman"/>
          <w:noProof/>
          <w:sz w:val="24"/>
          <w:szCs w:val="24"/>
        </w:rPr>
      </w:pPr>
      <w:r>
        <w:rPr>
          <w:rFonts w:ascii="Times New Roman" w:hAnsi="Times New Roman" w:cs="Times New Roman"/>
          <w:i/>
          <w:iCs/>
          <w:noProof/>
          <w:sz w:val="24"/>
          <w:szCs w:val="24"/>
          <w:u w:val="single"/>
        </w:rPr>
        <w:t>Costs</w:t>
      </w:r>
      <w:r>
        <w:rPr>
          <w:rFonts w:ascii="Times New Roman" w:hAnsi="Times New Roman" w:cs="Times New Roman"/>
          <w:noProof/>
          <w:sz w:val="24"/>
          <w:szCs w:val="24"/>
        </w:rPr>
        <w:t xml:space="preserve">: The total cost of the measure for employers in the class size ‘250+ workers’ in the EU27 for ensuring the joint pay assessment can be estimated </w:t>
      </w:r>
      <w:r>
        <w:rPr>
          <w:rFonts w:ascii="Times New Roman" w:hAnsi="Times New Roman" w:cs="Times New Roman"/>
          <w:b/>
          <w:bCs/>
          <w:noProof/>
          <w:sz w:val="24"/>
          <w:szCs w:val="24"/>
        </w:rPr>
        <w:t>between around 90 and 125 million,</w:t>
      </w:r>
      <w:r>
        <w:rPr>
          <w:rStyle w:val="FootnoteReference"/>
          <w:rFonts w:ascii="Times New Roman" w:hAnsi="Times New Roman" w:cs="Times New Roman"/>
          <w:b/>
          <w:bCs/>
          <w:noProof/>
          <w:sz w:val="24"/>
          <w:szCs w:val="24"/>
        </w:rPr>
        <w:footnoteReference w:id="161"/>
      </w:r>
      <w:r>
        <w:rPr>
          <w:rFonts w:ascii="Times New Roman" w:hAnsi="Times New Roman" w:cs="Times New Roman"/>
          <w:b/>
          <w:bCs/>
          <w:noProof/>
          <w:sz w:val="24"/>
          <w:szCs w:val="24"/>
        </w:rPr>
        <w:t xml:space="preserve"> i.e. an average cost between 1,829 and 2,175 EUR per employer </w:t>
      </w:r>
      <w:r>
        <w:rPr>
          <w:rFonts w:ascii="Times New Roman" w:hAnsi="Times New Roman" w:cs="Times New Roman"/>
          <w:noProof/>
          <w:sz w:val="24"/>
          <w:szCs w:val="24"/>
        </w:rPr>
        <w:t xml:space="preserve">(the detailed calculations per country and employer size are in </w:t>
      </w:r>
      <w:r>
        <w:rPr>
          <w:rFonts w:ascii="Times New Roman" w:hAnsi="Times New Roman" w:cs="Times New Roman"/>
          <w:i/>
          <w:iCs/>
          <w:noProof/>
          <w:sz w:val="24"/>
          <w:szCs w:val="24"/>
        </w:rPr>
        <w:t>Annex 5, section 11</w:t>
      </w:r>
      <w:r>
        <w:rPr>
          <w:rFonts w:ascii="Times New Roman" w:hAnsi="Times New Roman" w:cs="Times New Roman"/>
          <w:noProof/>
          <w:sz w:val="24"/>
          <w:szCs w:val="24"/>
        </w:rPr>
        <w:t xml:space="preserve">). One could expect that these costs would decrease following a first assessment, as subsequent assessments may be based on the previous one. Also, in order to reduce costs, the assessment could be carried out every three years, considering that the pay reporting would fill in the gap between the joint pay assessments. </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For </w:t>
      </w:r>
      <w:r>
        <w:rPr>
          <w:rFonts w:ascii="Times New Roman" w:hAnsi="Times New Roman" w:cs="Times New Roman"/>
          <w:i/>
          <w:iCs/>
          <w:noProof/>
          <w:sz w:val="24"/>
          <w:szCs w:val="24"/>
        </w:rPr>
        <w:t>Member States</w:t>
      </w:r>
      <w:r>
        <w:rPr>
          <w:rFonts w:ascii="Times New Roman" w:hAnsi="Times New Roman" w:cs="Times New Roman"/>
          <w:noProof/>
          <w:sz w:val="24"/>
          <w:szCs w:val="24"/>
        </w:rPr>
        <w:t>: as in Sub-option 2B, the costs of this measure would be linked to monitoring compliance and therefore negligible.</w:t>
      </w:r>
    </w:p>
    <w:p>
      <w:pPr>
        <w:spacing w:after="120"/>
        <w:jc w:val="both"/>
        <w:rPr>
          <w:rFonts w:ascii="Times New Roman" w:hAnsi="Times New Roman" w:cs="Times New Roman"/>
          <w:noProof/>
          <w:sz w:val="24"/>
          <w:szCs w:val="24"/>
          <w:u w:val="single"/>
        </w:rPr>
      </w:pPr>
      <w:r>
        <w:rPr>
          <w:rFonts w:ascii="Times New Roman" w:hAnsi="Times New Roman" w:cs="Times New Roman"/>
          <w:i/>
          <w:iCs/>
          <w:noProof/>
          <w:sz w:val="24"/>
          <w:szCs w:val="24"/>
          <w:u w:val="single"/>
        </w:rPr>
        <w:t>Benefits</w:t>
      </w:r>
      <w:r>
        <w:rPr>
          <w:rFonts w:ascii="Times New Roman" w:hAnsi="Times New Roman" w:cs="Times New Roman"/>
          <w:i/>
          <w:iCs/>
          <w:noProof/>
          <w:sz w:val="24"/>
          <w:szCs w:val="24"/>
        </w:rPr>
        <w:t xml:space="preserve">: </w:t>
      </w:r>
      <w:r>
        <w:rPr>
          <w:rFonts w:ascii="Times New Roman" w:hAnsi="Times New Roman" w:cs="Times New Roman"/>
          <w:noProof/>
          <w:sz w:val="24"/>
          <w:szCs w:val="24"/>
        </w:rPr>
        <w:t>As in Sub-option 2B but for less employers and workers.</w:t>
      </w:r>
    </w:p>
    <w:p>
      <w:pPr>
        <w:pStyle w:val="Heading4"/>
        <w:ind w:left="720"/>
        <w:rPr>
          <w:b/>
          <w:noProof/>
        </w:rPr>
      </w:pPr>
      <w:r>
        <w:rPr>
          <w:b/>
          <w:bCs/>
          <w:i/>
          <w:iCs/>
          <w:noProof/>
        </w:rPr>
        <w:t>Measure</w:t>
      </w:r>
      <w:r>
        <w:rPr>
          <w:b/>
          <w:bCs/>
          <w:noProof/>
        </w:rPr>
        <w:t xml:space="preserve"> </w:t>
      </w:r>
      <w:r>
        <w:rPr>
          <w:b/>
          <w:bCs/>
          <w:i/>
          <w:iCs/>
          <w:noProof/>
        </w:rPr>
        <w:t>2</w:t>
      </w:r>
      <w:r>
        <w:rPr>
          <w:b/>
          <w:bCs/>
          <w:noProof/>
        </w:rPr>
        <w:t xml:space="preserve">: </w:t>
      </w:r>
      <w:r>
        <w:rPr>
          <w:b/>
          <w:bCs/>
          <w:i/>
          <w:iCs/>
          <w:noProof/>
        </w:rPr>
        <w:t>Employer obligation to report on average differences in pay between female and male workers</w:t>
      </w:r>
    </w:p>
    <w:p>
      <w:pPr>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information under this measure gives a general idea about the situation regarding pay equality in the organisation. In countries where such information is published (e.g. UK, DE), it creates peer pressure, raises awareness and triggers action. It gives a basis for workers’ representatives, labour inspectorates or equality bodies to ask questions and explanations if important gender pay differences come to light.</w:t>
      </w:r>
    </w:p>
    <w:p>
      <w:pPr>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Publishing data about average differences in pay between men and women at employer level would not in itself directly contribute to reaching the objective of empowering workers to claim their right to equal pay, but it offers sufficient details to motivate workers to request more information should they suspect gender pay discrimination. This, in addition to reputational concerns - or as a result of questions by trade unions, labour inspectorates or equality bodies - could therefore trigger action on the part of employers. It could more specifically serve as a trigger for a systematic revision of pay structures from the perspective of discrimination based on sex, even if such follow-up action would not be mandatory.</w:t>
      </w:r>
    </w:p>
    <w:p>
      <w:pPr>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effect of this measure could be strengthened by ensuring a </w:t>
      </w:r>
      <w:r>
        <w:rPr>
          <w:rFonts w:ascii="Times New Roman" w:eastAsia="Times New Roman" w:hAnsi="Times New Roman" w:cs="Times New Roman"/>
          <w:noProof/>
          <w:sz w:val="24"/>
          <w:szCs w:val="24"/>
          <w:u w:val="single"/>
        </w:rPr>
        <w:t>centralised publication</w:t>
      </w:r>
      <w:r>
        <w:rPr>
          <w:rFonts w:ascii="Times New Roman" w:eastAsia="Times New Roman" w:hAnsi="Times New Roman" w:cs="Times New Roman"/>
          <w:noProof/>
          <w:sz w:val="24"/>
          <w:szCs w:val="24"/>
        </w:rPr>
        <w:t xml:space="preserve"> of the data by the Government, as done, for instance, in the UK.</w:t>
      </w:r>
      <w:r>
        <w:rPr>
          <w:rStyle w:val="FootnoteReference"/>
          <w:rFonts w:ascii="Times New Roman" w:eastAsia="Times New Roman" w:hAnsi="Times New Roman" w:cs="Times New Roman"/>
          <w:noProof/>
          <w:sz w:val="24"/>
          <w:szCs w:val="24"/>
        </w:rPr>
        <w:footnoteReference w:id="162"/>
      </w:r>
      <w:r>
        <w:rPr>
          <w:rFonts w:ascii="Times New Roman" w:eastAsia="Times New Roman" w:hAnsi="Times New Roman" w:cs="Times New Roman"/>
          <w:noProof/>
          <w:sz w:val="24"/>
          <w:szCs w:val="24"/>
        </w:rPr>
        <w:t xml:space="preserve"> The gathering of the data by the Government would further allow public authorities to </w:t>
      </w:r>
      <w:r>
        <w:rPr>
          <w:rFonts w:ascii="Times New Roman" w:hAnsi="Times New Roman" w:cs="Times New Roman"/>
          <w:noProof/>
          <w:sz w:val="24"/>
          <w:szCs w:val="24"/>
        </w:rPr>
        <w:t>assess and monitor the impact of pay transparency measures at aggregate level. It would also allow them to a</w:t>
      </w:r>
      <w:r>
        <w:rPr>
          <w:rFonts w:ascii="Times New Roman" w:eastAsia="Times New Roman" w:hAnsi="Times New Roman" w:cs="Times New Roman"/>
          <w:noProof/>
          <w:sz w:val="24"/>
          <w:szCs w:val="24"/>
        </w:rPr>
        <w:t>nalyse the data to detect differences per region, per sector, etc. and to develop targeted policy measures.</w:t>
      </w:r>
    </w:p>
    <w:p>
      <w:pPr>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national experts who contributed to the support study were particularly positive about this measure in terms of fitting within existing institutions and its likely effectiveness (behavioural feasibility).</w:t>
      </w:r>
    </w:p>
    <w:p>
      <w:pPr>
        <w:spacing w:after="120"/>
        <w:jc w:val="both"/>
        <w:rPr>
          <w:rFonts w:ascii="Times New Roman" w:hAnsi="Times New Roman" w:cs="Times New Roman"/>
          <w:noProof/>
        </w:rPr>
      </w:pPr>
      <w:r>
        <w:rPr>
          <w:rFonts w:ascii="Times New Roman" w:hAnsi="Times New Roman" w:cs="Times New Roman"/>
          <w:noProof/>
          <w:sz w:val="24"/>
          <w:szCs w:val="24"/>
        </w:rPr>
        <w:t>Two important elements affecting efficiency need to be taken into account when shaping this measure:</w:t>
      </w:r>
    </w:p>
    <w:p>
      <w:pPr>
        <w:pStyle w:val="ListParagraph"/>
        <w:numPr>
          <w:ilvl w:val="0"/>
          <w:numId w:val="13"/>
        </w:numPr>
        <w:spacing w:after="120"/>
        <w:jc w:val="both"/>
        <w:rPr>
          <w:rFonts w:ascii="Times New Roman" w:hAnsi="Times New Roman" w:cs="Times New Roman"/>
          <w:noProof/>
          <w:sz w:val="24"/>
          <w:szCs w:val="24"/>
        </w:rPr>
      </w:pPr>
      <w:r>
        <w:rPr>
          <w:rFonts w:ascii="Times New Roman" w:hAnsi="Times New Roman" w:cs="Times New Roman"/>
          <w:noProof/>
          <w:sz w:val="24"/>
          <w:szCs w:val="24"/>
        </w:rPr>
        <w:t>Publicity on the results and follow-up/monitoring: publicity is an important mechanism to promote change and awareness of the gender pay gap. In addition, it motivates employers to act taking into account branding, image, and capacity to attract talent. There should be follow-up action in case unjustified pay differences come to light.</w:t>
      </w:r>
    </w:p>
    <w:p>
      <w:pPr>
        <w:pStyle w:val="ListParagraph"/>
        <w:numPr>
          <w:ilvl w:val="0"/>
          <w:numId w:val="13"/>
        </w:numPr>
        <w:spacing w:after="120"/>
        <w:jc w:val="both"/>
        <w:rPr>
          <w:rFonts w:ascii="Times New Roman" w:hAnsi="Times New Roman" w:cs="Times New Roman"/>
          <w:noProof/>
          <w:sz w:val="24"/>
          <w:szCs w:val="24"/>
        </w:rPr>
      </w:pPr>
      <w:r>
        <w:rPr>
          <w:rFonts w:ascii="Times New Roman" w:hAnsi="Times New Roman" w:cs="Times New Roman"/>
          <w:noProof/>
          <w:sz w:val="24"/>
          <w:szCs w:val="24"/>
        </w:rPr>
        <w:t>Sanctions and/or positive incentives should be in place to ensure that employers provide the information.</w:t>
      </w:r>
    </w:p>
    <w:p>
      <w:pPr>
        <w:spacing w:after="120"/>
        <w:jc w:val="both"/>
        <w:rPr>
          <w:rFonts w:ascii="Times New Roman" w:hAnsi="Times New Roman" w:cs="Times New Roman"/>
          <w:noProof/>
          <w:sz w:val="24"/>
          <w:szCs w:val="24"/>
        </w:rPr>
      </w:pPr>
      <w:r>
        <w:rPr>
          <w:rFonts w:ascii="Times New Roman" w:hAnsi="Times New Roman" w:cs="Times New Roman"/>
          <w:i/>
          <w:iCs/>
          <w:noProof/>
          <w:sz w:val="24"/>
          <w:szCs w:val="24"/>
          <w:u w:val="single"/>
        </w:rPr>
        <w:t>Exemption for smaller employers</w:t>
      </w:r>
      <w:r>
        <w:rPr>
          <w:rFonts w:ascii="Times New Roman" w:hAnsi="Times New Roman" w:cs="Times New Roman"/>
          <w:noProof/>
          <w:sz w:val="24"/>
          <w:szCs w:val="24"/>
        </w:rPr>
        <w:t xml:space="preserve">: There are statistical reasons to exempt smaller organisations from pay reporting. In small and very small employers, the computation of the average pay differences can easily be distorted by outliers or by few employees at the top or at the bottom of the wage distribution. Because of this possible distortion and weighing this risk against the burden of producing the report (even if the latter is low, </w:t>
      </w:r>
      <w:r>
        <w:rPr>
          <w:rFonts w:ascii="Times New Roman" w:hAnsi="Times New Roman" w:cs="Times New Roman"/>
          <w:i/>
          <w:iCs/>
          <w:noProof/>
          <w:sz w:val="24"/>
          <w:szCs w:val="24"/>
        </w:rPr>
        <w:t>see below</w:t>
      </w:r>
      <w:r>
        <w:rPr>
          <w:rFonts w:ascii="Times New Roman" w:hAnsi="Times New Roman" w:cs="Times New Roman"/>
          <w:noProof/>
          <w:sz w:val="24"/>
          <w:szCs w:val="24"/>
        </w:rPr>
        <w:t>), the initiative would limit the obligation of reporting on the pay gap</w:t>
      </w:r>
      <w:r>
        <w:rPr>
          <w:rFonts w:ascii="Times New Roman" w:hAnsi="Times New Roman" w:cs="Times New Roman"/>
          <w:b/>
          <w:bCs/>
          <w:noProof/>
          <w:sz w:val="24"/>
          <w:szCs w:val="24"/>
        </w:rPr>
        <w:t xml:space="preserve"> </w:t>
      </w:r>
      <w:r>
        <w:rPr>
          <w:rFonts w:ascii="Times New Roman" w:hAnsi="Times New Roman" w:cs="Times New Roman"/>
          <w:noProof/>
          <w:sz w:val="24"/>
          <w:szCs w:val="24"/>
        </w:rPr>
        <w:t>to</w:t>
      </w:r>
      <w:r>
        <w:rPr>
          <w:rFonts w:ascii="Times New Roman" w:hAnsi="Times New Roman" w:cs="Times New Roman"/>
          <w:b/>
          <w:bCs/>
          <w:noProof/>
          <w:sz w:val="24"/>
          <w:szCs w:val="24"/>
        </w:rPr>
        <w:t xml:space="preserve"> employers with at least 50 workers</w:t>
      </w:r>
      <w:r>
        <w:rPr>
          <w:rFonts w:ascii="Times New Roman" w:hAnsi="Times New Roman" w:cs="Times New Roman"/>
          <w:noProof/>
          <w:sz w:val="24"/>
          <w:szCs w:val="24"/>
        </w:rPr>
        <w:t>. The impact of such a limitation on the coverage of workforce and employers concerned is the same as set out under Sub-options 2A and 2B.</w:t>
      </w:r>
    </w:p>
    <w:p>
      <w:pPr>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i/>
          <w:iCs/>
          <w:noProof/>
          <w:sz w:val="24"/>
          <w:szCs w:val="24"/>
          <w:u w:val="single"/>
        </w:rPr>
        <w:t>Stakeholders’ views</w:t>
      </w:r>
      <w:r>
        <w:rPr>
          <w:rFonts w:ascii="Times New Roman" w:eastAsia="Times New Roman" w:hAnsi="Times New Roman" w:cs="Times New Roman"/>
          <w:noProof/>
          <w:sz w:val="24"/>
          <w:szCs w:val="24"/>
        </w:rPr>
        <w:t>: The majority of respondents (78.4%) to the public consultation think pay reporting would be effective to better enforce the principle of equal pay.</w:t>
      </w:r>
      <w:r>
        <w:rPr>
          <w:rFonts w:ascii="Times New Roman" w:eastAsia="Times New Roman" w:hAnsi="Times New Roman" w:cs="Times New Roman"/>
          <w:noProof/>
          <w:vertAlign w:val="superscript"/>
        </w:rPr>
        <w:footnoteReference w:id="163"/>
      </w:r>
      <w:r>
        <w:rPr>
          <w:rFonts w:ascii="Times New Roman" w:eastAsia="Times New Roman" w:hAnsi="Times New Roman" w:cs="Times New Roman"/>
          <w:noProof/>
          <w:sz w:val="24"/>
          <w:szCs w:val="24"/>
        </w:rPr>
        <w:t xml:space="preserve"> Furthermore, making the pay report available to the public at large is expected to be effective by between 65% and 78% of respondents from all groups, with the exception of only a limited minority of employers/business associations and organisations supporting this measure (20%).</w:t>
      </w:r>
      <w:r>
        <w:rPr>
          <w:rFonts w:ascii="Times New Roman" w:hAnsi="Times New Roman" w:cs="Times New Roman"/>
          <w:noProof/>
        </w:rPr>
        <w:t xml:space="preserve"> </w:t>
      </w:r>
      <w:r>
        <w:rPr>
          <w:rFonts w:ascii="Times New Roman" w:hAnsi="Times New Roman" w:cs="Times New Roman"/>
          <w:noProof/>
          <w:sz w:val="24"/>
          <w:szCs w:val="24"/>
        </w:rPr>
        <w:t xml:space="preserve">The Member States’ consultation shows that a large majority of respondents (82%) favour this measure and selected it as the first most effective one to </w:t>
      </w:r>
      <w:r>
        <w:rPr>
          <w:rFonts w:ascii="Times New Roman" w:eastAsia="Times New Roman" w:hAnsi="Times New Roman" w:cs="Times New Roman"/>
          <w:noProof/>
          <w:sz w:val="24"/>
          <w:szCs w:val="24"/>
        </w:rPr>
        <w:t>better enforce the principle of equal pay</w:t>
      </w:r>
      <w:r>
        <w:rPr>
          <w:rFonts w:ascii="Times New Roman" w:hAnsi="Times New Roman" w:cs="Times New Roman"/>
          <w:noProof/>
        </w:rPr>
        <w:t xml:space="preserve">. </w:t>
      </w:r>
      <w:r>
        <w:rPr>
          <w:rFonts w:ascii="Times New Roman" w:eastAsia="Times New Roman" w:hAnsi="Times New Roman" w:cs="Times New Roman"/>
          <w:noProof/>
          <w:sz w:val="24"/>
          <w:szCs w:val="24"/>
        </w:rPr>
        <w:t>No particular concerns were raised.</w:t>
      </w:r>
    </w:p>
    <w:p>
      <w:pPr>
        <w:spacing w:before="120"/>
        <w:jc w:val="both"/>
        <w:rPr>
          <w:rFonts w:ascii="Times New Roman" w:hAnsi="Times New Roman" w:cs="Times New Roman"/>
          <w:noProof/>
          <w:sz w:val="24"/>
          <w:szCs w:val="24"/>
        </w:rPr>
      </w:pPr>
      <w:r>
        <w:rPr>
          <w:rFonts w:ascii="Times New Roman" w:hAnsi="Times New Roman" w:cs="Times New Roman"/>
          <w:i/>
          <w:iCs/>
          <w:noProof/>
          <w:sz w:val="24"/>
          <w:szCs w:val="24"/>
          <w:u w:val="single"/>
        </w:rPr>
        <w:t>Costs</w:t>
      </w:r>
      <w:r>
        <w:rPr>
          <w:rFonts w:ascii="Times New Roman" w:hAnsi="Times New Roman" w:cs="Times New Roman"/>
          <w:noProof/>
          <w:sz w:val="24"/>
          <w:szCs w:val="24"/>
        </w:rPr>
        <w:t xml:space="preserve">: For </w:t>
      </w:r>
      <w:r>
        <w:rPr>
          <w:rFonts w:ascii="Times New Roman" w:hAnsi="Times New Roman" w:cs="Times New Roman"/>
          <w:i/>
          <w:iCs/>
          <w:noProof/>
          <w:sz w:val="24"/>
          <w:szCs w:val="24"/>
        </w:rPr>
        <w:t>employers</w:t>
      </w:r>
      <w:r>
        <w:rPr>
          <w:rFonts w:ascii="Times New Roman" w:hAnsi="Times New Roman" w:cs="Times New Roman"/>
          <w:noProof/>
          <w:sz w:val="24"/>
          <w:szCs w:val="24"/>
        </w:rPr>
        <w:t xml:space="preserve"> – The reporting consists of three different steps: (1) information gathering, (2) computing the average pay differences, (3) writing and clearing the report for publication. Data on salaries are already available to the employer and the computation itself is not difficult; the most demanding task is the clearance process for the publication of the results and possibly developing a supporting narrative.</w:t>
      </w:r>
    </w:p>
    <w:p>
      <w:pPr>
        <w:spacing w:before="120"/>
        <w:jc w:val="both"/>
        <w:rPr>
          <w:rFonts w:ascii="Times New Roman" w:hAnsi="Times New Roman" w:cs="Times New Roman"/>
          <w:noProof/>
          <w:sz w:val="24"/>
          <w:szCs w:val="24"/>
        </w:rPr>
      </w:pPr>
      <w:r>
        <w:rPr>
          <w:rFonts w:ascii="Times New Roman" w:hAnsi="Times New Roman" w:cs="Times New Roman"/>
          <w:noProof/>
          <w:sz w:val="24"/>
          <w:szCs w:val="24"/>
        </w:rPr>
        <w:t>The impact assessment for the 2014 Recommendation assessed the average time needed for (broader) pay reporting at 40 hours per year. This assessment is consistent with the estimate for Germany of about 3.5 working days for a report obligation for an employer with more than 500 workers</w:t>
      </w:r>
      <w:r>
        <w:rPr>
          <w:rFonts w:ascii="Times New Roman" w:hAnsi="Times New Roman" w:cs="Times New Roman"/>
          <w:noProof/>
          <w:sz w:val="24"/>
          <w:szCs w:val="24"/>
          <w:vertAlign w:val="superscript"/>
        </w:rPr>
        <w:footnoteReference w:id="164"/>
      </w:r>
      <w:r>
        <w:rPr>
          <w:rFonts w:ascii="Times New Roman" w:hAnsi="Times New Roman" w:cs="Times New Roman"/>
          <w:noProof/>
          <w:sz w:val="24"/>
          <w:szCs w:val="24"/>
        </w:rPr>
        <w:t xml:space="preserve"> and with the estimate of 23 hours in the impact assessment of the UK government for a lighter measure. Finally, the mini-survey of employers carried out for this impact assessment showed that 7 out of 11 employers (mostly with over 250 workers) expect a cost below 1,000 EUR, noting that digitalisation and data availability simplify data processing. </w:t>
      </w:r>
    </w:p>
    <w:p>
      <w:pPr>
        <w:spacing w:before="120"/>
        <w:jc w:val="both"/>
        <w:rPr>
          <w:rFonts w:ascii="Times New Roman" w:hAnsi="Times New Roman" w:cs="Times New Roman"/>
          <w:noProof/>
          <w:sz w:val="24"/>
          <w:szCs w:val="24"/>
        </w:rPr>
      </w:pPr>
      <w:r>
        <w:rPr>
          <w:rFonts w:ascii="Times New Roman" w:hAnsi="Times New Roman" w:cs="Times New Roman"/>
          <w:noProof/>
          <w:sz w:val="24"/>
          <w:szCs w:val="24"/>
        </w:rPr>
        <w:t>Our estimation of costs for the EU27 is consistent with these figures and is of an</w:t>
      </w:r>
      <w:r>
        <w:rPr>
          <w:rFonts w:ascii="Times New Roman" w:hAnsi="Times New Roman" w:cs="Times New Roman"/>
          <w:b/>
          <w:bCs/>
          <w:noProof/>
          <w:sz w:val="24"/>
          <w:szCs w:val="24"/>
        </w:rPr>
        <w:t xml:space="preserve"> overall cost of around 131 and 214 million EUR, i.e. an average cost between 315 and 500 EUR per employer.</w:t>
      </w:r>
      <w:r>
        <w:rPr>
          <w:rStyle w:val="FootnoteReference"/>
          <w:rFonts w:ascii="Times New Roman" w:hAnsi="Times New Roman" w:cs="Times New Roman"/>
          <w:noProof/>
          <w:sz w:val="24"/>
          <w:szCs w:val="24"/>
        </w:rPr>
        <w:footnoteReference w:id="165"/>
      </w:r>
      <w:r>
        <w:rPr>
          <w:rFonts w:ascii="Times New Roman" w:hAnsi="Times New Roman" w:cs="Times New Roman"/>
          <w:noProof/>
          <w:sz w:val="24"/>
          <w:szCs w:val="24"/>
        </w:rPr>
        <w:t xml:space="preserve"> This decreases in the following years to between 20 and 36 million EUR, i.e. an average of less than 100 EUR per employer (the detailed estimated amounts per Member State are available in </w:t>
      </w:r>
      <w:r>
        <w:rPr>
          <w:rFonts w:ascii="Times New Roman" w:hAnsi="Times New Roman" w:cs="Times New Roman"/>
          <w:i/>
          <w:iCs/>
          <w:noProof/>
          <w:sz w:val="24"/>
          <w:szCs w:val="24"/>
        </w:rPr>
        <w:t>Annex 5, section 11</w:t>
      </w:r>
      <w:r>
        <w:rPr>
          <w:rFonts w:ascii="Times New Roman" w:hAnsi="Times New Roman" w:cs="Times New Roman"/>
          <w:noProof/>
          <w:sz w:val="24"/>
          <w:szCs w:val="24"/>
        </w:rPr>
        <w:t>).</w:t>
      </w:r>
    </w:p>
    <w:p>
      <w:pPr>
        <w:spacing w:after="120"/>
        <w:jc w:val="both"/>
        <w:rPr>
          <w:rFonts w:ascii="Times New Roman" w:hAnsi="Times New Roman" w:cs="Times New Roman"/>
          <w:noProof/>
          <w:sz w:val="24"/>
          <w:szCs w:val="24"/>
        </w:rPr>
      </w:pPr>
      <w:r>
        <w:rPr>
          <w:rFonts w:ascii="Times New Roman" w:hAnsi="Times New Roman" w:cs="Times New Roman"/>
          <w:i/>
          <w:iCs/>
          <w:noProof/>
          <w:sz w:val="24"/>
          <w:szCs w:val="24"/>
        </w:rPr>
        <w:t>For Member States</w:t>
      </w:r>
      <w:r>
        <w:rPr>
          <w:rFonts w:ascii="Times New Roman" w:hAnsi="Times New Roman" w:cs="Times New Roman"/>
          <w:noProof/>
          <w:sz w:val="24"/>
          <w:szCs w:val="24"/>
        </w:rPr>
        <w:t xml:space="preserve">: The gathering and publication of the reports by Member States, including an analysis of the aggregate data, would entail costs on the part of Member States. The minimum costs are related to building a database to monitor compliance. This can be estimated as </w:t>
      </w:r>
      <w:r>
        <w:rPr>
          <w:rFonts w:ascii="Times New Roman" w:hAnsi="Times New Roman" w:cs="Times New Roman"/>
          <w:b/>
          <w:bCs/>
          <w:noProof/>
          <w:sz w:val="24"/>
          <w:szCs w:val="24"/>
        </w:rPr>
        <w:t>one-off cost of around 400,000 EUR for project and delivery of the website and recurrent maintenance of around 50,000 EUR annually</w:t>
      </w:r>
      <w:r>
        <w:rPr>
          <w:rFonts w:ascii="Times New Roman" w:hAnsi="Times New Roman" w:cs="Times New Roman"/>
          <w:noProof/>
          <w:sz w:val="24"/>
          <w:szCs w:val="24"/>
        </w:rPr>
        <w:t>.</w:t>
      </w:r>
      <w:r>
        <w:rPr>
          <w:rStyle w:val="FootnoteReference"/>
          <w:rFonts w:ascii="Times New Roman" w:hAnsi="Times New Roman" w:cs="Times New Roman"/>
          <w:noProof/>
          <w:sz w:val="24"/>
          <w:szCs w:val="24"/>
        </w:rPr>
        <w:footnoteReference w:id="166"/>
      </w:r>
      <w:r>
        <w:rPr>
          <w:rFonts w:ascii="Times New Roman" w:hAnsi="Times New Roman" w:cs="Times New Roman"/>
          <w:b/>
          <w:bCs/>
          <w:noProof/>
          <w:sz w:val="24"/>
          <w:szCs w:val="24"/>
        </w:rPr>
        <w:t xml:space="preserve"> An employee should be assigned full time to monitor compliance</w:t>
      </w:r>
      <w:r>
        <w:rPr>
          <w:rFonts w:ascii="Times New Roman" w:hAnsi="Times New Roman" w:cs="Times New Roman"/>
          <w:noProof/>
          <w:sz w:val="24"/>
          <w:szCs w:val="24"/>
        </w:rPr>
        <w:t xml:space="preserve">. The annual median earning of public employees in the EU is around 32,000 EUR. Member States could generally rely on existing administrative entities and/or hire new staff. Setting up a </w:t>
      </w:r>
      <w:r>
        <w:rPr>
          <w:rFonts w:ascii="Times New Roman" w:hAnsi="Times New Roman" w:cs="Times New Roman"/>
          <w:b/>
          <w:bCs/>
          <w:noProof/>
          <w:sz w:val="24"/>
          <w:szCs w:val="24"/>
        </w:rPr>
        <w:t>new dedicated body</w:t>
      </w:r>
      <w:r>
        <w:rPr>
          <w:rFonts w:ascii="Times New Roman" w:hAnsi="Times New Roman" w:cs="Times New Roman"/>
          <w:noProof/>
          <w:sz w:val="24"/>
          <w:szCs w:val="24"/>
        </w:rPr>
        <w:t xml:space="preserve"> would be the most expensive option: the costs of setting up an equal pay competence centre in Estonia was estimated at around 1 million EUR over 4 years (including IT investments and administration costs, information, communication and other support activities). Such a body would be likely to carry out broader tasks than simply collecting and monitoring data, most likely it would also deal with additional gender equality policies.</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Finally, there are no costs involved for </w:t>
      </w:r>
      <w:r>
        <w:rPr>
          <w:rFonts w:ascii="Times New Roman" w:hAnsi="Times New Roman" w:cs="Times New Roman"/>
          <w:i/>
          <w:iCs/>
          <w:noProof/>
          <w:sz w:val="24"/>
          <w:szCs w:val="24"/>
        </w:rPr>
        <w:t>trade unions/workers’ representatives</w:t>
      </w:r>
      <w:r>
        <w:rPr>
          <w:rFonts w:ascii="Times New Roman" w:hAnsi="Times New Roman" w:cs="Times New Roman"/>
          <w:noProof/>
          <w:sz w:val="24"/>
          <w:szCs w:val="24"/>
        </w:rPr>
        <w:t xml:space="preserve"> in regard to the implementation of the measure. There may be work involved by these organisations in the follow-up to the publication of the pay gap information, in particular when questions arise regarding a specific employer or for the purpose of wage negotiations. However, any such follow-up action is voluntary. Nevertheless, it should be noted that pro-active monitoring of the published data by trade unions/workers’ representatives would significantly increase the effectiveness of this measure.</w:t>
      </w:r>
    </w:p>
    <w:p>
      <w:pPr>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i/>
          <w:iCs/>
          <w:noProof/>
          <w:sz w:val="24"/>
          <w:szCs w:val="24"/>
        </w:rPr>
        <w:t>Unintended effects</w:t>
      </w:r>
      <w:r>
        <w:rPr>
          <w:rFonts w:ascii="Times New Roman" w:eastAsia="Times New Roman" w:hAnsi="Times New Roman" w:cs="Times New Roman"/>
          <w:noProof/>
          <w:sz w:val="24"/>
          <w:szCs w:val="24"/>
        </w:rPr>
        <w:t xml:space="preserve">: Employers’ accountability for the existence of average gender pay differences in their organisation would make somewhat lower </w:t>
      </w:r>
      <w:r>
        <w:rPr>
          <w:rFonts w:ascii="Times New Roman" w:eastAsia="Times New Roman" w:hAnsi="Times New Roman" w:cs="Times New Roman"/>
          <w:b/>
          <w:bCs/>
          <w:noProof/>
          <w:sz w:val="24"/>
          <w:szCs w:val="24"/>
        </w:rPr>
        <w:t>managerial wage discretion</w:t>
      </w:r>
      <w:r>
        <w:rPr>
          <w:rFonts w:ascii="Times New Roman" w:eastAsia="Times New Roman" w:hAnsi="Times New Roman" w:cs="Times New Roman"/>
          <w:noProof/>
          <w:sz w:val="24"/>
          <w:szCs w:val="24"/>
        </w:rPr>
        <w:t xml:space="preserve"> and could even influence hiring/firing decisions. IT applications allowing to assess the impact of any prospective hiring on such differences are already available for free</w:t>
      </w:r>
      <w:r>
        <w:rPr>
          <w:rStyle w:val="FootnoteReference"/>
          <w:rFonts w:ascii="Times New Roman" w:eastAsia="Times New Roman" w:hAnsi="Times New Roman" w:cs="Times New Roman"/>
          <w:noProof/>
          <w:sz w:val="24"/>
          <w:szCs w:val="24"/>
        </w:rPr>
        <w:footnoteReference w:id="167"/>
      </w:r>
      <w:r>
        <w:rPr>
          <w:rFonts w:ascii="Times New Roman" w:eastAsia="Times New Roman" w:hAnsi="Times New Roman" w:cs="Times New Roman"/>
          <w:noProof/>
          <w:sz w:val="24"/>
          <w:szCs w:val="24"/>
        </w:rPr>
        <w:t xml:space="preserve">. The effect could be to reduce the discretion of the employer, also given the larger publicity of the information. For the same reason, however, more accountability could induce employers’ voluntary implementation of gender equality plans, also considering that workers’ representatives would have relevant information as basis for discussion. </w:t>
      </w:r>
    </w:p>
    <w:p>
      <w:pPr>
        <w:spacing w:after="120"/>
        <w:jc w:val="both"/>
        <w:rPr>
          <w:rFonts w:ascii="Times New Roman" w:hAnsi="Times New Roman" w:cs="Times New Roman"/>
          <w:noProof/>
          <w:sz w:val="24"/>
          <w:szCs w:val="24"/>
        </w:rPr>
      </w:pPr>
      <w:r>
        <w:rPr>
          <w:rFonts w:ascii="Times New Roman" w:hAnsi="Times New Roman" w:cs="Times New Roman"/>
          <w:i/>
          <w:iCs/>
          <w:noProof/>
          <w:sz w:val="24"/>
          <w:szCs w:val="24"/>
          <w:u w:val="single"/>
        </w:rPr>
        <w:t>Benefits</w:t>
      </w:r>
      <w:r>
        <w:rPr>
          <w:rFonts w:ascii="Times New Roman" w:hAnsi="Times New Roman" w:cs="Times New Roman"/>
          <w:i/>
          <w:iCs/>
          <w:noProof/>
          <w:sz w:val="24"/>
          <w:szCs w:val="24"/>
        </w:rPr>
        <w:t xml:space="preserve">: </w:t>
      </w:r>
      <w:r>
        <w:rPr>
          <w:rFonts w:ascii="Times New Roman" w:eastAsia="Times New Roman" w:hAnsi="Times New Roman" w:cs="Times New Roman"/>
          <w:noProof/>
          <w:sz w:val="24"/>
          <w:szCs w:val="24"/>
        </w:rPr>
        <w:t>Pay reporting has intangible benefits by making employers more conscious of equal pay issues, with an added</w:t>
      </w:r>
      <w:r>
        <w:rPr>
          <w:rFonts w:ascii="Times New Roman" w:hAnsi="Times New Roman" w:cs="Times New Roman"/>
          <w:noProof/>
        </w:rPr>
        <w:t xml:space="preserve"> </w:t>
      </w:r>
      <w:r>
        <w:rPr>
          <w:rFonts w:ascii="Times New Roman" w:hAnsi="Times New Roman" w:cs="Times New Roman"/>
          <w:noProof/>
          <w:sz w:val="24"/>
          <w:szCs w:val="24"/>
        </w:rPr>
        <w:t>peer pressure element that could motivate a stronger focus and awareness on the gender pay gap not only among workers but also among other stakeholders e.g. NGOs, national and social media. Depending on the monitoring and action by relevant stakeholders, the measure may be expected to trigger action at employer level. However, it should be noted that the main weakness of this measure, if adopted on its own, would be the lack of pro-active remedial action by employers in case the data were to show possible pay inequalities in the organisation. Follow-up action would only be triggered in case of questions by workers, their representatives, or other stakeholders.</w:t>
      </w:r>
    </w:p>
    <w:p>
      <w:pPr>
        <w:spacing w:after="120"/>
        <w:jc w:val="both"/>
        <w:rPr>
          <w:rFonts w:ascii="Times New Roman" w:hAnsi="Times New Roman" w:cs="Times New Roman"/>
          <w:noProof/>
        </w:rPr>
      </w:pPr>
      <w:r>
        <w:rPr>
          <w:rFonts w:ascii="Times New Roman" w:eastAsia="Times New Roman" w:hAnsi="Times New Roman" w:cs="Times New Roman"/>
          <w:i/>
          <w:iCs/>
          <w:noProof/>
          <w:sz w:val="24"/>
          <w:szCs w:val="24"/>
          <w:u w:val="single"/>
        </w:rPr>
        <w:t>Legal change across Member States</w:t>
      </w:r>
      <w:r>
        <w:rPr>
          <w:rFonts w:ascii="Times New Roman" w:eastAsia="Times New Roman" w:hAnsi="Times New Roman" w:cs="Times New Roman"/>
          <w:noProof/>
          <w:sz w:val="24"/>
          <w:szCs w:val="24"/>
        </w:rPr>
        <w:t>: several models of pay reporting are currently available in 11 Member States (</w:t>
      </w:r>
      <w:r>
        <w:rPr>
          <w:rFonts w:ascii="Times New Roman" w:eastAsia="Times New Roman" w:hAnsi="Times New Roman" w:cs="Times New Roman"/>
          <w:noProof/>
          <w:sz w:val="24"/>
          <w:szCs w:val="24"/>
          <w:lang w:val="en-US" w:eastAsia="fr-FR"/>
        </w:rPr>
        <w:t>AT, BE, DE, DK, ES, FR, IT, LT, LU, NL, PT</w:t>
      </w:r>
      <w:r>
        <w:rPr>
          <w:rFonts w:ascii="Times New Roman" w:eastAsia="Times New Roman" w:hAnsi="Times New Roman" w:cs="Times New Roman"/>
          <w:noProof/>
          <w:sz w:val="24"/>
          <w:szCs w:val="24"/>
        </w:rPr>
        <w:t>). Some changes may be required in these Member States to adapt their current reporting obligation to that foreseen in this initiative. The measure would need to be set up in the remaining 16 Member States.</w:t>
      </w:r>
    </w:p>
    <w:p>
      <w:pPr>
        <w:pStyle w:val="Text2"/>
        <w:spacing w:after="120" w:line="276" w:lineRule="auto"/>
        <w:ind w:left="0"/>
        <w:rPr>
          <w:b/>
          <w:i/>
          <w:noProof/>
        </w:rPr>
      </w:pPr>
      <w:r>
        <w:rPr>
          <w:b/>
          <w:bCs/>
          <w:i/>
          <w:iCs/>
          <w:noProof/>
          <w:u w:val="single"/>
        </w:rPr>
        <w:t>Alternative sub-option</w:t>
      </w:r>
      <w:r>
        <w:rPr>
          <w:b/>
          <w:bCs/>
          <w:i/>
          <w:iCs/>
          <w:noProof/>
        </w:rPr>
        <w:t xml:space="preserve">: Pay transparency realized through action by national administrations </w:t>
      </w:r>
    </w:p>
    <w:p>
      <w:pPr>
        <w:pStyle w:val="Text2"/>
        <w:spacing w:after="120" w:line="276" w:lineRule="auto"/>
        <w:ind w:left="0"/>
        <w:rPr>
          <w:noProof/>
        </w:rPr>
      </w:pPr>
      <w:r>
        <w:rPr>
          <w:noProof/>
        </w:rPr>
        <w:t xml:space="preserve">It may be feasible, in some Member States, that national administrations are able to gather and interlink the necessary data allowing for a computation of the gender pay gap per employer. Where that is possible, such administrative action could replace the obligation for employers to do so. </w:t>
      </w:r>
    </w:p>
    <w:p>
      <w:pPr>
        <w:pStyle w:val="Text2"/>
        <w:spacing w:after="120" w:line="276" w:lineRule="auto"/>
        <w:ind w:left="0"/>
        <w:rPr>
          <w:noProof/>
        </w:rPr>
      </w:pPr>
      <w:r>
        <w:rPr>
          <w:noProof/>
        </w:rPr>
        <w:t>Technically, this is only possible if administrative data matching employers’ (firm level) to workers’ (individual level) data, including benefits in cash and in-kind, are available</w:t>
      </w:r>
      <w:r>
        <w:rPr>
          <w:rStyle w:val="FootnoteReference"/>
          <w:noProof/>
        </w:rPr>
        <w:footnoteReference w:id="168"/>
      </w:r>
      <w:r>
        <w:rPr>
          <w:noProof/>
        </w:rPr>
        <w:t>. It would require interlinking data from several public administrations (such as tax inspectorates, social security offices, etc.). According to a study carried out by the OECD, some countries should already be able to carry out this task</w:t>
      </w:r>
      <w:r>
        <w:rPr>
          <w:rStyle w:val="FootnoteReference"/>
          <w:noProof/>
        </w:rPr>
        <w:footnoteReference w:id="169"/>
      </w:r>
      <w:r>
        <w:rPr>
          <w:noProof/>
        </w:rPr>
        <w:t>. All 20 surveyed Member States, except Czechia, record firm-level information; 12 countries already link firm-level with individual-level data</w:t>
      </w:r>
      <w:r>
        <w:rPr>
          <w:rStyle w:val="FootnoteReference"/>
          <w:noProof/>
        </w:rPr>
        <w:footnoteReference w:id="170"/>
      </w:r>
      <w:r>
        <w:rPr>
          <w:noProof/>
        </w:rPr>
        <w:t xml:space="preserve"> and five expect to be able to do so shortly (Austria, Bulgaria, Ireland, Italy and Spain). According to this study, Czechia, Slovenia and Slovakia are not yet able to link the data, and have no specific plans to do so soon. Despite this study, in the targeted consultation only six Member States out of 20 confirmed that their existing national registers (tax, social security, etc.) would allow to compute the gender pay gap at organisational level</w:t>
      </w:r>
      <w:r>
        <w:rPr>
          <w:noProof/>
          <w:vertAlign w:val="superscript"/>
        </w:rPr>
        <w:footnoteReference w:id="171"/>
      </w:r>
      <w:r>
        <w:rPr>
          <w:noProof/>
        </w:rPr>
        <w:t>. Computation by national organisations already happens for instance in Estonia and Denmark</w:t>
      </w:r>
      <w:r>
        <w:rPr>
          <w:rStyle w:val="FootnoteReference"/>
          <w:noProof/>
        </w:rPr>
        <w:footnoteReference w:id="172"/>
      </w:r>
      <w:r>
        <w:rPr>
          <w:noProof/>
        </w:rPr>
        <w:t>. In the public consultation, Member States found pay reporting done by organisations more efficient than reporting by administrative authorities. Almost 80% of employer organisations replying to the public consultation found it ineffective for the labour inspectorate/equality body to perform automated checks based on employment, tax, and/or social security registers.</w:t>
      </w:r>
    </w:p>
    <w:p>
      <w:pPr>
        <w:pStyle w:val="Text2"/>
        <w:spacing w:after="120" w:line="276" w:lineRule="auto"/>
        <w:ind w:left="0"/>
        <w:rPr>
          <w:noProof/>
        </w:rPr>
      </w:pPr>
      <w:r>
        <w:rPr>
          <w:noProof/>
        </w:rPr>
        <w:t xml:space="preserve">In addition, the computation of average pay differences at employer level by administrative authorities may have an additional </w:t>
      </w:r>
      <w:r>
        <w:rPr>
          <w:b/>
          <w:bCs/>
          <w:noProof/>
        </w:rPr>
        <w:t>drawback</w:t>
      </w:r>
      <w:r>
        <w:rPr>
          <w:noProof/>
        </w:rPr>
        <w:t>. It would leave employers in a reactive role, just in case they would be flagged in the system. If employers are involved in the reporting themselves, stronger buy-in and commitment from the employer’s management level may be expected, eventually leading to a mind shift at employer level. Also, employers may wish to control and handle the data themselves, particularly in light of the relative small burden that calculating the average gender pay differences at employer level entails.</w:t>
      </w:r>
    </w:p>
    <w:p>
      <w:pPr>
        <w:pStyle w:val="Text2"/>
        <w:spacing w:after="120" w:line="276" w:lineRule="auto"/>
        <w:ind w:left="0"/>
        <w:rPr>
          <w:noProof/>
        </w:rPr>
      </w:pPr>
      <w:r>
        <w:rPr>
          <w:noProof/>
        </w:rPr>
        <w:t>Nevertheless, in light of the concerns expressed by employers’ associations as to the possible burden on employers in the initiative and in light of the fact that certain Member States may be able to alleviate such burden by achieving the results of this measure through administrative computation of the pay gap at employer level, the initiative could allow the flexibility for Member States to impose this as an obligation on employers or carry out the task at governmental level.</w:t>
      </w:r>
    </w:p>
    <w:p>
      <w:pPr>
        <w:spacing w:after="120"/>
        <w:jc w:val="both"/>
        <w:rPr>
          <w:rFonts w:ascii="Times New Roman" w:hAnsi="Times New Roman" w:cs="Times New Roman"/>
          <w:i/>
          <w:noProof/>
          <w:sz w:val="24"/>
          <w:szCs w:val="24"/>
          <w:u w:val="single"/>
        </w:rPr>
      </w:pPr>
      <w:r>
        <w:rPr>
          <w:rFonts w:ascii="Times New Roman" w:hAnsi="Times New Roman" w:cs="Times New Roman"/>
          <w:i/>
          <w:iCs/>
          <w:noProof/>
          <w:sz w:val="24"/>
          <w:szCs w:val="24"/>
          <w:u w:val="single"/>
        </w:rPr>
        <w:t>Overall conclusion of Sub-option 2C</w:t>
      </w:r>
    </w:p>
    <w:p>
      <w:pPr>
        <w:pStyle w:val="Text2"/>
        <w:spacing w:after="120" w:line="276" w:lineRule="auto"/>
        <w:ind w:left="0"/>
        <w:rPr>
          <w:noProof/>
        </w:rPr>
      </w:pPr>
      <w:r>
        <w:rPr>
          <w:noProof/>
        </w:rPr>
        <w:t>Under this option, the regular joint pay assessment would be limited to large organisations of at least 250 workers and to a tri-annual exercise in order to limit burden on employers. A lighter obligation would be added for those organisations of at least 50 workers. This lighter annual exercise, based on available human resource data, would create a framework that would bring to light potential pay inequalities in organisations. Even if the data gathered would not be very detailed and may not trigger follow-up action from employers in the absence of action triggered by stakeholders, the publication of such data would give indicative information to stakeholders and may be expected to create peer pressure among employers. Therefore, this Sub-option would be somewhat effective in empowering workers and relatively effective in removing bias in pay structure. It would represent a proportionate measure having limited cost, imposing a limited burden on employers and therefore being relatively coherent with current economic recovery policy.</w:t>
      </w:r>
    </w:p>
    <w:p>
      <w:pPr>
        <w:pStyle w:val="Text2"/>
        <w:spacing w:after="120" w:line="276" w:lineRule="auto"/>
        <w:ind w:left="0"/>
        <w:rPr>
          <w:noProof/>
        </w:rPr>
      </w:pPr>
      <w:r>
        <w:rPr>
          <w:noProof/>
        </w:rPr>
        <w:t xml:space="preserve">For all workers to have the possibility to access the specific information relevant to establish gender pay discrimination, the pay reporting and assessment measures above could be accompanied by the measure envisaged under </w:t>
      </w:r>
      <w:r>
        <w:rPr>
          <w:noProof/>
          <w:u w:val="single"/>
        </w:rPr>
        <w:t xml:space="preserve">Sub-option 1B, especially Measure 2. </w:t>
      </w:r>
    </w:p>
    <w:p>
      <w:pPr>
        <w:pStyle w:val="Text2"/>
        <w:spacing w:after="120" w:line="276" w:lineRule="auto"/>
        <w:ind w:left="0"/>
        <w:rPr>
          <w:noProof/>
          <w:szCs w:val="24"/>
        </w:rPr>
      </w:pPr>
      <w:r>
        <w:rPr>
          <w:noProof/>
        </w:rPr>
        <w:t xml:space="preserve">As in Sub-option 2B above, the joint pay assessment could be supported by a clarification improved implementation of the </w:t>
      </w:r>
      <w:r>
        <w:rPr>
          <w:b/>
          <w:bCs/>
          <w:noProof/>
        </w:rPr>
        <w:t>key legal concepts</w:t>
      </w:r>
      <w:r>
        <w:rPr>
          <w:noProof/>
        </w:rPr>
        <w:t xml:space="preserve"> relating to ‘pay’ and ‘equal value’ (see Option 3). As no </w:t>
      </w:r>
      <w:r>
        <w:rPr>
          <w:i/>
          <w:iCs/>
          <w:noProof/>
        </w:rPr>
        <w:t>ex-ante</w:t>
      </w:r>
      <w:r>
        <w:rPr>
          <w:noProof/>
        </w:rPr>
        <w:t xml:space="preserve"> screening of pay structures is organised by public authorities, this option could be further supported by measures aimed at </w:t>
      </w:r>
      <w:r>
        <w:rPr>
          <w:b/>
          <w:bCs/>
          <w:noProof/>
        </w:rPr>
        <w:t>improving access to justice</w:t>
      </w:r>
      <w:r>
        <w:rPr>
          <w:noProof/>
        </w:rPr>
        <w:t xml:space="preserve"> and improved </w:t>
      </w:r>
      <w:r>
        <w:rPr>
          <w:b/>
          <w:bCs/>
          <w:noProof/>
        </w:rPr>
        <w:t>enforcement and implementation</w:t>
      </w:r>
      <w:r>
        <w:rPr>
          <w:noProof/>
        </w:rPr>
        <w:t xml:space="preserve"> (see </w:t>
      </w:r>
      <w:r>
        <w:rPr>
          <w:noProof/>
          <w:u w:val="single"/>
        </w:rPr>
        <w:t>Option 3</w:t>
      </w:r>
      <w:r>
        <w:rPr>
          <w:noProof/>
        </w:rPr>
        <w:t>).</w:t>
      </w:r>
    </w:p>
    <w:p>
      <w:pPr>
        <w:pStyle w:val="Heading3"/>
        <w:ind w:left="0" w:firstLine="0"/>
        <w:rPr>
          <w:b/>
          <w:noProof/>
          <w:u w:val="single"/>
        </w:rPr>
      </w:pPr>
      <w:r>
        <w:rPr>
          <w:b/>
          <w:bCs/>
          <w:noProof/>
          <w:u w:val="single"/>
        </w:rPr>
        <w:t>Sub-option 2D</w:t>
      </w:r>
      <w:r>
        <w:rPr>
          <w:b/>
          <w:bCs/>
          <w:noProof/>
        </w:rPr>
        <w:t>: Strengthened p</w:t>
      </w:r>
      <w:r>
        <w:rPr>
          <w:b/>
          <w:bCs/>
          <w:noProof/>
          <w:lang w:val="en-IE"/>
        </w:rPr>
        <w:t xml:space="preserve">ay reporting and joint pay assessment if </w:t>
      </w:r>
      <w:r>
        <w:rPr>
          <w:b/>
          <w:bCs/>
          <w:noProof/>
        </w:rPr>
        <w:t>pay differences which cannot be justified by objective, gender-neutral factors</w:t>
      </w:r>
    </w:p>
    <w:p>
      <w:pPr>
        <w:pStyle w:val="Heading4"/>
        <w:shd w:val="clear" w:color="auto" w:fill="FFFFFF" w:themeFill="background1"/>
        <w:ind w:left="720"/>
        <w:rPr>
          <w:b/>
          <w:i/>
          <w:noProof/>
        </w:rPr>
      </w:pPr>
      <w:r>
        <w:rPr>
          <w:b/>
          <w:bCs/>
          <w:i/>
          <w:iCs/>
          <w:noProof/>
        </w:rPr>
        <w:t>Measure 1: Employer obligation to report on average differences in pay between female and male workers</w:t>
      </w:r>
      <w:r>
        <w:rPr>
          <w:b/>
          <w:bCs/>
          <w:noProof/>
        </w:rPr>
        <w:t xml:space="preserve"> </w:t>
      </w:r>
      <w:r>
        <w:rPr>
          <w:b/>
          <w:bCs/>
          <w:i/>
          <w:iCs/>
          <w:noProof/>
        </w:rPr>
        <w:t>by worker category</w:t>
      </w:r>
    </w:p>
    <w:p>
      <w:pPr>
        <w:pStyle w:val="Text2"/>
        <w:spacing w:after="120" w:line="276" w:lineRule="auto"/>
        <w:ind w:left="0"/>
        <w:rPr>
          <w:i/>
          <w:noProof/>
        </w:rPr>
      </w:pPr>
      <w:r>
        <w:rPr>
          <w:noProof/>
        </w:rPr>
        <w:t>The strengthened pay reporting envisaged under this option would require a slightly heavier investment on the part of employers as they would need to calculate, in addition to the average gender pay differences in their organisation overall, more specific pay differences among workers carrying out the same work or work of equal value. However, it should be noted that this measure requires processing the same information as envisaged under measure 2 in Sub-option 1A and 1B, but for all categories of workers. Depending on the situation, the employer may therefore already have the information available. Compared to the basic reporting under option 2C, access to this information is more valuable to precisely identify possible unjustified pay gaps and the reasons behind such gaps.</w:t>
      </w:r>
    </w:p>
    <w:p>
      <w:pPr>
        <w:pStyle w:val="Text2"/>
        <w:spacing w:after="120" w:line="276" w:lineRule="auto"/>
        <w:ind w:left="0"/>
        <w:rPr>
          <w:noProof/>
        </w:rPr>
      </w:pPr>
      <w:r>
        <w:rPr>
          <w:i/>
          <w:iCs/>
          <w:noProof/>
        </w:rPr>
        <w:t>Exemption</w:t>
      </w:r>
      <w:r>
        <w:rPr>
          <w:noProof/>
        </w:rPr>
        <w:t xml:space="preserve">: Because of the heavier burden on employers and in order to remain coherent with the other thresholds chosen for the pay transparency measures, this measure would exempt small and medium sized employers, i.e. employers with </w:t>
      </w:r>
      <w:r>
        <w:rPr>
          <w:b/>
          <w:bCs/>
          <w:noProof/>
        </w:rPr>
        <w:t>less than 250 workers</w:t>
      </w:r>
      <w:r>
        <w:rPr>
          <w:noProof/>
        </w:rPr>
        <w:t xml:space="preserve">. This measure would therefore cover about </w:t>
      </w:r>
      <w:r>
        <w:rPr>
          <w:b/>
          <w:bCs/>
          <w:noProof/>
        </w:rPr>
        <w:t>33%</w:t>
      </w:r>
      <w:r>
        <w:rPr>
          <w:noProof/>
        </w:rPr>
        <w:t xml:space="preserve"> of the EU27 workforce and an average of </w:t>
      </w:r>
      <w:r>
        <w:rPr>
          <w:b/>
          <w:bCs/>
          <w:noProof/>
        </w:rPr>
        <w:t>0.2%</w:t>
      </w:r>
      <w:r>
        <w:rPr>
          <w:noProof/>
        </w:rPr>
        <w:t xml:space="preserve"> of EU27 enterprises. Again, ultimately the threshold is subject to political decision.</w:t>
      </w:r>
    </w:p>
    <w:p>
      <w:pPr>
        <w:spacing w:after="120"/>
        <w:jc w:val="both"/>
        <w:rPr>
          <w:rFonts w:ascii="Times New Roman" w:hAnsi="Times New Roman"/>
          <w:noProof/>
          <w:sz w:val="24"/>
          <w:szCs w:val="24"/>
        </w:rPr>
      </w:pPr>
      <w:r>
        <w:rPr>
          <w:rFonts w:ascii="Times New Roman" w:hAnsi="Times New Roman" w:cs="Times New Roman"/>
          <w:i/>
          <w:iCs/>
          <w:noProof/>
          <w:sz w:val="24"/>
          <w:szCs w:val="24"/>
        </w:rPr>
        <w:t>Costs</w:t>
      </w:r>
      <w:r>
        <w:rPr>
          <w:rFonts w:ascii="Times New Roman" w:hAnsi="Times New Roman" w:cs="Times New Roman"/>
          <w:noProof/>
          <w:sz w:val="24"/>
          <w:szCs w:val="24"/>
        </w:rPr>
        <w:t xml:space="preserve">: The total cost for the employers would amount to around </w:t>
      </w:r>
      <w:r>
        <w:rPr>
          <w:rFonts w:ascii="Times New Roman" w:hAnsi="Times New Roman" w:cs="Times New Roman"/>
          <w:b/>
          <w:bCs/>
          <w:noProof/>
          <w:sz w:val="24"/>
          <w:szCs w:val="24"/>
        </w:rPr>
        <w:t>26 and 50 million EUR, i.e. between a minimum of 379-508 and a maximum of 721-890 EUR per employer depending on the size</w:t>
      </w:r>
      <w:r>
        <w:rPr>
          <w:rFonts w:ascii="Times New Roman" w:hAnsi="Times New Roman" w:cs="Times New Roman"/>
          <w:noProof/>
          <w:sz w:val="24"/>
          <w:szCs w:val="24"/>
        </w:rPr>
        <w:t>. These amounts are higher by class-size than those for Sub-option 2C measure 2 (basic pay reporting for 50+), but they are lower as regards the total cost since a larger share of employers would be exempted. These costs would also be reduced in the following years.</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For </w:t>
      </w:r>
      <w:r>
        <w:rPr>
          <w:rFonts w:ascii="Times New Roman" w:hAnsi="Times New Roman" w:cs="Times New Roman"/>
          <w:i/>
          <w:iCs/>
          <w:noProof/>
          <w:sz w:val="24"/>
          <w:szCs w:val="24"/>
        </w:rPr>
        <w:t>Member States</w:t>
      </w:r>
      <w:r>
        <w:rPr>
          <w:rFonts w:ascii="Times New Roman" w:hAnsi="Times New Roman" w:cs="Times New Roman"/>
          <w:noProof/>
          <w:sz w:val="24"/>
          <w:szCs w:val="24"/>
        </w:rPr>
        <w:t xml:space="preserve">: as in Sub-option 2C, the costs of this measure would be linked to the gathering and publication of the reports by Member States, including an analysis of the aggregate data and monitoring compliance. </w:t>
      </w:r>
    </w:p>
    <w:p>
      <w:pPr>
        <w:spacing w:after="120"/>
        <w:jc w:val="both"/>
        <w:rPr>
          <w:rFonts w:ascii="Times New Roman" w:eastAsia="Times New Roman" w:hAnsi="Times New Roman" w:cs="Times New Roman"/>
          <w:noProof/>
          <w:sz w:val="24"/>
          <w:szCs w:val="24"/>
        </w:rPr>
      </w:pPr>
      <w:r>
        <w:rPr>
          <w:rFonts w:ascii="Times New Roman" w:hAnsi="Times New Roman" w:cs="Times New Roman"/>
          <w:i/>
          <w:iCs/>
          <w:noProof/>
          <w:sz w:val="24"/>
          <w:szCs w:val="24"/>
        </w:rPr>
        <w:t>Benefits</w:t>
      </w:r>
      <w:r>
        <w:rPr>
          <w:rFonts w:ascii="Times New Roman" w:hAnsi="Times New Roman" w:cs="Times New Roman"/>
          <w:noProof/>
          <w:sz w:val="24"/>
          <w:szCs w:val="24"/>
        </w:rPr>
        <w:t>:</w:t>
      </w:r>
      <w:r>
        <w:rPr>
          <w:noProof/>
          <w:sz w:val="24"/>
          <w:szCs w:val="24"/>
        </w:rPr>
        <w:t xml:space="preserve"> </w:t>
      </w:r>
      <w:r>
        <w:rPr>
          <w:rFonts w:ascii="Times New Roman" w:eastAsia="Times New Roman" w:hAnsi="Times New Roman" w:cs="Times New Roman"/>
          <w:noProof/>
          <w:sz w:val="24"/>
          <w:szCs w:val="24"/>
        </w:rPr>
        <w:t xml:space="preserve">The measure gives a more precise insight on the side of </w:t>
      </w:r>
      <w:r>
        <w:rPr>
          <w:rFonts w:ascii="Times New Roman" w:eastAsia="Times New Roman" w:hAnsi="Times New Roman" w:cs="Times New Roman"/>
          <w:i/>
          <w:iCs/>
          <w:noProof/>
          <w:sz w:val="24"/>
          <w:szCs w:val="24"/>
        </w:rPr>
        <w:t>employers</w:t>
      </w:r>
      <w:r>
        <w:rPr>
          <w:rFonts w:ascii="Times New Roman" w:eastAsia="Times New Roman" w:hAnsi="Times New Roman" w:cs="Times New Roman"/>
          <w:noProof/>
          <w:sz w:val="24"/>
          <w:szCs w:val="24"/>
        </w:rPr>
        <w:t xml:space="preserve"> on possible discrimination and bias of which they may not have been aware (</w:t>
      </w:r>
      <w:r>
        <w:rPr>
          <w:rFonts w:ascii="Times New Roman" w:eastAsia="Times New Roman" w:hAnsi="Times New Roman" w:cs="Times New Roman"/>
          <w:b/>
          <w:bCs/>
          <w:noProof/>
          <w:sz w:val="24"/>
          <w:szCs w:val="24"/>
        </w:rPr>
        <w:t>valuation of women’s work</w:t>
      </w:r>
      <w:r>
        <w:rPr>
          <w:rFonts w:ascii="Times New Roman" w:eastAsia="Times New Roman" w:hAnsi="Times New Roman" w:cs="Times New Roman"/>
          <w:noProof/>
          <w:sz w:val="24"/>
          <w:szCs w:val="24"/>
        </w:rPr>
        <w:t xml:space="preserve">). As such, the measure creates a better enabling environment to trigger change, building an environment of transparency and trust. This would have a result on the employer’s </w:t>
      </w:r>
      <w:r>
        <w:rPr>
          <w:rFonts w:ascii="Times New Roman" w:eastAsia="Times New Roman" w:hAnsi="Times New Roman" w:cs="Times New Roman"/>
          <w:b/>
          <w:bCs/>
          <w:noProof/>
          <w:sz w:val="24"/>
          <w:szCs w:val="24"/>
        </w:rPr>
        <w:t>reputation</w:t>
      </w:r>
      <w:r>
        <w:rPr>
          <w:rFonts w:ascii="Times New Roman" w:eastAsia="Times New Roman" w:hAnsi="Times New Roman" w:cs="Times New Roman"/>
          <w:noProof/>
          <w:sz w:val="24"/>
          <w:szCs w:val="24"/>
        </w:rPr>
        <w:t>, making it more attractive for new applicants and current workers (</w:t>
      </w:r>
      <w:r>
        <w:rPr>
          <w:rFonts w:ascii="Times New Roman" w:eastAsia="Times New Roman" w:hAnsi="Times New Roman" w:cs="Times New Roman"/>
          <w:b/>
          <w:bCs/>
          <w:noProof/>
          <w:sz w:val="24"/>
          <w:szCs w:val="24"/>
        </w:rPr>
        <w:t>retention of talent</w:t>
      </w:r>
      <w:r>
        <w:rPr>
          <w:rFonts w:ascii="Times New Roman" w:eastAsia="Times New Roman" w:hAnsi="Times New Roman" w:cs="Times New Roman"/>
          <w:noProof/>
          <w:sz w:val="24"/>
          <w:szCs w:val="24"/>
        </w:rPr>
        <w:t>), and pointing to higher job satisfaction.</w:t>
      </w:r>
      <w:r>
        <w:rPr>
          <w:rStyle w:val="FootnoteReference"/>
          <w:rFonts w:ascii="Times New Roman" w:eastAsia="Times New Roman" w:hAnsi="Times New Roman" w:cs="Times New Roman"/>
          <w:bCs/>
          <w:noProof/>
          <w:sz w:val="24"/>
          <w:szCs w:val="24"/>
        </w:rPr>
        <w:footnoteReference w:id="173"/>
      </w:r>
      <w:r>
        <w:rPr>
          <w:rFonts w:ascii="Times New Roman" w:eastAsia="Times New Roman" w:hAnsi="Times New Roman" w:cs="Times New Roman"/>
          <w:noProof/>
          <w:sz w:val="24"/>
          <w:szCs w:val="24"/>
        </w:rPr>
        <w:t xml:space="preserve"> As an indirect effect it could also push the management to reflect on gender equality policies more generally. For </w:t>
      </w:r>
      <w:r>
        <w:rPr>
          <w:rFonts w:ascii="Times New Roman" w:eastAsia="Times New Roman" w:hAnsi="Times New Roman" w:cs="Times New Roman"/>
          <w:i/>
          <w:iCs/>
          <w:noProof/>
          <w:sz w:val="24"/>
          <w:szCs w:val="24"/>
        </w:rPr>
        <w:t>workers</w:t>
      </w:r>
      <w:r>
        <w:rPr>
          <w:rFonts w:ascii="Times New Roman" w:eastAsia="Times New Roman" w:hAnsi="Times New Roman" w:cs="Times New Roman"/>
          <w:noProof/>
          <w:sz w:val="24"/>
          <w:szCs w:val="24"/>
        </w:rPr>
        <w:t xml:space="preserve">, the measure gives them the information necessary to assess whether or not they may be subject to discrimination. This measure actually provides workers with the information foreseen under Option 1 in an automatic way, only in companies with more than 250 workers. For </w:t>
      </w:r>
      <w:r>
        <w:rPr>
          <w:rFonts w:ascii="Times New Roman" w:eastAsia="Times New Roman" w:hAnsi="Times New Roman" w:cs="Times New Roman"/>
          <w:i/>
          <w:iCs/>
          <w:noProof/>
          <w:sz w:val="24"/>
          <w:szCs w:val="24"/>
        </w:rPr>
        <w:t>Member States</w:t>
      </w:r>
      <w:r>
        <w:rPr>
          <w:rFonts w:ascii="Times New Roman" w:eastAsia="Times New Roman" w:hAnsi="Times New Roman" w:cs="Times New Roman"/>
          <w:noProof/>
          <w:sz w:val="24"/>
          <w:szCs w:val="24"/>
        </w:rPr>
        <w:t xml:space="preserve">, long-term intangible benefits relate to raising awareness and stimulating political and social debate on gender equality issues at employer level. The </w:t>
      </w:r>
      <w:r>
        <w:rPr>
          <w:rFonts w:ascii="Times New Roman" w:eastAsia="Times New Roman" w:hAnsi="Times New Roman" w:cs="Times New Roman"/>
          <w:b/>
          <w:bCs/>
          <w:noProof/>
          <w:sz w:val="24"/>
          <w:szCs w:val="24"/>
        </w:rPr>
        <w:t>main weakness</w:t>
      </w:r>
      <w:r>
        <w:rPr>
          <w:rFonts w:ascii="Times New Roman" w:eastAsia="Times New Roman" w:hAnsi="Times New Roman" w:cs="Times New Roman"/>
          <w:noProof/>
          <w:sz w:val="24"/>
          <w:szCs w:val="24"/>
        </w:rPr>
        <w:t xml:space="preserve"> of this measure remains, however, that on its own it does not ensure follow-up action on the side of the employer, as it does not impose corrective measures. For that reason this sub-option envisages targeted joint pay assessment to be applied where unjustified pay differences have been discovered.</w:t>
      </w:r>
    </w:p>
    <w:p>
      <w:pPr>
        <w:spacing w:after="120"/>
        <w:jc w:val="both"/>
        <w:rPr>
          <w:rFonts w:ascii="Times New Roman" w:hAnsi="Times New Roman" w:cs="Times New Roman"/>
          <w:noProof/>
          <w:sz w:val="24"/>
          <w:szCs w:val="24"/>
        </w:rPr>
      </w:pPr>
      <w:r>
        <w:rPr>
          <w:rFonts w:ascii="Times New Roman" w:hAnsi="Times New Roman" w:cs="Times New Roman"/>
          <w:i/>
          <w:iCs/>
          <w:noProof/>
          <w:sz w:val="24"/>
          <w:szCs w:val="24"/>
          <w:u w:val="single"/>
        </w:rPr>
        <w:t>Data protection</w:t>
      </w:r>
      <w:r>
        <w:rPr>
          <w:rFonts w:ascii="Times New Roman" w:hAnsi="Times New Roman" w:cs="Times New Roman"/>
          <w:noProof/>
          <w:sz w:val="24"/>
          <w:szCs w:val="24"/>
          <w:u w:val="single"/>
        </w:rPr>
        <w:t>: see Option 1, Sub-option 1A, measure 2.</w:t>
      </w:r>
    </w:p>
    <w:p>
      <w:pPr>
        <w:pStyle w:val="Heading4"/>
        <w:ind w:left="720"/>
        <w:rPr>
          <w:b/>
          <w:i/>
          <w:noProof/>
        </w:rPr>
      </w:pPr>
      <w:r>
        <w:rPr>
          <w:b/>
          <w:bCs/>
          <w:i/>
          <w:iCs/>
          <w:noProof/>
        </w:rPr>
        <w:t xml:space="preserve">Measure 2: Employer obligation to carry out a joint pay assessment </w:t>
      </w:r>
      <w:r>
        <w:rPr>
          <w:b/>
          <w:bCs/>
          <w:i/>
          <w:iCs/>
          <w:noProof/>
          <w:lang w:val="en-IE"/>
        </w:rPr>
        <w:t xml:space="preserve">if pay reports show </w:t>
      </w:r>
      <w:r>
        <w:rPr>
          <w:b/>
          <w:bCs/>
          <w:i/>
          <w:iCs/>
          <w:noProof/>
        </w:rPr>
        <w:t>pay differences which cannot be justified by objective, gender-neutral factors</w:t>
      </w:r>
    </w:p>
    <w:p>
      <w:pPr>
        <w:spacing w:after="120"/>
        <w:jc w:val="both"/>
        <w:rPr>
          <w:rFonts w:ascii="Times New Roman" w:hAnsi="Times New Roman" w:cs="Times New Roman"/>
          <w:i/>
          <w:noProof/>
          <w:sz w:val="24"/>
          <w:szCs w:val="24"/>
        </w:rPr>
      </w:pPr>
      <w:r>
        <w:rPr>
          <w:rFonts w:ascii="Times New Roman" w:hAnsi="Times New Roman" w:cs="Times New Roman"/>
          <w:noProof/>
          <w:sz w:val="24"/>
          <w:szCs w:val="24"/>
        </w:rPr>
        <w:t>To ensure follow-up action in those organisations that show a problem of pay inequalities through the pay reporting conducted under measure 1, pay reporting would be accompanied by the obligation to carry out a joint pay assessment, for those employers showing a difference of 5% in any category of workers doing the same work or work of equal value which cannot be justified by objective factors.</w:t>
      </w:r>
      <w:r>
        <w:rPr>
          <w:noProof/>
        </w:rPr>
        <w:t xml:space="preserve"> </w:t>
      </w:r>
      <w:r>
        <w:rPr>
          <w:rFonts w:ascii="Times New Roman" w:hAnsi="Times New Roman" w:cs="Times New Roman"/>
          <w:noProof/>
          <w:sz w:val="24"/>
          <w:szCs w:val="24"/>
        </w:rPr>
        <w:t xml:space="preserve">This measure would build on the pay report, not duplicating transparency obligations, and would remedy the main weakness of measure 1 in a targeted manner. The 5% criterion ensures statistical significance. In statistical terms 5% level gives an indication whether a phenomenon is worth paying attention to as something likely to occur beyond a mere coincidence. In most areas of scientific research it is conventionally set at 5% level. </w:t>
      </w:r>
    </w:p>
    <w:p>
      <w:pPr>
        <w:spacing w:after="120"/>
        <w:jc w:val="both"/>
        <w:rPr>
          <w:rFonts w:ascii="Times New Roman" w:hAnsi="Times New Roman" w:cs="Times New Roman"/>
          <w:noProof/>
          <w:sz w:val="24"/>
          <w:szCs w:val="24"/>
        </w:rPr>
      </w:pPr>
      <w:r>
        <w:rPr>
          <w:rFonts w:ascii="Times New Roman" w:hAnsi="Times New Roman" w:cs="Times New Roman"/>
          <w:i/>
          <w:iCs/>
          <w:noProof/>
          <w:sz w:val="24"/>
          <w:szCs w:val="24"/>
        </w:rPr>
        <w:t>Exemption</w:t>
      </w:r>
      <w:r>
        <w:rPr>
          <w:rFonts w:ascii="Times New Roman" w:hAnsi="Times New Roman" w:cs="Times New Roman"/>
          <w:noProof/>
          <w:sz w:val="24"/>
          <w:szCs w:val="24"/>
        </w:rPr>
        <w:t xml:space="preserve">: This measure would exempt employers with </w:t>
      </w:r>
      <w:r>
        <w:rPr>
          <w:rFonts w:ascii="Times New Roman" w:hAnsi="Times New Roman" w:cs="Times New Roman"/>
          <w:b/>
          <w:bCs/>
          <w:noProof/>
          <w:sz w:val="24"/>
          <w:szCs w:val="24"/>
        </w:rPr>
        <w:t>less than 250 employees</w:t>
      </w:r>
      <w:r>
        <w:rPr>
          <w:noProof/>
        </w:rPr>
        <w:t xml:space="preserve">, </w:t>
      </w:r>
      <w:r>
        <w:rPr>
          <w:rFonts w:ascii="Times New Roman" w:hAnsi="Times New Roman" w:cs="Times New Roman"/>
          <w:noProof/>
          <w:sz w:val="24"/>
          <w:szCs w:val="24"/>
        </w:rPr>
        <w:t xml:space="preserve">for similar reasons as set out under Sub-option 2C. Assuming that voluntary follow-up action may have been triggered by </w:t>
      </w:r>
      <w:r>
        <w:rPr>
          <w:rFonts w:ascii="Times New Roman" w:eastAsia="Times New Roman" w:hAnsi="Times New Roman" w:cs="Times New Roman"/>
          <w:noProof/>
          <w:sz w:val="24"/>
          <w:szCs w:val="24"/>
        </w:rPr>
        <w:t>the</w:t>
      </w:r>
      <w:r>
        <w:rPr>
          <w:rFonts w:ascii="Times New Roman" w:hAnsi="Times New Roman" w:cs="Times New Roman"/>
          <w:noProof/>
          <w:sz w:val="24"/>
          <w:szCs w:val="24"/>
        </w:rPr>
        <w:t xml:space="preserve"> publication of the pay report (measure 1), the joint pay assessment would only be imposed as a mandatory measure for statistically significant differences. As such, the measure would target follow-up action to those large employers where the pay report shows a manifest problem in regard to pay equality.</w:t>
      </w:r>
    </w:p>
    <w:p>
      <w:pPr>
        <w:pStyle w:val="Text2"/>
        <w:spacing w:line="276" w:lineRule="auto"/>
        <w:ind w:left="0"/>
        <w:rPr>
          <w:noProof/>
        </w:rPr>
      </w:pPr>
      <w:r>
        <w:rPr>
          <w:i/>
          <w:iCs/>
          <w:noProof/>
        </w:rPr>
        <w:t>Cost</w:t>
      </w:r>
      <w:r>
        <w:rPr>
          <w:noProof/>
        </w:rPr>
        <w:t xml:space="preserve">: Based on the explanations on method followed to calculate the cost of joint pay assessments (cf. supra), the average cost of such assessment can be estimated between a </w:t>
      </w:r>
      <w:r>
        <w:rPr>
          <w:b/>
          <w:bCs/>
          <w:noProof/>
        </w:rPr>
        <w:t>minimum of 1,180-1,724 EUR and a maximum of 1,911 and 2,266 EUR depending on size.</w:t>
      </w:r>
      <w:r>
        <w:rPr>
          <w:noProof/>
        </w:rPr>
        <w:t xml:space="preserve"> These costs are lower than the average cost of option 2B, as they are partly covered from the pay reporting under measure 2D1 for which employers would already have collected and published part of the information. This cost may be expected to decrease in any subsequent exercises or not be necessary at all, should the unjustified difference in pay be eliminated as aimed to by the joint pay assessment. </w:t>
      </w:r>
    </w:p>
    <w:p>
      <w:pPr>
        <w:pStyle w:val="Text2"/>
        <w:spacing w:line="276" w:lineRule="auto"/>
        <w:ind w:left="0"/>
        <w:rPr>
          <w:noProof/>
        </w:rPr>
      </w:pPr>
      <w:r>
        <w:rPr>
          <w:noProof/>
        </w:rPr>
        <w:t xml:space="preserve">For </w:t>
      </w:r>
      <w:r>
        <w:rPr>
          <w:i/>
          <w:iCs/>
          <w:noProof/>
        </w:rPr>
        <w:t>Member States</w:t>
      </w:r>
      <w:r>
        <w:rPr>
          <w:noProof/>
        </w:rPr>
        <w:t>: the costs of this measure would be linked to monitoring compliance and may be considered negligible.</w:t>
      </w:r>
    </w:p>
    <w:p>
      <w:pPr>
        <w:spacing w:after="120"/>
        <w:jc w:val="both"/>
        <w:rPr>
          <w:noProof/>
        </w:rPr>
      </w:pPr>
      <w:r>
        <w:rPr>
          <w:rFonts w:ascii="Times New Roman" w:hAnsi="Times New Roman"/>
          <w:i/>
          <w:iCs/>
          <w:noProof/>
          <w:sz w:val="24"/>
          <w:szCs w:val="24"/>
        </w:rPr>
        <w:t>Benefits</w:t>
      </w:r>
      <w:r>
        <w:rPr>
          <w:rFonts w:ascii="Times New Roman" w:hAnsi="Times New Roman"/>
          <w:noProof/>
          <w:sz w:val="24"/>
          <w:szCs w:val="24"/>
        </w:rPr>
        <w:t xml:space="preserve">: The main benefit of this measure would be that follow-up action is targeted to </w:t>
      </w:r>
      <w:r>
        <w:rPr>
          <w:rFonts w:ascii="Times New Roman" w:hAnsi="Times New Roman" w:cs="Times New Roman"/>
          <w:noProof/>
          <w:sz w:val="24"/>
          <w:szCs w:val="24"/>
        </w:rPr>
        <w:t xml:space="preserve">only </w:t>
      </w:r>
      <w:r>
        <w:rPr>
          <w:rFonts w:ascii="Times New Roman" w:hAnsi="Times New Roman"/>
          <w:noProof/>
          <w:sz w:val="24"/>
          <w:szCs w:val="24"/>
        </w:rPr>
        <w:t>those employers where problems of pay inequalities are brought to light by pay reporting. See also Sub-options 2B and 2C above in relation to this measure.</w:t>
      </w:r>
    </w:p>
    <w:p>
      <w:pPr>
        <w:pStyle w:val="Text2"/>
        <w:ind w:left="0"/>
        <w:rPr>
          <w:i/>
          <w:noProof/>
          <w:u w:val="single"/>
        </w:rPr>
      </w:pPr>
      <w:r>
        <w:rPr>
          <w:i/>
          <w:iCs/>
          <w:noProof/>
          <w:u w:val="single"/>
        </w:rPr>
        <w:t>Overall conclusion on Sub-option 2D</w:t>
      </w:r>
    </w:p>
    <w:p>
      <w:pPr>
        <w:pStyle w:val="Text2"/>
        <w:spacing w:after="120" w:line="276" w:lineRule="auto"/>
        <w:ind w:left="0"/>
        <w:rPr>
          <w:noProof/>
        </w:rPr>
      </w:pPr>
      <w:r>
        <w:rPr>
          <w:noProof/>
        </w:rPr>
        <w:t xml:space="preserve">The pay reporting envisaged under this option would be more effective than under Sub-option 2C, as it would bring to light not only possible pay inequalities in organisations, but also unjustified pay differences in specific categories of workers doing the same work or work of equal value. While this information may trigger voluntary follow-up action, a mandatory joint pay assessment would be required only in case of manifest problems of pay inequalities. By limiting the obligation on employers and focusing more stringent intervention on employers which have a problem relating to pay inequalities, this Sub-option presents the most proportionate solution, taking into account current limitations regarding the measurement of the scale of the problem and the strain on companies in this time of economic downturn. The limitation of both measures to employers with at least 250 workers, while limiting their scope, would limit to the maximum extent the cost and burden on employers. </w:t>
      </w:r>
    </w:p>
    <w:p>
      <w:pPr>
        <w:pStyle w:val="Text2"/>
        <w:spacing w:after="120" w:line="276" w:lineRule="auto"/>
        <w:ind w:left="0"/>
        <w:rPr>
          <w:noProof/>
        </w:rPr>
      </w:pPr>
      <w:r>
        <w:rPr>
          <w:noProof/>
        </w:rPr>
        <w:t>However, in order to ensure the adequate protection of all workers also in organisations with less than 250 workers, this sub-option could be combined with one of the Sub-options</w:t>
      </w:r>
      <w:r>
        <w:rPr>
          <w:noProof/>
          <w:u w:val="single"/>
        </w:rPr>
        <w:t xml:space="preserve"> of Option 1</w:t>
      </w:r>
      <w:r>
        <w:rPr>
          <w:noProof/>
        </w:rPr>
        <w:t xml:space="preserve">; this could especially ensure that all workers have </w:t>
      </w:r>
      <w:r>
        <w:rPr>
          <w:b/>
          <w:bCs/>
          <w:noProof/>
        </w:rPr>
        <w:t>access to</w:t>
      </w:r>
      <w:r>
        <w:rPr>
          <w:noProof/>
        </w:rPr>
        <w:t xml:space="preserve"> </w:t>
      </w:r>
      <w:r>
        <w:rPr>
          <w:b/>
          <w:bCs/>
          <w:noProof/>
        </w:rPr>
        <w:t>the information</w:t>
      </w:r>
      <w:r>
        <w:rPr>
          <w:noProof/>
        </w:rPr>
        <w:t xml:space="preserve"> necessary to assess whether they are victim of gender pay discrimination. </w:t>
      </w:r>
    </w:p>
    <w:p>
      <w:pPr>
        <w:pStyle w:val="Text2"/>
        <w:spacing w:line="276" w:lineRule="auto"/>
        <w:ind w:left="0"/>
        <w:rPr>
          <w:noProof/>
          <w:u w:val="single"/>
        </w:rPr>
      </w:pPr>
      <w:r>
        <w:rPr>
          <w:noProof/>
        </w:rPr>
        <w:t xml:space="preserve">In addition, in order to increase its effectiveness, the joint pay assessment could be combined with Option 3. </w:t>
      </w:r>
    </w:p>
    <w:p>
      <w:pPr>
        <w:pStyle w:val="Heading2"/>
        <w:tabs>
          <w:tab w:val="clear" w:pos="3306"/>
          <w:tab w:val="left" w:pos="2268"/>
          <w:tab w:val="num" w:pos="3402"/>
        </w:tabs>
        <w:ind w:left="2694" w:hanging="2739"/>
        <w:rPr>
          <w:noProof/>
        </w:rPr>
      </w:pPr>
      <w:bookmarkStart w:id="3617" w:name="_Toc58863853"/>
      <w:bookmarkStart w:id="3618" w:name="_Toc58868880"/>
      <w:bookmarkStart w:id="3619" w:name="_Toc58870711"/>
      <w:bookmarkStart w:id="3620" w:name="_Toc58870944"/>
      <w:bookmarkStart w:id="3621" w:name="_Toc58871850"/>
      <w:bookmarkStart w:id="3622" w:name="_Toc58872065"/>
      <w:bookmarkStart w:id="3623" w:name="_Toc58922812"/>
      <w:bookmarkStart w:id="3624" w:name="_Toc58925394"/>
      <w:bookmarkStart w:id="3625" w:name="_Toc58928896"/>
      <w:bookmarkStart w:id="3626" w:name="_Toc58931264"/>
      <w:bookmarkStart w:id="3627" w:name="_Toc58931898"/>
      <w:bookmarkStart w:id="3628" w:name="_Toc58950505"/>
      <w:bookmarkStart w:id="3629" w:name="_Toc58956797"/>
      <w:bookmarkStart w:id="3630" w:name="_Toc58957962"/>
      <w:bookmarkStart w:id="3631" w:name="_Toc58962495"/>
      <w:bookmarkStart w:id="3632" w:name="_Toc59096526"/>
      <w:bookmarkStart w:id="3633" w:name="_Toc59103122"/>
      <w:bookmarkStart w:id="3634" w:name="_Toc59104973"/>
      <w:bookmarkStart w:id="3635" w:name="_Toc59119933"/>
      <w:bookmarkStart w:id="3636" w:name="_Toc59121197"/>
      <w:bookmarkStart w:id="3637" w:name="_Toc59121316"/>
      <w:bookmarkStart w:id="3638" w:name="_Toc59549369"/>
      <w:bookmarkStart w:id="3639" w:name="_Toc59642322"/>
      <w:r>
        <w:rPr>
          <w:noProof/>
        </w:rPr>
        <w:t>7.4.   Option 3: Legislative action to facilitate and enforce the existing legal framework</w:t>
      </w:r>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p>
    <w:p>
      <w:pPr>
        <w:pStyle w:val="Text2"/>
        <w:spacing w:line="276" w:lineRule="auto"/>
        <w:ind w:left="0"/>
        <w:rPr>
          <w:noProof/>
        </w:rPr>
      </w:pPr>
      <w:r>
        <w:rPr>
          <w:noProof/>
        </w:rPr>
        <w:t>This option aims to address the problem of inconsistent and inadequate application of key concepts relating to equal pay. It does so by allowing workers and employers to more easily point to possible comparators of the other sex doing work of equal value. Access to justice and enforcement of the existing legal framework would be improved not only to tackle individual instances but also systemic discrimination. As such, it would contribute to addressing the undervaluation of women's work and to empower workers to claim their right to equal pay, even without pay transparency.</w:t>
      </w:r>
    </w:p>
    <w:p>
      <w:pPr>
        <w:pStyle w:val="Heading4"/>
        <w:ind w:left="720"/>
        <w:rPr>
          <w:b/>
          <w:noProof/>
        </w:rPr>
      </w:pPr>
      <w:r>
        <w:rPr>
          <w:b/>
          <w:bCs/>
          <w:i/>
          <w:iCs/>
          <w:noProof/>
        </w:rPr>
        <w:t>Measure 1</w:t>
      </w:r>
      <w:r>
        <w:rPr>
          <w:i/>
          <w:iCs/>
          <w:noProof/>
        </w:rPr>
        <w:t xml:space="preserve">: </w:t>
      </w:r>
      <w:r>
        <w:rPr>
          <w:b/>
          <w:bCs/>
          <w:i/>
          <w:iCs/>
          <w:noProof/>
        </w:rPr>
        <w:t>Facilitate the application of the existing key concepts of ‘pay’ and ‘work of equal value’</w:t>
      </w:r>
      <w:r>
        <w:rPr>
          <w:i/>
          <w:iCs/>
          <w:noProof/>
        </w:rPr>
        <w:t xml:space="preserve"> </w:t>
      </w:r>
    </w:p>
    <w:p>
      <w:pPr>
        <w:pStyle w:val="CommentText"/>
        <w:spacing w:line="276" w:lineRule="auto"/>
        <w:jc w:val="both"/>
        <w:rPr>
          <w:rFonts w:ascii="Times New Roman" w:hAnsi="Times New Roman" w:cs="Times New Roman"/>
          <w:noProof/>
          <w:sz w:val="24"/>
          <w:szCs w:val="24"/>
        </w:rPr>
      </w:pPr>
      <w:r>
        <w:rPr>
          <w:rFonts w:ascii="Times New Roman" w:hAnsi="Times New Roman" w:cs="Times New Roman"/>
          <w:i/>
          <w:iCs/>
          <w:noProof/>
          <w:sz w:val="24"/>
          <w:szCs w:val="24"/>
        </w:rPr>
        <w:t>Stakeholders’ views</w:t>
      </w:r>
      <w:r>
        <w:rPr>
          <w:rFonts w:ascii="Times New Roman" w:hAnsi="Times New Roman" w:cs="Times New Roman"/>
          <w:noProof/>
          <w:sz w:val="24"/>
          <w:szCs w:val="24"/>
        </w:rPr>
        <w:t xml:space="preserve">: The public consultation showed broad consensus that the concept of ‘work of equal value’ requires clearer definition and improved implementation if pay discrimination legislation is to be effectively implemented and enforced. This could be done, it was highlighted, by ensuring the gender neutrality of job evaluation and classification, a measure that had the highest consensus in terms of effectiveness across all groups of respondents (80%). However, the targeted consultation with social partners revealed antagonist views between employers’ organisations and trade unions. While a broad majority (87%) of trade union respondents view job evaluation and classification as effective, especially in light of the direct involvement of social partners, the majority (58%) of employers’ organisations view this as ineffective. </w:t>
      </w:r>
    </w:p>
    <w:p>
      <w:pPr>
        <w:spacing w:after="120"/>
        <w:jc w:val="both"/>
        <w:rPr>
          <w:rFonts w:ascii="Times New Roman" w:hAnsi="Times New Roman" w:cs="Times New Roman"/>
          <w:noProof/>
          <w:sz w:val="24"/>
          <w:szCs w:val="24"/>
        </w:rPr>
      </w:pPr>
      <w:r>
        <w:rPr>
          <w:rFonts w:ascii="Times New Roman" w:hAnsi="Times New Roman" w:cs="Times New Roman"/>
          <w:i/>
          <w:iCs/>
          <w:noProof/>
          <w:sz w:val="24"/>
          <w:szCs w:val="24"/>
        </w:rPr>
        <w:t>Costs</w:t>
      </w:r>
      <w:r>
        <w:rPr>
          <w:rFonts w:ascii="Times New Roman" w:hAnsi="Times New Roman" w:cs="Times New Roman"/>
          <w:noProof/>
          <w:sz w:val="24"/>
          <w:szCs w:val="24"/>
        </w:rPr>
        <w:t>: clarification of the ‘pay’ concept and incorporating the CJEU criteria into the new legislative proposal would not bring, as such, a change to the legal framework, as these criteria already apply through the case law today; it would only enhance the visibility of these criteria in the law. Therefore, it would not entail direct costs. As for the support for companies in the implementation of the concept of ‘work of equal value’, flexibility would be left to Member States concerning the choice of the relevant tools. Any costs would largely depend on the present availability of supporting instruments and therefore cannot be calculated precisely. For instance, gender neutral job evaluation and classification systems can be implemented at company level (which may take a few days in a larger company) but equally at collective bargaining level (which then depends on negotiations which may take months or years).</w:t>
      </w:r>
    </w:p>
    <w:p>
      <w:pPr>
        <w:spacing w:after="120"/>
        <w:jc w:val="both"/>
        <w:rPr>
          <w:rFonts w:ascii="Times New Roman" w:hAnsi="Times New Roman" w:cs="Times New Roman"/>
          <w:noProof/>
          <w:sz w:val="24"/>
          <w:szCs w:val="24"/>
        </w:rPr>
      </w:pPr>
      <w:r>
        <w:rPr>
          <w:rFonts w:ascii="Times New Roman" w:hAnsi="Times New Roman" w:cs="Times New Roman"/>
          <w:i/>
          <w:iCs/>
          <w:noProof/>
          <w:sz w:val="24"/>
          <w:szCs w:val="24"/>
          <w:lang w:val="en-US" w:bidi="en-US"/>
        </w:rPr>
        <w:t>Benefits:</w:t>
      </w:r>
      <w:r>
        <w:rPr>
          <w:rFonts w:ascii="Times New Roman" w:hAnsi="Times New Roman" w:cs="Times New Roman"/>
          <w:noProof/>
          <w:sz w:val="24"/>
          <w:szCs w:val="24"/>
          <w:lang w:val="en-US" w:bidi="en-US"/>
        </w:rPr>
        <w:t xml:space="preserve"> </w:t>
      </w:r>
      <w:r>
        <w:rPr>
          <w:rFonts w:ascii="Times New Roman" w:hAnsi="Times New Roman" w:cs="Times New Roman"/>
          <w:noProof/>
          <w:sz w:val="24"/>
          <w:szCs w:val="24"/>
        </w:rPr>
        <w:t xml:space="preserve">Legal clarity aimed at a uniform application of key concepts would significantly support the proper implementation of the current legal framework, reducing implementation gaps. </w:t>
      </w:r>
    </w:p>
    <w:p>
      <w:pPr>
        <w:spacing w:after="120"/>
        <w:jc w:val="both"/>
        <w:rPr>
          <w:rFonts w:ascii="Times New Roman" w:eastAsia="Times New Roman" w:hAnsi="Times New Roman" w:cs="Times New Roman"/>
          <w:i/>
          <w:noProof/>
          <w:sz w:val="24"/>
          <w:szCs w:val="24"/>
        </w:rPr>
      </w:pPr>
      <w:r>
        <w:rPr>
          <w:rFonts w:ascii="Times New Roman" w:hAnsi="Times New Roman" w:cs="Times New Roman"/>
          <w:noProof/>
          <w:sz w:val="24"/>
          <w:szCs w:val="24"/>
        </w:rPr>
        <w:t xml:space="preserve">The availability of clear criteria in national legislation would help claimants to </w:t>
      </w:r>
      <w:r>
        <w:rPr>
          <w:rFonts w:ascii="Times New Roman" w:eastAsia="Times New Roman" w:hAnsi="Times New Roman" w:cs="Times New Roman"/>
          <w:noProof/>
          <w:sz w:val="24"/>
          <w:szCs w:val="24"/>
        </w:rPr>
        <w:t>establish a valid comparator and evaluate whether or not they are treated less favourably than the comparator performing the same work or work of equal value. It would also allow employers to</w:t>
      </w:r>
      <w:r>
        <w:rPr>
          <w:rFonts w:ascii="Times New Roman" w:hAnsi="Times New Roman" w:cs="Times New Roman"/>
          <w:noProof/>
          <w:sz w:val="24"/>
          <w:szCs w:val="24"/>
          <w:lang w:val="en-US" w:bidi="en-US"/>
        </w:rPr>
        <w:t xml:space="preserve"> better categorize jobs based on objective criteria and ensure that such jobs are remunerated in a just and bias-free way. </w:t>
      </w:r>
      <w:r>
        <w:rPr>
          <w:rFonts w:ascii="Times New Roman" w:eastAsia="Times New Roman" w:hAnsi="Times New Roman" w:cs="Times New Roman"/>
          <w:noProof/>
          <w:sz w:val="24"/>
          <w:szCs w:val="24"/>
        </w:rPr>
        <w:t>It is of particular relevance to note that in the consultations carried out for this impact assessment, employers’ associations raised concerns on the difficulty to assess what constitutes ‘</w:t>
      </w:r>
      <w:r>
        <w:rPr>
          <w:rFonts w:ascii="Times New Roman" w:eastAsia="Times New Roman" w:hAnsi="Times New Roman" w:cs="Times New Roman"/>
          <w:i/>
          <w:iCs/>
          <w:noProof/>
          <w:sz w:val="24"/>
          <w:szCs w:val="24"/>
        </w:rPr>
        <w:t>work of equal value’</w:t>
      </w:r>
      <w:r>
        <w:rPr>
          <w:rFonts w:ascii="Times New Roman" w:eastAsia="Times New Roman" w:hAnsi="Times New Roman" w:cs="Times New Roman"/>
          <w:noProof/>
          <w:sz w:val="24"/>
          <w:szCs w:val="24"/>
        </w:rPr>
        <w:t>, knowing that they already are obliged by law to apply that concept.</w:t>
      </w:r>
      <w:r>
        <w:rPr>
          <w:rFonts w:ascii="Times New Roman" w:hAnsi="Times New Roman" w:cs="Times New Roman"/>
          <w:noProof/>
          <w:sz w:val="24"/>
          <w:szCs w:val="24"/>
          <w:lang w:val="en-US" w:bidi="en-US"/>
        </w:rPr>
        <w:t xml:space="preserve"> It should be stressed that the assessment of equal value is, under the current legal framework, an assessment </w:t>
      </w:r>
      <w:r>
        <w:rPr>
          <w:rFonts w:ascii="Times New Roman" w:hAnsi="Times New Roman" w:cs="Times New Roman"/>
          <w:noProof/>
          <w:sz w:val="24"/>
          <w:szCs w:val="24"/>
          <w:u w:val="single"/>
          <w:lang w:val="en-US" w:bidi="en-US"/>
        </w:rPr>
        <w:t>at company level</w:t>
      </w:r>
      <w:r>
        <w:rPr>
          <w:rFonts w:ascii="Times New Roman" w:hAnsi="Times New Roman" w:cs="Times New Roman"/>
          <w:noProof/>
          <w:sz w:val="24"/>
          <w:szCs w:val="24"/>
          <w:lang w:val="en-US" w:bidi="en-US"/>
        </w:rPr>
        <w:t>, and not at sectoral level (which is out of the scope of the present initiative).</w:t>
      </w:r>
    </w:p>
    <w:p>
      <w:pPr>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i/>
          <w:iCs/>
          <w:noProof/>
          <w:sz w:val="24"/>
          <w:szCs w:val="24"/>
        </w:rPr>
        <w:t>Legal change</w:t>
      </w:r>
      <w:r>
        <w:rPr>
          <w:rFonts w:ascii="Times New Roman" w:eastAsia="Times New Roman" w:hAnsi="Times New Roman" w:cs="Times New Roman"/>
          <w:noProof/>
          <w:sz w:val="24"/>
          <w:szCs w:val="24"/>
        </w:rPr>
        <w:t>: No legal barriers have been identified for the implementation of this measure.</w:t>
      </w:r>
    </w:p>
    <w:p>
      <w:pPr>
        <w:autoSpaceDE w:val="0"/>
        <w:autoSpaceDN w:val="0"/>
        <w:adjustRightInd w:val="0"/>
        <w:spacing w:after="0"/>
        <w:jc w:val="both"/>
        <w:rPr>
          <w:rFonts w:ascii="Times New Roman" w:hAnsi="Times New Roman" w:cs="Times New Roman"/>
          <w:noProof/>
          <w:sz w:val="24"/>
          <w:szCs w:val="24"/>
        </w:rPr>
      </w:pPr>
      <w:r>
        <w:rPr>
          <w:rFonts w:ascii="Times New Roman" w:eastAsia="Times New Roman" w:hAnsi="Times New Roman" w:cs="Times New Roman"/>
          <w:i/>
          <w:iCs/>
          <w:noProof/>
          <w:sz w:val="24"/>
          <w:szCs w:val="24"/>
        </w:rPr>
        <w:t>Conclusion</w:t>
      </w:r>
      <w:r>
        <w:rPr>
          <w:rFonts w:ascii="Times New Roman" w:eastAsia="Times New Roman" w:hAnsi="Times New Roman" w:cs="Times New Roman"/>
          <w:noProof/>
          <w:sz w:val="24"/>
          <w:szCs w:val="24"/>
        </w:rPr>
        <w:t>:</w:t>
      </w:r>
      <w:r>
        <w:rPr>
          <w:rFonts w:ascii="Times New Roman" w:hAnsi="Times New Roman" w:cs="Times New Roman"/>
          <w:noProof/>
          <w:sz w:val="24"/>
          <w:szCs w:val="24"/>
        </w:rPr>
        <w:t xml:space="preserve"> This measure could help workers to establish a valid comparator and could allow employers to ascertain that their pay settings are based on bias-free and objective criteria and may therefore contribute to achieve both the specific objectives of empowering workers and addressing the systematic undervaluation of work done by women. Furthermore, clarification of the ‘pay’ concept would clarify that the equal pay principle applies to all components constituting pay, whether in cash or in kind, which the workers receive directly or indirectly, in respect of their employment from their employer. These measures would benefit an improved implementation of the current legal framework, but could also be used to support the implementation of new pay transparency measures.</w:t>
      </w:r>
    </w:p>
    <w:p>
      <w:pPr>
        <w:spacing w:after="0"/>
        <w:jc w:val="both"/>
        <w:rPr>
          <w:rFonts w:ascii="Times New Roman" w:hAnsi="Times New Roman" w:cs="Times New Roman"/>
          <w:noProof/>
          <w:szCs w:val="24"/>
        </w:rPr>
      </w:pPr>
    </w:p>
    <w:p>
      <w:pPr>
        <w:pStyle w:val="Heading4"/>
        <w:ind w:left="720"/>
        <w:rPr>
          <w:b/>
          <w:i/>
          <w:noProof/>
        </w:rPr>
      </w:pPr>
      <w:r>
        <w:rPr>
          <w:b/>
          <w:bCs/>
          <w:i/>
          <w:iCs/>
          <w:noProof/>
        </w:rPr>
        <w:t xml:space="preserve">Measure 2: Improved access to justice for potential victims of pay discrimination </w:t>
      </w:r>
    </w:p>
    <w:p>
      <w:pPr>
        <w:rPr>
          <w:noProof/>
          <w:szCs w:val="24"/>
        </w:rPr>
      </w:pPr>
      <w:r>
        <w:rPr>
          <w:rFonts w:ascii="Times New Roman" w:hAnsi="Times New Roman" w:cs="Times New Roman"/>
          <w:b/>
          <w:bCs/>
          <w:noProof/>
          <w:sz w:val="24"/>
          <w:szCs w:val="24"/>
        </w:rPr>
        <w:t>Victims’ representation (legal standing and representative actions):</w:t>
      </w:r>
      <w:r>
        <w:rPr>
          <w:noProof/>
        </w:rPr>
        <w:t xml:space="preserve"> </w:t>
      </w:r>
    </w:p>
    <w:p>
      <w:pPr>
        <w:pStyle w:val="ListParagraph"/>
        <w:numPr>
          <w:ilvl w:val="0"/>
          <w:numId w:val="23"/>
        </w:numPr>
        <w:spacing w:after="120"/>
        <w:jc w:val="both"/>
        <w:rPr>
          <w:rFonts w:ascii="Times New Roman" w:hAnsi="Times New Roman" w:cs="Times New Roman"/>
          <w:b/>
          <w:noProof/>
          <w:sz w:val="24"/>
          <w:szCs w:val="24"/>
        </w:rPr>
      </w:pPr>
      <w:r>
        <w:rPr>
          <w:rFonts w:ascii="Times New Roman" w:hAnsi="Times New Roman" w:cs="Times New Roman"/>
          <w:b/>
          <w:bCs/>
          <w:noProof/>
          <w:sz w:val="24"/>
          <w:szCs w:val="24"/>
        </w:rPr>
        <w:t>Legal standing</w:t>
      </w:r>
    </w:p>
    <w:p>
      <w:pPr>
        <w:spacing w:after="120"/>
        <w:jc w:val="both"/>
        <w:rPr>
          <w:rFonts w:ascii="Times New Roman" w:eastAsia="Times New Roman" w:hAnsi="Times New Roman" w:cs="Times New Roman"/>
          <w:noProof/>
          <w:sz w:val="24"/>
          <w:szCs w:val="24"/>
        </w:rPr>
      </w:pPr>
      <w:r>
        <w:rPr>
          <w:rFonts w:ascii="Times New Roman" w:hAnsi="Times New Roman" w:cs="Times New Roman"/>
          <w:i/>
          <w:iCs/>
          <w:noProof/>
          <w:sz w:val="24"/>
          <w:szCs w:val="24"/>
        </w:rPr>
        <w:t xml:space="preserve">Stakeholders’ views: </w:t>
      </w:r>
      <w:r>
        <w:rPr>
          <w:rFonts w:ascii="Times New Roman" w:eastAsia="Times New Roman" w:hAnsi="Times New Roman" w:cs="Times New Roman"/>
          <w:noProof/>
          <w:sz w:val="24"/>
          <w:szCs w:val="24"/>
        </w:rPr>
        <w:t>More than three fourth (76%) of respondents from all groups to the public consultation found that strengthening the</w:t>
      </w:r>
      <w:r>
        <w:rPr>
          <w:rFonts w:ascii="Times New Roman" w:hAnsi="Times New Roman" w:cs="Times New Roman"/>
          <w:noProof/>
          <w:sz w:val="24"/>
          <w:szCs w:val="24"/>
        </w:rPr>
        <w:t xml:space="preserve"> mandate of equality bodies as well as workers’ representatives to support victims would be an effective measure </w:t>
      </w:r>
      <w:r>
        <w:rPr>
          <w:rFonts w:ascii="Times New Roman" w:eastAsia="Times New Roman" w:hAnsi="Times New Roman" w:cs="Times New Roman"/>
          <w:noProof/>
          <w:sz w:val="24"/>
          <w:szCs w:val="24"/>
        </w:rPr>
        <w:t>to improve access to justice for individual victims.</w:t>
      </w:r>
    </w:p>
    <w:p>
      <w:pPr>
        <w:spacing w:after="120"/>
        <w:jc w:val="both"/>
        <w:rPr>
          <w:rFonts w:ascii="Times New Roman" w:hAnsi="Times New Roman" w:cs="Times New Roman"/>
          <w:noProof/>
          <w:sz w:val="24"/>
          <w:szCs w:val="24"/>
        </w:rPr>
      </w:pPr>
      <w:r>
        <w:rPr>
          <w:rFonts w:ascii="Times New Roman" w:hAnsi="Times New Roman" w:cs="Times New Roman"/>
          <w:i/>
          <w:iCs/>
          <w:noProof/>
          <w:sz w:val="24"/>
          <w:szCs w:val="24"/>
        </w:rPr>
        <w:t>Costs:</w:t>
      </w:r>
      <w:r>
        <w:rPr>
          <w:rFonts w:ascii="Times New Roman" w:hAnsi="Times New Roman" w:cs="Times New Roman"/>
          <w:noProof/>
          <w:sz w:val="24"/>
          <w:szCs w:val="24"/>
        </w:rPr>
        <w:t xml:space="preserve"> this measure consists of a legislative change at EU level which entails no direct costs. In those Member States where equality bodies and workers’ representatives do not yet have legal standing, the measure might increase to some extent their workload assuming that they might, at least in the medium term, be asked to handle more claims. However, combined with the measure below on representative actions, they could ensure economies of scale as they could act on behalf of a group of victims. </w:t>
      </w:r>
    </w:p>
    <w:p>
      <w:pPr>
        <w:spacing w:after="120"/>
        <w:jc w:val="both"/>
        <w:rPr>
          <w:rFonts w:ascii="Times New Roman" w:hAnsi="Times New Roman" w:cs="Times New Roman"/>
          <w:i/>
          <w:noProof/>
          <w:sz w:val="24"/>
          <w:szCs w:val="24"/>
        </w:rPr>
      </w:pPr>
      <w:r>
        <w:rPr>
          <w:rFonts w:ascii="Times New Roman" w:hAnsi="Times New Roman" w:cs="Times New Roman"/>
          <w:i/>
          <w:iCs/>
          <w:noProof/>
          <w:sz w:val="24"/>
          <w:szCs w:val="24"/>
        </w:rPr>
        <w:t>Benefits:</w:t>
      </w:r>
      <w:r>
        <w:rPr>
          <w:rFonts w:ascii="Times New Roman" w:hAnsi="Times New Roman" w:cs="Times New Roman"/>
          <w:noProof/>
          <w:sz w:val="24"/>
          <w:szCs w:val="24"/>
        </w:rPr>
        <w:t xml:space="preserve"> Ensuring legal standing for equality bodies and workers’ representatives would contribute to removing one of the most important obstacles which victims of pay discrimination face when claiming their rights, especially the burden of carrying a legal claim and the fear of victimisation. </w:t>
      </w:r>
    </w:p>
    <w:p>
      <w:pPr>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i/>
          <w:iCs/>
          <w:noProof/>
          <w:sz w:val="24"/>
          <w:szCs w:val="24"/>
        </w:rPr>
        <w:t>Legal change required</w:t>
      </w:r>
      <w:r>
        <w:rPr>
          <w:rFonts w:ascii="Times New Roman" w:eastAsia="Times New Roman" w:hAnsi="Times New Roman" w:cs="Times New Roman"/>
          <w:noProof/>
          <w:sz w:val="24"/>
          <w:szCs w:val="24"/>
        </w:rPr>
        <w:t>: Equality bodies have the power to bring cases to court or to represent the claimant before courts or administrative bodies in only 8 Member States (DK, FI, HU, IE, IT, SE, SI, SK).</w:t>
      </w:r>
      <w:r>
        <w:rPr>
          <w:rFonts w:ascii="Times New Roman" w:eastAsia="Times New Roman" w:hAnsi="Times New Roman" w:cs="Times New Roman"/>
          <w:noProof/>
          <w:sz w:val="24"/>
          <w:szCs w:val="24"/>
          <w:vertAlign w:val="superscript"/>
        </w:rPr>
        <w:footnoteReference w:id="174"/>
      </w:r>
      <w:r>
        <w:rPr>
          <w:rFonts w:ascii="Times New Roman" w:eastAsia="Times New Roman" w:hAnsi="Times New Roman" w:cs="Times New Roman"/>
          <w:noProof/>
          <w:sz w:val="24"/>
          <w:szCs w:val="24"/>
        </w:rPr>
        <w:t xml:space="preserve"> This measure would thus require a legal change in 19 Member States where equality bodies presently do not have the power to act on behalf of individuals. As regards, workers’ representatives, they have legal standing in most Member States; the measure would entail a change only in four Member States (DE, EE, FI, RO).</w:t>
      </w:r>
      <w:r>
        <w:rPr>
          <w:rStyle w:val="FootnoteReference"/>
          <w:rFonts w:ascii="Times New Roman" w:eastAsia="Times New Roman" w:hAnsi="Times New Roman" w:cs="Times New Roman"/>
          <w:noProof/>
          <w:sz w:val="24"/>
          <w:szCs w:val="24"/>
        </w:rPr>
        <w:footnoteReference w:id="175"/>
      </w:r>
    </w:p>
    <w:p>
      <w:pPr>
        <w:pStyle w:val="Text2"/>
        <w:numPr>
          <w:ilvl w:val="0"/>
          <w:numId w:val="23"/>
        </w:numPr>
        <w:rPr>
          <w:b/>
          <w:noProof/>
        </w:rPr>
      </w:pPr>
      <w:r>
        <w:rPr>
          <w:b/>
          <w:bCs/>
          <w:noProof/>
        </w:rPr>
        <w:t xml:space="preserve">Representative action  </w:t>
      </w:r>
    </w:p>
    <w:p>
      <w:pPr>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Article 17(1) of the Recast Directive contains a general requirement for Member States to ensure that judicial procedures are available for victims of sex discrimination in employment matters. Member States have mainly not implemented this provision, relying on their common civil judicial procedures laid down in national law. As a result, in most Member States victims of discrimination can only pursue an infringement of the right to equal pay on an individual basis. Experience shows, however, that structural biases in pay structures in a given organisation may affect several workers in the same way. </w:t>
      </w:r>
    </w:p>
    <w:p>
      <w:pPr>
        <w:keepNext/>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i/>
          <w:iCs/>
          <w:noProof/>
          <w:sz w:val="24"/>
          <w:szCs w:val="24"/>
        </w:rPr>
        <w:t>Costs:</w:t>
      </w:r>
      <w:r>
        <w:rPr>
          <w:rFonts w:ascii="Times New Roman" w:eastAsia="Times New Roman" w:hAnsi="Times New Roman" w:cs="Times New Roman"/>
          <w:noProof/>
        </w:rPr>
        <w:t xml:space="preserve"> </w:t>
      </w:r>
      <w:r>
        <w:rPr>
          <w:rFonts w:ascii="Times New Roman" w:eastAsia="Times New Roman" w:hAnsi="Times New Roman" w:cs="Times New Roman"/>
          <w:noProof/>
          <w:sz w:val="24"/>
          <w:szCs w:val="24"/>
        </w:rPr>
        <w:t>introducing this measure as such would not entail costs.</w:t>
      </w:r>
      <w:r>
        <w:rPr>
          <w:rFonts w:ascii="Times New Roman" w:eastAsia="Times New Roman" w:hAnsi="Times New Roman" w:cs="Times New Roman"/>
          <w:noProof/>
        </w:rPr>
        <w:t xml:space="preserve"> </w:t>
      </w:r>
      <w:r>
        <w:rPr>
          <w:rFonts w:ascii="Times New Roman" w:eastAsia="Times New Roman" w:hAnsi="Times New Roman" w:cs="Times New Roman"/>
          <w:noProof/>
          <w:sz w:val="24"/>
          <w:szCs w:val="24"/>
        </w:rPr>
        <w:t xml:space="preserve">It would enable economies of scale in the preparation and litigation of equal pay cases and may reduce coordination and transaction costs of bringing victims together for redress purposes. Qualified entities would experience procedural efficiencies from being able to assess equal pay claims in a single procedure, enabling them to bear the costs of preparing a single action. If the action is successful, it will of course entail costs, in the form of proceedings costs, sanction and/or compensation, for infringing employers. Again, however, such costs would be incurred only to comply with their current obligations under EU law. </w:t>
      </w:r>
    </w:p>
    <w:p>
      <w:pPr>
        <w:spacing w:after="120"/>
        <w:jc w:val="both"/>
        <w:rPr>
          <w:rFonts w:ascii="Times New Roman" w:hAnsi="Times New Roman" w:cs="Times New Roman"/>
          <w:noProof/>
        </w:rPr>
      </w:pPr>
      <w:r>
        <w:rPr>
          <w:rFonts w:ascii="Times New Roman" w:hAnsi="Times New Roman" w:cs="Times New Roman"/>
          <w:i/>
          <w:iCs/>
          <w:noProof/>
          <w:color w:val="000000"/>
          <w:sz w:val="24"/>
          <w:szCs w:val="24"/>
        </w:rPr>
        <w:t>Benefits:</w:t>
      </w:r>
      <w:r>
        <w:rPr>
          <w:rFonts w:ascii="Times New Roman" w:hAnsi="Times New Roman" w:cs="Times New Roman"/>
          <w:i/>
          <w:iCs/>
          <w:noProof/>
          <w:color w:val="000000"/>
          <w:sz w:val="23"/>
          <w:szCs w:val="23"/>
        </w:rPr>
        <w:t xml:space="preserve"> </w:t>
      </w:r>
      <w:r>
        <w:rPr>
          <w:rFonts w:ascii="Times New Roman" w:eastAsia="Times New Roman" w:hAnsi="Times New Roman" w:cs="Times New Roman"/>
          <w:noProof/>
          <w:sz w:val="24"/>
          <w:szCs w:val="24"/>
        </w:rPr>
        <w:t xml:space="preserve">collective claims are a way to facilitate actions that would not otherwise have been brought because of procedural and financial barriers or fear of victimisation. In particular, allowing </w:t>
      </w:r>
      <w:r>
        <w:rPr>
          <w:rFonts w:ascii="Times New Roman" w:hAnsi="Times New Roman" w:cs="Times New Roman"/>
          <w:noProof/>
          <w:sz w:val="24"/>
          <w:szCs w:val="24"/>
        </w:rPr>
        <w:t>collective complaints can reduce the fear of reprisals and victimization</w:t>
      </w:r>
      <w:r>
        <w:rPr>
          <w:rFonts w:ascii="Times New Roman" w:hAnsi="Times New Roman" w:cs="Times New Roman"/>
          <w:b/>
          <w:bCs/>
          <w:noProof/>
          <w:sz w:val="24"/>
          <w:szCs w:val="24"/>
        </w:rPr>
        <w:t xml:space="preserve"> </w:t>
      </w:r>
      <w:r>
        <w:rPr>
          <w:rFonts w:ascii="Times New Roman" w:hAnsi="Times New Roman" w:cs="Times New Roman"/>
          <w:noProof/>
          <w:sz w:val="24"/>
          <w:szCs w:val="24"/>
        </w:rPr>
        <w:t>and reduce the overall costs for complainants.</w:t>
      </w:r>
      <w:r>
        <w:rPr>
          <w:rStyle w:val="FootnoteReference"/>
          <w:rFonts w:ascii="Times New Roman" w:hAnsi="Times New Roman" w:cs="Times New Roman"/>
          <w:noProof/>
          <w:sz w:val="24"/>
          <w:szCs w:val="24"/>
        </w:rPr>
        <w:footnoteReference w:id="176"/>
      </w:r>
      <w:r>
        <w:rPr>
          <w:rFonts w:ascii="Times New Roman" w:hAnsi="Times New Roman" w:cs="Times New Roman"/>
          <w:noProof/>
          <w:sz w:val="24"/>
          <w:szCs w:val="24"/>
        </w:rPr>
        <w:t xml:space="preserve"> </w:t>
      </w:r>
      <w:r>
        <w:rPr>
          <w:rFonts w:ascii="Times New Roman" w:eastAsia="Times New Roman" w:hAnsi="Times New Roman" w:cs="Times New Roman"/>
          <w:noProof/>
          <w:sz w:val="24"/>
          <w:szCs w:val="24"/>
        </w:rPr>
        <w:t xml:space="preserve">Furthermore, collective claims have the potential to improve compliance with pay transparency measures especially regarding businesses sensitive to reputational damage. They also allow more easily to uncover systemic discrimination and create visibility of equal pay and gender equality in society as a whole. </w:t>
      </w:r>
      <w:r>
        <w:rPr>
          <w:rFonts w:ascii="Times New Roman" w:hAnsi="Times New Roman" w:cs="Times New Roman"/>
          <w:noProof/>
          <w:sz w:val="24"/>
          <w:szCs w:val="24"/>
        </w:rPr>
        <w:t>Representative actions therefore have an important impact on employers' awareness and willingness to act preventively. This measure combined with the other proposed enforcement measures may be expected to have a preventive and deterrent effect and reduce costs linked to legal action.</w:t>
      </w:r>
    </w:p>
    <w:p>
      <w:pPr>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i/>
          <w:iCs/>
          <w:noProof/>
          <w:sz w:val="24"/>
          <w:szCs w:val="24"/>
        </w:rPr>
        <w:t>Legal change:</w:t>
      </w:r>
      <w:r>
        <w:rPr>
          <w:rFonts w:ascii="Times New Roman" w:eastAsia="Times New Roman" w:hAnsi="Times New Roman" w:cs="Times New Roman"/>
          <w:noProof/>
          <w:sz w:val="24"/>
          <w:szCs w:val="24"/>
        </w:rPr>
        <w:t xml:space="preserve"> as collective action is currently only possible, in discrimination cases, in seven Member States (DK, ES, FR, IT, LV, NL, </w:t>
      </w:r>
      <w:r>
        <w:rPr>
          <w:rFonts w:ascii="Times New Roman" w:hAnsi="Times New Roman" w:cs="Times New Roman"/>
          <w:noProof/>
        </w:rPr>
        <w:t>SI</w:t>
      </w:r>
      <w:r>
        <w:rPr>
          <w:rFonts w:ascii="Times New Roman" w:hAnsi="Times New Roman" w:cs="Times New Roman"/>
          <w:noProof/>
          <w:sz w:val="24"/>
          <w:szCs w:val="24"/>
        </w:rPr>
        <w:t>),</w:t>
      </w:r>
      <w:r>
        <w:rPr>
          <w:rStyle w:val="FootnoteReference"/>
          <w:rFonts w:ascii="Times New Roman" w:hAnsi="Times New Roman" w:cs="Times New Roman"/>
          <w:noProof/>
          <w:sz w:val="24"/>
          <w:szCs w:val="24"/>
        </w:rPr>
        <w:footnoteReference w:id="177"/>
      </w:r>
      <w:r>
        <w:rPr>
          <w:rFonts w:ascii="Times New Roman" w:hAnsi="Times New Roman" w:cs="Times New Roman"/>
          <w:noProof/>
          <w:sz w:val="24"/>
          <w:szCs w:val="24"/>
        </w:rPr>
        <w:t xml:space="preserve"> t</w:t>
      </w:r>
      <w:r>
        <w:rPr>
          <w:rFonts w:ascii="Times New Roman" w:eastAsia="Times New Roman" w:hAnsi="Times New Roman" w:cs="Times New Roman"/>
          <w:noProof/>
          <w:sz w:val="24"/>
          <w:szCs w:val="24"/>
        </w:rPr>
        <w:t>his measure would bring change in the legal framework of 20 Member States.</w:t>
      </w:r>
    </w:p>
    <w:p>
      <w:pPr>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While it would be useful to extend the right of action also to a</w:t>
      </w:r>
      <w:r>
        <w:rPr>
          <w:rFonts w:ascii="Times New Roman" w:eastAsia="Times New Roman" w:hAnsi="Times New Roman" w:cs="Times New Roman"/>
          <w:noProof/>
          <w:sz w:val="24"/>
          <w:szCs w:val="24"/>
          <w:lang w:val="en-IE"/>
        </w:rPr>
        <w:t>ssociations, organisations or other legal entities pursuing the enforcement of the right to equal pay, the wide variety of such organisations and the interests they represent call for caution. Such alternative was therefore not retained.</w:t>
      </w:r>
    </w:p>
    <w:p>
      <w:pPr>
        <w:pStyle w:val="Text2"/>
        <w:ind w:left="0"/>
        <w:rPr>
          <w:b/>
          <w:noProof/>
        </w:rPr>
      </w:pPr>
      <w:r>
        <w:rPr>
          <w:b/>
          <w:bCs/>
          <w:noProof/>
        </w:rPr>
        <w:t>Strengthened and new remedies (compensation and injunction orders)</w:t>
      </w:r>
    </w:p>
    <w:p>
      <w:pPr>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i/>
          <w:iCs/>
          <w:noProof/>
          <w:sz w:val="24"/>
          <w:szCs w:val="24"/>
        </w:rPr>
        <w:t>Costs</w:t>
      </w:r>
      <w:r>
        <w:rPr>
          <w:rFonts w:ascii="Times New Roman" w:eastAsia="Times New Roman" w:hAnsi="Times New Roman" w:cs="Times New Roman"/>
          <w:noProof/>
          <w:sz w:val="24"/>
          <w:szCs w:val="24"/>
        </w:rPr>
        <w:t xml:space="preserve">: The introduction of these requirements does not entail costs as such. </w:t>
      </w:r>
      <w:r>
        <w:rPr>
          <w:rFonts w:ascii="Times New Roman" w:hAnsi="Times New Roman" w:cs="Times New Roman"/>
          <w:noProof/>
          <w:color w:val="000000"/>
          <w:sz w:val="24"/>
          <w:szCs w:val="24"/>
        </w:rPr>
        <w:t>Strengthened rules on compensation and court orders may entail costs for non-compliant employers, as would be the case with any non-compliance with the law</w:t>
      </w:r>
      <w:r>
        <w:rPr>
          <w:rFonts w:ascii="Times New Roman" w:hAnsi="Times New Roman" w:cs="Times New Roman"/>
          <w:noProof/>
          <w:color w:val="000000"/>
          <w:sz w:val="23"/>
          <w:szCs w:val="23"/>
        </w:rPr>
        <w:t>.</w:t>
      </w:r>
      <w:r>
        <w:rPr>
          <w:rFonts w:ascii="Times New Roman" w:hAnsi="Times New Roman" w:cs="Times New Roman"/>
          <w:noProof/>
          <w:color w:val="000000" w:themeColor="text1"/>
          <w:sz w:val="24"/>
          <w:szCs w:val="24"/>
        </w:rPr>
        <w:t xml:space="preserve"> Some minimum costs of informing judicial authorities may be incurred; these may be covered, among others, by trainings such as those organised by the Academy of European Law (ERA) funded by the European Commission.</w:t>
      </w:r>
    </w:p>
    <w:p>
      <w:pPr>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i/>
          <w:iCs/>
          <w:noProof/>
          <w:sz w:val="24"/>
          <w:szCs w:val="24"/>
        </w:rPr>
        <w:t xml:space="preserve">Benefits: </w:t>
      </w:r>
      <w:r>
        <w:rPr>
          <w:rFonts w:ascii="Times New Roman" w:eastAsia="Times New Roman" w:hAnsi="Times New Roman" w:cs="Times New Roman"/>
          <w:noProof/>
          <w:sz w:val="24"/>
          <w:szCs w:val="24"/>
        </w:rPr>
        <w:t xml:space="preserve">a strengthened requirement to compensation will provide incentives for victims of gender pay discrimination to seek justice and uphold their right to equal pay. Court orders to stop infringements or impose remedial action will allow to address infringements of the pay transparency rules and systemic undervaluation of women’s work. In addition, these measures would contribute to dissuade employers to infringe the workers’ right to equal pay and motivate them to pro-actively undertake action. </w:t>
      </w:r>
    </w:p>
    <w:p>
      <w:pPr>
        <w:spacing w:after="120"/>
        <w:jc w:val="both"/>
        <w:rPr>
          <w:rFonts w:ascii="Times New Roman" w:eastAsia="Times New Roman" w:hAnsi="Times New Roman" w:cs="Times New Roman"/>
          <w:b/>
          <w:noProof/>
          <w:sz w:val="24"/>
          <w:szCs w:val="24"/>
        </w:rPr>
      </w:pPr>
      <w:r>
        <w:rPr>
          <w:rFonts w:ascii="Times New Roman" w:eastAsia="Times New Roman" w:hAnsi="Times New Roman" w:cs="Times New Roman"/>
          <w:b/>
          <w:bCs/>
          <w:noProof/>
          <w:sz w:val="24"/>
          <w:szCs w:val="24"/>
        </w:rPr>
        <w:t xml:space="preserve">Minimum standards on limitation periods </w:t>
      </w:r>
    </w:p>
    <w:p>
      <w:pPr>
        <w:spacing w:after="120"/>
        <w:jc w:val="both"/>
        <w:rPr>
          <w:rFonts w:ascii="Times New Roman" w:eastAsia="Times New Roman" w:hAnsi="Times New Roman" w:cs="Times New Roman"/>
          <w:i/>
          <w:noProof/>
          <w:sz w:val="24"/>
          <w:szCs w:val="24"/>
        </w:rPr>
      </w:pPr>
      <w:r>
        <w:rPr>
          <w:rFonts w:ascii="Times New Roman" w:eastAsia="Times New Roman" w:hAnsi="Times New Roman" w:cs="Times New Roman"/>
          <w:i/>
          <w:iCs/>
          <w:noProof/>
          <w:sz w:val="24"/>
          <w:szCs w:val="24"/>
        </w:rPr>
        <w:t>Costs</w:t>
      </w:r>
      <w:r>
        <w:rPr>
          <w:rFonts w:ascii="Times New Roman" w:eastAsia="Times New Roman" w:hAnsi="Times New Roman" w:cs="Times New Roman"/>
          <w:noProof/>
          <w:sz w:val="24"/>
          <w:szCs w:val="24"/>
        </w:rPr>
        <w:t xml:space="preserve">: The introduction of this requirement does not entail any costs as such, except for training of judicial authorities which may have to apply the new rules (see above). </w:t>
      </w:r>
    </w:p>
    <w:p>
      <w:pPr>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i/>
          <w:iCs/>
          <w:noProof/>
          <w:sz w:val="24"/>
          <w:szCs w:val="24"/>
        </w:rPr>
        <w:t>Benefits</w:t>
      </w:r>
      <w:r>
        <w:rPr>
          <w:rFonts w:ascii="Times New Roman" w:eastAsia="Times New Roman" w:hAnsi="Times New Roman" w:cs="Times New Roman"/>
          <w:noProof/>
          <w:sz w:val="24"/>
          <w:szCs w:val="24"/>
        </w:rPr>
        <w:t>: for victims to have sufficient time to gather the necessary evidence to make their case and to take action once they become aware of the potential pay discrimination. Under the current framework some victims may already have moved on to another job and many other victims decide simply not to act because of the unsurmountable difficulties involved in taking the necessary action within the required time limits. Action on limitation periods requiring minimum standards would therefore enhance an effective access to justice.</w:t>
      </w:r>
    </w:p>
    <w:p>
      <w:pPr>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i/>
          <w:iCs/>
          <w:noProof/>
          <w:sz w:val="24"/>
          <w:szCs w:val="24"/>
        </w:rPr>
        <w:t>Legal change</w:t>
      </w:r>
      <w:r>
        <w:rPr>
          <w:rFonts w:ascii="Times New Roman" w:eastAsia="Times New Roman" w:hAnsi="Times New Roman" w:cs="Times New Roman"/>
          <w:noProof/>
          <w:sz w:val="24"/>
          <w:szCs w:val="24"/>
        </w:rPr>
        <w:t>: Some Member States (DE, EE, LV, SI)</w:t>
      </w:r>
      <w:r>
        <w:rPr>
          <w:rStyle w:val="FootnoteReference"/>
          <w:rFonts w:ascii="Times New Roman" w:eastAsia="Times New Roman" w:hAnsi="Times New Roman" w:cs="Times New Roman"/>
          <w:noProof/>
          <w:sz w:val="24"/>
          <w:szCs w:val="24"/>
        </w:rPr>
        <w:footnoteReference w:id="178"/>
      </w:r>
      <w:r>
        <w:rPr>
          <w:rFonts w:ascii="Times New Roman" w:eastAsia="Times New Roman" w:hAnsi="Times New Roman" w:cs="Times New Roman"/>
          <w:noProof/>
          <w:sz w:val="24"/>
          <w:szCs w:val="24"/>
        </w:rPr>
        <w:t xml:space="preserve"> have very short time limits to bring a case to court, from 30 days to 3 months. Other Member States have longer limitation periods from 3 years (AT, BG, CZ, HU, LT, PL) to 5 years (BE, FR, NL).</w:t>
      </w:r>
      <w:r>
        <w:rPr>
          <w:rStyle w:val="FootnoteReference"/>
          <w:rFonts w:ascii="Times New Roman" w:eastAsia="Times New Roman" w:hAnsi="Times New Roman" w:cs="Times New Roman"/>
          <w:noProof/>
          <w:sz w:val="24"/>
          <w:szCs w:val="24"/>
        </w:rPr>
        <w:footnoteReference w:id="179"/>
      </w:r>
      <w:r>
        <w:rPr>
          <w:rFonts w:ascii="Times New Roman" w:eastAsia="Times New Roman" w:hAnsi="Times New Roman" w:cs="Times New Roman"/>
          <w:noProof/>
          <w:sz w:val="24"/>
          <w:szCs w:val="24"/>
        </w:rPr>
        <w:t xml:space="preserve"> </w:t>
      </w:r>
    </w:p>
    <w:p>
      <w:pPr>
        <w:keepNext/>
        <w:spacing w:after="120"/>
        <w:jc w:val="both"/>
        <w:rPr>
          <w:rFonts w:ascii="Times New Roman" w:eastAsia="Times New Roman" w:hAnsi="Times New Roman" w:cs="Times New Roman"/>
          <w:b/>
          <w:noProof/>
          <w:sz w:val="24"/>
          <w:szCs w:val="24"/>
        </w:rPr>
      </w:pPr>
      <w:r>
        <w:rPr>
          <w:rFonts w:ascii="Times New Roman" w:eastAsia="Times New Roman" w:hAnsi="Times New Roman" w:cs="Times New Roman"/>
          <w:b/>
          <w:bCs/>
          <w:noProof/>
          <w:sz w:val="24"/>
          <w:szCs w:val="24"/>
        </w:rPr>
        <w:t xml:space="preserve">Support to carry legal costs </w:t>
      </w:r>
    </w:p>
    <w:p>
      <w:pPr>
        <w:spacing w:after="120"/>
        <w:jc w:val="both"/>
        <w:rPr>
          <w:rFonts w:ascii="Times New Roman" w:eastAsia="Times New Roman" w:hAnsi="Times New Roman" w:cs="Times New Roman"/>
          <w:noProof/>
          <w:sz w:val="24"/>
          <w:szCs w:val="24"/>
          <w:lang w:eastAsia="fr-FR"/>
        </w:rPr>
      </w:pPr>
      <w:r>
        <w:rPr>
          <w:rFonts w:ascii="Times New Roman" w:eastAsia="Times New Roman" w:hAnsi="Times New Roman" w:cs="Times New Roman"/>
          <w:i/>
          <w:iCs/>
          <w:noProof/>
          <w:sz w:val="24"/>
          <w:szCs w:val="24"/>
        </w:rPr>
        <w:t>Stakeholders’ views</w:t>
      </w:r>
      <w:r>
        <w:rPr>
          <w:rFonts w:ascii="Times New Roman" w:eastAsia="Times New Roman" w:hAnsi="Times New Roman" w:cs="Times New Roman"/>
          <w:noProof/>
          <w:sz w:val="24"/>
          <w:szCs w:val="24"/>
        </w:rPr>
        <w:t>: respondents in the public consultation conducted for this initiative</w:t>
      </w:r>
      <w:r>
        <w:rPr>
          <w:rFonts w:ascii="Times New Roman" w:eastAsia="Times New Roman" w:hAnsi="Times New Roman" w:cs="Times New Roman"/>
          <w:noProof/>
          <w:sz w:val="24"/>
          <w:szCs w:val="24"/>
          <w:lang w:eastAsia="fr-FR"/>
        </w:rPr>
        <w:t xml:space="preserve"> identified legal costs as a relevant enforcement problem in relation to pay discrimination. A large majority of respondents (92%) considers the provision of support to be important in order to lower these costs and enable action in pay discrimination cases. </w:t>
      </w:r>
    </w:p>
    <w:p>
      <w:pPr>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i/>
          <w:iCs/>
          <w:noProof/>
          <w:sz w:val="24"/>
          <w:szCs w:val="24"/>
        </w:rPr>
        <w:t>Costs:</w:t>
      </w:r>
      <w:r>
        <w:rPr>
          <w:rFonts w:ascii="Times New Roman" w:eastAsia="Times New Roman" w:hAnsi="Times New Roman" w:cs="Times New Roman"/>
          <w:noProof/>
          <w:sz w:val="24"/>
          <w:szCs w:val="24"/>
        </w:rPr>
        <w:t xml:space="preserve"> </w:t>
      </w:r>
      <w:r>
        <w:rPr>
          <w:rFonts w:ascii="Times New Roman" w:hAnsi="Times New Roman" w:cs="Times New Roman"/>
          <w:noProof/>
          <w:color w:val="000000" w:themeColor="text1"/>
          <w:sz w:val="24"/>
          <w:szCs w:val="24"/>
        </w:rPr>
        <w:t xml:space="preserve">Some minimum costs of informing judicial authorities may be incurred (see above). </w:t>
      </w:r>
    </w:p>
    <w:p>
      <w:pPr>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i/>
          <w:iCs/>
          <w:noProof/>
          <w:sz w:val="24"/>
          <w:szCs w:val="24"/>
        </w:rPr>
        <w:t>Benefits:</w:t>
      </w:r>
      <w:r>
        <w:rPr>
          <w:rFonts w:ascii="Times New Roman" w:eastAsia="Times New Roman" w:hAnsi="Times New Roman" w:cs="Times New Roman"/>
          <w:noProof/>
          <w:sz w:val="24"/>
          <w:szCs w:val="24"/>
        </w:rPr>
        <w:t xml:space="preserve"> The possibility for prevailing claimants to recover the proceedings’ costs while not having to bear the costs of a successful defendant would alleviate one of the most important barriers faced by victims to enforce their rights and have access to justice. This rule would not apply to claims brought in bad faith, which are clearly frivolous or when the non-recovery by the defendant would be considered unreasonable under the circumstances. This rule would be innovative in most Member States, as it deviates from the normally applicable loser pays principle</w:t>
      </w:r>
      <w:r>
        <w:rPr>
          <w:rStyle w:val="FootnoteReference"/>
          <w:rFonts w:ascii="Times New Roman" w:eastAsia="Times New Roman" w:hAnsi="Times New Roman" w:cs="Times New Roman"/>
          <w:noProof/>
          <w:sz w:val="24"/>
          <w:szCs w:val="24"/>
        </w:rPr>
        <w:footnoteReference w:id="180"/>
      </w:r>
      <w:r>
        <w:rPr>
          <w:rFonts w:ascii="Times New Roman" w:eastAsia="Times New Roman" w:hAnsi="Times New Roman" w:cs="Times New Roman"/>
          <w:noProof/>
          <w:sz w:val="24"/>
          <w:szCs w:val="24"/>
        </w:rPr>
        <w:t>. However, it is justified in the specific case of pay discrimination because of the particular vulnerability of victims in these cases.</w:t>
      </w:r>
    </w:p>
    <w:p>
      <w:pPr>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envisaged alternative that the claimant would recovers proceedings’ costs from the defendant </w:t>
      </w:r>
      <w:r>
        <w:rPr>
          <w:rFonts w:ascii="Times New Roman" w:eastAsia="Times New Roman" w:hAnsi="Times New Roman" w:cs="Times New Roman"/>
          <w:i/>
          <w:iCs/>
          <w:noProof/>
          <w:sz w:val="24"/>
          <w:szCs w:val="24"/>
        </w:rPr>
        <w:t>whether successful or not</w:t>
      </w:r>
      <w:r>
        <w:rPr>
          <w:rFonts w:ascii="Times New Roman" w:eastAsia="Times New Roman" w:hAnsi="Times New Roman" w:cs="Times New Roman"/>
          <w:noProof/>
          <w:sz w:val="24"/>
          <w:szCs w:val="24"/>
        </w:rPr>
        <w:t xml:space="preserve"> would pose questions of fairness and proportionality and was therefore not retained.  </w:t>
      </w:r>
    </w:p>
    <w:p>
      <w:pPr>
        <w:spacing w:after="120"/>
        <w:jc w:val="both"/>
        <w:rPr>
          <w:rFonts w:ascii="Times New Roman" w:eastAsia="Times New Roman" w:hAnsi="Times New Roman" w:cs="Times New Roman"/>
          <w:i/>
          <w:noProof/>
          <w:sz w:val="24"/>
          <w:szCs w:val="24"/>
        </w:rPr>
      </w:pPr>
      <w:r>
        <w:rPr>
          <w:rFonts w:ascii="Times New Roman" w:eastAsia="Times New Roman" w:hAnsi="Times New Roman" w:cs="Times New Roman"/>
          <w:i/>
          <w:iCs/>
          <w:noProof/>
          <w:sz w:val="24"/>
          <w:szCs w:val="24"/>
        </w:rPr>
        <w:t>Overall conclusion of Measure 2:</w:t>
      </w:r>
    </w:p>
    <w:p>
      <w:pPr>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measure could contribute to achieving both the specific objectives of empowering workers to enforce their right to equal pay and addressing the systemic undervaluation of women’s work at employer level that would potentially come to light. Furthermore</w:t>
      </w:r>
      <w:r>
        <w:rPr>
          <w:rFonts w:ascii="Times New Roman" w:eastAsia="Times New Roman" w:hAnsi="Times New Roman" w:cs="Times New Roman"/>
          <w:i/>
          <w:iCs/>
          <w:noProof/>
          <w:sz w:val="24"/>
          <w:szCs w:val="24"/>
        </w:rPr>
        <w:t xml:space="preserve">, </w:t>
      </w:r>
      <w:r>
        <w:rPr>
          <w:rFonts w:ascii="Times New Roman" w:eastAsia="Times New Roman" w:hAnsi="Times New Roman" w:cs="Times New Roman"/>
          <w:noProof/>
          <w:sz w:val="24"/>
          <w:szCs w:val="24"/>
        </w:rPr>
        <w:t>the</w:t>
      </w:r>
      <w:r>
        <w:rPr>
          <w:rFonts w:ascii="Times New Roman" w:eastAsia="Times New Roman" w:hAnsi="Times New Roman" w:cs="Times New Roman"/>
          <w:i/>
          <w:iCs/>
          <w:noProof/>
          <w:sz w:val="24"/>
          <w:szCs w:val="24"/>
        </w:rPr>
        <w:t xml:space="preserve"> </w:t>
      </w:r>
      <w:r>
        <w:rPr>
          <w:rFonts w:ascii="Times New Roman" w:eastAsia="Times New Roman" w:hAnsi="Times New Roman" w:cs="Times New Roman"/>
          <w:noProof/>
          <w:sz w:val="24"/>
          <w:szCs w:val="24"/>
        </w:rPr>
        <w:t xml:space="preserve">measure may be effective in tackling the problem driver of insufficient access to justice and would trigger action to remedy systemic discrimination overall with clarification of what constitutes full compensation and providing for injunction orders in case of infringements. </w:t>
      </w:r>
    </w:p>
    <w:p>
      <w:pPr>
        <w:spacing w:after="120"/>
        <w:jc w:val="both"/>
        <w:rPr>
          <w:noProof/>
        </w:rPr>
      </w:pPr>
      <w:r>
        <w:rPr>
          <w:rFonts w:ascii="Times New Roman" w:hAnsi="Times New Roman" w:cs="Times New Roman"/>
          <w:noProof/>
          <w:sz w:val="24"/>
          <w:szCs w:val="24"/>
        </w:rPr>
        <w:t>However, while these measures may contribute to improving the existing legal framework, their effectiveness would remain rather limited if applied on their own because potential victims of gender pay discrimination would still lack crucial information on pay to bring gender pay discrimination claims to courts</w:t>
      </w:r>
      <w:r>
        <w:rPr>
          <w:rFonts w:ascii="Times New Roman" w:eastAsia="Times New Roman" w:hAnsi="Times New Roman" w:cs="Times New Roman"/>
          <w:noProof/>
          <w:sz w:val="24"/>
          <w:szCs w:val="24"/>
        </w:rPr>
        <w:t>.</w:t>
      </w:r>
    </w:p>
    <w:p>
      <w:pPr>
        <w:pStyle w:val="Heading4"/>
        <w:ind w:left="720"/>
        <w:rPr>
          <w:b/>
          <w:noProof/>
        </w:rPr>
      </w:pPr>
      <w:r>
        <w:rPr>
          <w:b/>
          <w:bCs/>
          <w:i/>
          <w:iCs/>
          <w:noProof/>
        </w:rPr>
        <w:t>Measure 3:</w:t>
      </w:r>
      <w:r>
        <w:rPr>
          <w:b/>
          <w:bCs/>
          <w:noProof/>
        </w:rPr>
        <w:t xml:space="preserve"> </w:t>
      </w:r>
      <w:r>
        <w:rPr>
          <w:b/>
          <w:bCs/>
          <w:i/>
          <w:iCs/>
          <w:noProof/>
        </w:rPr>
        <w:t>Other measures to enhance enforcement and implementation</w:t>
      </w:r>
    </w:p>
    <w:p>
      <w:pPr>
        <w:jc w:val="both"/>
        <w:rPr>
          <w:rFonts w:ascii="Times New Roman" w:hAnsi="Times New Roman" w:cs="Times New Roman"/>
          <w:noProof/>
          <w:sz w:val="24"/>
          <w:szCs w:val="24"/>
        </w:rPr>
      </w:pPr>
      <w:r>
        <w:rPr>
          <w:rFonts w:ascii="Times New Roman" w:hAnsi="Times New Roman" w:cs="Times New Roman"/>
          <w:b/>
          <w:bCs/>
          <w:noProof/>
          <w:sz w:val="24"/>
          <w:szCs w:val="24"/>
        </w:rPr>
        <w:t>Penalties</w:t>
      </w:r>
    </w:p>
    <w:p>
      <w:pPr>
        <w:jc w:val="both"/>
        <w:rPr>
          <w:rFonts w:ascii="Times New Roman" w:eastAsia="Times New Roman" w:hAnsi="Times New Roman" w:cs="Times New Roman"/>
          <w:noProof/>
          <w:sz w:val="24"/>
          <w:szCs w:val="24"/>
        </w:rPr>
      </w:pPr>
      <w:r>
        <w:rPr>
          <w:rFonts w:ascii="Times New Roman" w:eastAsia="Times New Roman" w:hAnsi="Times New Roman" w:cs="Times New Roman"/>
          <w:i/>
          <w:iCs/>
          <w:noProof/>
          <w:sz w:val="24"/>
          <w:szCs w:val="24"/>
        </w:rPr>
        <w:t>Costs:</w:t>
      </w:r>
      <w:r>
        <w:rPr>
          <w:rFonts w:ascii="Times New Roman" w:eastAsia="Times New Roman" w:hAnsi="Times New Roman" w:cs="Times New Roman"/>
          <w:noProof/>
          <w:sz w:val="24"/>
          <w:szCs w:val="24"/>
        </w:rPr>
        <w:t xml:space="preserve"> </w:t>
      </w:r>
      <w:r>
        <w:rPr>
          <w:rFonts w:ascii="Times New Roman" w:hAnsi="Times New Roman" w:cs="Times New Roman"/>
          <w:noProof/>
          <w:color w:val="000000"/>
          <w:sz w:val="24"/>
          <w:szCs w:val="24"/>
        </w:rPr>
        <w:t xml:space="preserve">Strengthening rules on sanctions/penalties would require some minimum costs of informing the authorities that have the power to sanction under national law (see above). </w:t>
      </w:r>
    </w:p>
    <w:p>
      <w:pPr>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i/>
          <w:iCs/>
          <w:noProof/>
          <w:sz w:val="24"/>
          <w:szCs w:val="24"/>
        </w:rPr>
        <w:t>Benefits:</w:t>
      </w:r>
      <w:r>
        <w:rPr>
          <w:rFonts w:ascii="Times New Roman" w:eastAsia="Times New Roman" w:hAnsi="Times New Roman" w:cs="Times New Roman"/>
          <w:noProof/>
          <w:sz w:val="24"/>
          <w:szCs w:val="24"/>
        </w:rPr>
        <w:t xml:space="preserve"> The proposed measure would strengthen the existing minimum standards on sanctions/penalties regarding gender pay discrimination across the EU and further the deterrence effect for employers engaging in illegal behaviour regarding pay setting practices and gender pay discrimination. At the same time, it</w:t>
      </w:r>
      <w:r>
        <w:rPr>
          <w:rFonts w:ascii="Times New Roman" w:hAnsi="Times New Roman" w:cs="Times New Roman"/>
          <w:noProof/>
          <w:sz w:val="24"/>
          <w:szCs w:val="24"/>
        </w:rPr>
        <w:t xml:space="preserve"> would have a preventive effect in stimulating employers to comply pro-actively.</w:t>
      </w:r>
      <w:r>
        <w:rPr>
          <w:rFonts w:ascii="Times New Roman" w:hAnsi="Times New Roman" w:cs="Times New Roman"/>
          <w:noProof/>
          <w:sz w:val="23"/>
          <w:szCs w:val="23"/>
        </w:rPr>
        <w:t xml:space="preserve"> </w:t>
      </w:r>
    </w:p>
    <w:p>
      <w:pPr>
        <w:spacing w:after="120"/>
        <w:jc w:val="both"/>
        <w:rPr>
          <w:rFonts w:ascii="Times New Roman" w:eastAsia="Times New Roman" w:hAnsi="Times New Roman" w:cs="Times New Roman"/>
          <w:i/>
          <w:noProof/>
          <w:sz w:val="24"/>
          <w:szCs w:val="24"/>
        </w:rPr>
      </w:pPr>
      <w:r>
        <w:rPr>
          <w:rFonts w:ascii="Times New Roman" w:eastAsia="Times New Roman" w:hAnsi="Times New Roman" w:cs="Times New Roman"/>
          <w:i/>
          <w:iCs/>
          <w:noProof/>
          <w:sz w:val="24"/>
          <w:szCs w:val="24"/>
        </w:rPr>
        <w:t>Conclusion:</w:t>
      </w:r>
      <w:r>
        <w:rPr>
          <w:rFonts w:ascii="Times New Roman" w:eastAsia="Times New Roman" w:hAnsi="Times New Roman" w:cs="Times New Roman"/>
          <w:noProof/>
          <w:sz w:val="24"/>
          <w:szCs w:val="24"/>
        </w:rPr>
        <w:t xml:space="preserve"> this measure could be effective in tackling the problem driver of deficient enforcement of the right to equal pay. It would contribute to achieving the specific objective of addressing the systemic undervaluation of women’s work at employer level by sanctioning the infringement of the equal pay principle by employers and stimulating employers’ compliance. </w:t>
      </w:r>
      <w:r>
        <w:rPr>
          <w:rFonts w:ascii="Times New Roman" w:hAnsi="Times New Roman" w:cs="Times New Roman"/>
          <w:noProof/>
          <w:sz w:val="24"/>
          <w:szCs w:val="24"/>
        </w:rPr>
        <w:t>However, its effectiveness would remain limited if applied on its own because potential victims of gender pay discrimination would still lack crucial information on pay to be able to bring gender pay discrimination claims to courts.</w:t>
      </w:r>
    </w:p>
    <w:p>
      <w:pPr>
        <w:jc w:val="both"/>
        <w:rPr>
          <w:rFonts w:ascii="Times New Roman" w:hAnsi="Times New Roman" w:cs="Times New Roman"/>
          <w:b/>
          <w:noProof/>
          <w:sz w:val="24"/>
          <w:szCs w:val="24"/>
        </w:rPr>
      </w:pPr>
      <w:r>
        <w:rPr>
          <w:rFonts w:ascii="Times New Roman" w:hAnsi="Times New Roman" w:cs="Times New Roman"/>
          <w:b/>
          <w:bCs/>
          <w:noProof/>
          <w:sz w:val="24"/>
          <w:szCs w:val="24"/>
        </w:rPr>
        <w:t>Involvement of social partners</w:t>
      </w:r>
    </w:p>
    <w:p>
      <w:pPr>
        <w:jc w:val="both"/>
        <w:rPr>
          <w:rFonts w:ascii="Times New Roman" w:hAnsi="Times New Roman" w:cs="Times New Roman"/>
          <w:noProof/>
          <w:sz w:val="24"/>
          <w:szCs w:val="24"/>
        </w:rPr>
      </w:pPr>
      <w:r>
        <w:rPr>
          <w:rFonts w:ascii="Times New Roman" w:hAnsi="Times New Roman" w:cs="Times New Roman"/>
          <w:noProof/>
          <w:sz w:val="24"/>
          <w:szCs w:val="24"/>
        </w:rPr>
        <w:t>The effect of this measure requiring Member States to take appropriate measures ensuring that the implementation of the rights and obligations under this initiative be discussed with social partners would depend on the culture of social dialogue in the Member States. If it would lead to equal pay matters being taken up in collective bargaining, it would concern the share of the workforce that is covered by collective agreements. This percentage varies largely in the EU. In 11 Member States the largest share of workers in the country are not covered by collective agreements. Collective bargaining coverage ranges from 7% in LT to 98% in FR and AT.</w:t>
      </w:r>
      <w:r>
        <w:rPr>
          <w:rFonts w:ascii="Times New Roman" w:hAnsi="Times New Roman" w:cs="Times New Roman"/>
          <w:noProof/>
          <w:sz w:val="24"/>
          <w:szCs w:val="24"/>
          <w:vertAlign w:val="superscript"/>
        </w:rPr>
        <w:footnoteReference w:id="181"/>
      </w:r>
      <w:r>
        <w:rPr>
          <w:rFonts w:ascii="Times New Roman" w:hAnsi="Times New Roman" w:cs="Times New Roman"/>
          <w:noProof/>
          <w:sz w:val="24"/>
          <w:szCs w:val="24"/>
        </w:rPr>
        <w:t xml:space="preserve"> The level at which discussions take place also influences the impact of the measure, with industrial and national level being the most common modalities. If it is at employer level, social partners could discuss employer-specific implementation and identify targeted solutions to reduce gender-based pay inequalities. As a result, action at all levels of social dialogue is useful. Such action would increase in effectiveness if supported by the information made available through pay transparency measures. </w:t>
      </w:r>
    </w:p>
    <w:p>
      <w:pPr>
        <w:jc w:val="both"/>
        <w:rPr>
          <w:rFonts w:ascii="Times New Roman" w:hAnsi="Times New Roman" w:cs="Times New Roman"/>
          <w:noProof/>
          <w:sz w:val="24"/>
          <w:szCs w:val="24"/>
        </w:rPr>
      </w:pPr>
      <w:r>
        <w:rPr>
          <w:rFonts w:ascii="Times New Roman" w:hAnsi="Times New Roman" w:cs="Times New Roman"/>
          <w:i/>
          <w:iCs/>
          <w:noProof/>
          <w:sz w:val="24"/>
          <w:szCs w:val="24"/>
        </w:rPr>
        <w:t>Expert views.</w:t>
      </w:r>
      <w:r>
        <w:rPr>
          <w:rFonts w:ascii="Times New Roman" w:hAnsi="Times New Roman" w:cs="Times New Roman"/>
          <w:noProof/>
          <w:sz w:val="24"/>
          <w:szCs w:val="24"/>
        </w:rPr>
        <w:t xml:space="preserve"> The study carried out for this impact assessment showed that this modality has the most positive score of all by experts in terms of effectiveness in addressing the problem of pay inequalities. The experts’ scores on behavioural feasibility or effectiveness also underline positive outcomes. However, despite the overall positive scoring of this measure across the different perspectives, the importance attached to the autonomy of social partners on the one hand and the weak bargaining culture in some Member States on the other hand lead to a greater spread of opinions than for some other modalities (see</w:t>
      </w:r>
      <w:r>
        <w:rPr>
          <w:rFonts w:ascii="Times New Roman" w:hAnsi="Times New Roman" w:cs="Times New Roman"/>
          <w:i/>
          <w:iCs/>
          <w:noProof/>
          <w:sz w:val="24"/>
          <w:szCs w:val="24"/>
        </w:rPr>
        <w:t xml:space="preserve"> Annex 5, section 8 </w:t>
      </w:r>
      <w:r>
        <w:rPr>
          <w:rFonts w:ascii="Times New Roman" w:hAnsi="Times New Roman" w:cs="Times New Roman"/>
          <w:noProof/>
          <w:sz w:val="24"/>
          <w:szCs w:val="24"/>
        </w:rPr>
        <w:t>and</w:t>
      </w:r>
      <w:r>
        <w:rPr>
          <w:rFonts w:ascii="Times New Roman" w:hAnsi="Times New Roman" w:cs="Times New Roman"/>
          <w:i/>
          <w:iCs/>
          <w:noProof/>
          <w:sz w:val="24"/>
          <w:szCs w:val="24"/>
        </w:rPr>
        <w:t xml:space="preserve"> EY, 2021</w:t>
      </w:r>
      <w:r>
        <w:rPr>
          <w:rFonts w:ascii="Times New Roman" w:hAnsi="Times New Roman" w:cs="Times New Roman"/>
          <w:noProof/>
          <w:sz w:val="24"/>
          <w:szCs w:val="24"/>
        </w:rPr>
        <w:t>). Institutional and legal experts, social partners and individual Member States raised these concerns. In order to respect the autonomy of social partners, the initiative would not impose an obligation of result but only an obligation on Member States to take appropriate measures ensuring that the implementation of the rights and obligations under the initiative is discussed in social dialogue, without prejudice to the autonomy of social partners and in accordance with national law and practice</w:t>
      </w:r>
      <w:r>
        <w:rPr>
          <w:rStyle w:val="FootnoteReference"/>
          <w:rFonts w:ascii="Times New Roman" w:hAnsi="Times New Roman" w:cs="Times New Roman"/>
          <w:noProof/>
          <w:sz w:val="24"/>
          <w:szCs w:val="24"/>
        </w:rPr>
        <w:footnoteReference w:id="182"/>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i/>
          <w:iCs/>
          <w:noProof/>
          <w:sz w:val="24"/>
          <w:szCs w:val="24"/>
        </w:rPr>
        <w:t>Stakeholders’ views</w:t>
      </w:r>
      <w:r>
        <w:rPr>
          <w:rFonts w:ascii="Times New Roman" w:hAnsi="Times New Roman" w:cs="Times New Roman"/>
          <w:noProof/>
          <w:sz w:val="24"/>
          <w:szCs w:val="24"/>
        </w:rPr>
        <w:t xml:space="preserve">: the obligation to include social partners in the implementation of equal pay matters was viewed as being effective to better enforce the principle of equal pay by 81% of respondents from the public consultation. The social partners’ targeted consultation shows that employers’ organisations and trade unions have opposite views regarding regular equal pay bargaining. A large majority of the trade unions respondents (85%) answered that this measure would be effective to better enforce the principle of equal pay while 64% of employers’ organisations answered that this measure would be ineffective. However, outside the context of collective bargaining as such, the involvement of social partners is generally considered positive. </w:t>
      </w:r>
    </w:p>
    <w:p>
      <w:pPr>
        <w:jc w:val="both"/>
        <w:rPr>
          <w:rFonts w:ascii="Times New Roman" w:hAnsi="Times New Roman" w:cs="Times New Roman"/>
          <w:noProof/>
          <w:sz w:val="24"/>
          <w:szCs w:val="24"/>
        </w:rPr>
      </w:pPr>
      <w:r>
        <w:rPr>
          <w:rFonts w:ascii="Times New Roman" w:hAnsi="Times New Roman" w:cs="Times New Roman"/>
          <w:i/>
          <w:iCs/>
          <w:noProof/>
          <w:sz w:val="24"/>
          <w:szCs w:val="24"/>
        </w:rPr>
        <w:t>Costs:</w:t>
      </w:r>
      <w:r>
        <w:rPr>
          <w:rFonts w:ascii="Times New Roman" w:hAnsi="Times New Roman" w:cs="Times New Roman"/>
          <w:noProof/>
          <w:sz w:val="24"/>
          <w:szCs w:val="24"/>
        </w:rPr>
        <w:t xml:space="preserve"> In accordance with the impact study for the 2014 Recommendation, the average annual administrative cost of this measure for </w:t>
      </w:r>
      <w:r>
        <w:rPr>
          <w:rFonts w:ascii="Times New Roman" w:hAnsi="Times New Roman" w:cs="Times New Roman"/>
          <w:i/>
          <w:iCs/>
          <w:noProof/>
          <w:sz w:val="24"/>
          <w:szCs w:val="24"/>
        </w:rPr>
        <w:t>employers</w:t>
      </w:r>
      <w:r>
        <w:rPr>
          <w:rFonts w:ascii="Times New Roman" w:hAnsi="Times New Roman" w:cs="Times New Roman"/>
          <w:noProof/>
          <w:sz w:val="24"/>
          <w:szCs w:val="24"/>
        </w:rPr>
        <w:t xml:space="preserve"> may be assessed as inexistent since the obligation only concerns social partners. For </w:t>
      </w:r>
      <w:r>
        <w:rPr>
          <w:rFonts w:ascii="Times New Roman" w:hAnsi="Times New Roman" w:cs="Times New Roman"/>
          <w:i/>
          <w:iCs/>
          <w:noProof/>
          <w:sz w:val="24"/>
          <w:szCs w:val="24"/>
        </w:rPr>
        <w:t xml:space="preserve">social partners </w:t>
      </w:r>
      <w:r>
        <w:rPr>
          <w:rFonts w:ascii="Times New Roman" w:hAnsi="Times New Roman" w:cs="Times New Roman"/>
          <w:noProof/>
          <w:sz w:val="24"/>
          <w:szCs w:val="24"/>
        </w:rPr>
        <w:t>the consideration of equal pay issues does not imply any significant costs, as it is part of their institutional discussions with no obligation of result. If the discussion would include matters such as the desirability of gender-neutral job evaluation and classification tools, this would require a minimum level of expertise for both parties. Several experts signalled that this is not necessarily always the case; some training would therefore be useful.</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For </w:t>
      </w:r>
      <w:r>
        <w:rPr>
          <w:rFonts w:ascii="Times New Roman" w:hAnsi="Times New Roman" w:cs="Times New Roman"/>
          <w:i/>
          <w:iCs/>
          <w:noProof/>
          <w:sz w:val="24"/>
          <w:szCs w:val="24"/>
        </w:rPr>
        <w:t>Member States</w:t>
      </w:r>
      <w:r>
        <w:rPr>
          <w:rFonts w:ascii="Times New Roman" w:hAnsi="Times New Roman" w:cs="Times New Roman"/>
          <w:noProof/>
          <w:sz w:val="24"/>
          <w:szCs w:val="24"/>
        </w:rPr>
        <w:t>, this measure could require ensuring that social partners are involved in the implementation of the rights and obligations under the directive. The obligation could be monitored by labour inspectorates or by other competent authorities as part of the regular monitoring and enforcement of the equal pay legislation. Estimates on the time spent to monitor social dialogue are not available in the literature. If Member States would go beyond the obligation to ensure debate on the matter, and go into the monitoring of collective agreements themselves, it may be referred to the impact assessment for the 2014 Recommendation which reports that the monitoring of approximately 2,000 company level collective agreements would take 100 hours. That would mean an average updated amount of around 15,000 EUR per year per Member State. However, this would not be mandatory under the current initiative.</w:t>
      </w:r>
    </w:p>
    <w:p>
      <w:pPr>
        <w:jc w:val="both"/>
        <w:rPr>
          <w:rFonts w:ascii="Times New Roman" w:hAnsi="Times New Roman" w:cs="Times New Roman"/>
          <w:noProof/>
          <w:sz w:val="24"/>
          <w:szCs w:val="24"/>
        </w:rPr>
      </w:pPr>
      <w:r>
        <w:rPr>
          <w:rFonts w:ascii="Times New Roman" w:hAnsi="Times New Roman" w:cs="Times New Roman"/>
          <w:i/>
          <w:iCs/>
          <w:noProof/>
          <w:sz w:val="24"/>
          <w:szCs w:val="24"/>
        </w:rPr>
        <w:t>Benefits</w:t>
      </w:r>
      <w:r>
        <w:rPr>
          <w:rFonts w:ascii="Times New Roman" w:hAnsi="Times New Roman" w:cs="Times New Roman"/>
          <w:noProof/>
          <w:sz w:val="24"/>
          <w:szCs w:val="24"/>
        </w:rPr>
        <w:t>: The measure would raise awareness of equal pay matters among social partners, key stakeholders in ensuring protection of the right to equal pay. As a result of this measure, employers and trade unions could e.g. present a diagnosis of the situation, identify a list of possible measures to address equal pay issues and/or the discussion could feed into wage negotiations. In the context of this initiative, this measure contributes to addressing the systemic undervaluation of women’s work.</w:t>
      </w:r>
    </w:p>
    <w:p>
      <w:pPr>
        <w:pStyle w:val="Text2"/>
        <w:spacing w:line="276" w:lineRule="auto"/>
        <w:ind w:left="0"/>
        <w:rPr>
          <w:noProof/>
          <w:szCs w:val="24"/>
        </w:rPr>
      </w:pPr>
      <w:r>
        <w:rPr>
          <w:i/>
          <w:iCs/>
          <w:noProof/>
        </w:rPr>
        <w:t>Legal change across Member States</w:t>
      </w:r>
      <w:r>
        <w:rPr>
          <w:noProof/>
        </w:rPr>
        <w:t xml:space="preserve">: In principle, this measure would not require legal change as social dialogue is available at national level. The measure would only require the inclusion of equal pay in the existing social dialogue and support the implementation of equal pay as such. As the 2020 evaluation identified, equal pay matters and pay audits have so far been explicitly included in collective bargaining only in 3 Member States (BE, FR and LU). </w:t>
      </w:r>
    </w:p>
    <w:p>
      <w:pPr>
        <w:pStyle w:val="Text2"/>
        <w:spacing w:line="276" w:lineRule="auto"/>
        <w:ind w:left="0"/>
        <w:rPr>
          <w:rFonts w:eastAsiaTheme="minorEastAsia"/>
          <w:noProof/>
        </w:rPr>
      </w:pPr>
      <w:r>
        <w:rPr>
          <w:i/>
          <w:iCs/>
          <w:noProof/>
        </w:rPr>
        <w:t>Conclusion</w:t>
      </w:r>
      <w:r>
        <w:rPr>
          <w:noProof/>
        </w:rPr>
        <w:t>: This measure has the potential to address the systemic undervaluation of women’s work at employer level with the development of active social partnership and inclusion of equal pay matters, especially ensuring a proper implementation of the equal pay right to work of equal value as a key element of social dialogue. It would not impose an obligation of result but only an obligation on Member States to ensure that the implementation of the rights and obligations under the initiative is discussed with social partners, without prejudice to the autonomy of social partners and in accordance with national law and practice.</w:t>
      </w:r>
    </w:p>
    <w:p>
      <w:pPr>
        <w:pStyle w:val="Heading1"/>
        <w:numPr>
          <w:ilvl w:val="0"/>
          <w:numId w:val="60"/>
        </w:numPr>
        <w:spacing w:before="120" w:after="120" w:line="276" w:lineRule="auto"/>
        <w:ind w:left="426" w:hanging="426"/>
        <w:rPr>
          <w:smallCaps w:val="0"/>
          <w:noProof/>
        </w:rPr>
      </w:pPr>
      <w:bookmarkStart w:id="3640" w:name="_Toc58915537"/>
      <w:bookmarkStart w:id="3641" w:name="_Toc58915590"/>
      <w:bookmarkStart w:id="3642" w:name="_Toc58915659"/>
      <w:bookmarkStart w:id="3643" w:name="_Toc58916609"/>
      <w:bookmarkStart w:id="3644" w:name="_Toc58917481"/>
      <w:bookmarkStart w:id="3645" w:name="_Toc58917344"/>
      <w:bookmarkStart w:id="3646" w:name="_Toc58917534"/>
      <w:bookmarkStart w:id="3647" w:name="_Toc58917587"/>
      <w:bookmarkStart w:id="3648" w:name="_Toc58917707"/>
      <w:bookmarkStart w:id="3649" w:name="_Toc58918134"/>
      <w:bookmarkStart w:id="3650" w:name="_Toc58918519"/>
      <w:bookmarkStart w:id="3651" w:name="_Toc58918579"/>
      <w:bookmarkStart w:id="3652" w:name="_Toc58918918"/>
      <w:bookmarkStart w:id="3653" w:name="_Toc58918971"/>
      <w:bookmarkStart w:id="3654" w:name="_Toc58920838"/>
      <w:bookmarkStart w:id="3655" w:name="_Toc58920890"/>
      <w:bookmarkStart w:id="3656" w:name="_Toc58921031"/>
      <w:bookmarkStart w:id="3657" w:name="_Toc58922674"/>
      <w:bookmarkStart w:id="3658" w:name="_Toc58923267"/>
      <w:bookmarkStart w:id="3659" w:name="_Toc58923318"/>
      <w:bookmarkStart w:id="3660" w:name="_Toc58923861"/>
      <w:bookmarkStart w:id="3661" w:name="_Toc58925101"/>
      <w:bookmarkStart w:id="3662" w:name="_Toc58925290"/>
      <w:bookmarkStart w:id="3663" w:name="_Toc58925342"/>
      <w:bookmarkStart w:id="3664" w:name="_Toc58925395"/>
      <w:bookmarkStart w:id="3665" w:name="_Toc58925491"/>
      <w:bookmarkStart w:id="3666" w:name="_Toc58925543"/>
      <w:bookmarkStart w:id="3667" w:name="_Toc58926316"/>
      <w:bookmarkStart w:id="3668" w:name="_Toc58928448"/>
      <w:bookmarkStart w:id="3669" w:name="_Toc58928842"/>
      <w:bookmarkStart w:id="3670" w:name="_Toc58929048"/>
      <w:bookmarkStart w:id="3671" w:name="_Toc58929620"/>
      <w:bookmarkStart w:id="3672" w:name="_Toc58930406"/>
      <w:bookmarkStart w:id="3673" w:name="_Toc58930678"/>
      <w:bookmarkStart w:id="3674" w:name="_Toc58931221"/>
      <w:bookmarkStart w:id="3675" w:name="_Toc58931265"/>
      <w:bookmarkStart w:id="3676" w:name="_Toc58931394"/>
      <w:bookmarkStart w:id="3677" w:name="_Toc58931899"/>
      <w:bookmarkStart w:id="3678" w:name="_Toc58933093"/>
      <w:bookmarkStart w:id="3679" w:name="_Toc58934446"/>
      <w:bookmarkStart w:id="3680" w:name="_Toc58934835"/>
      <w:bookmarkStart w:id="3681" w:name="_Toc58935047"/>
      <w:bookmarkStart w:id="3682" w:name="_Toc58935278"/>
      <w:bookmarkStart w:id="3683" w:name="_Toc58935466"/>
      <w:bookmarkStart w:id="3684" w:name="_Toc58935677"/>
      <w:bookmarkStart w:id="3685" w:name="_Toc58935829"/>
      <w:bookmarkStart w:id="3686" w:name="_Toc58935924"/>
      <w:bookmarkStart w:id="3687" w:name="_Toc58935973"/>
      <w:bookmarkStart w:id="3688" w:name="_Toc58936157"/>
      <w:bookmarkStart w:id="3689" w:name="_Toc58937011"/>
      <w:bookmarkStart w:id="3690" w:name="_Toc58937060"/>
      <w:bookmarkStart w:id="3691" w:name="_Toc58936377"/>
      <w:bookmarkStart w:id="3692" w:name="_Toc58936856"/>
      <w:bookmarkStart w:id="3693" w:name="_Toc58937845"/>
      <w:bookmarkStart w:id="3694" w:name="_Toc58938598"/>
      <w:bookmarkStart w:id="3695" w:name="_Toc58938685"/>
      <w:bookmarkStart w:id="3696" w:name="_Toc58938846"/>
      <w:bookmarkStart w:id="3697" w:name="_Toc58938915"/>
      <w:bookmarkStart w:id="3698" w:name="_Toc58939819"/>
      <w:bookmarkStart w:id="3699" w:name="_Toc58939498"/>
      <w:bookmarkStart w:id="3700" w:name="_Toc58939868"/>
      <w:bookmarkStart w:id="3701" w:name="_Toc58940012"/>
      <w:bookmarkStart w:id="3702" w:name="_Toc58940214"/>
      <w:bookmarkStart w:id="3703" w:name="_Toc58940638"/>
      <w:bookmarkStart w:id="3704" w:name="_Toc58941032"/>
      <w:bookmarkStart w:id="3705" w:name="_Toc58941331"/>
      <w:bookmarkStart w:id="3706" w:name="_Toc58942098"/>
      <w:bookmarkStart w:id="3707" w:name="_Toc58943565"/>
      <w:bookmarkStart w:id="3708" w:name="_Toc58944091"/>
      <w:bookmarkStart w:id="3709" w:name="_Toc58944248"/>
      <w:bookmarkStart w:id="3710" w:name="_Toc58944395"/>
      <w:bookmarkStart w:id="3711" w:name="_Toc58945024"/>
      <w:bookmarkStart w:id="3712" w:name="_Toc58946446"/>
      <w:bookmarkStart w:id="3713" w:name="_Toc58946684"/>
      <w:bookmarkStart w:id="3714" w:name="_Toc58948466"/>
      <w:bookmarkStart w:id="3715" w:name="_Toc58948549"/>
      <w:bookmarkStart w:id="3716" w:name="_Toc58949147"/>
      <w:bookmarkStart w:id="3717" w:name="_Toc58949627"/>
      <w:bookmarkStart w:id="3718" w:name="_Toc58949825"/>
      <w:bookmarkStart w:id="3719" w:name="_Toc58949874"/>
      <w:bookmarkStart w:id="3720" w:name="_Toc58949934"/>
      <w:bookmarkStart w:id="3721" w:name="_Toc49876198"/>
      <w:bookmarkStart w:id="3722" w:name="_Toc49876300"/>
      <w:bookmarkStart w:id="3723" w:name="_Toc49877367"/>
      <w:bookmarkStart w:id="3724" w:name="_Toc49877824"/>
      <w:bookmarkStart w:id="3725" w:name="_Toc49878175"/>
      <w:bookmarkStart w:id="3726" w:name="_Toc49878240"/>
      <w:bookmarkStart w:id="3727" w:name="_Toc49878305"/>
      <w:bookmarkStart w:id="3728" w:name="_Toc49878360"/>
      <w:bookmarkStart w:id="3729" w:name="_Toc49878457"/>
      <w:bookmarkStart w:id="3730" w:name="_Toc49878573"/>
      <w:bookmarkStart w:id="3731" w:name="_Toc49878663"/>
      <w:bookmarkStart w:id="3732" w:name="_Toc49878776"/>
      <w:bookmarkStart w:id="3733" w:name="_Toc49878841"/>
      <w:bookmarkStart w:id="3734" w:name="_Toc49879075"/>
      <w:bookmarkStart w:id="3735" w:name="_Toc49879447"/>
      <w:bookmarkStart w:id="3736" w:name="_Toc49879587"/>
      <w:bookmarkStart w:id="3737" w:name="_Toc49879655"/>
      <w:bookmarkStart w:id="3738" w:name="_Toc49879791"/>
      <w:bookmarkStart w:id="3739" w:name="_Toc49879835"/>
      <w:bookmarkStart w:id="3740" w:name="_Toc49879971"/>
      <w:bookmarkStart w:id="3741" w:name="_Toc49880153"/>
      <w:bookmarkStart w:id="3742" w:name="_Toc49880221"/>
      <w:bookmarkStart w:id="3743" w:name="_Toc49880451"/>
      <w:bookmarkStart w:id="3744" w:name="_Toc49880519"/>
      <w:bookmarkStart w:id="3745" w:name="_Toc49879723"/>
      <w:bookmarkStart w:id="3746" w:name="_Toc49881004"/>
      <w:bookmarkStart w:id="3747" w:name="_Toc49881163"/>
      <w:bookmarkStart w:id="3748" w:name="_Toc49881682"/>
      <w:bookmarkStart w:id="3749" w:name="_Toc49883552"/>
      <w:bookmarkStart w:id="3750" w:name="_Toc49883790"/>
      <w:bookmarkStart w:id="3751" w:name="_Toc49884156"/>
      <w:bookmarkStart w:id="3752" w:name="_Toc49884224"/>
      <w:bookmarkStart w:id="3753" w:name="_Toc49884300"/>
      <w:bookmarkStart w:id="3754" w:name="_Toc49888727"/>
      <w:bookmarkStart w:id="3755" w:name="_Toc49893556"/>
      <w:bookmarkStart w:id="3756" w:name="_Toc49893870"/>
      <w:bookmarkStart w:id="3757" w:name="_Toc49895385"/>
      <w:bookmarkStart w:id="3758" w:name="_Toc49896920"/>
      <w:bookmarkStart w:id="3759" w:name="_Toc49926284"/>
      <w:bookmarkStart w:id="3760" w:name="_Toc49928838"/>
      <w:bookmarkStart w:id="3761" w:name="_Toc49928908"/>
      <w:bookmarkStart w:id="3762" w:name="_Toc49928988"/>
      <w:bookmarkStart w:id="3763" w:name="_Toc49930197"/>
      <w:bookmarkStart w:id="3764" w:name="_Toc49930419"/>
      <w:bookmarkStart w:id="3765" w:name="_Toc49930489"/>
      <w:bookmarkStart w:id="3766" w:name="_Toc49930559"/>
      <w:bookmarkStart w:id="3767" w:name="_Toc49930629"/>
      <w:bookmarkStart w:id="3768" w:name="_Toc49930699"/>
      <w:bookmarkStart w:id="3769" w:name="_Toc49930840"/>
      <w:bookmarkStart w:id="3770" w:name="_Toc49930983"/>
      <w:bookmarkStart w:id="3771" w:name="_Toc49931237"/>
      <w:bookmarkStart w:id="3772" w:name="_Toc49931443"/>
      <w:bookmarkStart w:id="3773" w:name="_Toc49931744"/>
      <w:bookmarkStart w:id="3774" w:name="_Toc49931877"/>
      <w:bookmarkStart w:id="3775" w:name="_Toc49932182"/>
      <w:bookmarkStart w:id="3776" w:name="_Toc49932313"/>
      <w:bookmarkStart w:id="3777" w:name="_Toc49932871"/>
      <w:bookmarkStart w:id="3778" w:name="_Toc49933205"/>
      <w:bookmarkStart w:id="3779" w:name="_Toc49933275"/>
      <w:bookmarkStart w:id="3780" w:name="_Toc49933801"/>
      <w:bookmarkStart w:id="3781" w:name="_Toc49933944"/>
      <w:bookmarkStart w:id="3782" w:name="_Toc49934070"/>
      <w:bookmarkStart w:id="3783" w:name="_Toc49934185"/>
      <w:bookmarkStart w:id="3784" w:name="_Toc49934866"/>
      <w:bookmarkStart w:id="3785" w:name="_Toc49935131"/>
      <w:bookmarkStart w:id="3786" w:name="_Toc49935201"/>
      <w:bookmarkStart w:id="3787" w:name="_Toc49935421"/>
      <w:bookmarkStart w:id="3788" w:name="_Toc49935491"/>
      <w:bookmarkStart w:id="3789" w:name="_Toc49935598"/>
      <w:bookmarkStart w:id="3790" w:name="_Toc49935668"/>
      <w:bookmarkStart w:id="3791" w:name="_Toc49935626"/>
      <w:bookmarkStart w:id="3792" w:name="_Toc49936079"/>
      <w:bookmarkStart w:id="3793" w:name="_Toc49936149"/>
      <w:bookmarkStart w:id="3794" w:name="_Toc49936219"/>
      <w:bookmarkStart w:id="3795" w:name="_Toc49937040"/>
      <w:bookmarkStart w:id="3796" w:name="_Toc49937158"/>
      <w:bookmarkStart w:id="3797" w:name="_Toc49937667"/>
      <w:bookmarkStart w:id="3798" w:name="_Toc49938047"/>
      <w:bookmarkStart w:id="3799" w:name="_Toc49938852"/>
      <w:bookmarkStart w:id="3800" w:name="_Toc49939024"/>
      <w:bookmarkStart w:id="3801" w:name="_Toc49939094"/>
      <w:bookmarkStart w:id="3802" w:name="_Toc49939164"/>
      <w:bookmarkStart w:id="3803" w:name="_Toc49939227"/>
      <w:bookmarkStart w:id="3804" w:name="_Toc49939297"/>
      <w:bookmarkStart w:id="3805" w:name="_Toc49939599"/>
      <w:bookmarkStart w:id="3806" w:name="_Toc49939945"/>
      <w:bookmarkStart w:id="3807" w:name="_Toc49940480"/>
      <w:bookmarkStart w:id="3808" w:name="_Toc49941631"/>
      <w:bookmarkStart w:id="3809" w:name="_Toc49941701"/>
      <w:bookmarkStart w:id="3810" w:name="_Toc49942077"/>
      <w:bookmarkStart w:id="3811" w:name="_Toc49942261"/>
      <w:bookmarkStart w:id="3812" w:name="_Toc49942469"/>
      <w:bookmarkStart w:id="3813" w:name="_Toc49942703"/>
      <w:bookmarkStart w:id="3814" w:name="_Toc49942818"/>
      <w:bookmarkStart w:id="3815" w:name="_Toc49944355"/>
      <w:bookmarkStart w:id="3816" w:name="_Toc49945132"/>
      <w:bookmarkStart w:id="3817" w:name="_Toc49945926"/>
      <w:bookmarkStart w:id="3818" w:name="_Toc49946284"/>
      <w:bookmarkStart w:id="3819" w:name="_Toc49946571"/>
      <w:bookmarkStart w:id="3820" w:name="_Toc49946680"/>
      <w:bookmarkStart w:id="3821" w:name="_Toc49947280"/>
      <w:bookmarkStart w:id="3822" w:name="_Toc49946383"/>
      <w:bookmarkStart w:id="3823" w:name="_Toc49947162"/>
      <w:bookmarkStart w:id="3824" w:name="_Toc49947416"/>
      <w:bookmarkStart w:id="3825" w:name="_Toc49947794"/>
      <w:bookmarkStart w:id="3826" w:name="_Toc49947889"/>
      <w:bookmarkStart w:id="3827" w:name="_Toc49947959"/>
      <w:bookmarkStart w:id="3828" w:name="_Toc49948054"/>
      <w:bookmarkStart w:id="3829" w:name="_Toc49948124"/>
      <w:bookmarkStart w:id="3830" w:name="_Toc49948335"/>
      <w:bookmarkStart w:id="3831" w:name="_Toc49948405"/>
      <w:bookmarkStart w:id="3832" w:name="_Toc49948475"/>
      <w:bookmarkStart w:id="3833" w:name="_Toc49948545"/>
      <w:bookmarkStart w:id="3834" w:name="_Toc49948664"/>
      <w:bookmarkStart w:id="3835" w:name="_Toc49943514"/>
      <w:bookmarkStart w:id="3836" w:name="_Toc49949551"/>
      <w:bookmarkStart w:id="3837" w:name="_Toc49949621"/>
      <w:bookmarkStart w:id="3838" w:name="_Toc49950657"/>
      <w:bookmarkStart w:id="3839" w:name="_Toc49950824"/>
      <w:bookmarkStart w:id="3840" w:name="_Toc49951175"/>
      <w:bookmarkStart w:id="3841" w:name="_Toc49951426"/>
      <w:bookmarkStart w:id="3842" w:name="_Toc49951486"/>
      <w:bookmarkStart w:id="3843" w:name="_Toc49951593"/>
      <w:bookmarkStart w:id="3844" w:name="_Toc49951680"/>
      <w:bookmarkStart w:id="3845" w:name="_Toc49951750"/>
      <w:bookmarkStart w:id="3846" w:name="_Toc49951989"/>
      <w:bookmarkStart w:id="3847" w:name="_Toc49952088"/>
      <w:bookmarkStart w:id="3848" w:name="_Toc49952264"/>
      <w:bookmarkStart w:id="3849" w:name="_Toc49953019"/>
      <w:bookmarkStart w:id="3850" w:name="_Toc49953110"/>
      <w:bookmarkStart w:id="3851" w:name="_Toc49953180"/>
      <w:bookmarkStart w:id="3852" w:name="_Toc49952964"/>
      <w:bookmarkStart w:id="3853" w:name="_Toc49953895"/>
      <w:bookmarkStart w:id="3854" w:name="_Toc49953965"/>
      <w:bookmarkStart w:id="3855" w:name="_Toc49954048"/>
      <w:bookmarkStart w:id="3856" w:name="_Toc49954118"/>
      <w:bookmarkStart w:id="3857" w:name="_Toc49949679"/>
      <w:bookmarkStart w:id="3858" w:name="_Toc49953679"/>
      <w:bookmarkStart w:id="3859" w:name="_Toc49953804"/>
      <w:bookmarkStart w:id="3860" w:name="_Toc49954184"/>
      <w:bookmarkStart w:id="3861" w:name="_Toc49954291"/>
      <w:bookmarkStart w:id="3862" w:name="_Toc49954324"/>
      <w:bookmarkStart w:id="3863" w:name="_Toc49954394"/>
      <w:bookmarkStart w:id="3864" w:name="_Toc49954315"/>
      <w:bookmarkStart w:id="3865" w:name="_Toc49954525"/>
      <w:bookmarkStart w:id="3866" w:name="_Toc49954595"/>
      <w:bookmarkStart w:id="3867" w:name="_Toc49954665"/>
      <w:bookmarkStart w:id="3868" w:name="_Toc49954699"/>
      <w:bookmarkStart w:id="3869" w:name="_Toc49954769"/>
      <w:bookmarkStart w:id="3870" w:name="_Toc49954824"/>
      <w:bookmarkStart w:id="3871" w:name="_Toc49954894"/>
      <w:bookmarkStart w:id="3872" w:name="_Toc49954988"/>
      <w:bookmarkStart w:id="3873" w:name="_Toc49955058"/>
      <w:bookmarkStart w:id="3874" w:name="_Toc49955128"/>
      <w:bookmarkStart w:id="3875" w:name="_Toc49955162"/>
      <w:bookmarkStart w:id="3876" w:name="_Toc49955198"/>
      <w:bookmarkStart w:id="3877" w:name="_Toc49955268"/>
      <w:bookmarkStart w:id="3878" w:name="_Toc49955338"/>
      <w:bookmarkStart w:id="3879" w:name="_Toc49955408"/>
      <w:bookmarkStart w:id="3880" w:name="_Toc49955716"/>
      <w:bookmarkStart w:id="3881" w:name="_Toc49955786"/>
      <w:bookmarkStart w:id="3882" w:name="_Toc49956141"/>
      <w:bookmarkStart w:id="3883" w:name="_Toc49958286"/>
      <w:bookmarkStart w:id="3884" w:name="_Toc49958411"/>
      <w:bookmarkStart w:id="3885" w:name="_Toc49958481"/>
      <w:bookmarkStart w:id="3886" w:name="_Toc49958551"/>
      <w:bookmarkStart w:id="3887" w:name="_Toc49876200"/>
      <w:bookmarkStart w:id="3888" w:name="_Toc49876302"/>
      <w:bookmarkStart w:id="3889" w:name="_Toc49877369"/>
      <w:bookmarkStart w:id="3890" w:name="_Toc49877826"/>
      <w:bookmarkStart w:id="3891" w:name="_Toc49878177"/>
      <w:bookmarkStart w:id="3892" w:name="_Toc49878242"/>
      <w:bookmarkStart w:id="3893" w:name="_Toc49878307"/>
      <w:bookmarkStart w:id="3894" w:name="_Toc49878362"/>
      <w:bookmarkStart w:id="3895" w:name="_Toc49878427"/>
      <w:bookmarkStart w:id="3896" w:name="_Toc49878459"/>
      <w:bookmarkStart w:id="3897" w:name="_Toc49878575"/>
      <w:bookmarkStart w:id="3898" w:name="_Toc49878665"/>
      <w:bookmarkStart w:id="3899" w:name="_Toc49878778"/>
      <w:bookmarkStart w:id="3900" w:name="_Toc49878843"/>
      <w:bookmarkStart w:id="3901" w:name="_Toc49879077"/>
      <w:bookmarkStart w:id="3902" w:name="_Toc49879449"/>
      <w:bookmarkStart w:id="3903" w:name="_Toc49879589"/>
      <w:bookmarkStart w:id="3904" w:name="_Toc49879657"/>
      <w:bookmarkStart w:id="3905" w:name="_Toc49879793"/>
      <w:bookmarkStart w:id="3906" w:name="_Toc49879837"/>
      <w:bookmarkStart w:id="3907" w:name="_Toc49879973"/>
      <w:bookmarkStart w:id="3908" w:name="_Toc49880155"/>
      <w:bookmarkStart w:id="3909" w:name="_Toc49880223"/>
      <w:bookmarkStart w:id="3910" w:name="_Toc49880453"/>
      <w:bookmarkStart w:id="3911" w:name="_Toc49880521"/>
      <w:bookmarkStart w:id="3912" w:name="_Toc49879725"/>
      <w:bookmarkStart w:id="3913" w:name="_Toc49881006"/>
      <w:bookmarkStart w:id="3914" w:name="_Toc49881165"/>
      <w:bookmarkStart w:id="3915" w:name="_Toc49881684"/>
      <w:bookmarkStart w:id="3916" w:name="_Toc49883554"/>
      <w:bookmarkStart w:id="3917" w:name="_Toc49883792"/>
      <w:bookmarkStart w:id="3918" w:name="_Toc49884158"/>
      <w:bookmarkStart w:id="3919" w:name="_Toc49884226"/>
      <w:bookmarkStart w:id="3920" w:name="_Toc49884302"/>
      <w:bookmarkStart w:id="3921" w:name="_Toc49888729"/>
      <w:bookmarkStart w:id="3922" w:name="_Toc49893558"/>
      <w:bookmarkStart w:id="3923" w:name="_Toc49893872"/>
      <w:bookmarkStart w:id="3924" w:name="_Toc49895387"/>
      <w:bookmarkStart w:id="3925" w:name="_Toc49896922"/>
      <w:bookmarkStart w:id="3926" w:name="_Toc49926286"/>
      <w:bookmarkStart w:id="3927" w:name="_Toc49928840"/>
      <w:bookmarkStart w:id="3928" w:name="_Toc49928910"/>
      <w:bookmarkStart w:id="3929" w:name="_Toc49928990"/>
      <w:bookmarkStart w:id="3930" w:name="_Toc49930199"/>
      <w:bookmarkStart w:id="3931" w:name="_Toc49930421"/>
      <w:bookmarkStart w:id="3932" w:name="_Toc49930491"/>
      <w:bookmarkStart w:id="3933" w:name="_Toc49930561"/>
      <w:bookmarkStart w:id="3934" w:name="_Toc49930631"/>
      <w:bookmarkStart w:id="3935" w:name="_Toc49930701"/>
      <w:bookmarkStart w:id="3936" w:name="_Toc49930842"/>
      <w:bookmarkStart w:id="3937" w:name="_Toc49930985"/>
      <w:bookmarkStart w:id="3938" w:name="_Toc49931239"/>
      <w:bookmarkStart w:id="3939" w:name="_Toc49931445"/>
      <w:bookmarkStart w:id="3940" w:name="_Toc49931746"/>
      <w:bookmarkStart w:id="3941" w:name="_Toc49931879"/>
      <w:bookmarkStart w:id="3942" w:name="_Toc49932184"/>
      <w:bookmarkStart w:id="3943" w:name="_Toc49932315"/>
      <w:bookmarkStart w:id="3944" w:name="_Toc49932873"/>
      <w:bookmarkStart w:id="3945" w:name="_Toc49933207"/>
      <w:bookmarkStart w:id="3946" w:name="_Toc49933277"/>
      <w:bookmarkStart w:id="3947" w:name="_Toc49933803"/>
      <w:bookmarkStart w:id="3948" w:name="_Toc49933946"/>
      <w:bookmarkStart w:id="3949" w:name="_Toc49934072"/>
      <w:bookmarkStart w:id="3950" w:name="_Toc49934187"/>
      <w:bookmarkStart w:id="3951" w:name="_Toc49934868"/>
      <w:bookmarkStart w:id="3952" w:name="_Toc49935133"/>
      <w:bookmarkStart w:id="3953" w:name="_Toc49935203"/>
      <w:bookmarkStart w:id="3954" w:name="_Toc49935423"/>
      <w:bookmarkStart w:id="3955" w:name="_Toc49935493"/>
      <w:bookmarkStart w:id="3956" w:name="_Toc49935600"/>
      <w:bookmarkStart w:id="3957" w:name="_Toc49935670"/>
      <w:bookmarkStart w:id="3958" w:name="_Toc49935698"/>
      <w:bookmarkStart w:id="3959" w:name="_Toc49936081"/>
      <w:bookmarkStart w:id="3960" w:name="_Toc49936151"/>
      <w:bookmarkStart w:id="3961" w:name="_Toc49936221"/>
      <w:bookmarkStart w:id="3962" w:name="_Toc49937042"/>
      <w:bookmarkStart w:id="3963" w:name="_Toc49937160"/>
      <w:bookmarkStart w:id="3964" w:name="_Toc49937669"/>
      <w:bookmarkStart w:id="3965" w:name="_Toc49938049"/>
      <w:bookmarkStart w:id="3966" w:name="_Toc49938854"/>
      <w:bookmarkStart w:id="3967" w:name="_Toc49938987"/>
      <w:bookmarkStart w:id="3968" w:name="_Toc49939026"/>
      <w:bookmarkStart w:id="3969" w:name="_Toc49939096"/>
      <w:bookmarkStart w:id="3970" w:name="_Toc49939166"/>
      <w:bookmarkStart w:id="3971" w:name="_Toc49939229"/>
      <w:bookmarkStart w:id="3972" w:name="_Toc49939299"/>
      <w:bookmarkStart w:id="3973" w:name="_Toc49939601"/>
      <w:bookmarkStart w:id="3974" w:name="_Toc49939947"/>
      <w:bookmarkStart w:id="3975" w:name="_Toc49940482"/>
      <w:bookmarkStart w:id="3976" w:name="_Toc49941633"/>
      <w:bookmarkStart w:id="3977" w:name="_Toc49941703"/>
      <w:bookmarkStart w:id="3978" w:name="_Toc49942079"/>
      <w:bookmarkStart w:id="3979" w:name="_Toc49942263"/>
      <w:bookmarkStart w:id="3980" w:name="_Toc49942471"/>
      <w:bookmarkStart w:id="3981" w:name="_Toc49942705"/>
      <w:bookmarkStart w:id="3982" w:name="_Toc49942820"/>
      <w:bookmarkStart w:id="3983" w:name="_Toc49944357"/>
      <w:bookmarkStart w:id="3984" w:name="_Toc49945134"/>
      <w:bookmarkStart w:id="3985" w:name="_Toc49945928"/>
      <w:bookmarkStart w:id="3986" w:name="_Toc49946286"/>
      <w:bookmarkStart w:id="3987" w:name="_Toc49946573"/>
      <w:bookmarkStart w:id="3988" w:name="_Toc49946682"/>
      <w:bookmarkStart w:id="3989" w:name="_Toc49947282"/>
      <w:bookmarkStart w:id="3990" w:name="_Toc49946385"/>
      <w:bookmarkStart w:id="3991" w:name="_Toc49947164"/>
      <w:bookmarkStart w:id="3992" w:name="_Toc49947418"/>
      <w:bookmarkStart w:id="3993" w:name="_Toc49947796"/>
      <w:bookmarkStart w:id="3994" w:name="_Toc49947891"/>
      <w:bookmarkStart w:id="3995" w:name="_Toc49947961"/>
      <w:bookmarkStart w:id="3996" w:name="_Toc49948056"/>
      <w:bookmarkStart w:id="3997" w:name="_Toc49948126"/>
      <w:bookmarkStart w:id="3998" w:name="_Toc49948337"/>
      <w:bookmarkStart w:id="3999" w:name="_Toc49948407"/>
      <w:bookmarkStart w:id="4000" w:name="_Toc49948477"/>
      <w:bookmarkStart w:id="4001" w:name="_Toc49948547"/>
      <w:bookmarkStart w:id="4002" w:name="_Toc49948666"/>
      <w:bookmarkStart w:id="4003" w:name="_Toc49943516"/>
      <w:bookmarkStart w:id="4004" w:name="_Toc49949553"/>
      <w:bookmarkStart w:id="4005" w:name="_Toc49949623"/>
      <w:bookmarkStart w:id="4006" w:name="_Toc49950659"/>
      <w:bookmarkStart w:id="4007" w:name="_Toc49950826"/>
      <w:bookmarkStart w:id="4008" w:name="_Toc49951177"/>
      <w:bookmarkStart w:id="4009" w:name="_Toc49951428"/>
      <w:bookmarkStart w:id="4010" w:name="_Toc49951488"/>
      <w:bookmarkStart w:id="4011" w:name="_Toc49951595"/>
      <w:bookmarkStart w:id="4012" w:name="_Toc49951682"/>
      <w:bookmarkStart w:id="4013" w:name="_Toc49951752"/>
      <w:bookmarkStart w:id="4014" w:name="_Toc49951991"/>
      <w:bookmarkStart w:id="4015" w:name="_Toc49952090"/>
      <w:bookmarkStart w:id="4016" w:name="_Toc49952266"/>
      <w:bookmarkStart w:id="4017" w:name="_Toc49953021"/>
      <w:bookmarkStart w:id="4018" w:name="_Toc49953112"/>
      <w:bookmarkStart w:id="4019" w:name="_Toc49953182"/>
      <w:bookmarkStart w:id="4020" w:name="_Toc49952966"/>
      <w:bookmarkStart w:id="4021" w:name="_Toc49953897"/>
      <w:bookmarkStart w:id="4022" w:name="_Toc49953967"/>
      <w:bookmarkStart w:id="4023" w:name="_Toc49954120"/>
      <w:bookmarkStart w:id="4024" w:name="_Toc49949681"/>
      <w:bookmarkStart w:id="4025" w:name="_Toc49953681"/>
      <w:bookmarkStart w:id="4026" w:name="_Toc49953806"/>
      <w:bookmarkStart w:id="4027" w:name="_Toc49954186"/>
      <w:bookmarkStart w:id="4028" w:name="_Toc49954293"/>
      <w:bookmarkStart w:id="4029" w:name="_Toc49954326"/>
      <w:bookmarkStart w:id="4030" w:name="_Toc49954396"/>
      <w:bookmarkStart w:id="4031" w:name="_Toc49954317"/>
      <w:bookmarkStart w:id="4032" w:name="_Toc49954527"/>
      <w:bookmarkStart w:id="4033" w:name="_Toc49954597"/>
      <w:bookmarkStart w:id="4034" w:name="_Toc49954667"/>
      <w:bookmarkStart w:id="4035" w:name="_Toc49954701"/>
      <w:bookmarkStart w:id="4036" w:name="_Toc49954771"/>
      <w:bookmarkStart w:id="4037" w:name="_Toc49954826"/>
      <w:bookmarkStart w:id="4038" w:name="_Toc49954896"/>
      <w:bookmarkStart w:id="4039" w:name="_Toc49954990"/>
      <w:bookmarkStart w:id="4040" w:name="_Toc49955060"/>
      <w:bookmarkStart w:id="4041" w:name="_Toc49955130"/>
      <w:bookmarkStart w:id="4042" w:name="_Toc49955164"/>
      <w:bookmarkStart w:id="4043" w:name="_Toc49955200"/>
      <w:bookmarkStart w:id="4044" w:name="_Toc49955270"/>
      <w:bookmarkStart w:id="4045" w:name="_Toc49955340"/>
      <w:bookmarkStart w:id="4046" w:name="_Toc49955410"/>
      <w:bookmarkStart w:id="4047" w:name="_Toc49955718"/>
      <w:bookmarkStart w:id="4048" w:name="_Toc49955788"/>
      <w:bookmarkStart w:id="4049" w:name="_Toc49956143"/>
      <w:bookmarkStart w:id="4050" w:name="_Toc49958288"/>
      <w:bookmarkStart w:id="4051" w:name="_Toc49958413"/>
      <w:bookmarkStart w:id="4052" w:name="_Toc49958483"/>
      <w:bookmarkStart w:id="4053" w:name="_Toc49958553"/>
      <w:bookmarkStart w:id="4054" w:name="_Toc49876201"/>
      <w:bookmarkStart w:id="4055" w:name="_Toc49876303"/>
      <w:bookmarkStart w:id="4056" w:name="_Toc49877370"/>
      <w:bookmarkStart w:id="4057" w:name="_Toc49877827"/>
      <w:bookmarkStart w:id="4058" w:name="_Toc49878178"/>
      <w:bookmarkStart w:id="4059" w:name="_Toc49878243"/>
      <w:bookmarkStart w:id="4060" w:name="_Toc49878308"/>
      <w:bookmarkStart w:id="4061" w:name="_Toc49878363"/>
      <w:bookmarkStart w:id="4062" w:name="_Toc49878460"/>
      <w:bookmarkStart w:id="4063" w:name="_Toc49878576"/>
      <w:bookmarkStart w:id="4064" w:name="_Toc49878666"/>
      <w:bookmarkStart w:id="4065" w:name="_Toc49878779"/>
      <w:bookmarkStart w:id="4066" w:name="_Toc49878844"/>
      <w:bookmarkStart w:id="4067" w:name="_Toc49879078"/>
      <w:bookmarkStart w:id="4068" w:name="_Toc49879450"/>
      <w:bookmarkStart w:id="4069" w:name="_Toc49879590"/>
      <w:bookmarkStart w:id="4070" w:name="_Toc49879658"/>
      <w:bookmarkStart w:id="4071" w:name="_Toc49879794"/>
      <w:bookmarkStart w:id="4072" w:name="_Toc49879838"/>
      <w:bookmarkStart w:id="4073" w:name="_Toc49879974"/>
      <w:bookmarkStart w:id="4074" w:name="_Toc49880156"/>
      <w:bookmarkStart w:id="4075" w:name="_Toc49880224"/>
      <w:bookmarkStart w:id="4076" w:name="_Toc49880454"/>
      <w:bookmarkStart w:id="4077" w:name="_Toc49880522"/>
      <w:bookmarkStart w:id="4078" w:name="_Toc49879726"/>
      <w:bookmarkStart w:id="4079" w:name="_Toc49881007"/>
      <w:bookmarkStart w:id="4080" w:name="_Toc49881166"/>
      <w:bookmarkStart w:id="4081" w:name="_Toc49881685"/>
      <w:bookmarkStart w:id="4082" w:name="_Toc49883555"/>
      <w:bookmarkStart w:id="4083" w:name="_Toc49883793"/>
      <w:bookmarkStart w:id="4084" w:name="_Toc49884159"/>
      <w:bookmarkStart w:id="4085" w:name="_Toc49884227"/>
      <w:bookmarkStart w:id="4086" w:name="_Toc49884303"/>
      <w:bookmarkStart w:id="4087" w:name="_Toc49888730"/>
      <w:bookmarkStart w:id="4088" w:name="_Toc49893559"/>
      <w:bookmarkStart w:id="4089" w:name="_Toc49893873"/>
      <w:bookmarkStart w:id="4090" w:name="_Toc49895388"/>
      <w:bookmarkStart w:id="4091" w:name="_Toc49896923"/>
      <w:bookmarkStart w:id="4092" w:name="_Toc49926287"/>
      <w:bookmarkStart w:id="4093" w:name="_Toc49928841"/>
      <w:bookmarkStart w:id="4094" w:name="_Toc49928911"/>
      <w:bookmarkStart w:id="4095" w:name="_Toc49928991"/>
      <w:bookmarkStart w:id="4096" w:name="_Toc49930200"/>
      <w:bookmarkStart w:id="4097" w:name="_Toc49930422"/>
      <w:bookmarkStart w:id="4098" w:name="_Toc49930492"/>
      <w:bookmarkStart w:id="4099" w:name="_Toc49930562"/>
      <w:bookmarkStart w:id="4100" w:name="_Toc49930632"/>
      <w:bookmarkStart w:id="4101" w:name="_Toc49930702"/>
      <w:bookmarkStart w:id="4102" w:name="_Toc49930843"/>
      <w:bookmarkStart w:id="4103" w:name="_Toc49930986"/>
      <w:bookmarkStart w:id="4104" w:name="_Toc49931240"/>
      <w:bookmarkStart w:id="4105" w:name="_Toc49931446"/>
      <w:bookmarkStart w:id="4106" w:name="_Toc49931747"/>
      <w:bookmarkStart w:id="4107" w:name="_Toc49931880"/>
      <w:bookmarkStart w:id="4108" w:name="_Toc49932185"/>
      <w:bookmarkStart w:id="4109" w:name="_Toc49932316"/>
      <w:bookmarkStart w:id="4110" w:name="_Toc49932874"/>
      <w:bookmarkStart w:id="4111" w:name="_Toc49933208"/>
      <w:bookmarkStart w:id="4112" w:name="_Toc49933278"/>
      <w:bookmarkStart w:id="4113" w:name="_Toc49933804"/>
      <w:bookmarkStart w:id="4114" w:name="_Toc49933947"/>
      <w:bookmarkStart w:id="4115" w:name="_Toc49934073"/>
      <w:bookmarkStart w:id="4116" w:name="_Toc49934188"/>
      <w:bookmarkStart w:id="4117" w:name="_Toc49934869"/>
      <w:bookmarkStart w:id="4118" w:name="_Toc49935134"/>
      <w:bookmarkStart w:id="4119" w:name="_Toc49935204"/>
      <w:bookmarkStart w:id="4120" w:name="_Toc49935424"/>
      <w:bookmarkStart w:id="4121" w:name="_Toc49935494"/>
      <w:bookmarkStart w:id="4122" w:name="_Toc49935601"/>
      <w:bookmarkStart w:id="4123" w:name="_Toc49935671"/>
      <w:bookmarkStart w:id="4124" w:name="_Toc49935699"/>
      <w:bookmarkStart w:id="4125" w:name="_Toc49936082"/>
      <w:bookmarkStart w:id="4126" w:name="_Toc49936152"/>
      <w:bookmarkStart w:id="4127" w:name="_Toc49936222"/>
      <w:bookmarkStart w:id="4128" w:name="_Toc49937043"/>
      <w:bookmarkStart w:id="4129" w:name="_Toc49937161"/>
      <w:bookmarkStart w:id="4130" w:name="_Toc49937670"/>
      <w:bookmarkStart w:id="4131" w:name="_Toc49938050"/>
      <w:bookmarkStart w:id="4132" w:name="_Toc49938855"/>
      <w:bookmarkStart w:id="4133" w:name="_Toc49939027"/>
      <w:bookmarkStart w:id="4134" w:name="_Toc49939097"/>
      <w:bookmarkStart w:id="4135" w:name="_Toc49939167"/>
      <w:bookmarkStart w:id="4136" w:name="_Toc49939230"/>
      <w:bookmarkStart w:id="4137" w:name="_Toc49939300"/>
      <w:bookmarkStart w:id="4138" w:name="_Toc49939602"/>
      <w:bookmarkStart w:id="4139" w:name="_Toc49939948"/>
      <w:bookmarkStart w:id="4140" w:name="_Toc49940483"/>
      <w:bookmarkStart w:id="4141" w:name="_Toc49941704"/>
      <w:bookmarkStart w:id="4142" w:name="_Toc49942080"/>
      <w:bookmarkStart w:id="4143" w:name="_Toc49942264"/>
      <w:bookmarkStart w:id="4144" w:name="_Toc49942472"/>
      <w:bookmarkStart w:id="4145" w:name="_Toc49942706"/>
      <w:bookmarkStart w:id="4146" w:name="_Toc49942821"/>
      <w:bookmarkStart w:id="4147" w:name="_Toc49944358"/>
      <w:bookmarkStart w:id="4148" w:name="_Toc49945135"/>
      <w:bookmarkStart w:id="4149" w:name="_Toc49945929"/>
      <w:bookmarkStart w:id="4150" w:name="_Toc49946287"/>
      <w:bookmarkStart w:id="4151" w:name="_Toc49946574"/>
      <w:bookmarkStart w:id="4152" w:name="_Toc49946683"/>
      <w:bookmarkStart w:id="4153" w:name="_Toc49947283"/>
      <w:bookmarkStart w:id="4154" w:name="_Toc49946386"/>
      <w:bookmarkStart w:id="4155" w:name="_Toc49947165"/>
      <w:bookmarkStart w:id="4156" w:name="_Toc49947419"/>
      <w:bookmarkStart w:id="4157" w:name="_Toc49947797"/>
      <w:bookmarkStart w:id="4158" w:name="_Toc49947892"/>
      <w:bookmarkStart w:id="4159" w:name="_Toc49947962"/>
      <w:bookmarkStart w:id="4160" w:name="_Toc49948057"/>
      <w:bookmarkStart w:id="4161" w:name="_Toc49948127"/>
      <w:bookmarkStart w:id="4162" w:name="_Toc49948338"/>
      <w:bookmarkStart w:id="4163" w:name="_Toc49948408"/>
      <w:bookmarkStart w:id="4164" w:name="_Toc49948478"/>
      <w:bookmarkStart w:id="4165" w:name="_Toc49948548"/>
      <w:bookmarkStart w:id="4166" w:name="_Toc49948667"/>
      <w:bookmarkStart w:id="4167" w:name="_Toc49943517"/>
      <w:bookmarkStart w:id="4168" w:name="_Toc49949554"/>
      <w:bookmarkStart w:id="4169" w:name="_Toc49949624"/>
      <w:bookmarkStart w:id="4170" w:name="_Toc49950660"/>
      <w:bookmarkStart w:id="4171" w:name="_Toc49950827"/>
      <w:bookmarkStart w:id="4172" w:name="_Toc49951178"/>
      <w:bookmarkStart w:id="4173" w:name="_Toc49951429"/>
      <w:bookmarkStart w:id="4174" w:name="_Toc49951489"/>
      <w:bookmarkStart w:id="4175" w:name="_Toc49951596"/>
      <w:bookmarkStart w:id="4176" w:name="_Toc49951683"/>
      <w:bookmarkStart w:id="4177" w:name="_Toc49951753"/>
      <w:bookmarkStart w:id="4178" w:name="_Toc49951992"/>
      <w:bookmarkStart w:id="4179" w:name="_Toc49952091"/>
      <w:bookmarkStart w:id="4180" w:name="_Toc49952267"/>
      <w:bookmarkStart w:id="4181" w:name="_Toc49953022"/>
      <w:bookmarkStart w:id="4182" w:name="_Toc49953113"/>
      <w:bookmarkStart w:id="4183" w:name="_Toc49953183"/>
      <w:bookmarkStart w:id="4184" w:name="_Toc49952967"/>
      <w:bookmarkStart w:id="4185" w:name="_Toc49953898"/>
      <w:bookmarkStart w:id="4186" w:name="_Toc49953968"/>
      <w:bookmarkStart w:id="4187" w:name="_Toc49954051"/>
      <w:bookmarkStart w:id="4188" w:name="_Toc49954121"/>
      <w:bookmarkStart w:id="4189" w:name="_Toc49949682"/>
      <w:bookmarkStart w:id="4190" w:name="_Toc49953682"/>
      <w:bookmarkStart w:id="4191" w:name="_Toc49954187"/>
      <w:bookmarkStart w:id="4192" w:name="_Toc49954294"/>
      <w:bookmarkStart w:id="4193" w:name="_Toc49954327"/>
      <w:bookmarkStart w:id="4194" w:name="_Toc49954397"/>
      <w:bookmarkStart w:id="4195" w:name="_Toc49954318"/>
      <w:bookmarkStart w:id="4196" w:name="_Toc49954528"/>
      <w:bookmarkStart w:id="4197" w:name="_Toc49954598"/>
      <w:bookmarkStart w:id="4198" w:name="_Toc49954668"/>
      <w:bookmarkStart w:id="4199" w:name="_Toc49954702"/>
      <w:bookmarkStart w:id="4200" w:name="_Toc49954772"/>
      <w:bookmarkStart w:id="4201" w:name="_Toc49954827"/>
      <w:bookmarkStart w:id="4202" w:name="_Toc49954897"/>
      <w:bookmarkStart w:id="4203" w:name="_Toc49954991"/>
      <w:bookmarkStart w:id="4204" w:name="_Toc49955061"/>
      <w:bookmarkStart w:id="4205" w:name="_Toc49955131"/>
      <w:bookmarkStart w:id="4206" w:name="_Toc49955165"/>
      <w:bookmarkStart w:id="4207" w:name="_Toc49955201"/>
      <w:bookmarkStart w:id="4208" w:name="_Toc49955271"/>
      <w:bookmarkStart w:id="4209" w:name="_Toc49955341"/>
      <w:bookmarkStart w:id="4210" w:name="_Toc49955411"/>
      <w:bookmarkStart w:id="4211" w:name="_Toc49955719"/>
      <w:bookmarkStart w:id="4212" w:name="_Toc49955789"/>
      <w:bookmarkStart w:id="4213" w:name="_Toc49956144"/>
      <w:bookmarkStart w:id="4214" w:name="_Toc49958289"/>
      <w:bookmarkStart w:id="4215" w:name="_Toc49958414"/>
      <w:bookmarkStart w:id="4216" w:name="_Toc49958484"/>
      <w:bookmarkStart w:id="4217" w:name="_Toc49958554"/>
      <w:bookmarkStart w:id="4218" w:name="_Toc49876202"/>
      <w:bookmarkStart w:id="4219" w:name="_Toc49876304"/>
      <w:bookmarkStart w:id="4220" w:name="_Toc49877371"/>
      <w:bookmarkStart w:id="4221" w:name="_Toc49877828"/>
      <w:bookmarkStart w:id="4222" w:name="_Toc49878179"/>
      <w:bookmarkStart w:id="4223" w:name="_Toc49878244"/>
      <w:bookmarkStart w:id="4224" w:name="_Toc49878309"/>
      <w:bookmarkStart w:id="4225" w:name="_Toc49878364"/>
      <w:bookmarkStart w:id="4226" w:name="_Toc49878461"/>
      <w:bookmarkStart w:id="4227" w:name="_Toc49878577"/>
      <w:bookmarkStart w:id="4228" w:name="_Toc49878667"/>
      <w:bookmarkStart w:id="4229" w:name="_Toc49878780"/>
      <w:bookmarkStart w:id="4230" w:name="_Toc49878845"/>
      <w:bookmarkStart w:id="4231" w:name="_Toc49879079"/>
      <w:bookmarkStart w:id="4232" w:name="_Toc49879451"/>
      <w:bookmarkStart w:id="4233" w:name="_Toc49879591"/>
      <w:bookmarkStart w:id="4234" w:name="_Toc49879659"/>
      <w:bookmarkStart w:id="4235" w:name="_Toc49879795"/>
      <w:bookmarkStart w:id="4236" w:name="_Toc49879839"/>
      <w:bookmarkStart w:id="4237" w:name="_Toc49879975"/>
      <w:bookmarkStart w:id="4238" w:name="_Toc49880157"/>
      <w:bookmarkStart w:id="4239" w:name="_Toc49880225"/>
      <w:bookmarkStart w:id="4240" w:name="_Toc49880455"/>
      <w:bookmarkStart w:id="4241" w:name="_Toc49880523"/>
      <w:bookmarkStart w:id="4242" w:name="_Toc49879727"/>
      <w:bookmarkStart w:id="4243" w:name="_Toc49881008"/>
      <w:bookmarkStart w:id="4244" w:name="_Toc49881167"/>
      <w:bookmarkStart w:id="4245" w:name="_Toc49881686"/>
      <w:bookmarkStart w:id="4246" w:name="_Toc49883556"/>
      <w:bookmarkStart w:id="4247" w:name="_Toc49883794"/>
      <w:bookmarkStart w:id="4248" w:name="_Toc49884160"/>
      <w:bookmarkStart w:id="4249" w:name="_Toc49884228"/>
      <w:bookmarkStart w:id="4250" w:name="_Toc49884304"/>
      <w:bookmarkStart w:id="4251" w:name="_Toc49888731"/>
      <w:bookmarkStart w:id="4252" w:name="_Toc49893560"/>
      <w:bookmarkStart w:id="4253" w:name="_Toc49893874"/>
      <w:bookmarkStart w:id="4254" w:name="_Toc49895389"/>
      <w:bookmarkStart w:id="4255" w:name="_Toc49896924"/>
      <w:bookmarkStart w:id="4256" w:name="_Toc49926288"/>
      <w:bookmarkStart w:id="4257" w:name="_Toc49928842"/>
      <w:bookmarkStart w:id="4258" w:name="_Toc49928912"/>
      <w:bookmarkStart w:id="4259" w:name="_Toc49928992"/>
      <w:bookmarkStart w:id="4260" w:name="_Toc49930201"/>
      <w:bookmarkStart w:id="4261" w:name="_Toc49930423"/>
      <w:bookmarkStart w:id="4262" w:name="_Toc49930493"/>
      <w:bookmarkStart w:id="4263" w:name="_Toc49930563"/>
      <w:bookmarkStart w:id="4264" w:name="_Toc49930633"/>
      <w:bookmarkStart w:id="4265" w:name="_Toc49930703"/>
      <w:bookmarkStart w:id="4266" w:name="_Toc49930844"/>
      <w:bookmarkStart w:id="4267" w:name="_Toc49930987"/>
      <w:bookmarkStart w:id="4268" w:name="_Toc49931241"/>
      <w:bookmarkStart w:id="4269" w:name="_Toc49931447"/>
      <w:bookmarkStart w:id="4270" w:name="_Toc49931748"/>
      <w:bookmarkStart w:id="4271" w:name="_Toc49931881"/>
      <w:bookmarkStart w:id="4272" w:name="_Toc49932186"/>
      <w:bookmarkStart w:id="4273" w:name="_Toc49932317"/>
      <w:bookmarkStart w:id="4274" w:name="_Toc49932875"/>
      <w:bookmarkStart w:id="4275" w:name="_Toc49933209"/>
      <w:bookmarkStart w:id="4276" w:name="_Toc49933279"/>
      <w:bookmarkStart w:id="4277" w:name="_Toc49933805"/>
      <w:bookmarkStart w:id="4278" w:name="_Toc49933948"/>
      <w:bookmarkStart w:id="4279" w:name="_Toc49934074"/>
      <w:bookmarkStart w:id="4280" w:name="_Toc49934189"/>
      <w:bookmarkStart w:id="4281" w:name="_Toc49934870"/>
      <w:bookmarkStart w:id="4282" w:name="_Toc49935135"/>
      <w:bookmarkStart w:id="4283" w:name="_Toc49935205"/>
      <w:bookmarkStart w:id="4284" w:name="_Toc49935425"/>
      <w:bookmarkStart w:id="4285" w:name="_Toc49935495"/>
      <w:bookmarkStart w:id="4286" w:name="_Toc49935602"/>
      <w:bookmarkStart w:id="4287" w:name="_Toc49935672"/>
      <w:bookmarkStart w:id="4288" w:name="_Toc49935700"/>
      <w:bookmarkStart w:id="4289" w:name="_Toc49936083"/>
      <w:bookmarkStart w:id="4290" w:name="_Toc49936153"/>
      <w:bookmarkStart w:id="4291" w:name="_Toc49936223"/>
      <w:bookmarkStart w:id="4292" w:name="_Toc49937044"/>
      <w:bookmarkStart w:id="4293" w:name="_Toc49937162"/>
      <w:bookmarkStart w:id="4294" w:name="_Toc49937671"/>
      <w:bookmarkStart w:id="4295" w:name="_Toc49938051"/>
      <w:bookmarkStart w:id="4296" w:name="_Toc49938856"/>
      <w:bookmarkStart w:id="4297" w:name="_Toc49938989"/>
      <w:bookmarkStart w:id="4298" w:name="_Toc49939028"/>
      <w:bookmarkStart w:id="4299" w:name="_Toc49939098"/>
      <w:bookmarkStart w:id="4300" w:name="_Toc49939168"/>
      <w:bookmarkStart w:id="4301" w:name="_Toc49939231"/>
      <w:bookmarkStart w:id="4302" w:name="_Toc49939301"/>
      <w:bookmarkStart w:id="4303" w:name="_Toc49939603"/>
      <w:bookmarkStart w:id="4304" w:name="_Toc49939949"/>
      <w:bookmarkStart w:id="4305" w:name="_Toc49940484"/>
      <w:bookmarkStart w:id="4306" w:name="_Toc49941705"/>
      <w:bookmarkStart w:id="4307" w:name="_Toc49942081"/>
      <w:bookmarkStart w:id="4308" w:name="_Toc49942265"/>
      <w:bookmarkStart w:id="4309" w:name="_Toc49942473"/>
      <w:bookmarkStart w:id="4310" w:name="_Toc49942707"/>
      <w:bookmarkStart w:id="4311" w:name="_Toc49942822"/>
      <w:bookmarkStart w:id="4312" w:name="_Toc49944359"/>
      <w:bookmarkStart w:id="4313" w:name="_Toc49945136"/>
      <w:bookmarkStart w:id="4314" w:name="_Toc49945930"/>
      <w:bookmarkStart w:id="4315" w:name="_Toc49946288"/>
      <w:bookmarkStart w:id="4316" w:name="_Toc49946575"/>
      <w:bookmarkStart w:id="4317" w:name="_Toc49946684"/>
      <w:bookmarkStart w:id="4318" w:name="_Toc49947284"/>
      <w:bookmarkStart w:id="4319" w:name="_Toc49946387"/>
      <w:bookmarkStart w:id="4320" w:name="_Toc49947166"/>
      <w:bookmarkStart w:id="4321" w:name="_Toc49947420"/>
      <w:bookmarkStart w:id="4322" w:name="_Toc49947798"/>
      <w:bookmarkStart w:id="4323" w:name="_Toc49947893"/>
      <w:bookmarkStart w:id="4324" w:name="_Toc49947963"/>
      <w:bookmarkStart w:id="4325" w:name="_Toc49948058"/>
      <w:bookmarkStart w:id="4326" w:name="_Toc49948128"/>
      <w:bookmarkStart w:id="4327" w:name="_Toc49948339"/>
      <w:bookmarkStart w:id="4328" w:name="_Toc49948409"/>
      <w:bookmarkStart w:id="4329" w:name="_Toc49948479"/>
      <w:bookmarkStart w:id="4330" w:name="_Toc49948549"/>
      <w:bookmarkStart w:id="4331" w:name="_Toc49948668"/>
      <w:bookmarkStart w:id="4332" w:name="_Toc49943518"/>
      <w:bookmarkStart w:id="4333" w:name="_Toc49949555"/>
      <w:bookmarkStart w:id="4334" w:name="_Toc49949625"/>
      <w:bookmarkStart w:id="4335" w:name="_Toc49950661"/>
      <w:bookmarkStart w:id="4336" w:name="_Toc49950828"/>
      <w:bookmarkStart w:id="4337" w:name="_Toc49951179"/>
      <w:bookmarkStart w:id="4338" w:name="_Toc49951430"/>
      <w:bookmarkStart w:id="4339" w:name="_Toc49951490"/>
      <w:bookmarkStart w:id="4340" w:name="_Toc49951597"/>
      <w:bookmarkStart w:id="4341" w:name="_Toc49951684"/>
      <w:bookmarkStart w:id="4342" w:name="_Toc49951754"/>
      <w:bookmarkStart w:id="4343" w:name="_Toc49951993"/>
      <w:bookmarkStart w:id="4344" w:name="_Toc49952092"/>
      <w:bookmarkStart w:id="4345" w:name="_Toc49952268"/>
      <w:bookmarkStart w:id="4346" w:name="_Toc49953023"/>
      <w:bookmarkStart w:id="4347" w:name="_Toc49953114"/>
      <w:bookmarkStart w:id="4348" w:name="_Toc49953184"/>
      <w:bookmarkStart w:id="4349" w:name="_Toc49952968"/>
      <w:bookmarkStart w:id="4350" w:name="_Toc49953899"/>
      <w:bookmarkStart w:id="4351" w:name="_Toc49953969"/>
      <w:bookmarkStart w:id="4352" w:name="_Toc49954052"/>
      <w:bookmarkStart w:id="4353" w:name="_Toc49954122"/>
      <w:bookmarkStart w:id="4354" w:name="_Toc49949683"/>
      <w:bookmarkStart w:id="4355" w:name="_Toc49953683"/>
      <w:bookmarkStart w:id="4356" w:name="_Toc49953808"/>
      <w:bookmarkStart w:id="4357" w:name="_Toc49954188"/>
      <w:bookmarkStart w:id="4358" w:name="_Toc49954295"/>
      <w:bookmarkStart w:id="4359" w:name="_Toc49954328"/>
      <w:bookmarkStart w:id="4360" w:name="_Toc49954398"/>
      <w:bookmarkStart w:id="4361" w:name="_Toc49954319"/>
      <w:bookmarkStart w:id="4362" w:name="_Toc49954529"/>
      <w:bookmarkStart w:id="4363" w:name="_Toc49954599"/>
      <w:bookmarkStart w:id="4364" w:name="_Toc49954669"/>
      <w:bookmarkStart w:id="4365" w:name="_Toc49954703"/>
      <w:bookmarkStart w:id="4366" w:name="_Toc49954773"/>
      <w:bookmarkStart w:id="4367" w:name="_Toc49954828"/>
      <w:bookmarkStart w:id="4368" w:name="_Toc49954898"/>
      <w:bookmarkStart w:id="4369" w:name="_Toc49954992"/>
      <w:bookmarkStart w:id="4370" w:name="_Toc49955062"/>
      <w:bookmarkStart w:id="4371" w:name="_Toc49955132"/>
      <w:bookmarkStart w:id="4372" w:name="_Toc49955166"/>
      <w:bookmarkStart w:id="4373" w:name="_Toc49955202"/>
      <w:bookmarkStart w:id="4374" w:name="_Toc49955272"/>
      <w:bookmarkStart w:id="4375" w:name="_Toc49955342"/>
      <w:bookmarkStart w:id="4376" w:name="_Toc49955412"/>
      <w:bookmarkStart w:id="4377" w:name="_Toc49955720"/>
      <w:bookmarkStart w:id="4378" w:name="_Toc49955790"/>
      <w:bookmarkStart w:id="4379" w:name="_Toc49956145"/>
      <w:bookmarkStart w:id="4380" w:name="_Toc49958290"/>
      <w:bookmarkStart w:id="4381" w:name="_Toc49958415"/>
      <w:bookmarkStart w:id="4382" w:name="_Toc49958485"/>
      <w:bookmarkStart w:id="4383" w:name="_Toc49958555"/>
      <w:bookmarkStart w:id="4384" w:name="_Toc49876203"/>
      <w:bookmarkStart w:id="4385" w:name="_Toc49876305"/>
      <w:bookmarkStart w:id="4386" w:name="_Toc49877372"/>
      <w:bookmarkStart w:id="4387" w:name="_Toc49877829"/>
      <w:bookmarkStart w:id="4388" w:name="_Toc49878115"/>
      <w:bookmarkStart w:id="4389" w:name="_Toc49878180"/>
      <w:bookmarkStart w:id="4390" w:name="_Toc49878245"/>
      <w:bookmarkStart w:id="4391" w:name="_Toc49878310"/>
      <w:bookmarkStart w:id="4392" w:name="_Toc49878365"/>
      <w:bookmarkStart w:id="4393" w:name="_Toc49878462"/>
      <w:bookmarkStart w:id="4394" w:name="_Toc49878578"/>
      <w:bookmarkStart w:id="4395" w:name="_Toc49878668"/>
      <w:bookmarkStart w:id="4396" w:name="_Toc49878781"/>
      <w:bookmarkStart w:id="4397" w:name="_Toc49878846"/>
      <w:bookmarkStart w:id="4398" w:name="_Toc49879080"/>
      <w:bookmarkStart w:id="4399" w:name="_Toc49879452"/>
      <w:bookmarkStart w:id="4400" w:name="_Toc49879592"/>
      <w:bookmarkStart w:id="4401" w:name="_Toc49879660"/>
      <w:bookmarkStart w:id="4402" w:name="_Toc49879796"/>
      <w:bookmarkStart w:id="4403" w:name="_Toc49879840"/>
      <w:bookmarkStart w:id="4404" w:name="_Toc49879976"/>
      <w:bookmarkStart w:id="4405" w:name="_Toc49880158"/>
      <w:bookmarkStart w:id="4406" w:name="_Toc49880226"/>
      <w:bookmarkStart w:id="4407" w:name="_Toc49880456"/>
      <w:bookmarkStart w:id="4408" w:name="_Toc49880524"/>
      <w:bookmarkStart w:id="4409" w:name="_Toc49879728"/>
      <w:bookmarkStart w:id="4410" w:name="_Toc49881009"/>
      <w:bookmarkStart w:id="4411" w:name="_Toc49881168"/>
      <w:bookmarkStart w:id="4412" w:name="_Toc49881687"/>
      <w:bookmarkStart w:id="4413" w:name="_Toc49883557"/>
      <w:bookmarkStart w:id="4414" w:name="_Toc49883795"/>
      <w:bookmarkStart w:id="4415" w:name="_Toc49884161"/>
      <w:bookmarkStart w:id="4416" w:name="_Toc49884229"/>
      <w:bookmarkStart w:id="4417" w:name="_Toc49884305"/>
      <w:bookmarkStart w:id="4418" w:name="_Toc49888732"/>
      <w:bookmarkStart w:id="4419" w:name="_Toc49893561"/>
      <w:bookmarkStart w:id="4420" w:name="_Toc49893875"/>
      <w:bookmarkStart w:id="4421" w:name="_Toc49895390"/>
      <w:bookmarkStart w:id="4422" w:name="_Toc49896925"/>
      <w:bookmarkStart w:id="4423" w:name="_Toc49926289"/>
      <w:bookmarkStart w:id="4424" w:name="_Toc49928843"/>
      <w:bookmarkStart w:id="4425" w:name="_Toc49928913"/>
      <w:bookmarkStart w:id="4426" w:name="_Toc49928993"/>
      <w:bookmarkStart w:id="4427" w:name="_Toc49930202"/>
      <w:bookmarkStart w:id="4428" w:name="_Toc49930424"/>
      <w:bookmarkStart w:id="4429" w:name="_Toc49930494"/>
      <w:bookmarkStart w:id="4430" w:name="_Toc49930564"/>
      <w:bookmarkStart w:id="4431" w:name="_Toc49930634"/>
      <w:bookmarkStart w:id="4432" w:name="_Toc49930704"/>
      <w:bookmarkStart w:id="4433" w:name="_Toc49930845"/>
      <w:bookmarkStart w:id="4434" w:name="_Toc49930988"/>
      <w:bookmarkStart w:id="4435" w:name="_Toc49931242"/>
      <w:bookmarkStart w:id="4436" w:name="_Toc49931448"/>
      <w:bookmarkStart w:id="4437" w:name="_Toc49931749"/>
      <w:bookmarkStart w:id="4438" w:name="_Toc49931882"/>
      <w:bookmarkStart w:id="4439" w:name="_Toc49932187"/>
      <w:bookmarkStart w:id="4440" w:name="_Toc49932318"/>
      <w:bookmarkStart w:id="4441" w:name="_Toc49932876"/>
      <w:bookmarkStart w:id="4442" w:name="_Toc49933210"/>
      <w:bookmarkStart w:id="4443" w:name="_Toc49933280"/>
      <w:bookmarkStart w:id="4444" w:name="_Toc49933806"/>
      <w:bookmarkStart w:id="4445" w:name="_Toc49933949"/>
      <w:bookmarkStart w:id="4446" w:name="_Toc49934075"/>
      <w:bookmarkStart w:id="4447" w:name="_Toc49934190"/>
      <w:bookmarkStart w:id="4448" w:name="_Toc49934871"/>
      <w:bookmarkStart w:id="4449" w:name="_Toc49935136"/>
      <w:bookmarkStart w:id="4450" w:name="_Toc49935206"/>
      <w:bookmarkStart w:id="4451" w:name="_Toc49935426"/>
      <w:bookmarkStart w:id="4452" w:name="_Toc49935496"/>
      <w:bookmarkStart w:id="4453" w:name="_Toc49935603"/>
      <w:bookmarkStart w:id="4454" w:name="_Toc49935673"/>
      <w:bookmarkStart w:id="4455" w:name="_Toc49935701"/>
      <w:bookmarkStart w:id="4456" w:name="_Toc49936084"/>
      <w:bookmarkStart w:id="4457" w:name="_Toc49936154"/>
      <w:bookmarkStart w:id="4458" w:name="_Toc49936224"/>
      <w:bookmarkStart w:id="4459" w:name="_Toc49936812"/>
      <w:bookmarkStart w:id="4460" w:name="_Toc49937045"/>
      <w:bookmarkStart w:id="4461" w:name="_Toc49937163"/>
      <w:bookmarkStart w:id="4462" w:name="_Toc49937672"/>
      <w:bookmarkStart w:id="4463" w:name="_Toc49938052"/>
      <w:bookmarkStart w:id="4464" w:name="_Toc49938857"/>
      <w:bookmarkStart w:id="4465" w:name="_Toc49938990"/>
      <w:bookmarkStart w:id="4466" w:name="_Toc49939029"/>
      <w:bookmarkStart w:id="4467" w:name="_Toc49939099"/>
      <w:bookmarkStart w:id="4468" w:name="_Toc49939169"/>
      <w:bookmarkStart w:id="4469" w:name="_Toc49939232"/>
      <w:bookmarkStart w:id="4470" w:name="_Toc49939302"/>
      <w:bookmarkStart w:id="4471" w:name="_Toc49939604"/>
      <w:bookmarkStart w:id="4472" w:name="_Toc49939950"/>
      <w:bookmarkStart w:id="4473" w:name="_Toc49940485"/>
      <w:bookmarkStart w:id="4474" w:name="_Toc49941706"/>
      <w:bookmarkStart w:id="4475" w:name="_Toc49942082"/>
      <w:bookmarkStart w:id="4476" w:name="_Toc49942266"/>
      <w:bookmarkStart w:id="4477" w:name="_Toc49942474"/>
      <w:bookmarkStart w:id="4478" w:name="_Toc49942708"/>
      <w:bookmarkStart w:id="4479" w:name="_Toc49942823"/>
      <w:bookmarkStart w:id="4480" w:name="_Toc49944360"/>
      <w:bookmarkStart w:id="4481" w:name="_Toc49945137"/>
      <w:bookmarkStart w:id="4482" w:name="_Toc49945931"/>
      <w:bookmarkStart w:id="4483" w:name="_Toc49946289"/>
      <w:bookmarkStart w:id="4484" w:name="_Toc49946576"/>
      <w:bookmarkStart w:id="4485" w:name="_Toc49946685"/>
      <w:bookmarkStart w:id="4486" w:name="_Toc49947285"/>
      <w:bookmarkStart w:id="4487" w:name="_Toc49946388"/>
      <w:bookmarkStart w:id="4488" w:name="_Toc49947167"/>
      <w:bookmarkStart w:id="4489" w:name="_Toc49947421"/>
      <w:bookmarkStart w:id="4490" w:name="_Toc49947799"/>
      <w:bookmarkStart w:id="4491" w:name="_Toc49947894"/>
      <w:bookmarkStart w:id="4492" w:name="_Toc49947964"/>
      <w:bookmarkStart w:id="4493" w:name="_Toc49948059"/>
      <w:bookmarkStart w:id="4494" w:name="_Toc49948129"/>
      <w:bookmarkStart w:id="4495" w:name="_Toc49948340"/>
      <w:bookmarkStart w:id="4496" w:name="_Toc49948410"/>
      <w:bookmarkStart w:id="4497" w:name="_Toc49948480"/>
      <w:bookmarkStart w:id="4498" w:name="_Toc49948550"/>
      <w:bookmarkStart w:id="4499" w:name="_Toc49948669"/>
      <w:bookmarkStart w:id="4500" w:name="_Toc49943519"/>
      <w:bookmarkStart w:id="4501" w:name="_Toc49948763"/>
      <w:bookmarkStart w:id="4502" w:name="_Toc49949556"/>
      <w:bookmarkStart w:id="4503" w:name="_Toc49949626"/>
      <w:bookmarkStart w:id="4504" w:name="_Toc49950662"/>
      <w:bookmarkStart w:id="4505" w:name="_Toc49950829"/>
      <w:bookmarkStart w:id="4506" w:name="_Toc49951180"/>
      <w:bookmarkStart w:id="4507" w:name="_Toc49951431"/>
      <w:bookmarkStart w:id="4508" w:name="_Toc49951491"/>
      <w:bookmarkStart w:id="4509" w:name="_Toc49951598"/>
      <w:bookmarkStart w:id="4510" w:name="_Toc49951685"/>
      <w:bookmarkStart w:id="4511" w:name="_Toc49951755"/>
      <w:bookmarkStart w:id="4512" w:name="_Toc49951994"/>
      <w:bookmarkStart w:id="4513" w:name="_Toc49952093"/>
      <w:bookmarkStart w:id="4514" w:name="_Toc49952269"/>
      <w:bookmarkStart w:id="4515" w:name="_Toc49953024"/>
      <w:bookmarkStart w:id="4516" w:name="_Toc49953115"/>
      <w:bookmarkStart w:id="4517" w:name="_Toc49953185"/>
      <w:bookmarkStart w:id="4518" w:name="_Toc49952969"/>
      <w:bookmarkStart w:id="4519" w:name="_Toc49953900"/>
      <w:bookmarkStart w:id="4520" w:name="_Toc49953970"/>
      <w:bookmarkStart w:id="4521" w:name="_Toc49954053"/>
      <w:bookmarkStart w:id="4522" w:name="_Toc49954123"/>
      <w:bookmarkStart w:id="4523" w:name="_Toc49949684"/>
      <w:bookmarkStart w:id="4524" w:name="_Toc49953684"/>
      <w:bookmarkStart w:id="4525" w:name="_Toc49954189"/>
      <w:bookmarkStart w:id="4526" w:name="_Toc49954296"/>
      <w:bookmarkStart w:id="4527" w:name="_Toc49954329"/>
      <w:bookmarkStart w:id="4528" w:name="_Toc49954399"/>
      <w:bookmarkStart w:id="4529" w:name="_Toc49954423"/>
      <w:bookmarkStart w:id="4530" w:name="_Toc49954530"/>
      <w:bookmarkStart w:id="4531" w:name="_Toc49954600"/>
      <w:bookmarkStart w:id="4532" w:name="_Toc49954670"/>
      <w:bookmarkStart w:id="4533" w:name="_Toc49954704"/>
      <w:bookmarkStart w:id="4534" w:name="_Toc49954774"/>
      <w:bookmarkStart w:id="4535" w:name="_Toc49954829"/>
      <w:bookmarkStart w:id="4536" w:name="_Toc49954899"/>
      <w:bookmarkStart w:id="4537" w:name="_Toc49954923"/>
      <w:bookmarkStart w:id="4538" w:name="_Toc49954993"/>
      <w:bookmarkStart w:id="4539" w:name="_Toc49955063"/>
      <w:bookmarkStart w:id="4540" w:name="_Toc49955133"/>
      <w:bookmarkStart w:id="4541" w:name="_Toc49955167"/>
      <w:bookmarkStart w:id="4542" w:name="_Toc49955203"/>
      <w:bookmarkStart w:id="4543" w:name="_Toc49955273"/>
      <w:bookmarkStart w:id="4544" w:name="_Toc49955343"/>
      <w:bookmarkStart w:id="4545" w:name="_Toc49955413"/>
      <w:bookmarkStart w:id="4546" w:name="_Toc49955721"/>
      <w:bookmarkStart w:id="4547" w:name="_Toc49955791"/>
      <w:bookmarkStart w:id="4548" w:name="_Toc49956146"/>
      <w:bookmarkStart w:id="4549" w:name="_Toc49958291"/>
      <w:bookmarkStart w:id="4550" w:name="_Toc49958416"/>
      <w:bookmarkStart w:id="4551" w:name="_Toc49958486"/>
      <w:bookmarkStart w:id="4552" w:name="_Toc49958556"/>
      <w:bookmarkStart w:id="4553" w:name="_Toc49876204"/>
      <w:bookmarkStart w:id="4554" w:name="_Toc49876306"/>
      <w:bookmarkStart w:id="4555" w:name="_Toc49877373"/>
      <w:bookmarkStart w:id="4556" w:name="_Toc49877830"/>
      <w:bookmarkStart w:id="4557" w:name="_Toc49878116"/>
      <w:bookmarkStart w:id="4558" w:name="_Toc49878181"/>
      <w:bookmarkStart w:id="4559" w:name="_Toc49878246"/>
      <w:bookmarkStart w:id="4560" w:name="_Toc49878311"/>
      <w:bookmarkStart w:id="4561" w:name="_Toc49878366"/>
      <w:bookmarkStart w:id="4562" w:name="_Toc49878463"/>
      <w:bookmarkStart w:id="4563" w:name="_Toc49878579"/>
      <w:bookmarkStart w:id="4564" w:name="_Toc49878669"/>
      <w:bookmarkStart w:id="4565" w:name="_Toc49878782"/>
      <w:bookmarkStart w:id="4566" w:name="_Toc49878847"/>
      <w:bookmarkStart w:id="4567" w:name="_Toc49879081"/>
      <w:bookmarkStart w:id="4568" w:name="_Toc49879453"/>
      <w:bookmarkStart w:id="4569" w:name="_Toc49879593"/>
      <w:bookmarkStart w:id="4570" w:name="_Toc49879661"/>
      <w:bookmarkStart w:id="4571" w:name="_Toc49879797"/>
      <w:bookmarkStart w:id="4572" w:name="_Toc49879841"/>
      <w:bookmarkStart w:id="4573" w:name="_Toc49879977"/>
      <w:bookmarkStart w:id="4574" w:name="_Toc49880159"/>
      <w:bookmarkStart w:id="4575" w:name="_Toc49880227"/>
      <w:bookmarkStart w:id="4576" w:name="_Toc49880457"/>
      <w:bookmarkStart w:id="4577" w:name="_Toc49880525"/>
      <w:bookmarkStart w:id="4578" w:name="_Toc49879729"/>
      <w:bookmarkStart w:id="4579" w:name="_Toc49881010"/>
      <w:bookmarkStart w:id="4580" w:name="_Toc49881169"/>
      <w:bookmarkStart w:id="4581" w:name="_Toc49881688"/>
      <w:bookmarkStart w:id="4582" w:name="_Toc49883558"/>
      <w:bookmarkStart w:id="4583" w:name="_Toc49883796"/>
      <w:bookmarkStart w:id="4584" w:name="_Toc49884162"/>
      <w:bookmarkStart w:id="4585" w:name="_Toc49884230"/>
      <w:bookmarkStart w:id="4586" w:name="_Toc49884306"/>
      <w:bookmarkStart w:id="4587" w:name="_Toc49888733"/>
      <w:bookmarkStart w:id="4588" w:name="_Toc49893562"/>
      <w:bookmarkStart w:id="4589" w:name="_Toc49893876"/>
      <w:bookmarkStart w:id="4590" w:name="_Toc49895391"/>
      <w:bookmarkStart w:id="4591" w:name="_Toc49896926"/>
      <w:bookmarkStart w:id="4592" w:name="_Toc49926290"/>
      <w:bookmarkStart w:id="4593" w:name="_Toc49928844"/>
      <w:bookmarkStart w:id="4594" w:name="_Toc49928914"/>
      <w:bookmarkStart w:id="4595" w:name="_Toc49928994"/>
      <w:bookmarkStart w:id="4596" w:name="_Toc49930203"/>
      <w:bookmarkStart w:id="4597" w:name="_Toc49930425"/>
      <w:bookmarkStart w:id="4598" w:name="_Toc49930495"/>
      <w:bookmarkStart w:id="4599" w:name="_Toc49930565"/>
      <w:bookmarkStart w:id="4600" w:name="_Toc49930635"/>
      <w:bookmarkStart w:id="4601" w:name="_Toc49930705"/>
      <w:bookmarkStart w:id="4602" w:name="_Toc49930846"/>
      <w:bookmarkStart w:id="4603" w:name="_Toc49930989"/>
      <w:bookmarkStart w:id="4604" w:name="_Toc49931243"/>
      <w:bookmarkStart w:id="4605" w:name="_Toc49931449"/>
      <w:bookmarkStart w:id="4606" w:name="_Toc49931750"/>
      <w:bookmarkStart w:id="4607" w:name="_Toc49931883"/>
      <w:bookmarkStart w:id="4608" w:name="_Toc49932188"/>
      <w:bookmarkStart w:id="4609" w:name="_Toc49932319"/>
      <w:bookmarkStart w:id="4610" w:name="_Toc49932877"/>
      <w:bookmarkStart w:id="4611" w:name="_Toc49933211"/>
      <w:bookmarkStart w:id="4612" w:name="_Toc49933281"/>
      <w:bookmarkStart w:id="4613" w:name="_Toc49933807"/>
      <w:bookmarkStart w:id="4614" w:name="_Toc49933950"/>
      <w:bookmarkStart w:id="4615" w:name="_Toc49934076"/>
      <w:bookmarkStart w:id="4616" w:name="_Toc49934191"/>
      <w:bookmarkStart w:id="4617" w:name="_Toc49934872"/>
      <w:bookmarkStart w:id="4618" w:name="_Toc49935137"/>
      <w:bookmarkStart w:id="4619" w:name="_Toc49935207"/>
      <w:bookmarkStart w:id="4620" w:name="_Toc49935427"/>
      <w:bookmarkStart w:id="4621" w:name="_Toc49935497"/>
      <w:bookmarkStart w:id="4622" w:name="_Toc49935604"/>
      <w:bookmarkStart w:id="4623" w:name="_Toc49935674"/>
      <w:bookmarkStart w:id="4624" w:name="_Toc49935702"/>
      <w:bookmarkStart w:id="4625" w:name="_Toc49936085"/>
      <w:bookmarkStart w:id="4626" w:name="_Toc49936155"/>
      <w:bookmarkStart w:id="4627" w:name="_Toc49936225"/>
      <w:bookmarkStart w:id="4628" w:name="_Toc49936813"/>
      <w:bookmarkStart w:id="4629" w:name="_Toc49937046"/>
      <w:bookmarkStart w:id="4630" w:name="_Toc49937164"/>
      <w:bookmarkStart w:id="4631" w:name="_Toc49937673"/>
      <w:bookmarkStart w:id="4632" w:name="_Toc49938053"/>
      <w:bookmarkStart w:id="4633" w:name="_Toc49938858"/>
      <w:bookmarkStart w:id="4634" w:name="_Toc49939030"/>
      <w:bookmarkStart w:id="4635" w:name="_Toc49939100"/>
      <w:bookmarkStart w:id="4636" w:name="_Toc49939170"/>
      <w:bookmarkStart w:id="4637" w:name="_Toc49939233"/>
      <w:bookmarkStart w:id="4638" w:name="_Toc49939303"/>
      <w:bookmarkStart w:id="4639" w:name="_Toc49939605"/>
      <w:bookmarkStart w:id="4640" w:name="_Toc49939951"/>
      <w:bookmarkStart w:id="4641" w:name="_Toc49940486"/>
      <w:bookmarkStart w:id="4642" w:name="_Toc49941637"/>
      <w:bookmarkStart w:id="4643" w:name="_Toc49941707"/>
      <w:bookmarkStart w:id="4644" w:name="_Toc49942083"/>
      <w:bookmarkStart w:id="4645" w:name="_Toc49942267"/>
      <w:bookmarkStart w:id="4646" w:name="_Toc49942475"/>
      <w:bookmarkStart w:id="4647" w:name="_Toc49942709"/>
      <w:bookmarkStart w:id="4648" w:name="_Toc49942824"/>
      <w:bookmarkStart w:id="4649" w:name="_Toc49944361"/>
      <w:bookmarkStart w:id="4650" w:name="_Toc49945138"/>
      <w:bookmarkStart w:id="4651" w:name="_Toc49945932"/>
      <w:bookmarkStart w:id="4652" w:name="_Toc49946290"/>
      <w:bookmarkStart w:id="4653" w:name="_Toc49946577"/>
      <w:bookmarkStart w:id="4654" w:name="_Toc49946686"/>
      <w:bookmarkStart w:id="4655" w:name="_Toc49947286"/>
      <w:bookmarkStart w:id="4656" w:name="_Toc49946389"/>
      <w:bookmarkStart w:id="4657" w:name="_Toc49947168"/>
      <w:bookmarkStart w:id="4658" w:name="_Toc49947422"/>
      <w:bookmarkStart w:id="4659" w:name="_Toc49947800"/>
      <w:bookmarkStart w:id="4660" w:name="_Toc49947895"/>
      <w:bookmarkStart w:id="4661" w:name="_Toc49947965"/>
      <w:bookmarkStart w:id="4662" w:name="_Toc49948060"/>
      <w:bookmarkStart w:id="4663" w:name="_Toc49948130"/>
      <w:bookmarkStart w:id="4664" w:name="_Toc49948341"/>
      <w:bookmarkStart w:id="4665" w:name="_Toc49948411"/>
      <w:bookmarkStart w:id="4666" w:name="_Toc49948481"/>
      <w:bookmarkStart w:id="4667" w:name="_Toc49948551"/>
      <w:bookmarkStart w:id="4668" w:name="_Toc49948670"/>
      <w:bookmarkStart w:id="4669" w:name="_Toc49943520"/>
      <w:bookmarkStart w:id="4670" w:name="_Toc49948764"/>
      <w:bookmarkStart w:id="4671" w:name="_Toc49949557"/>
      <w:bookmarkStart w:id="4672" w:name="_Toc49949627"/>
      <w:bookmarkStart w:id="4673" w:name="_Toc49950663"/>
      <w:bookmarkStart w:id="4674" w:name="_Toc49950830"/>
      <w:bookmarkStart w:id="4675" w:name="_Toc49951181"/>
      <w:bookmarkStart w:id="4676" w:name="_Toc49951432"/>
      <w:bookmarkStart w:id="4677" w:name="_Toc49951492"/>
      <w:bookmarkStart w:id="4678" w:name="_Toc49951599"/>
      <w:bookmarkStart w:id="4679" w:name="_Toc49951686"/>
      <w:bookmarkStart w:id="4680" w:name="_Toc49951756"/>
      <w:bookmarkStart w:id="4681" w:name="_Toc49951995"/>
      <w:bookmarkStart w:id="4682" w:name="_Toc49952094"/>
      <w:bookmarkStart w:id="4683" w:name="_Toc49952270"/>
      <w:bookmarkStart w:id="4684" w:name="_Toc49953025"/>
      <w:bookmarkStart w:id="4685" w:name="_Toc49953116"/>
      <w:bookmarkStart w:id="4686" w:name="_Toc49953186"/>
      <w:bookmarkStart w:id="4687" w:name="_Toc49952970"/>
      <w:bookmarkStart w:id="4688" w:name="_Toc49953901"/>
      <w:bookmarkStart w:id="4689" w:name="_Toc49953971"/>
      <w:bookmarkStart w:id="4690" w:name="_Toc49954054"/>
      <w:bookmarkStart w:id="4691" w:name="_Toc49954124"/>
      <w:bookmarkStart w:id="4692" w:name="_Toc49949685"/>
      <w:bookmarkStart w:id="4693" w:name="_Toc49953685"/>
      <w:bookmarkStart w:id="4694" w:name="_Toc49953810"/>
      <w:bookmarkStart w:id="4695" w:name="_Toc49954190"/>
      <w:bookmarkStart w:id="4696" w:name="_Toc49954297"/>
      <w:bookmarkStart w:id="4697" w:name="_Toc49954330"/>
      <w:bookmarkStart w:id="4698" w:name="_Toc49954400"/>
      <w:bookmarkStart w:id="4699" w:name="_Toc49954424"/>
      <w:bookmarkStart w:id="4700" w:name="_Toc49954531"/>
      <w:bookmarkStart w:id="4701" w:name="_Toc49954601"/>
      <w:bookmarkStart w:id="4702" w:name="_Toc49954671"/>
      <w:bookmarkStart w:id="4703" w:name="_Toc49954705"/>
      <w:bookmarkStart w:id="4704" w:name="_Toc49954775"/>
      <w:bookmarkStart w:id="4705" w:name="_Toc49954830"/>
      <w:bookmarkStart w:id="4706" w:name="_Toc49954900"/>
      <w:bookmarkStart w:id="4707" w:name="_Toc49954924"/>
      <w:bookmarkStart w:id="4708" w:name="_Toc49954994"/>
      <w:bookmarkStart w:id="4709" w:name="_Toc49955064"/>
      <w:bookmarkStart w:id="4710" w:name="_Toc49955134"/>
      <w:bookmarkStart w:id="4711" w:name="_Toc49955168"/>
      <w:bookmarkStart w:id="4712" w:name="_Toc49955204"/>
      <w:bookmarkStart w:id="4713" w:name="_Toc49955274"/>
      <w:bookmarkStart w:id="4714" w:name="_Toc49955344"/>
      <w:bookmarkStart w:id="4715" w:name="_Toc49955414"/>
      <w:bookmarkStart w:id="4716" w:name="_Toc49955722"/>
      <w:bookmarkStart w:id="4717" w:name="_Toc49955792"/>
      <w:bookmarkStart w:id="4718" w:name="_Toc49956147"/>
      <w:bookmarkStart w:id="4719" w:name="_Toc49958292"/>
      <w:bookmarkStart w:id="4720" w:name="_Toc49958417"/>
      <w:bookmarkStart w:id="4721" w:name="_Toc49958487"/>
      <w:bookmarkStart w:id="4722" w:name="_Toc49958557"/>
      <w:bookmarkStart w:id="4723" w:name="_Toc53677615"/>
      <w:bookmarkStart w:id="4724" w:name="_Toc53678033"/>
      <w:bookmarkStart w:id="4725" w:name="_Toc53678143"/>
      <w:bookmarkStart w:id="4726" w:name="_Toc53678760"/>
      <w:bookmarkStart w:id="4727" w:name="_Toc53678993"/>
      <w:bookmarkStart w:id="4728" w:name="_Toc53679159"/>
      <w:bookmarkStart w:id="4729" w:name="_Toc53679308"/>
      <w:bookmarkStart w:id="4730" w:name="_Toc53680947"/>
      <w:bookmarkStart w:id="4731" w:name="_Toc58950194"/>
      <w:bookmarkStart w:id="4732" w:name="_Toc53678439"/>
      <w:bookmarkStart w:id="4733" w:name="_Toc53678219"/>
      <w:bookmarkStart w:id="4734" w:name="_Toc53678761"/>
      <w:bookmarkStart w:id="4735" w:name="_Toc53680110"/>
      <w:bookmarkStart w:id="4736" w:name="_Toc54289120"/>
      <w:bookmarkStart w:id="4737" w:name="_Toc54290618"/>
      <w:bookmarkStart w:id="4738" w:name="_Toc54290987"/>
      <w:bookmarkStart w:id="4739" w:name="_Toc54292112"/>
      <w:bookmarkStart w:id="4740" w:name="_Toc54340669"/>
      <w:bookmarkStart w:id="4741" w:name="_Toc54345771"/>
      <w:bookmarkStart w:id="4742" w:name="_Toc54348784"/>
      <w:bookmarkStart w:id="4743" w:name="_Toc54355114"/>
      <w:bookmarkStart w:id="4744" w:name="_Toc54355167"/>
      <w:bookmarkStart w:id="4745" w:name="_Toc54355639"/>
      <w:bookmarkStart w:id="4746" w:name="_Toc54355787"/>
      <w:bookmarkStart w:id="4747" w:name="_Toc54356141"/>
      <w:bookmarkStart w:id="4748" w:name="_Toc54356692"/>
      <w:bookmarkStart w:id="4749" w:name="_Toc54357559"/>
      <w:bookmarkStart w:id="4750" w:name="_Toc54357656"/>
      <w:bookmarkStart w:id="4751" w:name="_Toc54364607"/>
      <w:bookmarkStart w:id="4752" w:name="_Toc54371215"/>
      <w:bookmarkStart w:id="4753" w:name="_Toc54372052"/>
      <w:bookmarkStart w:id="4754" w:name="_Toc54376659"/>
      <w:bookmarkStart w:id="4755" w:name="_Toc58868881"/>
      <w:bookmarkStart w:id="4756" w:name="_Toc58767211"/>
      <w:bookmarkStart w:id="4757" w:name="_Toc58769514"/>
      <w:bookmarkStart w:id="4758" w:name="_Toc58863854"/>
      <w:bookmarkStart w:id="4759" w:name="_Toc58870712"/>
      <w:bookmarkStart w:id="4760" w:name="_Toc58870945"/>
      <w:bookmarkStart w:id="4761" w:name="_Toc58871851"/>
      <w:bookmarkStart w:id="4762" w:name="_Toc58872066"/>
      <w:bookmarkStart w:id="4763" w:name="_Toc58922813"/>
      <w:bookmarkStart w:id="4764" w:name="_Toc58925396"/>
      <w:bookmarkStart w:id="4765" w:name="_Toc58928897"/>
      <w:bookmarkStart w:id="4766" w:name="_Toc58931266"/>
      <w:bookmarkStart w:id="4767" w:name="_Toc58931900"/>
      <w:bookmarkStart w:id="4768" w:name="_Toc58950506"/>
      <w:bookmarkStart w:id="4769" w:name="_Toc58956798"/>
      <w:bookmarkStart w:id="4770" w:name="_Toc58957963"/>
      <w:bookmarkStart w:id="4771" w:name="_Toc58962496"/>
      <w:bookmarkStart w:id="4772" w:name="_Toc59096527"/>
      <w:bookmarkStart w:id="4773" w:name="_Toc59103123"/>
      <w:bookmarkStart w:id="4774" w:name="_Toc59104974"/>
      <w:bookmarkStart w:id="4775" w:name="_Toc59119934"/>
      <w:bookmarkStart w:id="4776" w:name="_Toc59121198"/>
      <w:bookmarkStart w:id="4777" w:name="_Toc59121317"/>
      <w:bookmarkStart w:id="4778" w:name="_Toc59549370"/>
      <w:bookmarkStart w:id="4779" w:name="_Toc59642323"/>
      <w:bookmarkStart w:id="4780" w:name="_Toc49805488"/>
      <w:bookmarkStart w:id="4781" w:name="_Toc49806200"/>
      <w:bookmarkStart w:id="4782" w:name="_Toc49881170"/>
      <w:bookmarkStart w:id="4783" w:name="_Toc49884231"/>
      <w:bookmarkStart w:id="4784" w:name="_Toc49884307"/>
      <w:bookmarkStart w:id="4785" w:name="_Toc49893563"/>
      <w:bookmarkStart w:id="4786" w:name="_Toc49933951"/>
      <w:bookmarkStart w:id="4787" w:name="_Toc49939234"/>
      <w:bookmarkStart w:id="4788" w:name="_Toc49942084"/>
      <w:bookmarkStart w:id="4789" w:name="_Toc49948552"/>
      <w:bookmarkStart w:id="4790" w:name="_Toc49953026"/>
      <w:bookmarkStart w:id="4791" w:name="_Toc49954331"/>
      <w:bookmarkStart w:id="4792" w:name="_Toc49954776"/>
      <w:bookmarkStart w:id="4793" w:name="_Toc49955205"/>
      <w:bookmarkStart w:id="4794" w:name="_Toc49955793"/>
      <w:bookmarkStart w:id="4795" w:name="_Toc49958293"/>
      <w:bookmarkStart w:id="4796" w:name="_Toc49958488"/>
      <w:bookmarkStart w:id="4797" w:name="_Toc47455487"/>
      <w:bookmarkStart w:id="4798" w:name="_Toc49527887"/>
      <w:bookmarkStart w:id="4799" w:name="_Toc49530009"/>
      <w:bookmarkStart w:id="4800" w:name="_Toc49530673"/>
      <w:bookmarkStart w:id="4801" w:name="_Toc49532623"/>
      <w:bookmarkStart w:id="4802" w:name="_Toc49695794"/>
      <w:bookmarkStart w:id="4803" w:name="_Toc49695972"/>
      <w:bookmarkStart w:id="4804" w:name="_Toc49877761"/>
      <w:bookmarkStart w:id="4805" w:name="_Toc49937847"/>
      <w:bookmarkStart w:id="4806" w:name="_Toc49961990"/>
      <w:bookmarkStart w:id="4807" w:name="_Toc49963177"/>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r>
        <w:rPr>
          <w:smallCaps w:val="0"/>
          <w:noProof/>
        </w:rPr>
        <w:t>How do the options compare / preferred option</w:t>
      </w:r>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p>
    <w:p>
      <w:pPr>
        <w:pStyle w:val="Heading2"/>
        <w:numPr>
          <w:ilvl w:val="1"/>
          <w:numId w:val="60"/>
        </w:numPr>
        <w:rPr>
          <w:noProof/>
          <w:color w:val="000000" w:themeColor="text1"/>
        </w:rPr>
      </w:pPr>
      <w:bookmarkStart w:id="4808" w:name="_Toc49695795"/>
      <w:bookmarkStart w:id="4809" w:name="_Toc54289121"/>
      <w:bookmarkStart w:id="4810" w:name="_Toc54290620"/>
      <w:bookmarkStart w:id="4811" w:name="_Toc54290989"/>
      <w:bookmarkStart w:id="4812" w:name="_Toc54292113"/>
      <w:bookmarkStart w:id="4813" w:name="_Toc54340670"/>
      <w:bookmarkStart w:id="4814" w:name="_Toc54345772"/>
      <w:bookmarkStart w:id="4815" w:name="_Toc54348785"/>
      <w:bookmarkStart w:id="4816" w:name="_Toc54355115"/>
      <w:bookmarkStart w:id="4817" w:name="_Toc54355168"/>
      <w:bookmarkStart w:id="4818" w:name="_Toc54355640"/>
      <w:bookmarkStart w:id="4819" w:name="_Toc54355788"/>
      <w:bookmarkStart w:id="4820" w:name="_Toc54356142"/>
      <w:bookmarkStart w:id="4821" w:name="_Toc54356693"/>
      <w:bookmarkStart w:id="4822" w:name="_Toc54357560"/>
      <w:bookmarkStart w:id="4823" w:name="_Toc54357657"/>
      <w:bookmarkStart w:id="4824" w:name="_Toc54364608"/>
      <w:bookmarkStart w:id="4825" w:name="_Toc54371216"/>
      <w:bookmarkStart w:id="4826" w:name="_Toc54372053"/>
      <w:bookmarkStart w:id="4827" w:name="_Toc54376660"/>
      <w:bookmarkStart w:id="4828" w:name="_Toc58767212"/>
      <w:bookmarkStart w:id="4829" w:name="_Toc58769515"/>
      <w:bookmarkStart w:id="4830" w:name="_Toc58863855"/>
      <w:bookmarkStart w:id="4831" w:name="_Toc58868882"/>
      <w:bookmarkStart w:id="4832" w:name="_Toc58870713"/>
      <w:bookmarkStart w:id="4833" w:name="_Toc58870946"/>
      <w:bookmarkStart w:id="4834" w:name="_Toc58871852"/>
      <w:bookmarkStart w:id="4835" w:name="_Toc58872067"/>
      <w:bookmarkStart w:id="4836" w:name="_Toc58922814"/>
      <w:bookmarkStart w:id="4837" w:name="_Toc58925397"/>
      <w:bookmarkStart w:id="4838" w:name="_Toc58928898"/>
      <w:bookmarkStart w:id="4839" w:name="_Toc58931267"/>
      <w:bookmarkStart w:id="4840" w:name="_Toc58931901"/>
      <w:bookmarkStart w:id="4841" w:name="_Toc58950507"/>
      <w:bookmarkStart w:id="4842" w:name="_Toc58956799"/>
      <w:bookmarkStart w:id="4843" w:name="_Toc58957964"/>
      <w:bookmarkStart w:id="4844" w:name="_Toc58962497"/>
      <w:bookmarkStart w:id="4845" w:name="_Toc59096528"/>
      <w:bookmarkStart w:id="4846" w:name="_Toc59103124"/>
      <w:bookmarkStart w:id="4847" w:name="_Toc59104975"/>
      <w:bookmarkStart w:id="4848" w:name="_Toc59119935"/>
      <w:bookmarkStart w:id="4849" w:name="_Toc59121199"/>
      <w:bookmarkStart w:id="4850" w:name="_Toc59121318"/>
      <w:bookmarkStart w:id="4851" w:name="_Toc4745548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r>
        <w:rPr>
          <w:noProof/>
        </w:rPr>
        <w:t xml:space="preserve"> </w:t>
      </w:r>
      <w:bookmarkStart w:id="4852" w:name="_Toc59549371"/>
      <w:bookmarkStart w:id="4853" w:name="_Toc59642324"/>
      <w:r>
        <w:rPr>
          <w:noProof/>
        </w:rPr>
        <w:t>Effectiveness</w:t>
      </w:r>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2"/>
      <w:bookmarkEnd w:id="4853"/>
    </w:p>
    <w:p>
      <w:pPr>
        <w:spacing w:after="120"/>
        <w:jc w:val="both"/>
        <w:rPr>
          <w:rFonts w:ascii="Times New Roman" w:hAnsi="Times New Roman" w:cs="Times New Roman"/>
          <w:noProof/>
          <w:sz w:val="24"/>
          <w:szCs w:val="24"/>
        </w:rPr>
      </w:pPr>
      <w:r>
        <w:rPr>
          <w:rFonts w:ascii="Times New Roman" w:hAnsi="Times New Roman" w:cs="Times New Roman"/>
          <w:b/>
          <w:bCs/>
          <w:noProof/>
          <w:sz w:val="24"/>
          <w:szCs w:val="24"/>
          <w:u w:val="single"/>
        </w:rPr>
        <w:t>Option 0</w:t>
      </w:r>
      <w:r>
        <w:rPr>
          <w:rFonts w:ascii="Times New Roman" w:hAnsi="Times New Roman" w:cs="Times New Roman"/>
          <w:noProof/>
          <w:sz w:val="24"/>
          <w:szCs w:val="24"/>
        </w:rPr>
        <w:t xml:space="preserve"> would not be effective in achieving the objectives overall as no action would be initiated to tackle the problem drivers and issues highlighted. This means, at best, continuing at a very slow pace towards better enforcement of the equal pay principle.</w:t>
      </w:r>
    </w:p>
    <w:p>
      <w:pPr>
        <w:spacing w:after="120"/>
        <w:jc w:val="both"/>
        <w:rPr>
          <w:rFonts w:ascii="Times New Roman" w:hAnsi="Times New Roman" w:cs="Times New Roman"/>
          <w:noProof/>
          <w:sz w:val="24"/>
          <w:szCs w:val="24"/>
        </w:rPr>
      </w:pPr>
      <w:r>
        <w:rPr>
          <w:rFonts w:ascii="Times New Roman" w:hAnsi="Times New Roman" w:cs="Times New Roman"/>
          <w:b/>
          <w:bCs/>
          <w:noProof/>
          <w:sz w:val="24"/>
          <w:szCs w:val="24"/>
          <w:u w:val="single"/>
        </w:rPr>
        <w:t>Option 1</w:t>
      </w:r>
      <w:r>
        <w:rPr>
          <w:rFonts w:ascii="Times New Roman" w:hAnsi="Times New Roman" w:cs="Times New Roman"/>
          <w:noProof/>
          <w:sz w:val="24"/>
          <w:szCs w:val="24"/>
          <w:u w:val="single"/>
        </w:rPr>
        <w:t xml:space="preserve"> </w:t>
      </w:r>
      <w:r>
        <w:rPr>
          <w:rFonts w:ascii="Times New Roman" w:hAnsi="Times New Roman" w:cs="Times New Roman"/>
          <w:b/>
          <w:bCs/>
          <w:noProof/>
          <w:sz w:val="24"/>
          <w:szCs w:val="24"/>
          <w:u w:val="single"/>
        </w:rPr>
        <w:t>Sub-option 1A</w:t>
      </w:r>
      <w:r>
        <w:rPr>
          <w:rFonts w:ascii="Times New Roman" w:hAnsi="Times New Roman" w:cs="Times New Roman"/>
          <w:noProof/>
          <w:sz w:val="24"/>
          <w:szCs w:val="24"/>
        </w:rPr>
        <w:t xml:space="preserve"> scores high on achieving the specific objective of empowering workers to claim their right to equal pay as it would allow workers to have the necessary and relevant information on pay and to</w:t>
      </w:r>
      <w:r>
        <w:rPr>
          <w:rFonts w:ascii="Times New Roman" w:eastAsia="Times New Roman" w:hAnsi="Times New Roman" w:cs="Times New Roman"/>
          <w:noProof/>
          <w:sz w:val="24"/>
          <w:szCs w:val="24"/>
        </w:rPr>
        <w:t xml:space="preserve"> be most effectively protected against potential victimisation</w:t>
      </w:r>
      <w:r>
        <w:rPr>
          <w:rFonts w:ascii="Times New Roman" w:hAnsi="Times New Roman" w:cs="Times New Roman"/>
          <w:noProof/>
          <w:sz w:val="24"/>
          <w:szCs w:val="24"/>
        </w:rPr>
        <w:t xml:space="preserve">. </w:t>
      </w:r>
      <w:r>
        <w:rPr>
          <w:rFonts w:ascii="Times New Roman" w:eastAsia="Times New Roman" w:hAnsi="Times New Roman" w:cs="Times New Roman"/>
          <w:noProof/>
          <w:sz w:val="24"/>
          <w:szCs w:val="24"/>
        </w:rPr>
        <w:t>On its own, however, it would not address the problem driver related to the p</w:t>
      </w:r>
      <w:r>
        <w:rPr>
          <w:rFonts w:ascii="Times New Roman" w:hAnsi="Times New Roman" w:cs="Times New Roman"/>
          <w:noProof/>
          <w:sz w:val="24"/>
          <w:szCs w:val="24"/>
        </w:rPr>
        <w:t>ersisting bias in pay setting mechanisms and valuation of women’s work because of the lack of structural corrective measures. As such, it does not score well in relation to the second objective, even if it would create the conditions for potential remedial action; employers would be obliged to gather the information on a regular basis, at least in organisations with at least 50 workers, which might potentially incite them to analyse their pay structures more closely. In order to more effectively remove systemic bias in pay structures, this option could be combined with either of the Sub-options 2B, 2C or 2D.</w:t>
      </w:r>
    </w:p>
    <w:p>
      <w:pPr>
        <w:jc w:val="both"/>
        <w:rPr>
          <w:rFonts w:ascii="Times New Roman" w:hAnsi="Times New Roman" w:cs="Times New Roman"/>
          <w:noProof/>
          <w:sz w:val="24"/>
          <w:szCs w:val="24"/>
        </w:rPr>
      </w:pPr>
      <w:r>
        <w:rPr>
          <w:rFonts w:ascii="Times New Roman" w:hAnsi="Times New Roman" w:cs="Times New Roman"/>
          <w:b/>
          <w:bCs/>
          <w:noProof/>
          <w:sz w:val="24"/>
          <w:szCs w:val="24"/>
          <w:u w:val="single"/>
        </w:rPr>
        <w:t>Option 1</w:t>
      </w:r>
      <w:r>
        <w:rPr>
          <w:rFonts w:ascii="Times New Roman" w:hAnsi="Times New Roman" w:cs="Times New Roman"/>
          <w:noProof/>
          <w:sz w:val="24"/>
          <w:szCs w:val="24"/>
          <w:u w:val="single"/>
        </w:rPr>
        <w:t xml:space="preserve"> </w:t>
      </w:r>
      <w:r>
        <w:rPr>
          <w:rFonts w:ascii="Times New Roman" w:hAnsi="Times New Roman" w:cs="Times New Roman"/>
          <w:b/>
          <w:bCs/>
          <w:noProof/>
          <w:sz w:val="24"/>
          <w:szCs w:val="24"/>
          <w:u w:val="single"/>
        </w:rPr>
        <w:t>Sub-option 1B</w:t>
      </w:r>
      <w:r>
        <w:rPr>
          <w:rFonts w:ascii="Times New Roman" w:hAnsi="Times New Roman" w:cs="Times New Roman"/>
          <w:b/>
          <w:bCs/>
          <w:noProof/>
          <w:sz w:val="24"/>
          <w:szCs w:val="24"/>
        </w:rPr>
        <w:t xml:space="preserve"> </w:t>
      </w:r>
      <w:r>
        <w:rPr>
          <w:rFonts w:ascii="Times New Roman" w:hAnsi="Times New Roman" w:cs="Times New Roman"/>
          <w:noProof/>
          <w:sz w:val="24"/>
          <w:szCs w:val="24"/>
        </w:rPr>
        <w:t>scores lower than Sub-option 1A but is still significant to achieve the specific objective of empowering workers to claim their right to equal pay as it would allow all workers to request the relevant information on pay to their employers. This option would reduce the administrative burden on employers by relieving them from the obligation to inform workers on a regular basis. Workers would be protected through a strengthened reversal of the burden of proof countering a possible fear of victimisation. Even less than Sub-option 1A, however,</w:t>
      </w:r>
      <w:r>
        <w:rPr>
          <w:rFonts w:ascii="Times New Roman" w:eastAsia="Times New Roman" w:hAnsi="Times New Roman" w:cs="Times New Roman"/>
          <w:noProof/>
          <w:sz w:val="24"/>
          <w:szCs w:val="24"/>
        </w:rPr>
        <w:t xml:space="preserve"> this sub-option would not address the problem driver related to the p</w:t>
      </w:r>
      <w:r>
        <w:rPr>
          <w:rFonts w:ascii="Times New Roman" w:hAnsi="Times New Roman" w:cs="Times New Roman"/>
          <w:noProof/>
          <w:sz w:val="24"/>
          <w:szCs w:val="24"/>
        </w:rPr>
        <w:t>ersisting bias in pay setting mechanisms and valuation of women’s work. Indeed, because of the lack of systematic gathering of the information by employers, the latter would be even less triggered to analyse their pay structured on hidden pay inequalities. For similar reasons as Sub-option 1A, this Sub-option could work better if combined with either of the Sub-options 2B, 2C or 2D.</w:t>
      </w:r>
    </w:p>
    <w:p>
      <w:pPr>
        <w:autoSpaceDE w:val="0"/>
        <w:autoSpaceDN w:val="0"/>
        <w:adjustRightInd w:val="0"/>
        <w:spacing w:after="120"/>
        <w:jc w:val="both"/>
        <w:rPr>
          <w:rFonts w:ascii="Times New Roman" w:hAnsi="Times New Roman" w:cs="Times New Roman"/>
          <w:b/>
          <w:noProof/>
          <w:sz w:val="24"/>
          <w:szCs w:val="24"/>
          <w:u w:val="single"/>
        </w:rPr>
      </w:pPr>
      <w:r>
        <w:rPr>
          <w:rFonts w:ascii="Times New Roman" w:hAnsi="Times New Roman" w:cs="Times New Roman"/>
          <w:b/>
          <w:bCs/>
          <w:noProof/>
          <w:sz w:val="24"/>
          <w:szCs w:val="24"/>
          <w:u w:val="single"/>
        </w:rPr>
        <w:t>Option 2 Sub-option 2A</w:t>
      </w:r>
      <w:r>
        <w:rPr>
          <w:rFonts w:ascii="Times New Roman" w:hAnsi="Times New Roman" w:cs="Times New Roman"/>
          <w:b/>
          <w:bCs/>
          <w:noProof/>
          <w:sz w:val="24"/>
          <w:szCs w:val="24"/>
        </w:rPr>
        <w:t xml:space="preserve"> </w:t>
      </w:r>
      <w:r>
        <w:rPr>
          <w:rFonts w:ascii="Times New Roman" w:hAnsi="Times New Roman" w:cs="Times New Roman"/>
          <w:noProof/>
          <w:color w:val="000000" w:themeColor="text1"/>
          <w:sz w:val="24"/>
          <w:szCs w:val="24"/>
        </w:rPr>
        <w:t xml:space="preserve">scores very high in effectiveness for the two main specific objectives and therefore also high on the general objective. It would contribute to empowering workers </w:t>
      </w:r>
      <w:r>
        <w:rPr>
          <w:rFonts w:ascii="Times New Roman" w:hAnsi="Times New Roman" w:cs="Times New Roman"/>
          <w:i/>
          <w:iCs/>
          <w:noProof/>
          <w:color w:val="000000" w:themeColor="text1"/>
          <w:sz w:val="24"/>
          <w:szCs w:val="24"/>
        </w:rPr>
        <w:t xml:space="preserve">ex ante </w:t>
      </w:r>
      <w:r>
        <w:rPr>
          <w:rFonts w:ascii="Times New Roman" w:hAnsi="Times New Roman" w:cs="Times New Roman"/>
          <w:noProof/>
          <w:color w:val="000000" w:themeColor="text1"/>
          <w:sz w:val="24"/>
          <w:szCs w:val="24"/>
        </w:rPr>
        <w:t xml:space="preserve">(rather than </w:t>
      </w:r>
      <w:r>
        <w:rPr>
          <w:rFonts w:ascii="Times New Roman" w:hAnsi="Times New Roman" w:cs="Times New Roman"/>
          <w:i/>
          <w:iCs/>
          <w:noProof/>
          <w:color w:val="000000" w:themeColor="text1"/>
          <w:sz w:val="24"/>
          <w:szCs w:val="24"/>
        </w:rPr>
        <w:t>ex post</w:t>
      </w:r>
      <w:r>
        <w:rPr>
          <w:rFonts w:ascii="Times New Roman" w:hAnsi="Times New Roman" w:cs="Times New Roman"/>
          <w:noProof/>
          <w:color w:val="000000" w:themeColor="text1"/>
          <w:sz w:val="24"/>
          <w:szCs w:val="24"/>
        </w:rPr>
        <w:t>, once a discrimination case arises)</w:t>
      </w:r>
      <w:r>
        <w:rPr>
          <w:rFonts w:ascii="Times New Roman" w:hAnsi="Times New Roman" w:cs="Times New Roman"/>
          <w:noProof/>
          <w:sz w:val="24"/>
          <w:szCs w:val="24"/>
        </w:rPr>
        <w:t xml:space="preserve">, it would strongly address the systemic undervaluation of women’s work by an ex-ante screening of pay structures thus eliminating gender bias in pay setting practices at employer level. The envisaged exemption, however, would reduce its impact; in order to protect all workers, this Sub-option could be combined with one of the Sub-options under Option 1, for those organisations not covered by the certification. </w:t>
      </w:r>
    </w:p>
    <w:p>
      <w:pPr>
        <w:autoSpaceDE w:val="0"/>
        <w:autoSpaceDN w:val="0"/>
        <w:adjustRightInd w:val="0"/>
        <w:spacing w:after="120"/>
        <w:jc w:val="both"/>
        <w:rPr>
          <w:rFonts w:ascii="Times New Roman" w:hAnsi="Times New Roman" w:cs="Times New Roman"/>
          <w:noProof/>
          <w:sz w:val="24"/>
          <w:szCs w:val="24"/>
        </w:rPr>
      </w:pPr>
      <w:r>
        <w:rPr>
          <w:rFonts w:ascii="Times New Roman" w:hAnsi="Times New Roman" w:cs="Times New Roman"/>
          <w:b/>
          <w:bCs/>
          <w:noProof/>
          <w:sz w:val="24"/>
          <w:szCs w:val="24"/>
          <w:u w:val="single"/>
        </w:rPr>
        <w:t>Option 2 Sub-option 2B</w:t>
      </w:r>
      <w:r>
        <w:rPr>
          <w:rFonts w:ascii="Times New Roman" w:hAnsi="Times New Roman" w:cs="Times New Roman"/>
          <w:b/>
          <w:bCs/>
          <w:noProof/>
          <w:sz w:val="24"/>
          <w:szCs w:val="24"/>
        </w:rPr>
        <w:t xml:space="preserve"> </w:t>
      </w:r>
      <w:r>
        <w:rPr>
          <w:rFonts w:ascii="Times New Roman" w:hAnsi="Times New Roman" w:cs="Times New Roman"/>
          <w:noProof/>
          <w:sz w:val="24"/>
          <w:szCs w:val="24"/>
        </w:rPr>
        <w:t xml:space="preserve">equally scores very high on achieving the two main specific objectives and thus on the general objective. The joint pay assessment is based on information needed by workers to assess possible individual discrimination which would be made available to them, even if the assessment would not be carried out </w:t>
      </w:r>
      <w:r>
        <w:rPr>
          <w:rFonts w:ascii="Times New Roman" w:hAnsi="Times New Roman" w:cs="Times New Roman"/>
          <w:i/>
          <w:iCs/>
          <w:noProof/>
          <w:sz w:val="24"/>
          <w:szCs w:val="24"/>
        </w:rPr>
        <w:t>ex ante</w:t>
      </w:r>
      <w:r>
        <w:rPr>
          <w:rFonts w:ascii="Times New Roman" w:hAnsi="Times New Roman" w:cs="Times New Roman"/>
          <w:noProof/>
          <w:sz w:val="24"/>
          <w:szCs w:val="24"/>
        </w:rPr>
        <w:t>. If the information is provided in a transparent manner allowing workers to place themselves individually in the context of the provided salary information, it could also score well on the first specific objective. In addition, the joint pay assessment with workers’ representatives would oblige employers, beyond any individual instances of discrimination, to focus the attention on potential gender bias in their pay structure and more importantly to take remedial action in case discrimination and bias are uncovered. However, the envisaged exemption would reduce the impact of this Sub-option; in order to protect all workers, it could be combined with one of the Sub-options under Option 1, for those organisations not covered by the joint pay assessment.</w:t>
      </w:r>
    </w:p>
    <w:p>
      <w:pPr>
        <w:spacing w:after="120"/>
        <w:jc w:val="both"/>
        <w:rPr>
          <w:rFonts w:ascii="Times New Roman" w:eastAsia="Times New Roman" w:hAnsi="Times New Roman" w:cs="Times New Roman"/>
          <w:noProof/>
          <w:sz w:val="24"/>
          <w:szCs w:val="24"/>
        </w:rPr>
      </w:pPr>
      <w:r>
        <w:rPr>
          <w:rFonts w:ascii="Times New Roman" w:hAnsi="Times New Roman" w:cs="Times New Roman"/>
          <w:b/>
          <w:bCs/>
          <w:noProof/>
          <w:sz w:val="24"/>
          <w:szCs w:val="24"/>
          <w:u w:val="single"/>
        </w:rPr>
        <w:t>Option 2 Sub-option 2C</w:t>
      </w:r>
      <w:r>
        <w:rPr>
          <w:rFonts w:ascii="Times New Roman" w:hAnsi="Times New Roman" w:cs="Times New Roman"/>
          <w:b/>
          <w:bCs/>
          <w:noProof/>
          <w:sz w:val="24"/>
          <w:szCs w:val="24"/>
        </w:rPr>
        <w:t xml:space="preserve"> </w:t>
      </w:r>
      <w:r>
        <w:rPr>
          <w:rFonts w:ascii="Times New Roman" w:hAnsi="Times New Roman" w:cs="Times New Roman"/>
          <w:noProof/>
          <w:sz w:val="24"/>
          <w:szCs w:val="24"/>
        </w:rPr>
        <w:t xml:space="preserve">scores lower than Sub-option 2A or 2B. Indeed, pay reporting as envisaged under this Sub-option would not give workers the information needed to assess possible discrimination in their individual case, but it </w:t>
      </w:r>
      <w:r>
        <w:rPr>
          <w:rFonts w:ascii="Times New Roman" w:eastAsia="Times New Roman" w:hAnsi="Times New Roman" w:cs="Times New Roman"/>
          <w:noProof/>
          <w:sz w:val="24"/>
          <w:szCs w:val="24"/>
        </w:rPr>
        <w:t xml:space="preserve">gives a basis for workers, workers’ representatives, labour inspectorates or equality bodies to ask questions and explanations on overall gender pay differences in organisations and acts as an incentive for companies to assess those more in detail. Any systematic revision of pay structures from the perspective of gender pay discrimination would nevertheless depend on the willingness to do so by the employer based on peer pressure or questions as referred to above, except for large organisations with at least 250 workers that would be subject to a joint pay assessment. In order to be more effective on the first specific objective and to ensure the protection of workers in all organisations across the EU, this Sub-option </w:t>
      </w:r>
      <w:r>
        <w:rPr>
          <w:rFonts w:ascii="Times New Roman" w:hAnsi="Times New Roman" w:cs="Times New Roman"/>
          <w:noProof/>
          <w:sz w:val="24"/>
          <w:szCs w:val="24"/>
        </w:rPr>
        <w:t>could gain in effectiveness if combined with any Sub-option under Option 1, especially in those organisations not covered by the joint pay assessment.</w:t>
      </w:r>
    </w:p>
    <w:p>
      <w:pPr>
        <w:autoSpaceDE w:val="0"/>
        <w:autoSpaceDN w:val="0"/>
        <w:adjustRightInd w:val="0"/>
        <w:spacing w:after="120"/>
        <w:jc w:val="both"/>
        <w:rPr>
          <w:rFonts w:ascii="Times New Roman" w:hAnsi="Times New Roman" w:cs="Times New Roman"/>
          <w:noProof/>
          <w:color w:val="000000" w:themeColor="text1"/>
          <w:sz w:val="24"/>
          <w:szCs w:val="24"/>
        </w:rPr>
      </w:pPr>
      <w:r>
        <w:rPr>
          <w:rFonts w:ascii="Times New Roman" w:eastAsia="Times New Roman" w:hAnsi="Times New Roman" w:cs="Times New Roman"/>
          <w:b/>
          <w:bCs/>
          <w:noProof/>
          <w:sz w:val="24"/>
          <w:szCs w:val="24"/>
          <w:u w:val="single"/>
        </w:rPr>
        <w:t>Option 2 Sub-option 2D</w:t>
      </w:r>
      <w:r>
        <w:rPr>
          <w:rFonts w:ascii="Times New Roman" w:eastAsia="Times New Roman" w:hAnsi="Times New Roman" w:cs="Times New Roman"/>
          <w:b/>
          <w:bCs/>
          <w:noProof/>
          <w:sz w:val="24"/>
          <w:szCs w:val="24"/>
        </w:rPr>
        <w:t xml:space="preserve"> </w:t>
      </w:r>
      <w:r>
        <w:rPr>
          <w:rFonts w:ascii="Times New Roman" w:eastAsia="Times New Roman" w:hAnsi="Times New Roman" w:cs="Times New Roman"/>
          <w:noProof/>
          <w:sz w:val="24"/>
          <w:szCs w:val="24"/>
        </w:rPr>
        <w:t xml:space="preserve">scores lower than Sub-option 2C but is still relevant to achieve the two specific objectives. It covers less employers but the inclusion of the additional key element in the pay reporting allowing to better uncover pay discrimination makes this reporting more useful than the one under Sub-option 2C. The limitation of the requirement to carry out a joint pay assessment to those organisations where problems would be evidenced, would permit </w:t>
      </w:r>
      <w:r>
        <w:rPr>
          <w:rFonts w:ascii="Times New Roman" w:hAnsi="Times New Roman" w:cs="Times New Roman"/>
          <w:noProof/>
          <w:sz w:val="24"/>
          <w:szCs w:val="24"/>
        </w:rPr>
        <w:t>to target action on the part of large employers where such action is mostly needed (relevant pay difference exceeding the statistical significance threshold).</w:t>
      </w:r>
      <w:r>
        <w:rPr>
          <w:rFonts w:ascii="Times New Roman" w:eastAsia="Times New Roman" w:hAnsi="Times New Roman" w:cs="Times New Roman"/>
          <w:noProof/>
          <w:sz w:val="24"/>
          <w:szCs w:val="24"/>
        </w:rPr>
        <w:t xml:space="preserve"> The envisaged limitation of the measures to organisations with at least 250 workers would, however, reduce the impact of this Sub-option. Again, given the exemptions envisaged and to </w:t>
      </w:r>
      <w:r>
        <w:rPr>
          <w:rFonts w:ascii="Times New Roman" w:hAnsi="Times New Roman" w:cs="Times New Roman"/>
          <w:noProof/>
          <w:color w:val="000000" w:themeColor="text1"/>
          <w:sz w:val="24"/>
          <w:szCs w:val="24"/>
        </w:rPr>
        <w:t>ensure that all workers, also those employed in small and medium-sized organisations, have tools to enforce their right to equal pay, it would gain in effectiveness if combined with any Sub-option under Option 1.</w:t>
      </w:r>
    </w:p>
    <w:p>
      <w:pPr>
        <w:autoSpaceDE w:val="0"/>
        <w:autoSpaceDN w:val="0"/>
        <w:adjustRightInd w:val="0"/>
        <w:spacing w:after="120"/>
        <w:jc w:val="both"/>
        <w:rPr>
          <w:rFonts w:ascii="Times New Roman" w:eastAsia="Times New Roman" w:hAnsi="Times New Roman" w:cs="Times New Roman"/>
          <w:noProof/>
          <w:sz w:val="24"/>
          <w:szCs w:val="24"/>
        </w:rPr>
      </w:pPr>
      <w:r>
        <w:rPr>
          <w:rFonts w:ascii="Times New Roman" w:hAnsi="Times New Roman" w:cs="Times New Roman"/>
          <w:b/>
          <w:bCs/>
          <w:noProof/>
          <w:color w:val="000000" w:themeColor="text1"/>
          <w:sz w:val="24"/>
          <w:szCs w:val="24"/>
          <w:u w:val="single"/>
        </w:rPr>
        <w:t>Option 3</w:t>
      </w:r>
      <w:r>
        <w:rPr>
          <w:rFonts w:ascii="Times New Roman" w:hAnsi="Times New Roman" w:cs="Times New Roman"/>
          <w:b/>
          <w:bCs/>
          <w:noProof/>
          <w:color w:val="000000" w:themeColor="text1"/>
          <w:sz w:val="24"/>
          <w:szCs w:val="24"/>
        </w:rPr>
        <w:t xml:space="preserve"> </w:t>
      </w:r>
      <w:r>
        <w:rPr>
          <w:rFonts w:ascii="Times New Roman" w:eastAsia="Times New Roman" w:hAnsi="Times New Roman" w:cs="Times New Roman"/>
          <w:noProof/>
          <w:sz w:val="24"/>
          <w:szCs w:val="24"/>
        </w:rPr>
        <w:t xml:space="preserve">scores relatively high on achieving both specific objectives. It does so by allowing workers to more easily point to possible comparators of the other sex and employers to gain insight in their pay structures through a better understanding of what is ‘work of equal value’. Access to justice would be improved, not only to tackle individual instances of gender pay discrimination but also systemic discrimination. However, on its own this option would only partially achieve the objectives as it does not address the </w:t>
      </w:r>
      <w:r>
        <w:rPr>
          <w:rFonts w:ascii="Times New Roman" w:eastAsia="Times New Roman" w:hAnsi="Times New Roman" w:cs="Times New Roman"/>
          <w:i/>
          <w:iCs/>
          <w:noProof/>
          <w:sz w:val="24"/>
          <w:szCs w:val="24"/>
        </w:rPr>
        <w:t>primary</w:t>
      </w:r>
      <w:r>
        <w:rPr>
          <w:rFonts w:ascii="Times New Roman" w:eastAsia="Times New Roman" w:hAnsi="Times New Roman" w:cs="Times New Roman"/>
          <w:noProof/>
          <w:sz w:val="24"/>
          <w:szCs w:val="24"/>
        </w:rPr>
        <w:t xml:space="preserve"> obstacle consisting in the lack of pay information necessary to assess whether one is victim of pay discrimination or whether there is gender bias in pay structures. Therefore, in order to contribute to the overall objective, it should be combined with other measures foreseen under Options 1 and/or 2.</w:t>
      </w:r>
    </w:p>
    <w:p>
      <w:pPr>
        <w:pStyle w:val="Heading2"/>
        <w:numPr>
          <w:ilvl w:val="1"/>
          <w:numId w:val="60"/>
        </w:numPr>
        <w:rPr>
          <w:noProof/>
          <w:color w:val="000000" w:themeColor="text1"/>
        </w:rPr>
      </w:pPr>
      <w:bookmarkStart w:id="4854" w:name="_Toc54289122"/>
      <w:bookmarkStart w:id="4855" w:name="_Toc54290621"/>
      <w:bookmarkStart w:id="4856" w:name="_Toc54290990"/>
      <w:bookmarkStart w:id="4857" w:name="_Toc54292114"/>
      <w:bookmarkStart w:id="4858" w:name="_Toc54340671"/>
      <w:bookmarkStart w:id="4859" w:name="_Toc54345773"/>
      <w:bookmarkStart w:id="4860" w:name="_Toc54348786"/>
      <w:bookmarkStart w:id="4861" w:name="_Toc54355116"/>
      <w:bookmarkStart w:id="4862" w:name="_Toc54355169"/>
      <w:bookmarkStart w:id="4863" w:name="_Toc54355641"/>
      <w:bookmarkStart w:id="4864" w:name="_Toc54355789"/>
      <w:bookmarkStart w:id="4865" w:name="_Toc54356143"/>
      <w:bookmarkStart w:id="4866" w:name="_Toc54356694"/>
      <w:bookmarkStart w:id="4867" w:name="_Toc54357561"/>
      <w:bookmarkStart w:id="4868" w:name="_Toc54357658"/>
      <w:bookmarkStart w:id="4869" w:name="_Toc54364609"/>
      <w:bookmarkStart w:id="4870" w:name="_Toc54371217"/>
      <w:bookmarkStart w:id="4871" w:name="_Toc54372054"/>
      <w:bookmarkStart w:id="4872" w:name="_Toc54376661"/>
      <w:bookmarkStart w:id="4873" w:name="_Toc58767213"/>
      <w:bookmarkStart w:id="4874" w:name="_Toc58769516"/>
      <w:bookmarkStart w:id="4875" w:name="_Toc58863856"/>
      <w:bookmarkStart w:id="4876" w:name="_Toc58868883"/>
      <w:bookmarkStart w:id="4877" w:name="_Toc58870714"/>
      <w:bookmarkStart w:id="4878" w:name="_Toc58870947"/>
      <w:bookmarkStart w:id="4879" w:name="_Toc58871853"/>
      <w:bookmarkStart w:id="4880" w:name="_Toc58872068"/>
      <w:bookmarkStart w:id="4881" w:name="_Toc58922815"/>
      <w:bookmarkStart w:id="4882" w:name="_Toc58925398"/>
      <w:bookmarkStart w:id="4883" w:name="_Toc58928899"/>
      <w:bookmarkStart w:id="4884" w:name="_Toc58931268"/>
      <w:bookmarkStart w:id="4885" w:name="_Toc58931902"/>
      <w:bookmarkStart w:id="4886" w:name="_Toc58950508"/>
      <w:bookmarkStart w:id="4887" w:name="_Toc58956800"/>
      <w:bookmarkStart w:id="4888" w:name="_Toc58957965"/>
      <w:bookmarkStart w:id="4889" w:name="_Toc58962498"/>
      <w:bookmarkStart w:id="4890" w:name="_Toc59096529"/>
      <w:bookmarkStart w:id="4891" w:name="_Toc59103125"/>
      <w:bookmarkStart w:id="4892" w:name="_Toc59104976"/>
      <w:bookmarkStart w:id="4893" w:name="_Toc59119936"/>
      <w:bookmarkStart w:id="4894" w:name="_Toc59121200"/>
      <w:bookmarkStart w:id="4895" w:name="_Toc59121319"/>
      <w:bookmarkStart w:id="4896" w:name="_Toc59549372"/>
      <w:r>
        <w:rPr>
          <w:noProof/>
        </w:rPr>
        <w:t xml:space="preserve"> </w:t>
      </w:r>
      <w:bookmarkStart w:id="4897" w:name="_Toc59642325"/>
      <w:r>
        <w:rPr>
          <w:noProof/>
        </w:rPr>
        <w:t>Efficiency</w:t>
      </w:r>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p>
    <w:p>
      <w:pPr>
        <w:spacing w:after="120"/>
        <w:jc w:val="both"/>
        <w:rPr>
          <w:rFonts w:ascii="Times New Roman" w:hAnsi="Times New Roman" w:cs="Times New Roman"/>
          <w:noProof/>
          <w:color w:val="000000" w:themeColor="text1"/>
          <w:sz w:val="24"/>
          <w:szCs w:val="24"/>
        </w:rPr>
      </w:pPr>
      <w:r>
        <w:rPr>
          <w:rFonts w:ascii="Times New Roman" w:hAnsi="Times New Roman" w:cs="Times New Roman"/>
          <w:b/>
          <w:bCs/>
          <w:noProof/>
          <w:color w:val="000000" w:themeColor="text1"/>
          <w:sz w:val="24"/>
          <w:szCs w:val="24"/>
          <w:u w:val="single"/>
        </w:rPr>
        <w:t>Option 0</w:t>
      </w:r>
      <w:r>
        <w:rPr>
          <w:rFonts w:ascii="Times New Roman" w:hAnsi="Times New Roman" w:cs="Times New Roman"/>
          <w:noProof/>
          <w:color w:val="000000" w:themeColor="text1"/>
          <w:sz w:val="24"/>
          <w:szCs w:val="24"/>
        </w:rPr>
        <w:t xml:space="preserve"> scores null in terms of efficiency because it would not have any more costs/benefits than the current framework. </w:t>
      </w:r>
    </w:p>
    <w:p>
      <w:pPr>
        <w:spacing w:after="120"/>
        <w:jc w:val="both"/>
        <w:rPr>
          <w:rFonts w:ascii="Times New Roman" w:hAnsi="Times New Roman" w:cs="Times New Roman"/>
          <w:noProof/>
          <w:color w:val="000000" w:themeColor="text1"/>
          <w:sz w:val="24"/>
          <w:szCs w:val="24"/>
        </w:rPr>
      </w:pPr>
      <w:r>
        <w:rPr>
          <w:rFonts w:ascii="Times New Roman" w:hAnsi="Times New Roman" w:cs="Times New Roman"/>
          <w:b/>
          <w:bCs/>
          <w:noProof/>
          <w:color w:val="000000" w:themeColor="text1"/>
          <w:sz w:val="24"/>
          <w:szCs w:val="24"/>
          <w:u w:val="single"/>
        </w:rPr>
        <w:t xml:space="preserve">Options 1 </w:t>
      </w:r>
      <w:r>
        <w:rPr>
          <w:rFonts w:ascii="Times New Roman" w:hAnsi="Times New Roman" w:cs="Times New Roman"/>
          <w:b/>
          <w:bCs/>
          <w:noProof/>
          <w:sz w:val="24"/>
          <w:szCs w:val="24"/>
          <w:u w:val="single"/>
        </w:rPr>
        <w:t>Sub-option 1A</w:t>
      </w:r>
      <w:r>
        <w:rPr>
          <w:rFonts w:ascii="Times New Roman" w:hAnsi="Times New Roman" w:cs="Times New Roman"/>
          <w:noProof/>
          <w:sz w:val="24"/>
          <w:szCs w:val="24"/>
        </w:rPr>
        <w:t xml:space="preserve"> scores relatively well on efficiency in relation to the first specific objective </w:t>
      </w:r>
      <w:r>
        <w:rPr>
          <w:rFonts w:ascii="Times New Roman" w:hAnsi="Times New Roman" w:cs="Times New Roman"/>
          <w:noProof/>
          <w:color w:val="000000" w:themeColor="text1"/>
          <w:sz w:val="24"/>
          <w:szCs w:val="24"/>
        </w:rPr>
        <w:t>as it has the most benefits/social impacts on workers and brings moderate economic costs for employers. Thanks to the exemptions tailored to the size of employers, the costs and burden are minimised for smaller employers. Even if workers would not automatically receive information in smaller organisations, an effective protection of their rights would still be ensured by the reinforced burden of proof mechanism and other access to justice tools.</w:t>
      </w:r>
      <w:r>
        <w:rPr>
          <w:rFonts w:ascii="Times New Roman" w:hAnsi="Times New Roman" w:cs="Times New Roman"/>
          <w:noProof/>
          <w:sz w:val="24"/>
          <w:szCs w:val="24"/>
        </w:rPr>
        <w:t xml:space="preserve"> On the other hand, this option would still impose a burden of communicating information to a great number of organisations, also those in which there may be no problem relating to pay inequalities. The Sub-Option does not score very well on the second specific objective; it would create costs for employers without triggering a systematic revision of pay structures, even if it would create the necessary conditions for such revisions.</w:t>
      </w:r>
    </w:p>
    <w:p>
      <w:pPr>
        <w:spacing w:after="120"/>
        <w:jc w:val="both"/>
        <w:rPr>
          <w:rFonts w:ascii="Times New Roman" w:hAnsi="Times New Roman" w:cs="Times New Roman"/>
          <w:noProof/>
          <w:sz w:val="24"/>
          <w:szCs w:val="24"/>
        </w:rPr>
      </w:pPr>
      <w:r>
        <w:rPr>
          <w:rFonts w:ascii="Times New Roman" w:hAnsi="Times New Roman" w:cs="Times New Roman"/>
          <w:b/>
          <w:bCs/>
          <w:noProof/>
          <w:color w:val="000000" w:themeColor="text1"/>
          <w:sz w:val="24"/>
          <w:szCs w:val="24"/>
          <w:u w:val="single"/>
        </w:rPr>
        <w:t xml:space="preserve">Option 1 </w:t>
      </w:r>
      <w:r>
        <w:rPr>
          <w:rFonts w:ascii="Times New Roman" w:hAnsi="Times New Roman" w:cs="Times New Roman"/>
          <w:b/>
          <w:bCs/>
          <w:noProof/>
          <w:sz w:val="24"/>
          <w:szCs w:val="24"/>
          <w:u w:val="single"/>
        </w:rPr>
        <w:t>Sub-option 1B</w:t>
      </w:r>
      <w:r>
        <w:rPr>
          <w:rFonts w:ascii="Times New Roman" w:hAnsi="Times New Roman" w:cs="Times New Roman"/>
          <w:b/>
          <w:bCs/>
          <w:noProof/>
          <w:sz w:val="24"/>
          <w:szCs w:val="24"/>
        </w:rPr>
        <w:t xml:space="preserve"> </w:t>
      </w:r>
      <w:r>
        <w:rPr>
          <w:rFonts w:ascii="Times New Roman" w:hAnsi="Times New Roman" w:cs="Times New Roman"/>
          <w:noProof/>
          <w:sz w:val="24"/>
          <w:szCs w:val="24"/>
        </w:rPr>
        <w:t>scores better on efficiency in relation to the first specific objective. It achieves the objective of empowering workers, while maximally reducing the burden on employers. As such, it would constitute a more proportionate measure, in that information would only need to be provided in case of suspected problem. On the other hand, it would score lower in regard to the second specific objective, as it would seem unlikely to trigger any systematic revision of pay structures in organisations.</w:t>
      </w:r>
    </w:p>
    <w:p>
      <w:pPr>
        <w:spacing w:after="120"/>
        <w:jc w:val="both"/>
        <w:rPr>
          <w:rFonts w:ascii="Times New Roman" w:hAnsi="Times New Roman" w:cs="Times New Roman"/>
          <w:noProof/>
          <w:sz w:val="24"/>
          <w:szCs w:val="24"/>
        </w:rPr>
      </w:pPr>
      <w:r>
        <w:rPr>
          <w:rFonts w:ascii="Times New Roman" w:hAnsi="Times New Roman" w:cs="Times New Roman"/>
          <w:b/>
          <w:bCs/>
          <w:noProof/>
          <w:sz w:val="24"/>
          <w:szCs w:val="24"/>
          <w:u w:val="single"/>
        </w:rPr>
        <w:t>Option 2 Sub-option 2A</w:t>
      </w:r>
      <w:r>
        <w:rPr>
          <w:rFonts w:ascii="Times New Roman" w:hAnsi="Times New Roman" w:cs="Times New Roman"/>
          <w:noProof/>
          <w:sz w:val="24"/>
          <w:szCs w:val="24"/>
        </w:rPr>
        <w:t xml:space="preserve"> </w:t>
      </w:r>
      <w:r>
        <w:rPr>
          <w:rFonts w:ascii="Times New Roman" w:hAnsi="Times New Roman" w:cs="Times New Roman"/>
          <w:noProof/>
          <w:color w:val="000000" w:themeColor="text1"/>
          <w:sz w:val="24"/>
          <w:szCs w:val="24"/>
        </w:rPr>
        <w:t xml:space="preserve">scores lower than the other options on efficiency as the costs and burden of the option are much higher. Although the mandatory certification scheme has the potential to drastically reduce pay discrimination, its application to all organisations with at least 50 workers would include those that might not have a problem relating to pay inequalities. In addition, its application in Iceland has not yet been evaluated, therefore it is difficult to fully assess the rather high costs against the expected benefits. </w:t>
      </w:r>
    </w:p>
    <w:p>
      <w:pPr>
        <w:spacing w:after="120"/>
        <w:jc w:val="both"/>
        <w:rPr>
          <w:rFonts w:ascii="Times New Roman" w:hAnsi="Times New Roman" w:cs="Times New Roman"/>
          <w:b/>
          <w:noProof/>
          <w:sz w:val="24"/>
          <w:szCs w:val="24"/>
          <w:u w:val="single"/>
        </w:rPr>
      </w:pPr>
      <w:r>
        <w:rPr>
          <w:rFonts w:ascii="Times New Roman" w:hAnsi="Times New Roman" w:cs="Times New Roman"/>
          <w:b/>
          <w:bCs/>
          <w:noProof/>
          <w:sz w:val="24"/>
          <w:szCs w:val="24"/>
          <w:u w:val="single"/>
        </w:rPr>
        <w:t>Option 2 Sub-option 2B</w:t>
      </w:r>
      <w:r>
        <w:rPr>
          <w:rFonts w:ascii="Times New Roman" w:hAnsi="Times New Roman" w:cs="Times New Roman"/>
          <w:b/>
          <w:bCs/>
          <w:noProof/>
          <w:sz w:val="24"/>
          <w:szCs w:val="24"/>
        </w:rPr>
        <w:t xml:space="preserve"> </w:t>
      </w:r>
      <w:r>
        <w:rPr>
          <w:rFonts w:ascii="Times New Roman" w:hAnsi="Times New Roman" w:cs="Times New Roman"/>
          <w:noProof/>
          <w:sz w:val="24"/>
          <w:szCs w:val="24"/>
        </w:rPr>
        <w:t>scores better than Sub-Option 2A but still lower on efficiency than Sub-options 2C and 2D. While it would have a strong influence on addressing gender bias in pay structures and has the potential to empower workers in organisations with at least 50 workers, it would still impose a noteworthy burden on medium sized employers, even if its cost would be lower than the cost of Sub-Option 2A. In addition, it suffers from the same drawback as Sub-Option 2A in that it would entail costs and burden on the part of all employers, including those which may not have a problem of pay inequalities in their organisation.</w:t>
      </w:r>
    </w:p>
    <w:p>
      <w:pPr>
        <w:spacing w:after="120"/>
        <w:jc w:val="both"/>
        <w:rPr>
          <w:rFonts w:ascii="Times New Roman" w:hAnsi="Times New Roman" w:cs="Times New Roman"/>
          <w:b/>
          <w:noProof/>
          <w:sz w:val="24"/>
          <w:szCs w:val="24"/>
          <w:u w:val="single"/>
        </w:rPr>
      </w:pPr>
      <w:r>
        <w:rPr>
          <w:rFonts w:ascii="Times New Roman" w:hAnsi="Times New Roman" w:cs="Times New Roman"/>
          <w:b/>
          <w:bCs/>
          <w:noProof/>
          <w:sz w:val="24"/>
          <w:szCs w:val="24"/>
          <w:u w:val="single"/>
        </w:rPr>
        <w:t>Option 2 Sub-option 2C.</w:t>
      </w:r>
      <w:r>
        <w:rPr>
          <w:rFonts w:ascii="Times New Roman" w:hAnsi="Times New Roman" w:cs="Times New Roman"/>
          <w:b/>
          <w:bCs/>
          <w:noProof/>
          <w:sz w:val="24"/>
          <w:szCs w:val="24"/>
        </w:rPr>
        <w:t xml:space="preserve"> </w:t>
      </w:r>
      <w:r>
        <w:rPr>
          <w:rFonts w:ascii="Times New Roman" w:hAnsi="Times New Roman" w:cs="Times New Roman"/>
          <w:noProof/>
          <w:sz w:val="24"/>
          <w:szCs w:val="24"/>
        </w:rPr>
        <w:t>The limited average time of pay reporting added to the possible simplification of the data processing through digitalisation shows that the overall costs of pay reporting as envisaged under this Sub-option remains low. This is proportionate to the benefits it entails in terms of peer pressure and providing at least an indication of possible pay inequalities triggering questions from stakeholders. While the measure may involve more costs for Member States in regard to the monitoring of the data, they could generally rely on existing administrative entities. In term of efficiency, some Member States may be able to alleviate the administrative burden on employers by achieving the results of this measure through administrative computation of the pay gap at employer level. The joint pay assessment for employers with at least 250 employees would ensure that follow-up action takes place in large organisations; its costs remain moderate compared to the benefits it brings. However, the assessment would be imposed on all such organisations, even those that may not have a problem with pay inequalities, thus raising similar questions regarding proportionality as Sub-Options 2A and 2B above.</w:t>
      </w:r>
    </w:p>
    <w:p>
      <w:pPr>
        <w:jc w:val="both"/>
        <w:rPr>
          <w:noProof/>
        </w:rPr>
      </w:pPr>
      <w:r>
        <w:rPr>
          <w:rFonts w:ascii="Times New Roman" w:hAnsi="Times New Roman" w:cs="Times New Roman"/>
          <w:b/>
          <w:bCs/>
          <w:noProof/>
          <w:sz w:val="24"/>
          <w:szCs w:val="24"/>
          <w:u w:val="single"/>
        </w:rPr>
        <w:t>Option 2 Sub-option 2D</w:t>
      </w:r>
      <w:r>
        <w:rPr>
          <w:rFonts w:ascii="Times New Roman" w:hAnsi="Times New Roman" w:cs="Times New Roman"/>
          <w:b/>
          <w:bCs/>
          <w:noProof/>
          <w:sz w:val="24"/>
          <w:szCs w:val="24"/>
        </w:rPr>
        <w:t xml:space="preserve"> </w:t>
      </w:r>
      <w:r>
        <w:rPr>
          <w:rFonts w:ascii="Times New Roman" w:hAnsi="Times New Roman" w:cs="Times New Roman"/>
          <w:noProof/>
          <w:sz w:val="24"/>
          <w:szCs w:val="24"/>
        </w:rPr>
        <w:t>would entail the least costs and burden for employers, ensuring transparency on pay structures in large organisations and providing targeted action where problems of discrimination and bias are detected. Benefits would be limited to workers in organisations with at least 250 employees. Nevertheless, this Sub-option could be considered the most adequate at this moment in time, in light of the lack of hard data on the extent of existing gender based pay discrimination on the one hand and the current economic downturn as a result of the pandemic on the other hand. It would constitute a first step, allowing to gather more data at least in large organisations and awaiting circumstances where employers could more easily carry the burden of more effective pay transparency measures. By laying down minimum standards targeting action only where necessary, this Sub-option would reach the second specific objective in a more proportionate manner. However, its efficiency in relation to the first specific objective would remain limited.</w:t>
      </w:r>
    </w:p>
    <w:p>
      <w:pPr>
        <w:spacing w:after="0"/>
        <w:jc w:val="both"/>
        <w:rPr>
          <w:rFonts w:ascii="Times New Roman" w:hAnsi="Times New Roman" w:cs="Times New Roman"/>
          <w:b/>
          <w:noProof/>
          <w:color w:val="000000" w:themeColor="text1"/>
          <w:sz w:val="24"/>
          <w:szCs w:val="24"/>
        </w:rPr>
      </w:pPr>
      <w:r>
        <w:rPr>
          <w:rFonts w:ascii="Times New Roman" w:hAnsi="Times New Roman" w:cs="Times New Roman"/>
          <w:b/>
          <w:bCs/>
          <w:noProof/>
          <w:color w:val="000000" w:themeColor="text1"/>
          <w:sz w:val="24"/>
          <w:szCs w:val="24"/>
          <w:u w:val="single"/>
        </w:rPr>
        <w:t>Option 3</w:t>
      </w:r>
      <w:r>
        <w:rPr>
          <w:rFonts w:ascii="Times New Roman" w:hAnsi="Times New Roman" w:cs="Times New Roman"/>
          <w:b/>
          <w:bCs/>
          <w:noProof/>
          <w:color w:val="000000" w:themeColor="text1"/>
          <w:sz w:val="24"/>
          <w:szCs w:val="24"/>
        </w:rPr>
        <w:t xml:space="preserve"> </w:t>
      </w:r>
      <w:r>
        <w:rPr>
          <w:rFonts w:ascii="Times New Roman" w:hAnsi="Times New Roman" w:cs="Times New Roman"/>
          <w:noProof/>
          <w:color w:val="000000" w:themeColor="text1"/>
          <w:sz w:val="24"/>
          <w:szCs w:val="24"/>
        </w:rPr>
        <w:t xml:space="preserve">scores relatively high on efficiency because the benefits and social impacts would be higher than the costs involved. The envisaged measures consist of legislative changes which entail no direct costs while </w:t>
      </w:r>
      <w:r>
        <w:rPr>
          <w:rFonts w:ascii="Times New Roman" w:hAnsi="Times New Roman" w:cs="Times New Roman"/>
          <w:noProof/>
          <w:sz w:val="24"/>
          <w:szCs w:val="24"/>
        </w:rPr>
        <w:t>providing strengthened protection and support to potential victims of discrimination and deterring potential infringers.</w:t>
      </w:r>
    </w:p>
    <w:p>
      <w:pPr>
        <w:spacing w:after="0"/>
        <w:jc w:val="both"/>
        <w:rPr>
          <w:rFonts w:ascii="Times New Roman" w:hAnsi="Times New Roman" w:cs="Times New Roman"/>
          <w:noProof/>
          <w:color w:val="000000" w:themeColor="text1"/>
          <w:sz w:val="24"/>
        </w:rPr>
      </w:pPr>
    </w:p>
    <w:p>
      <w:pPr>
        <w:pStyle w:val="Heading2"/>
        <w:numPr>
          <w:ilvl w:val="1"/>
          <w:numId w:val="60"/>
        </w:numPr>
        <w:rPr>
          <w:noProof/>
          <w:color w:val="000000" w:themeColor="text1"/>
        </w:rPr>
      </w:pPr>
      <w:bookmarkStart w:id="4898" w:name="_Toc54289123"/>
      <w:bookmarkStart w:id="4899" w:name="_Toc54290622"/>
      <w:bookmarkStart w:id="4900" w:name="_Toc54290991"/>
      <w:bookmarkStart w:id="4901" w:name="_Toc54292115"/>
      <w:bookmarkStart w:id="4902" w:name="_Toc54340672"/>
      <w:bookmarkStart w:id="4903" w:name="_Toc54345774"/>
      <w:bookmarkStart w:id="4904" w:name="_Toc54348787"/>
      <w:bookmarkStart w:id="4905" w:name="_Toc54355117"/>
      <w:bookmarkStart w:id="4906" w:name="_Toc54355170"/>
      <w:bookmarkStart w:id="4907" w:name="_Toc54355642"/>
      <w:bookmarkStart w:id="4908" w:name="_Toc54355790"/>
      <w:bookmarkStart w:id="4909" w:name="_Toc54356144"/>
      <w:bookmarkStart w:id="4910" w:name="_Toc54356695"/>
      <w:bookmarkStart w:id="4911" w:name="_Toc54357562"/>
      <w:bookmarkStart w:id="4912" w:name="_Toc54357659"/>
      <w:bookmarkStart w:id="4913" w:name="_Toc54364610"/>
      <w:bookmarkStart w:id="4914" w:name="_Toc54371218"/>
      <w:bookmarkStart w:id="4915" w:name="_Toc54372055"/>
      <w:bookmarkStart w:id="4916" w:name="_Toc54376662"/>
      <w:bookmarkStart w:id="4917" w:name="_Toc58767214"/>
      <w:bookmarkStart w:id="4918" w:name="_Toc58769517"/>
      <w:bookmarkStart w:id="4919" w:name="_Toc58863857"/>
      <w:bookmarkStart w:id="4920" w:name="_Toc58868884"/>
      <w:bookmarkStart w:id="4921" w:name="_Toc58870715"/>
      <w:bookmarkStart w:id="4922" w:name="_Toc58870948"/>
      <w:bookmarkStart w:id="4923" w:name="_Toc58871854"/>
      <w:bookmarkStart w:id="4924" w:name="_Toc58872069"/>
      <w:bookmarkStart w:id="4925" w:name="_Toc58922816"/>
      <w:bookmarkStart w:id="4926" w:name="_Toc58925399"/>
      <w:bookmarkStart w:id="4927" w:name="_Toc58928900"/>
      <w:bookmarkStart w:id="4928" w:name="_Toc58931269"/>
      <w:bookmarkStart w:id="4929" w:name="_Toc58931903"/>
      <w:bookmarkStart w:id="4930" w:name="_Toc58950509"/>
      <w:bookmarkStart w:id="4931" w:name="_Toc58956801"/>
      <w:bookmarkStart w:id="4932" w:name="_Toc58957966"/>
      <w:bookmarkStart w:id="4933" w:name="_Toc58962499"/>
      <w:bookmarkStart w:id="4934" w:name="_Toc59096530"/>
      <w:bookmarkStart w:id="4935" w:name="_Toc59103126"/>
      <w:bookmarkStart w:id="4936" w:name="_Toc59104977"/>
      <w:bookmarkStart w:id="4937" w:name="_Toc59119937"/>
      <w:bookmarkStart w:id="4938" w:name="_Toc59121201"/>
      <w:bookmarkStart w:id="4939" w:name="_Toc59121320"/>
      <w:r>
        <w:rPr>
          <w:noProof/>
        </w:rPr>
        <w:t xml:space="preserve"> </w:t>
      </w:r>
      <w:bookmarkStart w:id="4940" w:name="_Toc59549373"/>
      <w:bookmarkStart w:id="4941" w:name="_Toc59642326"/>
      <w:r>
        <w:rPr>
          <w:noProof/>
        </w:rPr>
        <w:t>Coherence</w:t>
      </w:r>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p>
    <w:p>
      <w:pPr>
        <w:spacing w:after="120"/>
        <w:jc w:val="both"/>
        <w:rPr>
          <w:rFonts w:ascii="Times New Roman" w:hAnsi="Times New Roman" w:cs="Times New Roman"/>
          <w:noProof/>
          <w:sz w:val="24"/>
          <w:szCs w:val="24"/>
          <w:lang w:val="en-US"/>
        </w:rPr>
      </w:pPr>
      <w:r>
        <w:rPr>
          <w:rFonts w:ascii="Times New Roman" w:hAnsi="Times New Roman" w:cs="Times New Roman"/>
          <w:noProof/>
          <w:sz w:val="24"/>
          <w:szCs w:val="24"/>
        </w:rPr>
        <w:t xml:space="preserve">In terms of coherence, all the options considered under this initiative are coherent with the social and economic goals of the EU as described in the </w:t>
      </w:r>
      <w:r>
        <w:rPr>
          <w:rFonts w:ascii="Times New Roman" w:hAnsi="Times New Roman" w:cs="Times New Roman"/>
          <w:i/>
          <w:iCs/>
          <w:noProof/>
          <w:sz w:val="24"/>
          <w:szCs w:val="24"/>
        </w:rPr>
        <w:t>Section 1</w:t>
      </w:r>
      <w:r>
        <w:rPr>
          <w:rFonts w:ascii="Times New Roman" w:hAnsi="Times New Roman" w:cs="Times New Roman"/>
          <w:noProof/>
          <w:sz w:val="24"/>
          <w:szCs w:val="24"/>
        </w:rPr>
        <w:t xml:space="preserve"> and </w:t>
      </w:r>
      <w:r>
        <w:rPr>
          <w:rFonts w:ascii="Times New Roman" w:hAnsi="Times New Roman" w:cs="Times New Roman"/>
          <w:i/>
          <w:iCs/>
          <w:noProof/>
          <w:sz w:val="24"/>
          <w:szCs w:val="24"/>
        </w:rPr>
        <w:t>Section 3.2</w:t>
      </w:r>
      <w:r>
        <w:rPr>
          <w:rFonts w:ascii="Times New Roman" w:hAnsi="Times New Roman" w:cs="Times New Roman"/>
          <w:noProof/>
          <w:sz w:val="24"/>
          <w:szCs w:val="24"/>
        </w:rPr>
        <w:t xml:space="preserve"> of this impact assessment. Together with other EU action such as the Work-Life Balance Directive, the proposed Gender Balance on Corporate Boards proposal, the EU’s Skills Agenda, it contributes to combating the root causes of the gender pay gap. It is coherent to the Gender Equality Recast Directive, to which it would constitute a </w:t>
      </w:r>
      <w:r>
        <w:rPr>
          <w:rFonts w:ascii="Times New Roman" w:hAnsi="Times New Roman" w:cs="Times New Roman"/>
          <w:i/>
          <w:iCs/>
          <w:noProof/>
          <w:sz w:val="24"/>
          <w:szCs w:val="24"/>
        </w:rPr>
        <w:t>lex specialis</w:t>
      </w:r>
      <w:r>
        <w:rPr>
          <w:rFonts w:ascii="Times New Roman" w:hAnsi="Times New Roman" w:cs="Times New Roman"/>
          <w:noProof/>
          <w:sz w:val="24"/>
          <w:szCs w:val="24"/>
        </w:rPr>
        <w:t xml:space="preserve"> (see </w:t>
      </w:r>
      <w:r>
        <w:rPr>
          <w:rFonts w:ascii="Times New Roman" w:hAnsi="Times New Roman" w:cs="Times New Roman"/>
          <w:i/>
          <w:iCs/>
          <w:noProof/>
          <w:sz w:val="24"/>
          <w:szCs w:val="24"/>
        </w:rPr>
        <w:t>Section 8.8</w:t>
      </w:r>
      <w:r>
        <w:rPr>
          <w:rFonts w:ascii="Times New Roman" w:hAnsi="Times New Roman" w:cs="Times New Roman"/>
          <w:noProof/>
          <w:sz w:val="24"/>
          <w:szCs w:val="24"/>
        </w:rPr>
        <w:t xml:space="preserve"> below). </w:t>
      </w:r>
      <w:r>
        <w:rPr>
          <w:rFonts w:ascii="Times New Roman" w:hAnsi="Times New Roman" w:cs="Times New Roman"/>
          <w:noProof/>
          <w:sz w:val="24"/>
          <w:szCs w:val="24"/>
          <w:lang w:val="en-US"/>
        </w:rPr>
        <w:t xml:space="preserve">As a targeted binding measure, the initiative would address the most problematic issue identified by the 2013 implementation report of the Recast directive – the implementation of the principle of equal pay between women and men. It does so by way of measures which already exist to a certain extent in a number of Member States. </w:t>
      </w:r>
      <w:r>
        <w:rPr>
          <w:rFonts w:ascii="Times New Roman" w:hAnsi="Times New Roman" w:cs="Times New Roman"/>
          <w:noProof/>
          <w:sz w:val="24"/>
          <w:szCs w:val="24"/>
        </w:rPr>
        <w:t>This proposal is also coherent with the initiative aimed at increasing companies’ re</w:t>
      </w:r>
      <w:r>
        <w:rPr>
          <w:rFonts w:ascii="Times New Roman" w:eastAsia="Calibri" w:hAnsi="Times New Roman" w:cs="Times New Roman"/>
          <w:noProof/>
          <w:sz w:val="24"/>
          <w:szCs w:val="24"/>
          <w:lang w:eastAsia="en-IE"/>
        </w:rPr>
        <w:t>porting of relevant non-financial information</w:t>
      </w:r>
      <w:r>
        <w:rPr>
          <w:rStyle w:val="FootnoteReference"/>
          <w:rFonts w:ascii="Times New Roman" w:eastAsia="Calibri" w:hAnsi="Times New Roman" w:cs="Times New Roman"/>
          <w:noProof/>
          <w:sz w:val="24"/>
          <w:szCs w:val="24"/>
          <w:lang w:eastAsia="en-IE"/>
        </w:rPr>
        <w:footnoteReference w:id="183"/>
      </w:r>
      <w:r>
        <w:rPr>
          <w:rFonts w:ascii="Times New Roman" w:eastAsia="Calibri" w:hAnsi="Times New Roman" w:cs="Times New Roman"/>
          <w:noProof/>
          <w:sz w:val="24"/>
          <w:szCs w:val="24"/>
          <w:lang w:eastAsia="en-IE"/>
        </w:rPr>
        <w:t xml:space="preserve">. It is consistent with and supported by </w:t>
      </w:r>
      <w:r>
        <w:rPr>
          <w:rFonts w:ascii="Times New Roman" w:hAnsi="Times New Roman" w:cs="Times New Roman"/>
          <w:noProof/>
          <w:sz w:val="24"/>
          <w:szCs w:val="24"/>
        </w:rPr>
        <w:t>the EU minimum wage initiative</w:t>
      </w:r>
      <w:r>
        <w:rPr>
          <w:rStyle w:val="FootnoteReference"/>
          <w:rFonts w:ascii="Times New Roman" w:hAnsi="Times New Roman" w:cs="Times New Roman"/>
          <w:noProof/>
          <w:sz w:val="24"/>
          <w:szCs w:val="24"/>
        </w:rPr>
        <w:footnoteReference w:id="184"/>
      </w:r>
      <w:r>
        <w:rPr>
          <w:rFonts w:ascii="Times New Roman" w:hAnsi="Times New Roman" w:cs="Times New Roman"/>
          <w:noProof/>
          <w:sz w:val="24"/>
          <w:szCs w:val="24"/>
        </w:rPr>
        <w:t xml:space="preserve"> and the upcoming sustainable corporate governance initiative</w:t>
      </w:r>
      <w:r>
        <w:rPr>
          <w:rFonts w:ascii="Times New Roman" w:hAnsi="Times New Roman" w:cs="Times New Roman"/>
          <w:noProof/>
          <w:sz w:val="24"/>
          <w:szCs w:val="24"/>
          <w:vertAlign w:val="superscript"/>
        </w:rPr>
        <w:footnoteReference w:id="185"/>
      </w:r>
      <w:r>
        <w:rPr>
          <w:rFonts w:ascii="Times New Roman" w:hAnsi="Times New Roman" w:cs="Times New Roman"/>
          <w:noProof/>
          <w:sz w:val="24"/>
          <w:szCs w:val="24"/>
        </w:rPr>
        <w:t>.</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The initiative is coherent with the Commission's commitment to recovery from the economic crisis resulting from the COVID-19 pandemic. It seeks to achieve the proportionate balance between protecting workers’ rights and moderating the burden and costs of pay transparency for employers. Through a combination of measures, it may be ensured that a minimum level of transparency would exist in all organisations in the EU, even in small and medium-sized enterprises. The latter would thus not necessarily suffer in terms of image as attractive employers or ability to retain talent. Of course, they may always go for higher levels of transparency and remedial action if they wish to do so. </w:t>
      </w:r>
    </w:p>
    <w:p>
      <w:pPr>
        <w:keepNext/>
        <w:spacing w:after="120"/>
        <w:contextualSpacing/>
        <w:jc w:val="both"/>
        <w:rPr>
          <w:rFonts w:ascii="Times New Roman" w:hAnsi="Times New Roman" w:cs="Times New Roman"/>
          <w:noProof/>
          <w:sz w:val="24"/>
          <w:szCs w:val="24"/>
          <w:lang w:val="en-US"/>
        </w:rPr>
      </w:pPr>
      <w:r>
        <w:rPr>
          <w:rFonts w:ascii="Times New Roman" w:hAnsi="Times New Roman" w:cs="Times New Roman"/>
          <w:noProof/>
          <w:sz w:val="24"/>
          <w:szCs w:val="24"/>
        </w:rPr>
        <w:t xml:space="preserve">At different stages of the consultation process, including the consultation related to the 2020 Evaluation, Member States and stakeholders expressed some concerns, in particular as regards the possible interference of EU-level intervention with Member States’ different labour market models, different levels of social partners’ participation in the area of wage setting and related employment relations as well as the autonomy of social partners. All options are designed in a manner that effectively addresses the objective of the intervention while respecting different features of national social dialogue and collective bargaining systems and the autonomy of social partners. The initiative not only allows but would most desirably rely on social partners to be entrusted with the implementation of the measures and would allow for the necessary flexibility in this regard. </w:t>
      </w:r>
      <w:bookmarkStart w:id="4942" w:name="_Toc54288741"/>
      <w:bookmarkStart w:id="4943" w:name="_Toc54289289"/>
      <w:bookmarkStart w:id="4944" w:name="_Toc54289367"/>
      <w:bookmarkStart w:id="4945" w:name="_Toc54289609"/>
      <w:bookmarkStart w:id="4946" w:name="_Toc54289826"/>
      <w:bookmarkStart w:id="4947" w:name="_Toc54289979"/>
      <w:bookmarkStart w:id="4948" w:name="_Toc54290385"/>
      <w:bookmarkStart w:id="4949" w:name="_Toc54290459"/>
      <w:bookmarkStart w:id="4950" w:name="_Toc54290623"/>
      <w:bookmarkStart w:id="4951" w:name="_Toc54290992"/>
      <w:bookmarkStart w:id="4952" w:name="_Toc54297345"/>
      <w:bookmarkStart w:id="4953" w:name="_Toc54338053"/>
      <w:bookmarkEnd w:id="4942"/>
      <w:bookmarkEnd w:id="4943"/>
      <w:bookmarkEnd w:id="4944"/>
      <w:bookmarkEnd w:id="4945"/>
      <w:bookmarkEnd w:id="4946"/>
      <w:bookmarkEnd w:id="4947"/>
      <w:bookmarkEnd w:id="4948"/>
      <w:bookmarkEnd w:id="4949"/>
      <w:bookmarkEnd w:id="4950"/>
      <w:bookmarkEnd w:id="4951"/>
      <w:bookmarkEnd w:id="4952"/>
      <w:bookmarkEnd w:id="4953"/>
    </w:p>
    <w:p>
      <w:pPr>
        <w:pStyle w:val="Heading2"/>
        <w:tabs>
          <w:tab w:val="clear" w:pos="3306"/>
        </w:tabs>
        <w:ind w:left="0" w:firstLine="0"/>
        <w:rPr>
          <w:noProof/>
        </w:rPr>
      </w:pPr>
      <w:bookmarkStart w:id="4954" w:name="_Toc59096531"/>
      <w:bookmarkStart w:id="4955" w:name="_Toc59103127"/>
      <w:bookmarkStart w:id="4956" w:name="_Toc59104978"/>
      <w:bookmarkStart w:id="4957" w:name="_Toc59119938"/>
      <w:bookmarkStart w:id="4958" w:name="_Toc59121202"/>
      <w:bookmarkStart w:id="4959" w:name="_Toc59121321"/>
      <w:bookmarkStart w:id="4960" w:name="_Toc59549374"/>
      <w:bookmarkStart w:id="4961" w:name="_Toc59642327"/>
      <w:r>
        <w:rPr>
          <w:noProof/>
        </w:rPr>
        <w:t>8.4. Comparison of options</w:t>
      </w:r>
      <w:bookmarkEnd w:id="4954"/>
      <w:bookmarkEnd w:id="4955"/>
      <w:bookmarkEnd w:id="4956"/>
      <w:bookmarkEnd w:id="4957"/>
      <w:bookmarkEnd w:id="4958"/>
      <w:bookmarkEnd w:id="4959"/>
      <w:bookmarkEnd w:id="4960"/>
      <w:bookmarkEnd w:id="4961"/>
    </w:p>
    <w:p>
      <w:pPr>
        <w:pStyle w:val="Caption"/>
        <w:keepNext/>
        <w:jc w:val="both"/>
        <w:rPr>
          <w:rFonts w:ascii="Times New Roman" w:hAnsi="Times New Roman" w:cs="Times New Roman"/>
          <w:i w:val="0"/>
          <w:noProof/>
          <w:color w:val="auto"/>
          <w:sz w:val="24"/>
          <w:szCs w:val="24"/>
          <w:lang w:val="en-IE"/>
        </w:rPr>
      </w:pPr>
      <w:r>
        <w:rPr>
          <w:rFonts w:ascii="Times New Roman" w:hAnsi="Times New Roman" w:cs="Times New Roman"/>
          <w:i w:val="0"/>
          <w:iCs w:val="0"/>
          <w:noProof/>
          <w:color w:val="auto"/>
          <w:sz w:val="24"/>
          <w:szCs w:val="24"/>
          <w:lang w:val="en-IE"/>
        </w:rPr>
        <w:t xml:space="preserve">The table below compares the different options taking into account the assessment criteria of effectiveness, efficiency and coherence. </w:t>
      </w:r>
    </w:p>
    <w:p>
      <w:pPr>
        <w:pStyle w:val="Caption"/>
        <w:keepNext/>
        <w:rPr>
          <w:rFonts w:ascii="Times New Roman" w:hAnsi="Times New Roman" w:cs="Times New Roman"/>
          <w:b/>
          <w:i w:val="0"/>
          <w:noProof/>
          <w:color w:val="auto"/>
          <w:sz w:val="24"/>
          <w:szCs w:val="24"/>
        </w:rPr>
      </w:pPr>
      <w:r>
        <w:rPr>
          <w:rFonts w:ascii="Times New Roman" w:hAnsi="Times New Roman" w:cs="Times New Roman"/>
          <w:b/>
          <w:i w:val="0"/>
          <w:noProof/>
          <w:color w:val="auto"/>
          <w:sz w:val="24"/>
          <w:szCs w:val="24"/>
        </w:rPr>
        <w:t xml:space="preserve">Table 1: </w:t>
      </w:r>
      <w:r>
        <w:rPr>
          <w:rFonts w:ascii="Times New Roman" w:hAnsi="Times New Roman" w:cs="Times New Roman"/>
          <w:b/>
          <w:i w:val="0"/>
          <w:noProof/>
          <w:color w:val="auto"/>
          <w:sz w:val="24"/>
          <w:szCs w:val="24"/>
          <w:lang w:val="en-GB"/>
        </w:rPr>
        <w:t>comparison</w:t>
      </w:r>
      <w:r>
        <w:rPr>
          <w:rFonts w:ascii="Times New Roman" w:hAnsi="Times New Roman" w:cs="Times New Roman"/>
          <w:b/>
          <w:i w:val="0"/>
          <w:noProof/>
          <w:color w:val="auto"/>
          <w:sz w:val="24"/>
          <w:szCs w:val="24"/>
        </w:rPr>
        <w:t xml:space="preserve"> of </w:t>
      </w:r>
      <w:r>
        <w:rPr>
          <w:rFonts w:ascii="Times New Roman" w:hAnsi="Times New Roman" w:cs="Times New Roman"/>
          <w:b/>
          <w:i w:val="0"/>
          <w:noProof/>
          <w:color w:val="auto"/>
          <w:sz w:val="24"/>
          <w:szCs w:val="24"/>
          <w:lang w:val="en-GB"/>
        </w:rPr>
        <w:t>options</w:t>
      </w:r>
    </w:p>
    <w:tbl>
      <w:tblPr>
        <w:tblStyle w:val="CV15"/>
        <w:tblW w:w="9322" w:type="dxa"/>
        <w:tblInd w:w="-226" w:type="dxa"/>
        <w:tblLook w:val="04A0" w:firstRow="1" w:lastRow="0" w:firstColumn="1" w:lastColumn="0" w:noHBand="0" w:noVBand="1"/>
      </w:tblPr>
      <w:tblGrid>
        <w:gridCol w:w="930"/>
        <w:gridCol w:w="1275"/>
        <w:gridCol w:w="2100"/>
        <w:gridCol w:w="2378"/>
        <w:gridCol w:w="2639"/>
      </w:tblGrid>
      <w:tr>
        <w:tc>
          <w:tcPr>
            <w:tcW w:w="2205" w:type="dxa"/>
            <w:gridSpan w:val="2"/>
          </w:tcPr>
          <w:p>
            <w:pPr>
              <w:rPr>
                <w:noProof/>
              </w:rPr>
            </w:pPr>
          </w:p>
        </w:tc>
        <w:tc>
          <w:tcPr>
            <w:tcW w:w="2100" w:type="dxa"/>
            <w:shd w:val="clear" w:color="auto" w:fill="C2D69B" w:themeFill="accent3" w:themeFillTint="99"/>
          </w:tcPr>
          <w:p>
            <w:pPr>
              <w:rPr>
                <w:b/>
                <w:noProof/>
              </w:rPr>
            </w:pPr>
            <w:r>
              <w:rPr>
                <w:b/>
                <w:bCs/>
                <w:noProof/>
              </w:rPr>
              <w:t>Effectiveness</w:t>
            </w:r>
          </w:p>
        </w:tc>
        <w:tc>
          <w:tcPr>
            <w:tcW w:w="2378" w:type="dxa"/>
          </w:tcPr>
          <w:p>
            <w:pPr>
              <w:rPr>
                <w:b/>
                <w:noProof/>
              </w:rPr>
            </w:pPr>
            <w:r>
              <w:rPr>
                <w:b/>
                <w:bCs/>
                <w:noProof/>
              </w:rPr>
              <w:t>Efficiency</w:t>
            </w:r>
          </w:p>
        </w:tc>
        <w:tc>
          <w:tcPr>
            <w:tcW w:w="2639" w:type="dxa"/>
            <w:shd w:val="clear" w:color="auto" w:fill="C2D69B" w:themeFill="accent3" w:themeFillTint="99"/>
          </w:tcPr>
          <w:p>
            <w:pPr>
              <w:rPr>
                <w:b/>
                <w:noProof/>
              </w:rPr>
            </w:pPr>
            <w:r>
              <w:rPr>
                <w:b/>
                <w:bCs/>
                <w:noProof/>
              </w:rPr>
              <w:t>Coherence</w:t>
            </w:r>
          </w:p>
        </w:tc>
      </w:tr>
      <w:tr>
        <w:tc>
          <w:tcPr>
            <w:tcW w:w="2205" w:type="dxa"/>
            <w:gridSpan w:val="2"/>
          </w:tcPr>
          <w:p>
            <w:pPr>
              <w:rPr>
                <w:b/>
                <w:noProof/>
              </w:rPr>
            </w:pPr>
            <w:r>
              <w:rPr>
                <w:b/>
                <w:bCs/>
                <w:noProof/>
              </w:rPr>
              <w:t>Baseline</w:t>
            </w:r>
          </w:p>
        </w:tc>
        <w:tc>
          <w:tcPr>
            <w:tcW w:w="2100" w:type="dxa"/>
            <w:shd w:val="clear" w:color="auto" w:fill="C2D69B" w:themeFill="accent3" w:themeFillTint="99"/>
          </w:tcPr>
          <w:p>
            <w:pPr>
              <w:rPr>
                <w:noProof/>
              </w:rPr>
            </w:pPr>
            <w:r>
              <w:rPr>
                <w:noProof/>
              </w:rPr>
              <w:t>0</w:t>
            </w:r>
          </w:p>
        </w:tc>
        <w:tc>
          <w:tcPr>
            <w:tcW w:w="2378" w:type="dxa"/>
          </w:tcPr>
          <w:p>
            <w:pPr>
              <w:rPr>
                <w:noProof/>
              </w:rPr>
            </w:pPr>
            <w:r>
              <w:rPr>
                <w:noProof/>
              </w:rPr>
              <w:t>0</w:t>
            </w:r>
          </w:p>
        </w:tc>
        <w:tc>
          <w:tcPr>
            <w:tcW w:w="2639" w:type="dxa"/>
            <w:shd w:val="clear" w:color="auto" w:fill="C2D69B" w:themeFill="accent3" w:themeFillTint="99"/>
          </w:tcPr>
          <w:p>
            <w:pPr>
              <w:rPr>
                <w:noProof/>
              </w:rPr>
            </w:pPr>
            <w:r>
              <w:rPr>
                <w:noProof/>
              </w:rPr>
              <w:t>0</w:t>
            </w:r>
          </w:p>
        </w:tc>
      </w:tr>
      <w:tr>
        <w:tc>
          <w:tcPr>
            <w:tcW w:w="930" w:type="dxa"/>
            <w:vMerge w:val="restart"/>
            <w:textDirection w:val="btLr"/>
          </w:tcPr>
          <w:p>
            <w:pPr>
              <w:ind w:left="113" w:right="113"/>
              <w:jc w:val="both"/>
              <w:rPr>
                <w:b/>
                <w:noProof/>
              </w:rPr>
            </w:pPr>
            <w:r>
              <w:rPr>
                <w:b/>
                <w:bCs/>
                <w:noProof/>
              </w:rPr>
              <w:t xml:space="preserve">                  </w:t>
            </w:r>
            <w:r>
              <w:rPr>
                <w:b/>
                <w:noProof/>
              </w:rPr>
              <w:br/>
            </w:r>
            <w:r>
              <w:rPr>
                <w:b/>
                <w:bCs/>
                <w:noProof/>
              </w:rPr>
              <w:t xml:space="preserve">                      Option 1</w:t>
            </w:r>
          </w:p>
        </w:tc>
        <w:tc>
          <w:tcPr>
            <w:tcW w:w="1275" w:type="dxa"/>
          </w:tcPr>
          <w:p>
            <w:pPr>
              <w:jc w:val="both"/>
              <w:rPr>
                <w:noProof/>
              </w:rPr>
            </w:pPr>
            <w:r>
              <w:rPr>
                <w:noProof/>
              </w:rPr>
              <w:t>Sub-option 1A</w:t>
            </w:r>
          </w:p>
        </w:tc>
        <w:tc>
          <w:tcPr>
            <w:tcW w:w="2100" w:type="dxa"/>
            <w:shd w:val="clear" w:color="auto" w:fill="C2D69B" w:themeFill="accent3" w:themeFillTint="99"/>
          </w:tcPr>
          <w:p>
            <w:pPr>
              <w:jc w:val="both"/>
              <w:rPr>
                <w:noProof/>
              </w:rPr>
            </w:pPr>
            <w:r>
              <w:rPr>
                <w:noProof/>
              </w:rPr>
              <w:t>+++Strongly effective in ensuring access to information on pay and relevant comparators for workers. Less effective in removing bias in pay structures</w:t>
            </w:r>
          </w:p>
        </w:tc>
        <w:tc>
          <w:tcPr>
            <w:tcW w:w="2378" w:type="dxa"/>
          </w:tcPr>
          <w:p>
            <w:pPr>
              <w:jc w:val="both"/>
              <w:rPr>
                <w:noProof/>
              </w:rPr>
            </w:pPr>
            <w:r>
              <w:rPr>
                <w:noProof/>
              </w:rPr>
              <w:t>++ Beneficial for workers and moderately costly for companies and Member States. Questions regarding proportionality though</w:t>
            </w:r>
          </w:p>
        </w:tc>
        <w:tc>
          <w:tcPr>
            <w:tcW w:w="2639" w:type="dxa"/>
            <w:shd w:val="clear" w:color="auto" w:fill="C2D69B" w:themeFill="accent3" w:themeFillTint="99"/>
          </w:tcPr>
          <w:p>
            <w:pPr>
              <w:jc w:val="both"/>
              <w:rPr>
                <w:noProof/>
              </w:rPr>
            </w:pPr>
            <w:r>
              <w:rPr>
                <w:noProof/>
              </w:rPr>
              <w:t>++ Higher positive impact on protection of fundamental rights and social goals of the EU. Less coherent with economic recovery policy</w:t>
            </w:r>
          </w:p>
        </w:tc>
      </w:tr>
      <w:tr>
        <w:tc>
          <w:tcPr>
            <w:tcW w:w="930" w:type="dxa"/>
            <w:vMerge/>
          </w:tcPr>
          <w:p>
            <w:pPr>
              <w:rPr>
                <w:b/>
                <w:noProof/>
              </w:rPr>
            </w:pPr>
          </w:p>
        </w:tc>
        <w:tc>
          <w:tcPr>
            <w:tcW w:w="1275" w:type="dxa"/>
          </w:tcPr>
          <w:p>
            <w:pPr>
              <w:rPr>
                <w:noProof/>
              </w:rPr>
            </w:pPr>
            <w:r>
              <w:rPr>
                <w:noProof/>
              </w:rPr>
              <w:t>Sub-option 1B</w:t>
            </w:r>
          </w:p>
        </w:tc>
        <w:tc>
          <w:tcPr>
            <w:tcW w:w="2100" w:type="dxa"/>
            <w:shd w:val="clear" w:color="auto" w:fill="C2D69B" w:themeFill="accent3" w:themeFillTint="99"/>
          </w:tcPr>
          <w:p>
            <w:pPr>
              <w:jc w:val="both"/>
              <w:rPr>
                <w:noProof/>
              </w:rPr>
            </w:pPr>
            <w:r>
              <w:rPr>
                <w:noProof/>
              </w:rPr>
              <w:t>++ Effective in ensuring access to information on pay and relevant comparators for workers. Not effective in removing bias in pay structures</w:t>
            </w:r>
          </w:p>
        </w:tc>
        <w:tc>
          <w:tcPr>
            <w:tcW w:w="2378" w:type="dxa"/>
          </w:tcPr>
          <w:p>
            <w:pPr>
              <w:jc w:val="both"/>
              <w:rPr>
                <w:noProof/>
              </w:rPr>
            </w:pPr>
            <w:r>
              <w:rPr>
                <w:noProof/>
              </w:rPr>
              <w:t xml:space="preserve">+++ Beneficial for workers while imposing less costs and burden on employers. More proportionate </w:t>
            </w:r>
          </w:p>
        </w:tc>
        <w:tc>
          <w:tcPr>
            <w:tcW w:w="2639" w:type="dxa"/>
            <w:shd w:val="clear" w:color="auto" w:fill="C2D69B" w:themeFill="accent3" w:themeFillTint="99"/>
          </w:tcPr>
          <w:p>
            <w:pPr>
              <w:jc w:val="both"/>
              <w:rPr>
                <w:noProof/>
              </w:rPr>
            </w:pPr>
            <w:r>
              <w:rPr>
                <w:noProof/>
              </w:rPr>
              <w:t>+++ Positive impact on protection of fundamental rights and social goals of the EU. Coherent with economic recovery policy</w:t>
            </w:r>
          </w:p>
        </w:tc>
      </w:tr>
      <w:tr>
        <w:tc>
          <w:tcPr>
            <w:tcW w:w="930" w:type="dxa"/>
            <w:vMerge w:val="restart"/>
            <w:textDirection w:val="btLr"/>
          </w:tcPr>
          <w:p>
            <w:pPr>
              <w:ind w:left="113" w:right="113"/>
              <w:rPr>
                <w:b/>
                <w:noProof/>
              </w:rPr>
            </w:pPr>
            <w:r>
              <w:rPr>
                <w:b/>
                <w:bCs/>
                <w:noProof/>
              </w:rPr>
              <w:t xml:space="preserve">                                                Option 2  </w:t>
            </w:r>
          </w:p>
          <w:p>
            <w:pPr>
              <w:ind w:left="113" w:right="113"/>
              <w:rPr>
                <w:b/>
                <w:noProof/>
              </w:rPr>
            </w:pPr>
          </w:p>
        </w:tc>
        <w:tc>
          <w:tcPr>
            <w:tcW w:w="1275" w:type="dxa"/>
          </w:tcPr>
          <w:p>
            <w:pPr>
              <w:rPr>
                <w:noProof/>
              </w:rPr>
            </w:pPr>
            <w:r>
              <w:rPr>
                <w:noProof/>
              </w:rPr>
              <w:t>Sub-option 2A</w:t>
            </w:r>
          </w:p>
        </w:tc>
        <w:tc>
          <w:tcPr>
            <w:tcW w:w="2100" w:type="dxa"/>
            <w:shd w:val="clear" w:color="auto" w:fill="C2D69B" w:themeFill="accent3" w:themeFillTint="99"/>
          </w:tcPr>
          <w:p>
            <w:pPr>
              <w:jc w:val="both"/>
              <w:rPr>
                <w:noProof/>
              </w:rPr>
            </w:pPr>
            <w:r>
              <w:rPr>
                <w:noProof/>
              </w:rPr>
              <w:t>+++ Very strong effectiveness in empowering workers and removing bias in pay structures (ex ante certification)</w:t>
            </w:r>
          </w:p>
        </w:tc>
        <w:tc>
          <w:tcPr>
            <w:tcW w:w="2378" w:type="dxa"/>
          </w:tcPr>
          <w:p>
            <w:pPr>
              <w:jc w:val="both"/>
              <w:rPr>
                <w:noProof/>
              </w:rPr>
            </w:pPr>
            <w:r>
              <w:rPr>
                <w:noProof/>
              </w:rPr>
              <w:t>+ Addresses both specific objectives but imposes high burden and costs on employers. Questions on proportionality though</w:t>
            </w:r>
          </w:p>
        </w:tc>
        <w:tc>
          <w:tcPr>
            <w:tcW w:w="2639" w:type="dxa"/>
            <w:shd w:val="clear" w:color="auto" w:fill="C2D69B" w:themeFill="accent3" w:themeFillTint="99"/>
          </w:tcPr>
          <w:p>
            <w:pPr>
              <w:jc w:val="both"/>
              <w:rPr>
                <w:noProof/>
              </w:rPr>
            </w:pPr>
            <w:r>
              <w:rPr>
                <w:noProof/>
              </w:rPr>
              <w:t>++ High positive impact on protection of fundamental rights and social goals of the EU. Less coherent with economic recovery policy</w:t>
            </w:r>
          </w:p>
        </w:tc>
      </w:tr>
      <w:tr>
        <w:tc>
          <w:tcPr>
            <w:tcW w:w="930" w:type="dxa"/>
            <w:vMerge/>
          </w:tcPr>
          <w:p>
            <w:pPr>
              <w:rPr>
                <w:b/>
                <w:noProof/>
              </w:rPr>
            </w:pPr>
          </w:p>
        </w:tc>
        <w:tc>
          <w:tcPr>
            <w:tcW w:w="1275" w:type="dxa"/>
          </w:tcPr>
          <w:p>
            <w:pPr>
              <w:rPr>
                <w:noProof/>
              </w:rPr>
            </w:pPr>
            <w:r>
              <w:rPr>
                <w:noProof/>
              </w:rPr>
              <w:t>Sub-option 2B</w:t>
            </w:r>
          </w:p>
        </w:tc>
        <w:tc>
          <w:tcPr>
            <w:tcW w:w="2100" w:type="dxa"/>
            <w:shd w:val="clear" w:color="auto" w:fill="C2D69B" w:themeFill="accent3" w:themeFillTint="99"/>
          </w:tcPr>
          <w:p>
            <w:pPr>
              <w:jc w:val="both"/>
              <w:rPr>
                <w:noProof/>
              </w:rPr>
            </w:pPr>
            <w:r>
              <w:rPr>
                <w:noProof/>
              </w:rPr>
              <w:t>+++ Very strong effectiveness in removing bias in pay structures; potentially effective in empowering workers</w:t>
            </w:r>
          </w:p>
        </w:tc>
        <w:tc>
          <w:tcPr>
            <w:tcW w:w="2378" w:type="dxa"/>
          </w:tcPr>
          <w:p>
            <w:pPr>
              <w:jc w:val="both"/>
              <w:rPr>
                <w:noProof/>
              </w:rPr>
            </w:pPr>
            <w:r>
              <w:rPr>
                <w:noProof/>
              </w:rPr>
              <w:t>+ Addresses mainly the systemic undervaluation of women’s work while still imposing high burden and costs on employers (proportionality)</w:t>
            </w:r>
          </w:p>
        </w:tc>
        <w:tc>
          <w:tcPr>
            <w:tcW w:w="2639" w:type="dxa"/>
            <w:shd w:val="clear" w:color="auto" w:fill="C2D69B" w:themeFill="accent3" w:themeFillTint="99"/>
          </w:tcPr>
          <w:p>
            <w:pPr>
              <w:jc w:val="both"/>
              <w:rPr>
                <w:noProof/>
              </w:rPr>
            </w:pPr>
            <w:r>
              <w:rPr>
                <w:noProof/>
              </w:rPr>
              <w:t xml:space="preserve">++ High positive impact on protection of fundamental rights and social goals of the EU. Less coherent with economic recovery policy </w:t>
            </w:r>
          </w:p>
        </w:tc>
      </w:tr>
      <w:tr>
        <w:tc>
          <w:tcPr>
            <w:tcW w:w="930" w:type="dxa"/>
            <w:vMerge/>
          </w:tcPr>
          <w:p>
            <w:pPr>
              <w:rPr>
                <w:b/>
                <w:noProof/>
              </w:rPr>
            </w:pPr>
          </w:p>
        </w:tc>
        <w:tc>
          <w:tcPr>
            <w:tcW w:w="1275" w:type="dxa"/>
          </w:tcPr>
          <w:p>
            <w:pPr>
              <w:rPr>
                <w:noProof/>
              </w:rPr>
            </w:pPr>
            <w:r>
              <w:rPr>
                <w:noProof/>
              </w:rPr>
              <w:t>Sub-option 2C</w:t>
            </w:r>
          </w:p>
        </w:tc>
        <w:tc>
          <w:tcPr>
            <w:tcW w:w="2100" w:type="dxa"/>
            <w:shd w:val="clear" w:color="auto" w:fill="C2D69B" w:themeFill="accent3" w:themeFillTint="99"/>
          </w:tcPr>
          <w:p>
            <w:pPr>
              <w:jc w:val="both"/>
              <w:rPr>
                <w:noProof/>
              </w:rPr>
            </w:pPr>
            <w:r>
              <w:rPr>
                <w:noProof/>
              </w:rPr>
              <w:t>++ Effective in addressing removing bias in pay structures; somewhat effective in empowering workers</w:t>
            </w:r>
          </w:p>
        </w:tc>
        <w:tc>
          <w:tcPr>
            <w:tcW w:w="2378" w:type="dxa"/>
          </w:tcPr>
          <w:p>
            <w:pPr>
              <w:jc w:val="both"/>
              <w:rPr>
                <w:noProof/>
              </w:rPr>
            </w:pPr>
            <w:r>
              <w:rPr>
                <w:noProof/>
              </w:rPr>
              <w:t>++Limited costs and burden and moderate stimulus for employer’s action. Better on proportionality</w:t>
            </w:r>
          </w:p>
        </w:tc>
        <w:tc>
          <w:tcPr>
            <w:tcW w:w="2639" w:type="dxa"/>
            <w:shd w:val="clear" w:color="auto" w:fill="C2D69B" w:themeFill="accent3" w:themeFillTint="99"/>
          </w:tcPr>
          <w:p>
            <w:pPr>
              <w:jc w:val="both"/>
              <w:rPr>
                <w:noProof/>
              </w:rPr>
            </w:pPr>
            <w:r>
              <w:rPr>
                <w:noProof/>
              </w:rPr>
              <w:t>++ Positive impact on protection of fundamental rights and social goals of the EU. Relatively coherent with economic recovery policy.</w:t>
            </w:r>
          </w:p>
        </w:tc>
      </w:tr>
      <w:tr>
        <w:tc>
          <w:tcPr>
            <w:tcW w:w="930" w:type="dxa"/>
            <w:vMerge/>
          </w:tcPr>
          <w:p>
            <w:pPr>
              <w:rPr>
                <w:b/>
                <w:noProof/>
              </w:rPr>
            </w:pPr>
          </w:p>
        </w:tc>
        <w:tc>
          <w:tcPr>
            <w:tcW w:w="1275" w:type="dxa"/>
          </w:tcPr>
          <w:p>
            <w:pPr>
              <w:rPr>
                <w:noProof/>
              </w:rPr>
            </w:pPr>
            <w:r>
              <w:rPr>
                <w:noProof/>
              </w:rPr>
              <w:t>Sub-option 2D</w:t>
            </w:r>
          </w:p>
        </w:tc>
        <w:tc>
          <w:tcPr>
            <w:tcW w:w="2100" w:type="dxa"/>
            <w:shd w:val="clear" w:color="auto" w:fill="C2D69B" w:themeFill="accent3" w:themeFillTint="99"/>
          </w:tcPr>
          <w:p>
            <w:pPr>
              <w:jc w:val="both"/>
              <w:rPr>
                <w:noProof/>
              </w:rPr>
            </w:pPr>
            <w:r>
              <w:rPr>
                <w:noProof/>
              </w:rPr>
              <w:t>+ Medium effectiveness in addressing systemic undervaluation of women’s work. Limited effective in regard to empowering workers</w:t>
            </w:r>
          </w:p>
        </w:tc>
        <w:tc>
          <w:tcPr>
            <w:tcW w:w="2378" w:type="dxa"/>
          </w:tcPr>
          <w:p>
            <w:pPr>
              <w:jc w:val="both"/>
              <w:rPr>
                <w:noProof/>
              </w:rPr>
            </w:pPr>
            <w:r>
              <w:rPr>
                <w:noProof/>
              </w:rPr>
              <w:t>+++ Least administrative burden and targeted action towards employers where problems of discrimination and bias are detected.  Most proportionate in regard to second specific objective</w:t>
            </w:r>
          </w:p>
        </w:tc>
        <w:tc>
          <w:tcPr>
            <w:tcW w:w="2639" w:type="dxa"/>
            <w:shd w:val="clear" w:color="auto" w:fill="C2D69B" w:themeFill="accent3" w:themeFillTint="99"/>
          </w:tcPr>
          <w:p>
            <w:pPr>
              <w:jc w:val="both"/>
              <w:rPr>
                <w:noProof/>
              </w:rPr>
            </w:pPr>
            <w:r>
              <w:rPr>
                <w:noProof/>
              </w:rPr>
              <w:t>+++  Positive impact on protection of fundamental rights and social goals of the EU. Most coherent with economic recovery policy</w:t>
            </w:r>
          </w:p>
        </w:tc>
      </w:tr>
      <w:tr>
        <w:trPr>
          <w:cantSplit/>
          <w:trHeight w:val="1134"/>
        </w:trPr>
        <w:tc>
          <w:tcPr>
            <w:tcW w:w="930" w:type="dxa"/>
            <w:textDirection w:val="btLr"/>
          </w:tcPr>
          <w:p>
            <w:pPr>
              <w:ind w:left="113" w:right="113"/>
              <w:rPr>
                <w:b/>
                <w:noProof/>
              </w:rPr>
            </w:pPr>
            <w:r>
              <w:rPr>
                <w:b/>
                <w:bCs/>
                <w:noProof/>
              </w:rPr>
              <w:t xml:space="preserve"> </w:t>
            </w:r>
            <w:r>
              <w:rPr>
                <w:b/>
                <w:noProof/>
              </w:rPr>
              <w:br/>
            </w:r>
            <w:r>
              <w:rPr>
                <w:b/>
                <w:bCs/>
                <w:noProof/>
              </w:rPr>
              <w:t xml:space="preserve">                         Option 3</w:t>
            </w:r>
          </w:p>
        </w:tc>
        <w:tc>
          <w:tcPr>
            <w:tcW w:w="1275" w:type="dxa"/>
          </w:tcPr>
          <w:p>
            <w:pPr>
              <w:rPr>
                <w:noProof/>
              </w:rPr>
            </w:pPr>
          </w:p>
        </w:tc>
        <w:tc>
          <w:tcPr>
            <w:tcW w:w="2100" w:type="dxa"/>
            <w:shd w:val="clear" w:color="auto" w:fill="C2D69B" w:themeFill="accent3" w:themeFillTint="99"/>
          </w:tcPr>
          <w:p>
            <w:pPr>
              <w:jc w:val="both"/>
              <w:rPr>
                <w:noProof/>
              </w:rPr>
            </w:pPr>
            <w:r>
              <w:rPr>
                <w:noProof/>
              </w:rPr>
              <w:t>+ Somewhat effective in offering employers the tools to assess and define which workers in their organisations are carrying out work of equal value (thus addressing the undervaluation of women’s work). While helpful also for workers, nevertheless limited effectiveness in regard to the empowerment of workers because of remaining lack of crucial information on pay</w:t>
            </w:r>
          </w:p>
        </w:tc>
        <w:tc>
          <w:tcPr>
            <w:tcW w:w="2378" w:type="dxa"/>
          </w:tcPr>
          <w:p>
            <w:pPr>
              <w:jc w:val="both"/>
              <w:rPr>
                <w:noProof/>
              </w:rPr>
            </w:pPr>
            <w:r>
              <w:rPr>
                <w:noProof/>
              </w:rPr>
              <w:t>+++ Least administrative burden and providing strengthened protection and support to potential victims of discrimination while deterring potential infringements of the law</w:t>
            </w:r>
          </w:p>
        </w:tc>
        <w:tc>
          <w:tcPr>
            <w:tcW w:w="2639" w:type="dxa"/>
            <w:shd w:val="clear" w:color="auto" w:fill="C2D69B" w:themeFill="accent3" w:themeFillTint="99"/>
          </w:tcPr>
          <w:p>
            <w:pPr>
              <w:jc w:val="both"/>
              <w:rPr>
                <w:noProof/>
              </w:rPr>
            </w:pPr>
            <w:r>
              <w:rPr>
                <w:noProof/>
              </w:rPr>
              <w:t xml:space="preserve">+++ Positive impact on protection of fundamental rights and social goals of the EU. Most coherent with economic recovery policy </w:t>
            </w:r>
          </w:p>
        </w:tc>
      </w:tr>
    </w:tbl>
    <w:p>
      <w:pPr>
        <w:spacing w:after="120"/>
        <w:jc w:val="both"/>
        <w:rPr>
          <w:rFonts w:ascii="Times New Roman" w:hAnsi="Times New Roman" w:cs="Times New Roman"/>
          <w:noProof/>
          <w:color w:val="000000" w:themeColor="text1"/>
          <w:sz w:val="24"/>
          <w:szCs w:val="24"/>
        </w:rPr>
      </w:pPr>
    </w:p>
    <w:p>
      <w:pPr>
        <w:pStyle w:val="Heading2"/>
        <w:numPr>
          <w:ilvl w:val="1"/>
          <w:numId w:val="43"/>
        </w:numPr>
        <w:rPr>
          <w:noProof/>
          <w:color w:val="000000" w:themeColor="text1"/>
        </w:rPr>
      </w:pPr>
      <w:bookmarkStart w:id="4962" w:name="_Toc59096532"/>
      <w:bookmarkStart w:id="4963" w:name="_Toc59103128"/>
      <w:bookmarkStart w:id="4964" w:name="_Toc59104979"/>
      <w:bookmarkStart w:id="4965" w:name="_Toc59119939"/>
      <w:bookmarkStart w:id="4966" w:name="_Toc59121203"/>
      <w:bookmarkStart w:id="4967" w:name="_Toc59121322"/>
      <w:bookmarkStart w:id="4968" w:name="_Toc59121680"/>
      <w:r>
        <w:rPr>
          <w:noProof/>
        </w:rPr>
        <w:t xml:space="preserve"> </w:t>
      </w:r>
      <w:bookmarkStart w:id="4969" w:name="_Toc59642328"/>
      <w:r>
        <w:rPr>
          <w:noProof/>
        </w:rPr>
        <w:t>Possible</w:t>
      </w:r>
      <w:r>
        <w:rPr>
          <w:noProof/>
          <w:color w:val="000000" w:themeColor="text1"/>
        </w:rPr>
        <w:t xml:space="preserve"> combination of options</w:t>
      </w:r>
      <w:bookmarkEnd w:id="4962"/>
      <w:bookmarkEnd w:id="4963"/>
      <w:bookmarkEnd w:id="4964"/>
      <w:bookmarkEnd w:id="4965"/>
      <w:bookmarkEnd w:id="4966"/>
      <w:bookmarkEnd w:id="4967"/>
      <w:bookmarkEnd w:id="4968"/>
      <w:bookmarkEnd w:id="4969"/>
    </w:p>
    <w:p>
      <w:pPr>
        <w:pStyle w:val="Text2"/>
        <w:spacing w:line="276" w:lineRule="auto"/>
        <w:ind w:left="0"/>
        <w:rPr>
          <w:noProof/>
          <w:lang w:val="en-US"/>
        </w:rPr>
      </w:pPr>
      <w:r>
        <w:rPr>
          <w:noProof/>
          <w:lang w:val="en-US"/>
        </w:rPr>
        <w:t xml:space="preserve">The above analysis shows that none of the options would reach the two specific objectives on its own. However, a combination of (Sub-)options would permit to reach the two specific and hence also the general objective of the initiative. </w:t>
      </w:r>
    </w:p>
    <w:p>
      <w:pPr>
        <w:pStyle w:val="Text2"/>
        <w:spacing w:line="276" w:lineRule="auto"/>
        <w:ind w:left="0"/>
        <w:rPr>
          <w:noProof/>
          <w:lang w:val="en-US"/>
        </w:rPr>
      </w:pPr>
      <w:r>
        <w:rPr>
          <w:noProof/>
          <w:lang w:val="en-US"/>
        </w:rPr>
        <w:t xml:space="preserve">Option 3 is of limited relevance as a stand alone option. While it would improve better implementation and enforcement of the existing legal framework, it is not expected to improve the current situation tangibly if not accompanied by the possibility to gather information on a comparator and/or if employers are not involved in the gender analysis of the pay structure. This option should therefore be combined with one of the other options to be effective and to support them. </w:t>
      </w:r>
    </w:p>
    <w:p>
      <w:pPr>
        <w:pStyle w:val="Text2"/>
        <w:spacing w:line="276" w:lineRule="auto"/>
        <w:ind w:left="0"/>
        <w:rPr>
          <w:noProof/>
          <w:lang w:val="en-US"/>
        </w:rPr>
      </w:pPr>
      <w:r>
        <w:rPr>
          <w:noProof/>
          <w:lang w:val="en-US"/>
        </w:rPr>
        <w:t xml:space="preserve">The basic work done in terms of data gathering by an employer to create transparency both at individual or at organisational level is the same for most Sub-options under Options 1 and 2. For this reason, most combinations of such Sub-options would lead to some economies in terms of overall cost and burden. The only exception is basic pay reporting (Sub-option 2C), where this obligation is </w:t>
      </w:r>
      <w:r>
        <w:rPr>
          <w:noProof/>
        </w:rPr>
        <w:t>much</w:t>
      </w:r>
      <w:r>
        <w:rPr>
          <w:noProof/>
          <w:lang w:val="en-US"/>
        </w:rPr>
        <w:t xml:space="preserve"> lighter as no active grouping according to work of equal value would be triggered; the calculation </w:t>
      </w:r>
      <w:r>
        <w:rPr>
          <w:noProof/>
        </w:rPr>
        <w:t>would</w:t>
      </w:r>
      <w:r>
        <w:rPr>
          <w:noProof/>
          <w:lang w:val="en-US"/>
        </w:rPr>
        <w:t xml:space="preserve"> concern only the percentage of pay difference between all women and all men working within the establishment. </w:t>
      </w:r>
    </w:p>
    <w:p>
      <w:pPr>
        <w:pStyle w:val="Text2"/>
        <w:spacing w:line="276" w:lineRule="auto"/>
        <w:ind w:left="0"/>
        <w:rPr>
          <w:noProof/>
          <w:lang w:val="en-US"/>
        </w:rPr>
      </w:pPr>
      <w:r>
        <w:rPr>
          <w:noProof/>
          <w:lang w:val="en-US"/>
        </w:rPr>
        <w:t xml:space="preserve">In choosing the preferred </w:t>
      </w:r>
      <w:r>
        <w:rPr>
          <w:noProof/>
        </w:rPr>
        <w:t>combination</w:t>
      </w:r>
      <w:r>
        <w:rPr>
          <w:noProof/>
          <w:lang w:val="en-US"/>
        </w:rPr>
        <w:t xml:space="preserve"> of Sub-options, it is important to avoid unnecessary duplication of obligations. For instance, combining Equal pay certification (Sub-option 2A) or Joint pay assessment (Sub-option 2B) with Option 1A would add a communication burden on employers without adding much information for workers. The latter would indeed already have pay information as a result of the certification/pay assessment (except in organisations with less than 50 workers).  </w:t>
      </w:r>
    </w:p>
    <w:p>
      <w:pPr>
        <w:pStyle w:val="Text2"/>
        <w:spacing w:line="276" w:lineRule="auto"/>
        <w:ind w:left="0"/>
        <w:rPr>
          <w:noProof/>
          <w:lang w:val="en-US"/>
        </w:rPr>
      </w:pPr>
      <w:r>
        <w:rPr>
          <w:noProof/>
          <w:lang w:val="en-US"/>
        </w:rPr>
        <w:t>On the other hand, any Sub-option under Option 2 which would not lead to (all) workers having the necessary transparency on their individual situation in regard to pay, would need to be combined with either of the Sub-options under Option 1 in order to ensure that both specific objectives could be achieved. This would be particuraly the case for basic pay reporting (Sub-option 2C) where only the information on the overall gender pay difference in the company is provided.</w:t>
      </w:r>
    </w:p>
    <w:p>
      <w:pPr>
        <w:pStyle w:val="Heading2"/>
        <w:numPr>
          <w:ilvl w:val="1"/>
          <w:numId w:val="43"/>
        </w:numPr>
        <w:rPr>
          <w:noProof/>
        </w:rPr>
      </w:pPr>
      <w:r>
        <w:rPr>
          <w:noProof/>
        </w:rPr>
        <w:t xml:space="preserve"> </w:t>
      </w:r>
      <w:bookmarkStart w:id="4970" w:name="_Toc59642329"/>
      <w:r>
        <w:rPr>
          <w:noProof/>
        </w:rPr>
        <w:t>Preferred Package</w:t>
      </w:r>
      <w:bookmarkEnd w:id="4970"/>
    </w:p>
    <w:p>
      <w:pPr>
        <w:spacing w:after="120"/>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In light of the above, the preferred package should be a combination of measures creating transparency at individual worker level and at employer level. These measures should be accompanied by measures aiming at facilitating the application of the key concepts on equal pay and at strengthening access to justice.</w:t>
      </w:r>
    </w:p>
    <w:p>
      <w:pPr>
        <w:spacing w:after="120"/>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The best combination would consist of Option 1B (ensuring </w:t>
      </w:r>
      <w:r>
        <w:rPr>
          <w:rFonts w:ascii="Times New Roman" w:hAnsi="Times New Roman" w:cs="Times New Roman"/>
          <w:b/>
          <w:bCs/>
          <w:noProof/>
          <w:color w:val="000000" w:themeColor="text1"/>
          <w:sz w:val="24"/>
          <w:szCs w:val="24"/>
        </w:rPr>
        <w:t>transparency</w:t>
      </w:r>
      <w:r>
        <w:rPr>
          <w:rFonts w:ascii="Times New Roman" w:hAnsi="Times New Roman" w:cs="Times New Roman"/>
          <w:noProof/>
          <w:color w:val="000000" w:themeColor="text1"/>
          <w:sz w:val="24"/>
          <w:szCs w:val="24"/>
        </w:rPr>
        <w:t xml:space="preserve"> </w:t>
      </w:r>
      <w:r>
        <w:rPr>
          <w:rFonts w:ascii="Times New Roman" w:hAnsi="Times New Roman" w:cs="Times New Roman"/>
          <w:b/>
          <w:bCs/>
          <w:noProof/>
          <w:color w:val="000000" w:themeColor="text1"/>
          <w:sz w:val="24"/>
          <w:szCs w:val="24"/>
        </w:rPr>
        <w:t>prior to employment</w:t>
      </w:r>
      <w:r>
        <w:rPr>
          <w:rFonts w:ascii="Times New Roman" w:hAnsi="Times New Roman" w:cs="Times New Roman"/>
          <w:noProof/>
          <w:color w:val="000000" w:themeColor="text1"/>
          <w:sz w:val="24"/>
          <w:szCs w:val="24"/>
        </w:rPr>
        <w:t xml:space="preserve"> and </w:t>
      </w:r>
      <w:r>
        <w:rPr>
          <w:rFonts w:ascii="Times New Roman" w:hAnsi="Times New Roman" w:cs="Times New Roman"/>
          <w:b/>
          <w:bCs/>
          <w:noProof/>
          <w:color w:val="000000" w:themeColor="text1"/>
          <w:sz w:val="24"/>
          <w:szCs w:val="24"/>
        </w:rPr>
        <w:t>right to receive information on pay upon request</w:t>
      </w:r>
      <w:r>
        <w:rPr>
          <w:rFonts w:ascii="Times New Roman" w:hAnsi="Times New Roman" w:cs="Times New Roman"/>
          <w:noProof/>
          <w:color w:val="000000" w:themeColor="text1"/>
          <w:sz w:val="24"/>
          <w:szCs w:val="24"/>
        </w:rPr>
        <w:t xml:space="preserve">), coupled with </w:t>
      </w:r>
      <w:r>
        <w:rPr>
          <w:rFonts w:ascii="Times New Roman" w:hAnsi="Times New Roman" w:cs="Times New Roman"/>
          <w:b/>
          <w:bCs/>
          <w:noProof/>
          <w:color w:val="000000" w:themeColor="text1"/>
          <w:sz w:val="24"/>
          <w:szCs w:val="24"/>
        </w:rPr>
        <w:t>pay</w:t>
      </w:r>
      <w:r>
        <w:rPr>
          <w:rFonts w:ascii="Times New Roman" w:hAnsi="Times New Roman" w:cs="Times New Roman"/>
          <w:noProof/>
          <w:color w:val="000000" w:themeColor="text1"/>
          <w:sz w:val="24"/>
          <w:szCs w:val="24"/>
        </w:rPr>
        <w:t xml:space="preserve"> </w:t>
      </w:r>
      <w:r>
        <w:rPr>
          <w:rFonts w:ascii="Times New Roman" w:hAnsi="Times New Roman" w:cs="Times New Roman"/>
          <w:b/>
          <w:bCs/>
          <w:noProof/>
          <w:color w:val="000000" w:themeColor="text1"/>
          <w:sz w:val="24"/>
          <w:szCs w:val="24"/>
        </w:rPr>
        <w:t>reporting</w:t>
      </w:r>
      <w:r>
        <w:rPr>
          <w:rFonts w:ascii="Times New Roman" w:hAnsi="Times New Roman" w:cs="Times New Roman"/>
          <w:noProof/>
          <w:color w:val="000000" w:themeColor="text1"/>
          <w:sz w:val="24"/>
          <w:szCs w:val="24"/>
        </w:rPr>
        <w:t xml:space="preserve"> on the part of large employers, including on pay differences among workers carrying out equal work or work of equal value and mandatory </w:t>
      </w:r>
      <w:r>
        <w:rPr>
          <w:rFonts w:ascii="Times New Roman" w:hAnsi="Times New Roman" w:cs="Times New Roman"/>
          <w:b/>
          <w:bCs/>
          <w:noProof/>
          <w:color w:val="000000" w:themeColor="text1"/>
          <w:sz w:val="24"/>
          <w:szCs w:val="24"/>
        </w:rPr>
        <w:t>joint pay assessment</w:t>
      </w:r>
      <w:r>
        <w:rPr>
          <w:rFonts w:ascii="Times New Roman" w:hAnsi="Times New Roman" w:cs="Times New Roman"/>
          <w:noProof/>
          <w:color w:val="000000" w:themeColor="text1"/>
          <w:sz w:val="24"/>
          <w:szCs w:val="24"/>
        </w:rPr>
        <w:t xml:space="preserve"> in case of unjustified differences in pay between women and men in the same grouping of workers above a 5% threshold (Sub-option 2D). To be fully functional, these measures  should be supported by </w:t>
      </w:r>
      <w:r>
        <w:rPr>
          <w:rFonts w:ascii="Times New Roman" w:hAnsi="Times New Roman" w:cs="Times New Roman"/>
          <w:b/>
          <w:bCs/>
          <w:noProof/>
          <w:color w:val="000000" w:themeColor="text1"/>
          <w:sz w:val="24"/>
          <w:szCs w:val="24"/>
        </w:rPr>
        <w:t xml:space="preserve">Option 3 </w:t>
      </w:r>
      <w:r>
        <w:rPr>
          <w:rFonts w:ascii="Times New Roman" w:hAnsi="Times New Roman" w:cs="Times New Roman"/>
          <w:noProof/>
          <w:color w:val="000000" w:themeColor="text1"/>
          <w:sz w:val="24"/>
          <w:szCs w:val="24"/>
        </w:rPr>
        <w:t xml:space="preserve">with its three measures. </w:t>
      </w:r>
    </w:p>
    <w:p>
      <w:pPr>
        <w:spacing w:after="120"/>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This preferred package would empower workers to claim their right to equal pay and start creating an incentive to more systematically assess gender bias and discrimination in pay structures. It would </w:t>
      </w:r>
      <w:r>
        <w:rPr>
          <w:rFonts w:ascii="Times New Roman" w:hAnsi="Times New Roman" w:cs="Times New Roman"/>
          <w:noProof/>
          <w:sz w:val="24"/>
          <w:szCs w:val="24"/>
        </w:rPr>
        <w:t xml:space="preserve">achieve the objectives of the initiative while balancing workers’ fundamental right to equal pay with the possible burden and costs of the envisaged measures on employers. Even if Sub-option 2D only applies to employers with at least 250 workers, all workers’ rights would still be protected through their right to ask for information, reinforced further by </w:t>
      </w:r>
      <w:r>
        <w:rPr>
          <w:rFonts w:ascii="Times New Roman" w:hAnsi="Times New Roman" w:cs="Times New Roman"/>
          <w:b/>
          <w:bCs/>
          <w:noProof/>
          <w:sz w:val="24"/>
          <w:szCs w:val="24"/>
        </w:rPr>
        <w:t>improved access to justice</w:t>
      </w:r>
      <w:r>
        <w:rPr>
          <w:rFonts w:ascii="Times New Roman" w:hAnsi="Times New Roman" w:cs="Times New Roman"/>
          <w:noProof/>
          <w:sz w:val="24"/>
          <w:szCs w:val="24"/>
        </w:rPr>
        <w:t>.</w:t>
      </w:r>
      <w:r>
        <w:rPr>
          <w:rFonts w:ascii="Times New Roman" w:hAnsi="Times New Roman" w:cs="Times New Roman"/>
          <w:b/>
          <w:bCs/>
          <w:noProof/>
          <w:sz w:val="24"/>
          <w:szCs w:val="24"/>
        </w:rPr>
        <w:t xml:space="preserve"> </w:t>
      </w:r>
      <w:r>
        <w:rPr>
          <w:rFonts w:ascii="Times New Roman" w:hAnsi="Times New Roman" w:cs="Times New Roman"/>
          <w:noProof/>
          <w:sz w:val="24"/>
          <w:szCs w:val="24"/>
        </w:rPr>
        <w:t>Moreover, t</w:t>
      </w:r>
      <w:r>
        <w:rPr>
          <w:rFonts w:ascii="Times New Roman" w:hAnsi="Times New Roman" w:cs="Times New Roman"/>
          <w:noProof/>
          <w:color w:val="000000" w:themeColor="text1"/>
          <w:sz w:val="24"/>
          <w:szCs w:val="24"/>
        </w:rPr>
        <w:t xml:space="preserve">he package may be expected to increase broader awareness around equal pay and could therefore  prompt a voluntary move towards more transparency at employer level. </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The preferred package would reach the objectives in the most proportionate manner possible as it allows to improve the practical possibility to verify and assert the respect of the equal pay principle for all workers while at the same time limiting costs to a maximum extent. It is not possible to provide an estimate of the total costs of the preferred package. As to the cost related to the individual right of information,</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the cost of a single request was estimated at </w:t>
      </w:r>
      <w:r>
        <w:rPr>
          <w:rFonts w:ascii="Times New Roman" w:hAnsi="Times New Roman" w:cs="Times New Roman"/>
          <w:b/>
          <w:noProof/>
          <w:sz w:val="24"/>
          <w:szCs w:val="24"/>
        </w:rPr>
        <w:t>20 EUR</w:t>
      </w:r>
      <w:r>
        <w:rPr>
          <w:rFonts w:ascii="Times New Roman" w:hAnsi="Times New Roman" w:cs="Times New Roman"/>
          <w:noProof/>
          <w:sz w:val="24"/>
          <w:szCs w:val="24"/>
        </w:rPr>
        <w:t xml:space="preserve">. The total cost per company as for pay information will depend on the number of requests. The overall cost for pay reporting for employers would amount to around </w:t>
      </w:r>
      <w:r>
        <w:rPr>
          <w:rFonts w:ascii="Times New Roman" w:hAnsi="Times New Roman" w:cs="Times New Roman"/>
          <w:b/>
          <w:bCs/>
          <w:noProof/>
          <w:sz w:val="24"/>
          <w:szCs w:val="24"/>
        </w:rPr>
        <w:t>26 and 50 million EUR</w:t>
      </w:r>
      <w:r>
        <w:rPr>
          <w:rFonts w:ascii="Times New Roman" w:hAnsi="Times New Roman" w:cs="Times New Roman"/>
          <w:noProof/>
          <w:sz w:val="24"/>
          <w:szCs w:val="24"/>
        </w:rPr>
        <w:t xml:space="preserve">, i.e. between a </w:t>
      </w:r>
      <w:r>
        <w:rPr>
          <w:rFonts w:ascii="Times New Roman" w:hAnsi="Times New Roman" w:cs="Times New Roman"/>
          <w:b/>
          <w:bCs/>
          <w:noProof/>
          <w:sz w:val="24"/>
          <w:szCs w:val="24"/>
        </w:rPr>
        <w:t>minimum of</w:t>
      </w:r>
      <w:r>
        <w:rPr>
          <w:rFonts w:ascii="Times New Roman" w:hAnsi="Times New Roman" w:cs="Times New Roman"/>
          <w:noProof/>
          <w:sz w:val="24"/>
          <w:szCs w:val="24"/>
        </w:rPr>
        <w:t xml:space="preserve"> </w:t>
      </w:r>
      <w:r>
        <w:rPr>
          <w:rFonts w:ascii="Times New Roman" w:hAnsi="Times New Roman" w:cs="Times New Roman"/>
          <w:b/>
          <w:bCs/>
          <w:noProof/>
          <w:sz w:val="24"/>
          <w:szCs w:val="24"/>
        </w:rPr>
        <w:t>379-508</w:t>
      </w:r>
      <w:r>
        <w:rPr>
          <w:rFonts w:ascii="Times New Roman" w:hAnsi="Times New Roman" w:cs="Times New Roman"/>
          <w:noProof/>
          <w:sz w:val="24"/>
          <w:szCs w:val="24"/>
        </w:rPr>
        <w:t xml:space="preserve"> and a </w:t>
      </w:r>
      <w:r>
        <w:rPr>
          <w:rFonts w:ascii="Times New Roman" w:hAnsi="Times New Roman" w:cs="Times New Roman"/>
          <w:b/>
          <w:bCs/>
          <w:noProof/>
          <w:sz w:val="24"/>
          <w:szCs w:val="24"/>
        </w:rPr>
        <w:t>maximum of 721-890 EUR per employer</w:t>
      </w:r>
      <w:r>
        <w:rPr>
          <w:rFonts w:ascii="Times New Roman" w:hAnsi="Times New Roman" w:cs="Times New Roman"/>
          <w:noProof/>
          <w:sz w:val="24"/>
          <w:szCs w:val="24"/>
        </w:rPr>
        <w:t xml:space="preserve"> depending on the size. Where gender pay differences are small or absent, there will be no or little follow-up action (pay assessment) triggered - the average cost </w:t>
      </w:r>
      <w:r>
        <w:rPr>
          <w:rFonts w:ascii="Times New Roman" w:hAnsi="Times New Roman" w:cs="Times New Roman"/>
          <w:b/>
          <w:bCs/>
          <w:noProof/>
          <w:sz w:val="24"/>
          <w:szCs w:val="24"/>
        </w:rPr>
        <w:t>per employer</w:t>
      </w:r>
      <w:r>
        <w:rPr>
          <w:rFonts w:ascii="Times New Roman" w:hAnsi="Times New Roman" w:cs="Times New Roman"/>
          <w:noProof/>
          <w:sz w:val="24"/>
          <w:szCs w:val="24"/>
        </w:rPr>
        <w:t xml:space="preserve"> to carry out the additional assessment has been estimated between a </w:t>
      </w:r>
      <w:r>
        <w:rPr>
          <w:rFonts w:ascii="Times New Roman" w:hAnsi="Times New Roman" w:cs="Times New Roman"/>
          <w:b/>
          <w:bCs/>
          <w:noProof/>
          <w:sz w:val="24"/>
          <w:szCs w:val="24"/>
        </w:rPr>
        <w:t xml:space="preserve">minimum of 1,180-1,724 EUR </w:t>
      </w:r>
      <w:r>
        <w:rPr>
          <w:rFonts w:ascii="Times New Roman" w:hAnsi="Times New Roman" w:cs="Times New Roman"/>
          <w:noProof/>
          <w:sz w:val="24"/>
          <w:szCs w:val="24"/>
        </w:rPr>
        <w:t>and a</w:t>
      </w:r>
      <w:r>
        <w:rPr>
          <w:rFonts w:ascii="Times New Roman" w:hAnsi="Times New Roman" w:cs="Times New Roman"/>
          <w:b/>
          <w:bCs/>
          <w:noProof/>
          <w:sz w:val="24"/>
          <w:szCs w:val="24"/>
        </w:rPr>
        <w:t xml:space="preserve"> maximum of 1,911 and 2,266 EUR</w:t>
      </w:r>
      <w:r>
        <w:rPr>
          <w:rFonts w:ascii="Times New Roman" w:hAnsi="Times New Roman" w:cs="Times New Roman"/>
          <w:noProof/>
          <w:sz w:val="24"/>
          <w:szCs w:val="24"/>
        </w:rPr>
        <w:t xml:space="preserve"> (expected to decrease in any subsequent exercises to respectively </w:t>
      </w:r>
      <w:r>
        <w:rPr>
          <w:rFonts w:ascii="Times New Roman" w:hAnsi="Times New Roman" w:cs="Times New Roman"/>
          <w:b/>
          <w:bCs/>
          <w:noProof/>
          <w:sz w:val="24"/>
          <w:szCs w:val="24"/>
        </w:rPr>
        <w:t>843-1,232 EUR and 1,461-1,675 EUR</w:t>
      </w:r>
      <w:r>
        <w:rPr>
          <w:rFonts w:ascii="Times New Roman" w:hAnsi="Times New Roman" w:cs="Times New Roman"/>
          <w:noProof/>
          <w:sz w:val="24"/>
          <w:szCs w:val="24"/>
        </w:rPr>
        <w:t>).</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As described in previous sections, the cost for national administrations would amount to one-off spending of </w:t>
      </w:r>
      <w:r>
        <w:rPr>
          <w:rFonts w:ascii="Times New Roman" w:hAnsi="Times New Roman" w:cs="Times New Roman"/>
          <w:b/>
          <w:noProof/>
          <w:sz w:val="24"/>
          <w:szCs w:val="24"/>
        </w:rPr>
        <w:t>400,000 EUR</w:t>
      </w:r>
      <w:r>
        <w:rPr>
          <w:rFonts w:ascii="Times New Roman" w:hAnsi="Times New Roman" w:cs="Times New Roman"/>
          <w:noProof/>
          <w:sz w:val="24"/>
          <w:szCs w:val="24"/>
        </w:rPr>
        <w:t xml:space="preserve">  and about </w:t>
      </w:r>
      <w:r>
        <w:rPr>
          <w:rFonts w:ascii="Times New Roman" w:hAnsi="Times New Roman" w:cs="Times New Roman"/>
          <w:b/>
          <w:noProof/>
          <w:sz w:val="24"/>
          <w:szCs w:val="24"/>
        </w:rPr>
        <w:t>82,000 EUR</w:t>
      </w:r>
      <w:r>
        <w:rPr>
          <w:rFonts w:ascii="Times New Roman" w:hAnsi="Times New Roman" w:cs="Times New Roman"/>
          <w:noProof/>
          <w:sz w:val="24"/>
          <w:szCs w:val="24"/>
        </w:rPr>
        <w:t xml:space="preserve"> annually.</w:t>
      </w:r>
    </w:p>
    <w:p>
      <w:pPr>
        <w:spacing w:after="120"/>
        <w:jc w:val="both"/>
        <w:rPr>
          <w:rFonts w:ascii="Times New Roman" w:hAnsi="Times New Roman" w:cs="Times New Roman"/>
          <w:noProof/>
          <w:color w:val="000000" w:themeColor="text1"/>
          <w:sz w:val="24"/>
          <w:szCs w:val="24"/>
        </w:rPr>
      </w:pPr>
      <w:bookmarkStart w:id="4971" w:name="_Toc54338991"/>
      <w:bookmarkStart w:id="4972" w:name="_Toc54339540"/>
      <w:bookmarkStart w:id="4973" w:name="_Toc54339618"/>
      <w:bookmarkStart w:id="4974" w:name="_Toc54339772"/>
      <w:bookmarkStart w:id="4975" w:name="_Toc54339973"/>
      <w:bookmarkStart w:id="4976" w:name="_Toc54340178"/>
      <w:bookmarkStart w:id="4977" w:name="_Toc54339850"/>
      <w:bookmarkStart w:id="4978" w:name="_Toc54340051"/>
      <w:bookmarkStart w:id="4979" w:name="_Toc54340254"/>
      <w:bookmarkStart w:id="4980" w:name="_Toc54340330"/>
      <w:bookmarkStart w:id="4981" w:name="_Toc54340406"/>
      <w:bookmarkStart w:id="4982" w:name="_Toc54340674"/>
      <w:bookmarkStart w:id="4983" w:name="_Toc54340750"/>
      <w:bookmarkStart w:id="4984" w:name="_Toc54341089"/>
      <w:bookmarkStart w:id="4985" w:name="_Toc54341406"/>
      <w:bookmarkStart w:id="4986" w:name="_Toc54341588"/>
      <w:bookmarkStart w:id="4987" w:name="_Toc54342175"/>
      <w:bookmarkStart w:id="4988" w:name="_Toc54342616"/>
      <w:bookmarkStart w:id="4989" w:name="_Toc54343286"/>
      <w:bookmarkStart w:id="4990" w:name="_Toc54343580"/>
      <w:bookmarkStart w:id="4991" w:name="_Toc54343909"/>
      <w:bookmarkStart w:id="4992" w:name="_Toc54344132"/>
      <w:bookmarkStart w:id="4993" w:name="_Toc54344508"/>
      <w:bookmarkStart w:id="4994" w:name="_Toc54344842"/>
      <w:bookmarkStart w:id="4995" w:name="_Toc54344043"/>
      <w:bookmarkStart w:id="4996" w:name="_Toc54344777"/>
      <w:bookmarkStart w:id="4997" w:name="_Toc54344994"/>
      <w:bookmarkStart w:id="4998" w:name="_Toc54345319"/>
      <w:bookmarkStart w:id="4999" w:name="_Toc54345700"/>
      <w:bookmarkStart w:id="5000" w:name="_Toc54346719"/>
      <w:bookmarkStart w:id="5001" w:name="_Toc54346795"/>
      <w:bookmarkStart w:id="5002" w:name="_Toc54346932"/>
      <w:bookmarkStart w:id="5003" w:name="_Toc54347008"/>
      <w:bookmarkStart w:id="5004" w:name="_Toc54347259"/>
      <w:bookmarkStart w:id="5005" w:name="_Toc54347799"/>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r>
        <w:rPr>
          <w:rFonts w:ascii="Times New Roman" w:hAnsi="Times New Roman" w:cs="Times New Roman"/>
          <w:noProof/>
          <w:color w:val="000000" w:themeColor="text1"/>
          <w:sz w:val="24"/>
          <w:szCs w:val="24"/>
        </w:rPr>
        <w:t xml:space="preserve">The choice for a rather modest policy intervention furthermore takes into account </w:t>
      </w:r>
      <w:r>
        <w:rPr>
          <w:rFonts w:ascii="Times New Roman" w:hAnsi="Times New Roman"/>
          <w:b/>
          <w:bCs/>
          <w:noProof/>
          <w:color w:val="000000" w:themeColor="text1"/>
          <w:sz w:val="24"/>
          <w:szCs w:val="24"/>
        </w:rPr>
        <w:t>the lack of hard data</w:t>
      </w:r>
      <w:r>
        <w:rPr>
          <w:rFonts w:ascii="Times New Roman" w:hAnsi="Times New Roman" w:cs="Times New Roman"/>
          <w:noProof/>
          <w:color w:val="000000" w:themeColor="text1"/>
          <w:sz w:val="24"/>
          <w:szCs w:val="24"/>
        </w:rPr>
        <w:t xml:space="preserve"> on the size of the problem. The chosen pay transparency measures permit to target the more stringent obligations to companies with a gender pay discrimination problem. They may be expected to shed more light on the extent of pay discrimination in the future. </w:t>
      </w:r>
    </w:p>
    <w:p>
      <w:pPr>
        <w:spacing w:after="120"/>
        <w:jc w:val="both"/>
        <w:rPr>
          <w:rFonts w:ascii="Times New Roman" w:hAnsi="Times New Roman" w:cs="Times New Roman"/>
          <w:noProof/>
          <w:sz w:val="24"/>
          <w:szCs w:val="24"/>
        </w:rPr>
      </w:pPr>
      <w:r>
        <w:rPr>
          <w:rFonts w:ascii="Times New Roman" w:hAnsi="Times New Roman" w:cs="Times New Roman"/>
          <w:noProof/>
          <w:color w:val="000000" w:themeColor="text1"/>
          <w:sz w:val="24"/>
          <w:szCs w:val="24"/>
        </w:rPr>
        <w:t xml:space="preserve">The choice is furthermore based on the uncertainty linked to the longer term </w:t>
      </w:r>
      <w:r>
        <w:rPr>
          <w:rFonts w:ascii="Times New Roman" w:hAnsi="Times New Roman"/>
          <w:b/>
          <w:bCs/>
          <w:noProof/>
          <w:color w:val="000000" w:themeColor="text1"/>
          <w:sz w:val="24"/>
          <w:szCs w:val="24"/>
        </w:rPr>
        <w:t>economic impact of the COVID-19</w:t>
      </w:r>
      <w:r>
        <w:rPr>
          <w:rFonts w:ascii="Times New Roman" w:hAnsi="Times New Roman" w:cs="Times New Roman"/>
          <w:noProof/>
          <w:color w:val="000000" w:themeColor="text1"/>
          <w:sz w:val="24"/>
          <w:szCs w:val="24"/>
        </w:rPr>
        <w:t xml:space="preserve"> crisis which puts employers already under significant stress. The latest economic forecasts indicate that recovery prospects are subject to a high degree of uncertainty, with downside risks to the outlook.</w:t>
      </w:r>
      <w:r>
        <w:rPr>
          <w:rStyle w:val="FootnoteReference"/>
          <w:rFonts w:ascii="Times New Roman" w:hAnsi="Times New Roman" w:cs="Times New Roman"/>
          <w:noProof/>
          <w:color w:val="000000" w:themeColor="text1"/>
          <w:sz w:val="24"/>
          <w:szCs w:val="24"/>
        </w:rPr>
        <w:footnoteReference w:id="186"/>
      </w:r>
      <w:r>
        <w:rPr>
          <w:rFonts w:ascii="Times New Roman" w:hAnsi="Times New Roman" w:cs="Times New Roman"/>
          <w:noProof/>
          <w:color w:val="000000" w:themeColor="text1"/>
          <w:sz w:val="24"/>
          <w:szCs w:val="24"/>
        </w:rPr>
        <w:t xml:space="preserve"> It is hence advisable to focus on instruments which, while giving individuals some minimum tools to claim their right, do not impose unnecessary costs and burden on employers at this time.</w:t>
      </w:r>
    </w:p>
    <w:p>
      <w:pPr>
        <w:spacing w:after="120"/>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Once the impact of the current measures as well as the impact of the current economic crisis is clear, the </w:t>
      </w:r>
      <w:r>
        <w:rPr>
          <w:rFonts w:ascii="Times New Roman" w:hAnsi="Times New Roman"/>
          <w:b/>
          <w:bCs/>
          <w:noProof/>
          <w:color w:val="000000" w:themeColor="text1"/>
          <w:sz w:val="24"/>
          <w:szCs w:val="24"/>
        </w:rPr>
        <w:t>opportunity for extending the scope</w:t>
      </w:r>
      <w:r>
        <w:rPr>
          <w:rFonts w:ascii="Times New Roman" w:hAnsi="Times New Roman" w:cs="Times New Roman"/>
          <w:noProof/>
          <w:color w:val="000000" w:themeColor="text1"/>
          <w:sz w:val="24"/>
          <w:szCs w:val="24"/>
        </w:rPr>
        <w:t xml:space="preserve"> of the measures could be assessed with the help of the additional data on pay discrimination collected through the first measures. </w:t>
      </w:r>
    </w:p>
    <w:p>
      <w:pPr>
        <w:pStyle w:val="Heading2"/>
        <w:numPr>
          <w:ilvl w:val="1"/>
          <w:numId w:val="43"/>
        </w:numPr>
        <w:rPr>
          <w:noProof/>
        </w:rPr>
      </w:pPr>
      <w:bookmarkStart w:id="5006" w:name="_Toc58870950"/>
      <w:bookmarkStart w:id="5007" w:name="_Toc58871274"/>
      <w:bookmarkStart w:id="5008" w:name="_Toc58871856"/>
      <w:bookmarkStart w:id="5009" w:name="_Toc58872071"/>
      <w:bookmarkStart w:id="5010" w:name="_Toc58912650"/>
      <w:bookmarkStart w:id="5011" w:name="_Toc58915490"/>
      <w:bookmarkStart w:id="5012" w:name="_Toc58915543"/>
      <w:bookmarkStart w:id="5013" w:name="_Toc58915596"/>
      <w:bookmarkStart w:id="5014" w:name="_Toc58915665"/>
      <w:bookmarkStart w:id="5015" w:name="_Toc58916615"/>
      <w:bookmarkStart w:id="5016" w:name="_Toc58917487"/>
      <w:bookmarkStart w:id="5017" w:name="_Toc58917350"/>
      <w:bookmarkStart w:id="5018" w:name="_Toc58917540"/>
      <w:bookmarkStart w:id="5019" w:name="_Toc58917593"/>
      <w:bookmarkStart w:id="5020" w:name="_Toc58917713"/>
      <w:bookmarkStart w:id="5021" w:name="_Toc58918140"/>
      <w:bookmarkStart w:id="5022" w:name="_Toc58918525"/>
      <w:bookmarkStart w:id="5023" w:name="_Toc58918585"/>
      <w:bookmarkStart w:id="5024" w:name="_Toc58918924"/>
      <w:bookmarkStart w:id="5025" w:name="_Toc58918977"/>
      <w:bookmarkStart w:id="5026" w:name="_Toc58920844"/>
      <w:bookmarkStart w:id="5027" w:name="_Toc58920896"/>
      <w:bookmarkStart w:id="5028" w:name="_Toc58921037"/>
      <w:bookmarkStart w:id="5029" w:name="_Toc58922680"/>
      <w:bookmarkStart w:id="5030" w:name="_Toc58923273"/>
      <w:bookmarkStart w:id="5031" w:name="_Toc58923324"/>
      <w:bookmarkStart w:id="5032" w:name="_Toc58923867"/>
      <w:bookmarkStart w:id="5033" w:name="_Toc58925107"/>
      <w:bookmarkStart w:id="5034" w:name="_Toc58925296"/>
      <w:bookmarkStart w:id="5035" w:name="_Toc58925348"/>
      <w:bookmarkStart w:id="5036" w:name="_Toc58925401"/>
      <w:bookmarkStart w:id="5037" w:name="_Toc58925497"/>
      <w:bookmarkStart w:id="5038" w:name="_Toc58925549"/>
      <w:bookmarkStart w:id="5039" w:name="_Toc58926322"/>
      <w:bookmarkStart w:id="5040" w:name="_Toc58870953"/>
      <w:bookmarkStart w:id="5041" w:name="_Toc58871277"/>
      <w:bookmarkStart w:id="5042" w:name="_Toc58871859"/>
      <w:bookmarkStart w:id="5043" w:name="_Toc58872074"/>
      <w:bookmarkStart w:id="5044" w:name="_Toc58912653"/>
      <w:bookmarkStart w:id="5045" w:name="_Toc58915493"/>
      <w:bookmarkStart w:id="5046" w:name="_Toc58915546"/>
      <w:bookmarkStart w:id="5047" w:name="_Toc58915599"/>
      <w:bookmarkStart w:id="5048" w:name="_Toc58915668"/>
      <w:bookmarkStart w:id="5049" w:name="_Toc58916618"/>
      <w:bookmarkStart w:id="5050" w:name="_Toc58917490"/>
      <w:bookmarkStart w:id="5051" w:name="_Toc58917353"/>
      <w:bookmarkStart w:id="5052" w:name="_Toc58917543"/>
      <w:bookmarkStart w:id="5053" w:name="_Toc58917596"/>
      <w:bookmarkStart w:id="5054" w:name="_Toc58917716"/>
      <w:bookmarkStart w:id="5055" w:name="_Toc58918143"/>
      <w:bookmarkStart w:id="5056" w:name="_Toc58918528"/>
      <w:bookmarkStart w:id="5057" w:name="_Toc58918588"/>
      <w:bookmarkStart w:id="5058" w:name="_Toc58918927"/>
      <w:bookmarkStart w:id="5059" w:name="_Toc58918980"/>
      <w:bookmarkStart w:id="5060" w:name="_Toc58920847"/>
      <w:bookmarkStart w:id="5061" w:name="_Toc58920899"/>
      <w:bookmarkStart w:id="5062" w:name="_Toc58921040"/>
      <w:bookmarkStart w:id="5063" w:name="_Toc58922683"/>
      <w:bookmarkStart w:id="5064" w:name="_Toc58923276"/>
      <w:bookmarkStart w:id="5065" w:name="_Toc58923327"/>
      <w:bookmarkStart w:id="5066" w:name="_Toc58923870"/>
      <w:bookmarkStart w:id="5067" w:name="_Toc58925110"/>
      <w:bookmarkStart w:id="5068" w:name="_Toc58925299"/>
      <w:bookmarkStart w:id="5069" w:name="_Toc58925351"/>
      <w:bookmarkStart w:id="5070" w:name="_Toc58925404"/>
      <w:bookmarkStart w:id="5071" w:name="_Toc58925500"/>
      <w:bookmarkStart w:id="5072" w:name="_Toc58925552"/>
      <w:bookmarkStart w:id="5073" w:name="_Toc58926325"/>
      <w:bookmarkStart w:id="5074" w:name="_Toc58928454"/>
      <w:bookmarkStart w:id="5075" w:name="_Toc58928848"/>
      <w:bookmarkStart w:id="5076" w:name="_Toc58929054"/>
      <w:bookmarkStart w:id="5077" w:name="_Toc58929157"/>
      <w:bookmarkStart w:id="5078" w:name="_Toc58929626"/>
      <w:bookmarkStart w:id="5079" w:name="_Toc58930412"/>
      <w:bookmarkStart w:id="5080" w:name="_Toc58930684"/>
      <w:bookmarkStart w:id="5081" w:name="_Toc58931227"/>
      <w:bookmarkStart w:id="5082" w:name="_Toc58931271"/>
      <w:bookmarkStart w:id="5083" w:name="_Toc58931400"/>
      <w:bookmarkStart w:id="5084" w:name="_Toc58931905"/>
      <w:bookmarkStart w:id="5085" w:name="_Toc58933099"/>
      <w:bookmarkStart w:id="5086" w:name="_Toc58934452"/>
      <w:bookmarkStart w:id="5087" w:name="_Toc58934841"/>
      <w:bookmarkStart w:id="5088" w:name="_Toc58935053"/>
      <w:bookmarkStart w:id="5089" w:name="_Toc58935284"/>
      <w:bookmarkStart w:id="5090" w:name="_Toc58935472"/>
      <w:bookmarkStart w:id="5091" w:name="_Toc58935683"/>
      <w:bookmarkStart w:id="5092" w:name="_Toc58935835"/>
      <w:bookmarkStart w:id="5093" w:name="_Toc58935930"/>
      <w:bookmarkStart w:id="5094" w:name="_Toc58935979"/>
      <w:bookmarkStart w:id="5095" w:name="_Toc58936163"/>
      <w:bookmarkStart w:id="5096" w:name="_Toc58937017"/>
      <w:bookmarkStart w:id="5097" w:name="_Toc58937066"/>
      <w:bookmarkStart w:id="5098" w:name="_Toc58936383"/>
      <w:bookmarkStart w:id="5099" w:name="_Toc58936862"/>
      <w:bookmarkStart w:id="5100" w:name="_Toc58937851"/>
      <w:bookmarkStart w:id="5101" w:name="_Toc58938604"/>
      <w:bookmarkStart w:id="5102" w:name="_Toc58938691"/>
      <w:bookmarkStart w:id="5103" w:name="_Toc58938852"/>
      <w:bookmarkStart w:id="5104" w:name="_Toc58938921"/>
      <w:bookmarkStart w:id="5105" w:name="_Toc58939825"/>
      <w:bookmarkStart w:id="5106" w:name="_Toc58939504"/>
      <w:bookmarkStart w:id="5107" w:name="_Toc58939874"/>
      <w:bookmarkStart w:id="5108" w:name="_Toc58940018"/>
      <w:bookmarkStart w:id="5109" w:name="_Toc58940220"/>
      <w:bookmarkStart w:id="5110" w:name="_Toc58940644"/>
      <w:bookmarkStart w:id="5111" w:name="_Toc58941038"/>
      <w:bookmarkStart w:id="5112" w:name="_Toc58941337"/>
      <w:bookmarkStart w:id="5113" w:name="_Toc58942104"/>
      <w:bookmarkStart w:id="5114" w:name="_Toc58943571"/>
      <w:bookmarkStart w:id="5115" w:name="_Toc58944097"/>
      <w:bookmarkStart w:id="5116" w:name="_Toc58944254"/>
      <w:bookmarkStart w:id="5117" w:name="_Toc58944401"/>
      <w:bookmarkStart w:id="5118" w:name="_Toc58945030"/>
      <w:bookmarkStart w:id="5119" w:name="_Toc58946452"/>
      <w:bookmarkStart w:id="5120" w:name="_Toc58946690"/>
      <w:bookmarkStart w:id="5121" w:name="_Toc58948472"/>
      <w:bookmarkStart w:id="5122" w:name="_Toc58948555"/>
      <w:bookmarkStart w:id="5123" w:name="_Toc58949153"/>
      <w:bookmarkStart w:id="5124" w:name="_Toc58949633"/>
      <w:bookmarkStart w:id="5125" w:name="_Toc58949831"/>
      <w:bookmarkStart w:id="5126" w:name="_Toc58949880"/>
      <w:bookmarkStart w:id="5127" w:name="_Toc58949940"/>
      <w:bookmarkStart w:id="5128" w:name="_Toc58950200"/>
      <w:bookmarkStart w:id="5129" w:name="_Toc58950399"/>
      <w:bookmarkStart w:id="5130" w:name="_Toc58952475"/>
      <w:bookmarkStart w:id="5131" w:name="_Toc58952659"/>
      <w:bookmarkStart w:id="5132" w:name="_Toc58953406"/>
      <w:bookmarkStart w:id="5133" w:name="_Toc58953998"/>
      <w:bookmarkStart w:id="5134" w:name="_Toc58955279"/>
      <w:bookmarkStart w:id="5135" w:name="_Toc58956009"/>
      <w:bookmarkStart w:id="5136" w:name="_Toc58956803"/>
      <w:bookmarkStart w:id="5137" w:name="_Toc59089054"/>
      <w:bookmarkStart w:id="5138" w:name="_Toc59089745"/>
      <w:bookmarkStart w:id="5139" w:name="_Toc58870954"/>
      <w:bookmarkStart w:id="5140" w:name="_Toc58871278"/>
      <w:bookmarkStart w:id="5141" w:name="_Toc58871860"/>
      <w:bookmarkStart w:id="5142" w:name="_Toc58872075"/>
      <w:bookmarkStart w:id="5143" w:name="_Toc58912654"/>
      <w:bookmarkStart w:id="5144" w:name="_Toc58915494"/>
      <w:bookmarkStart w:id="5145" w:name="_Toc58915547"/>
      <w:bookmarkStart w:id="5146" w:name="_Toc58915600"/>
      <w:bookmarkStart w:id="5147" w:name="_Toc58915669"/>
      <w:bookmarkStart w:id="5148" w:name="_Toc58916619"/>
      <w:bookmarkStart w:id="5149" w:name="_Toc58917491"/>
      <w:bookmarkStart w:id="5150" w:name="_Toc58917354"/>
      <w:bookmarkStart w:id="5151" w:name="_Toc58917544"/>
      <w:bookmarkStart w:id="5152" w:name="_Toc58917597"/>
      <w:bookmarkStart w:id="5153" w:name="_Toc58917717"/>
      <w:bookmarkStart w:id="5154" w:name="_Toc58918144"/>
      <w:bookmarkStart w:id="5155" w:name="_Toc58918529"/>
      <w:bookmarkStart w:id="5156" w:name="_Toc58918589"/>
      <w:bookmarkStart w:id="5157" w:name="_Toc58918928"/>
      <w:bookmarkStart w:id="5158" w:name="_Toc58918981"/>
      <w:bookmarkStart w:id="5159" w:name="_Toc58920848"/>
      <w:bookmarkStart w:id="5160" w:name="_Toc58920900"/>
      <w:bookmarkStart w:id="5161" w:name="_Toc58921041"/>
      <w:bookmarkStart w:id="5162" w:name="_Toc58922684"/>
      <w:bookmarkStart w:id="5163" w:name="_Toc58923277"/>
      <w:bookmarkStart w:id="5164" w:name="_Toc58923328"/>
      <w:bookmarkStart w:id="5165" w:name="_Toc58923871"/>
      <w:bookmarkStart w:id="5166" w:name="_Toc58925111"/>
      <w:bookmarkStart w:id="5167" w:name="_Toc58925300"/>
      <w:bookmarkStart w:id="5168" w:name="_Toc58925352"/>
      <w:bookmarkStart w:id="5169" w:name="_Toc58925405"/>
      <w:bookmarkStart w:id="5170" w:name="_Toc58925501"/>
      <w:bookmarkStart w:id="5171" w:name="_Toc58925553"/>
      <w:bookmarkStart w:id="5172" w:name="_Toc58926326"/>
      <w:bookmarkStart w:id="5173" w:name="_Toc58928455"/>
      <w:bookmarkStart w:id="5174" w:name="_Toc58928849"/>
      <w:bookmarkStart w:id="5175" w:name="_Toc58929055"/>
      <w:bookmarkStart w:id="5176" w:name="_Toc58929158"/>
      <w:bookmarkStart w:id="5177" w:name="_Toc58929627"/>
      <w:bookmarkStart w:id="5178" w:name="_Toc58930413"/>
      <w:bookmarkStart w:id="5179" w:name="_Toc58930685"/>
      <w:bookmarkStart w:id="5180" w:name="_Toc58931228"/>
      <w:bookmarkStart w:id="5181" w:name="_Toc58931272"/>
      <w:bookmarkStart w:id="5182" w:name="_Toc58931401"/>
      <w:bookmarkStart w:id="5183" w:name="_Toc58931906"/>
      <w:bookmarkStart w:id="5184" w:name="_Toc58933100"/>
      <w:bookmarkStart w:id="5185" w:name="_Toc58934453"/>
      <w:bookmarkStart w:id="5186" w:name="_Toc58934842"/>
      <w:bookmarkStart w:id="5187" w:name="_Toc58935054"/>
      <w:bookmarkStart w:id="5188" w:name="_Toc58935285"/>
      <w:bookmarkStart w:id="5189" w:name="_Toc58935473"/>
      <w:bookmarkStart w:id="5190" w:name="_Toc58935684"/>
      <w:bookmarkStart w:id="5191" w:name="_Toc58935836"/>
      <w:bookmarkStart w:id="5192" w:name="_Toc58935931"/>
      <w:bookmarkStart w:id="5193" w:name="_Toc58935980"/>
      <w:bookmarkStart w:id="5194" w:name="_Toc58936164"/>
      <w:bookmarkStart w:id="5195" w:name="_Toc58937018"/>
      <w:bookmarkStart w:id="5196" w:name="_Toc58937067"/>
      <w:bookmarkStart w:id="5197" w:name="_Toc58936384"/>
      <w:bookmarkStart w:id="5198" w:name="_Toc58936863"/>
      <w:bookmarkStart w:id="5199" w:name="_Toc58937852"/>
      <w:bookmarkStart w:id="5200" w:name="_Toc58938605"/>
      <w:bookmarkStart w:id="5201" w:name="_Toc58938692"/>
      <w:bookmarkStart w:id="5202" w:name="_Toc58938853"/>
      <w:bookmarkStart w:id="5203" w:name="_Toc58938922"/>
      <w:bookmarkStart w:id="5204" w:name="_Toc58939826"/>
      <w:bookmarkStart w:id="5205" w:name="_Toc58939505"/>
      <w:bookmarkStart w:id="5206" w:name="_Toc58939875"/>
      <w:bookmarkStart w:id="5207" w:name="_Toc58940019"/>
      <w:bookmarkStart w:id="5208" w:name="_Toc58940221"/>
      <w:bookmarkStart w:id="5209" w:name="_Toc58940645"/>
      <w:bookmarkStart w:id="5210" w:name="_Toc58941039"/>
      <w:bookmarkStart w:id="5211" w:name="_Toc58941338"/>
      <w:bookmarkStart w:id="5212" w:name="_Toc58942105"/>
      <w:bookmarkStart w:id="5213" w:name="_Toc58943572"/>
      <w:bookmarkStart w:id="5214" w:name="_Toc58944098"/>
      <w:bookmarkStart w:id="5215" w:name="_Toc58944255"/>
      <w:bookmarkStart w:id="5216" w:name="_Toc58944402"/>
      <w:bookmarkStart w:id="5217" w:name="_Toc58945031"/>
      <w:bookmarkStart w:id="5218" w:name="_Toc58946453"/>
      <w:bookmarkStart w:id="5219" w:name="_Toc58946691"/>
      <w:bookmarkStart w:id="5220" w:name="_Toc58948473"/>
      <w:bookmarkStart w:id="5221" w:name="_Toc58948556"/>
      <w:bookmarkStart w:id="5222" w:name="_Toc58949154"/>
      <w:bookmarkStart w:id="5223" w:name="_Toc58949634"/>
      <w:bookmarkStart w:id="5224" w:name="_Toc58949832"/>
      <w:bookmarkStart w:id="5225" w:name="_Toc58949881"/>
      <w:bookmarkStart w:id="5226" w:name="_Toc58949941"/>
      <w:bookmarkStart w:id="5227" w:name="_Toc58950201"/>
      <w:bookmarkStart w:id="5228" w:name="_Toc58950400"/>
      <w:bookmarkStart w:id="5229" w:name="_Toc58952476"/>
      <w:bookmarkStart w:id="5230" w:name="_Toc58952660"/>
      <w:bookmarkStart w:id="5231" w:name="_Toc58953407"/>
      <w:bookmarkStart w:id="5232" w:name="_Toc58953999"/>
      <w:bookmarkStart w:id="5233" w:name="_Toc58955280"/>
      <w:bookmarkStart w:id="5234" w:name="_Toc58956010"/>
      <w:bookmarkStart w:id="5235" w:name="_Toc58956804"/>
      <w:bookmarkStart w:id="5236" w:name="_Toc59089055"/>
      <w:bookmarkStart w:id="5237" w:name="_Toc59089746"/>
      <w:bookmarkStart w:id="5238" w:name="_Toc58767216"/>
      <w:bookmarkStart w:id="5239" w:name="_Toc58769519"/>
      <w:bookmarkStart w:id="5240" w:name="_Toc58863859"/>
      <w:bookmarkStart w:id="5241" w:name="_Toc58868886"/>
      <w:bookmarkStart w:id="5242" w:name="_Toc58870717"/>
      <w:bookmarkStart w:id="5243" w:name="_Toc58870955"/>
      <w:bookmarkStart w:id="5244" w:name="_Toc58871861"/>
      <w:bookmarkStart w:id="5245" w:name="_Toc58872076"/>
      <w:bookmarkStart w:id="5246" w:name="_Toc58922818"/>
      <w:bookmarkStart w:id="5247" w:name="_Toc58925406"/>
      <w:bookmarkStart w:id="5248" w:name="_Toc58928902"/>
      <w:bookmarkStart w:id="5249" w:name="_Toc58931273"/>
      <w:bookmarkStart w:id="5250" w:name="_Toc58931907"/>
      <w:bookmarkStart w:id="5251" w:name="_Toc58950511"/>
      <w:bookmarkStart w:id="5252" w:name="_Toc58956805"/>
      <w:bookmarkStart w:id="5253" w:name="_Toc58957968"/>
      <w:bookmarkStart w:id="5254" w:name="_Toc58962501"/>
      <w:bookmarkStart w:id="5255" w:name="_Toc54289125"/>
      <w:bookmarkStart w:id="5256" w:name="_Toc54290625"/>
      <w:bookmarkStart w:id="5257" w:name="_Toc54290994"/>
      <w:bookmarkStart w:id="5258" w:name="_Toc54292117"/>
      <w:bookmarkStart w:id="5259" w:name="_Toc54340676"/>
      <w:bookmarkStart w:id="5260" w:name="_Toc54345777"/>
      <w:bookmarkStart w:id="5261" w:name="_Toc54348790"/>
      <w:bookmarkStart w:id="5262" w:name="_Toc54355120"/>
      <w:bookmarkStart w:id="5263" w:name="_Toc54355173"/>
      <w:bookmarkStart w:id="5264" w:name="_Toc54355645"/>
      <w:bookmarkStart w:id="5265" w:name="_Toc54355793"/>
      <w:bookmarkStart w:id="5266" w:name="_Toc54356147"/>
      <w:bookmarkStart w:id="5267" w:name="_Toc54356698"/>
      <w:bookmarkStart w:id="5268" w:name="_Toc54357565"/>
      <w:bookmarkStart w:id="5269" w:name="_Toc54357662"/>
      <w:bookmarkStart w:id="5270" w:name="_Toc54364613"/>
      <w:bookmarkStart w:id="5271" w:name="_Toc54371221"/>
      <w:bookmarkStart w:id="5272" w:name="_Toc54372058"/>
      <w:bookmarkStart w:id="5273" w:name="_Toc5437666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r>
        <w:rPr>
          <w:rFonts w:eastAsiaTheme="minorEastAsia"/>
          <w:b w:val="0"/>
          <w:noProof/>
          <w:color w:val="000000" w:themeColor="text1"/>
        </w:rPr>
        <w:t xml:space="preserve"> </w:t>
      </w:r>
      <w:bookmarkStart w:id="5274" w:name="_Toc59096534"/>
      <w:bookmarkStart w:id="5275" w:name="_Toc59103130"/>
      <w:bookmarkStart w:id="5276" w:name="_Toc59104981"/>
      <w:bookmarkStart w:id="5277" w:name="_Toc59119941"/>
      <w:bookmarkStart w:id="5278" w:name="_Toc59121205"/>
      <w:bookmarkStart w:id="5279" w:name="_Toc59121324"/>
      <w:bookmarkStart w:id="5280" w:name="_Toc59549377"/>
      <w:bookmarkStart w:id="5281" w:name="_Toc59642330"/>
      <w:r>
        <w:rPr>
          <w:noProof/>
        </w:rPr>
        <w:t>Hypothetical scenario of the potential economic impact of the preferred package of measures</w:t>
      </w:r>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74"/>
      <w:bookmarkEnd w:id="5275"/>
      <w:bookmarkEnd w:id="5276"/>
      <w:bookmarkEnd w:id="5277"/>
      <w:bookmarkEnd w:id="5278"/>
      <w:bookmarkEnd w:id="5279"/>
      <w:bookmarkEnd w:id="5280"/>
      <w:bookmarkEnd w:id="5281"/>
    </w:p>
    <w:p>
      <w:pPr>
        <w:jc w:val="both"/>
        <w:rPr>
          <w:rFonts w:ascii="Times New Roman" w:hAnsi="Times New Roman" w:cs="Times New Roman"/>
          <w:noProof/>
          <w:sz w:val="24"/>
          <w:szCs w:val="24"/>
        </w:rPr>
      </w:pPr>
      <w:r>
        <w:rPr>
          <w:rFonts w:ascii="Times New Roman" w:hAnsi="Times New Roman" w:cs="Times New Roman"/>
          <w:noProof/>
          <w:sz w:val="24"/>
          <w:szCs w:val="24"/>
        </w:rPr>
        <w:t>The impact of pay transparency measures should ideally be measured through the reduction of pay discrimination and/or a reduction of gender bias in pay structures that would affect relative wages between women and men. As a suitable metrics of the scale of ‘gender pay discrimination’, or even of ‘gender discrimination’, is lacking, this impact assessment estimates – purely for illustrational purposes – distributional effects of a very modest reduction in the gender pay gap that may result from pay transparency measures. The assumption is that pay transparency will help correcting discriminatory gender differences in average wages and therefore reduce the share of the gender pay gap that is due to gender pay discrimination. Since this share, as mentioned, cannot be measured with precision, the estimates of a possible impact rely on experts’ judgement and other various, mostly qualitative, assessments of the possible reduction. More specifically, the hypothetical scenario is built based on estimates available in the impact assessment for the 2014 Recommendation for similar measures and on the qualitative assessment of experts consulted in the context of the support study for this initiative. Similar assessments have been carried out elsewhere, such as in the European Parliament’s study</w:t>
      </w:r>
      <w:r>
        <w:rPr>
          <w:rStyle w:val="FootnoteReference"/>
          <w:rFonts w:ascii="Times New Roman" w:hAnsi="Times New Roman" w:cs="Times New Roman"/>
          <w:noProof/>
          <w:sz w:val="24"/>
          <w:szCs w:val="24"/>
        </w:rPr>
        <w:footnoteReference w:id="187"/>
      </w:r>
      <w:r>
        <w:rPr>
          <w:rFonts w:ascii="Times New Roman" w:hAnsi="Times New Roman" w:cs="Times New Roman"/>
          <w:noProof/>
          <w:sz w:val="24"/>
          <w:szCs w:val="24"/>
        </w:rPr>
        <w:t xml:space="preserve"> and in studies assessing the impact of pay transparency measures carried out at national level</w:t>
      </w:r>
      <w:r>
        <w:rPr>
          <w:rStyle w:val="FootnoteReference"/>
          <w:rFonts w:ascii="Times New Roman" w:hAnsi="Times New Roman" w:cs="Times New Roman"/>
          <w:noProof/>
          <w:sz w:val="24"/>
          <w:szCs w:val="24"/>
        </w:rPr>
        <w:footnoteReference w:id="188"/>
      </w:r>
      <w:r>
        <w:rPr>
          <w:rFonts w:ascii="Times New Roman" w:hAnsi="Times New Roman" w:cs="Times New Roman"/>
          <w:noProof/>
          <w:sz w:val="24"/>
          <w:szCs w:val="24"/>
        </w:rPr>
        <w:t>.</w:t>
      </w:r>
    </w:p>
    <w:p>
      <w:pPr>
        <w:jc w:val="both"/>
        <w:rPr>
          <w:rFonts w:ascii="Times New Roman" w:hAnsi="Times New Roman" w:cs="Times New Roman"/>
          <w:noProof/>
          <w:sz w:val="24"/>
          <w:szCs w:val="24"/>
        </w:rPr>
      </w:pPr>
      <w:r>
        <w:rPr>
          <w:rFonts w:ascii="Times New Roman" w:hAnsi="Times New Roman" w:cs="Times New Roman"/>
          <w:noProof/>
          <w:sz w:val="24"/>
          <w:szCs w:val="24"/>
        </w:rPr>
        <w:t>The qualitative assessment of experts confirms the possible scale of estimates presented in the impact assessment for the 2014 Recommendation for similar measures, namely:</w:t>
      </w:r>
    </w:p>
    <w:p>
      <w:pPr>
        <w:pStyle w:val="ListParagraph"/>
        <w:numPr>
          <w:ilvl w:val="0"/>
          <w:numId w:val="30"/>
        </w:numPr>
        <w:jc w:val="both"/>
        <w:rPr>
          <w:rFonts w:ascii="Times New Roman" w:eastAsia="Times New Roman" w:hAnsi="Times New Roman" w:cs="Times New Roman"/>
          <w:noProof/>
          <w:sz w:val="24"/>
          <w:szCs w:val="24"/>
        </w:rPr>
      </w:pPr>
      <w:r>
        <w:rPr>
          <w:rFonts w:ascii="Times New Roman" w:hAnsi="Times New Roman" w:cs="Times New Roman"/>
          <w:i/>
          <w:iCs/>
          <w:noProof/>
          <w:sz w:val="24"/>
          <w:szCs w:val="24"/>
        </w:rPr>
        <w:t>a right to pay information</w:t>
      </w:r>
      <w:r>
        <w:rPr>
          <w:rFonts w:ascii="Times New Roman" w:hAnsi="Times New Roman" w:cs="Times New Roman"/>
          <w:noProof/>
          <w:sz w:val="24"/>
          <w:szCs w:val="24"/>
        </w:rPr>
        <w:t xml:space="preserve"> would have a </w:t>
      </w:r>
      <w:r>
        <w:rPr>
          <w:rFonts w:ascii="Times New Roman" w:eastAsia="Times New Roman" w:hAnsi="Times New Roman" w:cs="Times New Roman"/>
          <w:noProof/>
          <w:sz w:val="24"/>
          <w:szCs w:val="24"/>
        </w:rPr>
        <w:t>positive impact in the order of</w:t>
      </w:r>
      <w:r>
        <w:rPr>
          <w:rFonts w:ascii="Times New Roman" w:eastAsia="Times New Roman" w:hAnsi="Times New Roman" w:cs="Times New Roman"/>
          <w:b/>
          <w:bCs/>
          <w:noProof/>
          <w:sz w:val="24"/>
          <w:szCs w:val="24"/>
        </w:rPr>
        <w:t xml:space="preserve"> 1-2 percentage points </w:t>
      </w:r>
      <w:r>
        <w:rPr>
          <w:rFonts w:ascii="Times New Roman" w:eastAsia="Times New Roman" w:hAnsi="Times New Roman" w:cs="Times New Roman"/>
          <w:noProof/>
          <w:sz w:val="24"/>
          <w:szCs w:val="24"/>
        </w:rPr>
        <w:t>reduction of the gender pay gap;</w:t>
      </w:r>
    </w:p>
    <w:p>
      <w:pPr>
        <w:pStyle w:val="ListParagraph"/>
        <w:numPr>
          <w:ilvl w:val="0"/>
          <w:numId w:val="30"/>
        </w:numPr>
        <w:jc w:val="both"/>
        <w:rPr>
          <w:rFonts w:ascii="Times New Roman" w:eastAsia="Times New Roman" w:hAnsi="Times New Roman" w:cs="Times New Roman"/>
          <w:noProof/>
          <w:sz w:val="24"/>
          <w:szCs w:val="24"/>
        </w:rPr>
      </w:pPr>
      <w:r>
        <w:rPr>
          <w:rFonts w:ascii="Times New Roman" w:eastAsia="Times New Roman" w:hAnsi="Times New Roman" w:cs="Times New Roman"/>
          <w:i/>
          <w:iCs/>
          <w:noProof/>
          <w:sz w:val="24"/>
          <w:szCs w:val="24"/>
        </w:rPr>
        <w:t>pay reporting</w:t>
      </w:r>
      <w:r>
        <w:rPr>
          <w:rFonts w:ascii="Times New Roman" w:eastAsia="Times New Roman" w:hAnsi="Times New Roman" w:cs="Times New Roman"/>
          <w:noProof/>
          <w:sz w:val="24"/>
          <w:szCs w:val="24"/>
        </w:rPr>
        <w:t xml:space="preserve"> would have a positive impact in the order of </w:t>
      </w:r>
      <w:r>
        <w:rPr>
          <w:rFonts w:ascii="Times New Roman" w:eastAsia="Times New Roman" w:hAnsi="Times New Roman" w:cs="Times New Roman"/>
          <w:b/>
          <w:bCs/>
          <w:noProof/>
          <w:sz w:val="24"/>
          <w:szCs w:val="24"/>
        </w:rPr>
        <w:t xml:space="preserve">2-3 percentage points </w:t>
      </w:r>
      <w:r>
        <w:rPr>
          <w:rFonts w:ascii="Times New Roman" w:eastAsia="Times New Roman" w:hAnsi="Times New Roman" w:cs="Times New Roman"/>
          <w:noProof/>
          <w:sz w:val="24"/>
          <w:szCs w:val="24"/>
        </w:rPr>
        <w:t>reduction of the gender pay gap;</w:t>
      </w:r>
    </w:p>
    <w:p>
      <w:pPr>
        <w:pStyle w:val="ListParagraph"/>
        <w:numPr>
          <w:ilvl w:val="0"/>
          <w:numId w:val="30"/>
        </w:numPr>
        <w:spacing w:before="120" w:after="120"/>
        <w:jc w:val="both"/>
        <w:rPr>
          <w:rFonts w:ascii="Times New Roman" w:eastAsia="Times New Roman" w:hAnsi="Times New Roman" w:cs="Times New Roman"/>
          <w:noProof/>
          <w:sz w:val="24"/>
          <w:szCs w:val="24"/>
        </w:rPr>
      </w:pPr>
      <w:r>
        <w:rPr>
          <w:rFonts w:ascii="Times New Roman" w:hAnsi="Times New Roman" w:cs="Times New Roman"/>
          <w:i/>
          <w:iCs/>
          <w:noProof/>
          <w:sz w:val="24"/>
          <w:szCs w:val="24"/>
        </w:rPr>
        <w:t>joint pay assessment</w:t>
      </w:r>
      <w:r>
        <w:rPr>
          <w:rFonts w:ascii="Times New Roman" w:hAnsi="Times New Roman" w:cs="Times New Roman"/>
          <w:noProof/>
          <w:sz w:val="24"/>
          <w:szCs w:val="24"/>
        </w:rPr>
        <w:t xml:space="preserve"> would have a positive impact </w:t>
      </w:r>
      <w:r>
        <w:rPr>
          <w:rFonts w:ascii="Times New Roman" w:eastAsia="Times New Roman" w:hAnsi="Times New Roman" w:cs="Times New Roman"/>
          <w:noProof/>
          <w:sz w:val="24"/>
          <w:szCs w:val="24"/>
        </w:rPr>
        <w:t xml:space="preserve">in the order of </w:t>
      </w:r>
      <w:r>
        <w:rPr>
          <w:rFonts w:ascii="Times New Roman" w:eastAsia="Times New Roman" w:hAnsi="Times New Roman" w:cs="Times New Roman"/>
          <w:b/>
          <w:bCs/>
          <w:noProof/>
          <w:sz w:val="24"/>
          <w:szCs w:val="24"/>
        </w:rPr>
        <w:t>2-4 percentage points</w:t>
      </w:r>
      <w:r>
        <w:rPr>
          <w:rFonts w:ascii="Times New Roman" w:eastAsia="Times New Roman" w:hAnsi="Times New Roman" w:cs="Times New Roman"/>
          <w:noProof/>
          <w:sz w:val="24"/>
          <w:szCs w:val="24"/>
        </w:rPr>
        <w:t xml:space="preserve"> reduction of the gender pay gap.</w:t>
      </w:r>
    </w:p>
    <w:p>
      <w:pPr>
        <w:spacing w:before="120" w:after="120"/>
        <w:jc w:val="both"/>
        <w:rPr>
          <w:rFonts w:ascii="Times New Roman" w:hAnsi="Times New Roman" w:cs="Times New Roman"/>
          <w:noProof/>
          <w:sz w:val="24"/>
          <w:szCs w:val="24"/>
        </w:rPr>
      </w:pPr>
      <w:r>
        <w:rPr>
          <w:rFonts w:ascii="Times New Roman" w:hAnsi="Times New Roman" w:cs="Times New Roman"/>
          <w:noProof/>
          <w:sz w:val="24"/>
          <w:szCs w:val="24"/>
        </w:rPr>
        <w:t xml:space="preserve">In addition, if social partners are involved and this would lead to equal pay matters being included in collective bargaining, this would have a positive impact in the order </w:t>
      </w:r>
      <w:r>
        <w:rPr>
          <w:rFonts w:ascii="Times New Roman" w:hAnsi="Times New Roman" w:cs="Times New Roman"/>
          <w:b/>
          <w:bCs/>
          <w:noProof/>
          <w:sz w:val="24"/>
          <w:szCs w:val="24"/>
        </w:rPr>
        <w:t xml:space="preserve">1 percentage point </w:t>
      </w:r>
      <w:r>
        <w:rPr>
          <w:rFonts w:ascii="Times New Roman" w:hAnsi="Times New Roman" w:cs="Times New Roman"/>
          <w:noProof/>
          <w:sz w:val="24"/>
          <w:szCs w:val="24"/>
        </w:rPr>
        <w:t>reduction of the gender pay gap.</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Considering that the measures in the preferred package (combination of Sub-option 1B, Sub-option 2D, and Option 3), </w:t>
      </w:r>
      <w:r>
        <w:rPr>
          <w:rFonts w:ascii="Times New Roman" w:eastAsia="Times New Roman" w:hAnsi="Times New Roman" w:cs="Times New Roman"/>
          <w:noProof/>
          <w:sz w:val="24"/>
          <w:szCs w:val="24"/>
        </w:rPr>
        <w:t xml:space="preserve">cannot have, and do not aim at having, an impact on all the root causes of the gender pay gap, but are meant to affect pay discrimination, which is one part of the unexplained component of the gender pay gap, the percentage change is applied to the latter only. In order to estimate potential distributional effects in a hypothetical scenario, </w:t>
      </w:r>
      <w:r>
        <w:rPr>
          <w:rFonts w:ascii="Times New Roman" w:hAnsi="Times New Roman" w:cs="Times New Roman"/>
          <w:noProof/>
          <w:sz w:val="24"/>
          <w:szCs w:val="24"/>
        </w:rPr>
        <w:t xml:space="preserve">we assume a conservative </w:t>
      </w:r>
      <w:r>
        <w:rPr>
          <w:rFonts w:ascii="Times New Roman" w:hAnsi="Times New Roman" w:cs="Times New Roman"/>
          <w:b/>
          <w:bCs/>
          <w:noProof/>
          <w:sz w:val="24"/>
          <w:szCs w:val="24"/>
        </w:rPr>
        <w:t xml:space="preserve">reduction of the unexplained part of the pay gap of 3 percentage points </w:t>
      </w:r>
      <w:r>
        <w:rPr>
          <w:rFonts w:ascii="Times New Roman" w:hAnsi="Times New Roman" w:cs="Times New Roman"/>
          <w:noProof/>
          <w:sz w:val="24"/>
          <w:szCs w:val="24"/>
        </w:rPr>
        <w:t>as a result of the application of the package of measures. Pay transparency measures would influence differences in pay by gender and therefore wages and the income distribution. This change assumes that the average speed of the reduction in the unexplained pay gap would double as compared to the change observed for the years 2010-2014.</w:t>
      </w:r>
      <w:r>
        <w:rPr>
          <w:rStyle w:val="FootnoteReference"/>
          <w:rFonts w:ascii="Times New Roman" w:hAnsi="Times New Roman" w:cs="Times New Roman"/>
          <w:noProof/>
          <w:sz w:val="24"/>
          <w:szCs w:val="24"/>
        </w:rPr>
        <w:footnoteReference w:id="189"/>
      </w:r>
      <w:r>
        <w:rPr>
          <w:rFonts w:ascii="Times New Roman" w:hAnsi="Times New Roman" w:cs="Times New Roman"/>
          <w:noProof/>
          <w:sz w:val="24"/>
          <w:szCs w:val="24"/>
        </w:rPr>
        <w:t xml:space="preserve"> This overall estimate is more conservative than what can be found e.g. in the assessment of the Recommendations of the Bauer report.</w:t>
      </w:r>
      <w:r>
        <w:rPr>
          <w:rStyle w:val="FootnoteReference"/>
          <w:rFonts w:ascii="Times New Roman" w:hAnsi="Times New Roman" w:cs="Times New Roman"/>
          <w:noProof/>
          <w:sz w:val="24"/>
          <w:szCs w:val="24"/>
        </w:rPr>
        <w:footnoteReference w:id="190"/>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u w:val="single"/>
        </w:rPr>
        <w:t>Impact on household income distribution, risk of poverty and public budgets</w:t>
      </w:r>
      <w:r>
        <w:rPr>
          <w:rFonts w:ascii="Times New Roman" w:eastAsia="Times New Roman" w:hAnsi="Times New Roman" w:cs="Times New Roman"/>
          <w:noProof/>
          <w:sz w:val="24"/>
          <w:szCs w:val="24"/>
        </w:rPr>
        <w:t>: The following analysis looks at the potential</w:t>
      </w:r>
      <w:r>
        <w:rPr>
          <w:rFonts w:ascii="Times New Roman" w:hAnsi="Times New Roman" w:cs="Times New Roman"/>
          <w:noProof/>
          <w:sz w:val="24"/>
          <w:szCs w:val="24"/>
        </w:rPr>
        <w:t xml:space="preserve"> direct impact of a reduction in the unexplained part of the gender pay gap on the household income distribution (the at-riskofpoverty rates (per different groups) and on government budgets using the EUROMOD</w:t>
      </w:r>
      <w:r>
        <w:rPr>
          <w:rStyle w:val="FootnoteReference"/>
          <w:rFonts w:ascii="Times New Roman" w:hAnsi="Times New Roman" w:cs="Times New Roman"/>
          <w:noProof/>
          <w:sz w:val="24"/>
          <w:szCs w:val="24"/>
        </w:rPr>
        <w:footnoteReference w:id="191"/>
      </w:r>
      <w:r>
        <w:rPr>
          <w:rFonts w:ascii="Times New Roman" w:hAnsi="Times New Roman" w:cs="Times New Roman"/>
          <w:noProof/>
          <w:sz w:val="24"/>
          <w:szCs w:val="24"/>
        </w:rPr>
        <w:t xml:space="preserve"> model (See </w:t>
      </w:r>
      <w:r>
        <w:rPr>
          <w:rFonts w:ascii="Times New Roman" w:hAnsi="Times New Roman" w:cs="Times New Roman"/>
          <w:i/>
          <w:iCs/>
          <w:noProof/>
          <w:sz w:val="24"/>
          <w:szCs w:val="24"/>
        </w:rPr>
        <w:t>Annex 4, section 4</w:t>
      </w:r>
      <w:r>
        <w:rPr>
          <w:rFonts w:ascii="Times New Roman" w:hAnsi="Times New Roman" w:cs="Times New Roman"/>
          <w:noProof/>
          <w:sz w:val="24"/>
          <w:szCs w:val="24"/>
        </w:rPr>
        <w:t xml:space="preserve"> for more details).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EUROMOD is a static tax-benefit microsimulation model, which allows simulating the immediate effects of a policy change. In this modelling framework neither behavioral responses nor general equilibrium macroeconomic effects are accounted for; thus, results should be interpreted as a ¨morning-after¨ effect.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For this analysis, the simulations focused on the impact of an externally given targeted increase in women gross hourly wages, driven by the expected reduction of the gender pay gap, while keeping constant all other variables, including male wages. The estimated impact on household disposable income on poverty and inequality indicators and the budgetary implications, come both from this external shock in gross earnings as well as from the interactions of the tax and benefit system in each country. </w:t>
      </w:r>
    </w:p>
    <w:p>
      <w:pPr>
        <w:jc w:val="both"/>
        <w:rPr>
          <w:rFonts w:ascii="Times New Roman" w:hAnsi="Times New Roman" w:cs="Times New Roman"/>
          <w:noProof/>
        </w:rPr>
      </w:pPr>
      <w:r>
        <w:rPr>
          <w:rFonts w:ascii="Times New Roman" w:hAnsi="Times New Roman" w:cs="Times New Roman"/>
          <w:noProof/>
          <w:sz w:val="24"/>
          <w:szCs w:val="24"/>
        </w:rPr>
        <w:t>The micro simulations obtained from the EUROMOD model evaluate the impact of closing the gender pay gap by raising women´s gross hourly wages and applying countries´ tax-benefit systems (as of 2019).</w:t>
      </w:r>
      <w:r>
        <w:rPr>
          <w:rFonts w:ascii="Times New Roman" w:hAnsi="Times New Roman" w:cs="Times New Roman"/>
          <w:noProof/>
        </w:rPr>
        <w:t xml:space="preserve"> </w:t>
      </w:r>
      <w:r>
        <w:rPr>
          <w:rFonts w:ascii="Times New Roman" w:hAnsi="Times New Roman" w:cs="Times New Roman"/>
          <w:noProof/>
          <w:sz w:val="24"/>
          <w:szCs w:val="24"/>
        </w:rPr>
        <w:t>Microeconomic analysis allows to take into account the initial distribution of wages, the shares of working women in each decile, the household composition, the structure of personal income taxes (e.g., progressivity of the personal income tax, joint assessment of taxable income, etc.) and the interactions within the tax-benefit system. We present the effects of the expected reduction of 3 p.p. of the unexplained part of the gender pay gap</w:t>
      </w:r>
      <w:r>
        <w:rPr>
          <w:rStyle w:val="FootnoteReference"/>
          <w:rFonts w:ascii="Times New Roman" w:hAnsi="Times New Roman" w:cs="Times New Roman"/>
          <w:noProof/>
          <w:sz w:val="24"/>
          <w:szCs w:val="24"/>
        </w:rPr>
        <w:footnoteReference w:id="192"/>
      </w:r>
      <w:r>
        <w:rPr>
          <w:rFonts w:ascii="Times New Roman" w:hAnsi="Times New Roman" w:cs="Times New Roman"/>
          <w:noProof/>
          <w:sz w:val="24"/>
          <w:szCs w:val="24"/>
        </w:rPr>
        <w:t>, compared to the baseline given by the policy systems in 2019 (see</w:t>
      </w:r>
      <w:r>
        <w:rPr>
          <w:rFonts w:ascii="Times New Roman" w:hAnsi="Times New Roman" w:cs="Times New Roman"/>
          <w:i/>
          <w:iCs/>
          <w:noProof/>
          <w:sz w:val="24"/>
          <w:szCs w:val="24"/>
        </w:rPr>
        <w:t xml:space="preserve"> Annex 4 – </w:t>
      </w:r>
      <w:r>
        <w:rPr>
          <w:rFonts w:ascii="Times New Roman" w:hAnsi="Times New Roman" w:cs="Times New Roman"/>
          <w:noProof/>
          <w:sz w:val="24"/>
          <w:szCs w:val="24"/>
        </w:rPr>
        <w:t>for a comparison with the impact of a reduction of 1 and 5 p.p.).</w:t>
      </w:r>
    </w:p>
    <w:p>
      <w:pPr>
        <w:jc w:val="both"/>
        <w:rPr>
          <w:rFonts w:ascii="Times New Roman" w:hAnsi="Times New Roman" w:cs="Times New Roman"/>
          <w:noProof/>
          <w:sz w:val="24"/>
          <w:szCs w:val="24"/>
        </w:rPr>
      </w:pPr>
      <w:r>
        <w:rPr>
          <w:rFonts w:ascii="Times New Roman" w:hAnsi="Times New Roman" w:cs="Times New Roman"/>
          <w:i/>
          <w:iCs/>
          <w:noProof/>
          <w:sz w:val="24"/>
          <w:szCs w:val="24"/>
        </w:rPr>
        <w:t xml:space="preserve">Main results  </w:t>
      </w:r>
      <w:r>
        <w:rPr>
          <w:rFonts w:ascii="Times New Roman" w:hAnsi="Times New Roman" w:cs="Times New Roman"/>
          <w:noProof/>
          <w:sz w:val="24"/>
          <w:szCs w:val="24"/>
        </w:rPr>
        <w:t>(</w:t>
      </w:r>
      <w:r>
        <w:rPr>
          <w:rFonts w:ascii="Times New Roman" w:hAnsi="Times New Roman" w:cs="Times New Roman"/>
          <w:i/>
          <w:iCs/>
          <w:noProof/>
          <w:sz w:val="24"/>
          <w:szCs w:val="24"/>
        </w:rPr>
        <w:t>see further details in Annex 4</w:t>
      </w:r>
      <w:r>
        <w:rPr>
          <w:rFonts w:ascii="Times New Roman" w:hAnsi="Times New Roman" w:cs="Times New Roman"/>
          <w:noProof/>
          <w:sz w:val="24"/>
          <w:szCs w:val="24"/>
        </w:rPr>
        <w:t>):</w:t>
      </w:r>
    </w:p>
    <w:p>
      <w:pPr>
        <w:jc w:val="both"/>
        <w:rPr>
          <w:rFonts w:ascii="Times New Roman" w:hAnsi="Times New Roman" w:cs="Times New Roman"/>
          <w:noProof/>
          <w:sz w:val="24"/>
          <w:szCs w:val="24"/>
        </w:rPr>
      </w:pPr>
      <w:r>
        <w:rPr>
          <w:rFonts w:ascii="Times New Roman" w:hAnsi="Times New Roman" w:cs="Times New Roman"/>
          <w:i/>
          <w:iCs/>
          <w:noProof/>
          <w:sz w:val="24"/>
          <w:szCs w:val="24"/>
        </w:rPr>
        <w:t>Impact on gross earnings and inequality</w:t>
      </w:r>
      <w:r>
        <w:rPr>
          <w:rFonts w:ascii="Times New Roman" w:hAnsi="Times New Roman" w:cs="Times New Roman"/>
          <w:noProof/>
          <w:sz w:val="24"/>
          <w:szCs w:val="24"/>
        </w:rPr>
        <w:t xml:space="preserve">: Raising women´s gross hourly wages in order to close the gap would lead to an </w:t>
      </w:r>
      <w:r>
        <w:rPr>
          <w:rFonts w:ascii="Times New Roman" w:hAnsi="Times New Roman" w:cs="Times New Roman"/>
          <w:b/>
          <w:bCs/>
          <w:noProof/>
          <w:sz w:val="24"/>
          <w:szCs w:val="24"/>
        </w:rPr>
        <w:t>overall increase of total gross earnings of</w:t>
      </w:r>
      <w:r>
        <w:rPr>
          <w:rFonts w:ascii="Times New Roman" w:hAnsi="Times New Roman" w:cs="Times New Roman"/>
          <w:b/>
          <w:bCs/>
          <w:noProof/>
        </w:rPr>
        <w:t xml:space="preserve"> </w:t>
      </w:r>
      <w:r>
        <w:rPr>
          <w:rFonts w:ascii="Times New Roman" w:hAnsi="Times New Roman" w:cs="Times New Roman"/>
          <w:b/>
          <w:bCs/>
          <w:noProof/>
          <w:sz w:val="24"/>
          <w:szCs w:val="24"/>
        </w:rPr>
        <w:t>6.9% on average at the EU level</w:t>
      </w:r>
      <w:r>
        <w:rPr>
          <w:rFonts w:ascii="Times New Roman" w:hAnsi="Times New Roman" w:cs="Times New Roman"/>
          <w:noProof/>
          <w:sz w:val="24"/>
          <w:szCs w:val="24"/>
        </w:rPr>
        <w:t xml:space="preserve">, and a </w:t>
      </w:r>
      <w:r>
        <w:rPr>
          <w:rFonts w:ascii="Times New Roman" w:hAnsi="Times New Roman" w:cs="Times New Roman"/>
          <w:b/>
          <w:bCs/>
          <w:noProof/>
          <w:sz w:val="24"/>
          <w:szCs w:val="24"/>
        </w:rPr>
        <w:t>reduction of inequality in market income</w:t>
      </w:r>
      <w:r>
        <w:rPr>
          <w:rFonts w:ascii="Times New Roman" w:hAnsi="Times New Roman" w:cs="Times New Roman"/>
          <w:noProof/>
          <w:sz w:val="24"/>
          <w:szCs w:val="24"/>
        </w:rPr>
        <w:t xml:space="preserve"> (i.e. income before taxes and benefits) </w:t>
      </w:r>
      <w:r>
        <w:rPr>
          <w:rFonts w:ascii="Times New Roman" w:hAnsi="Times New Roman" w:cs="Times New Roman"/>
          <w:b/>
          <w:bCs/>
          <w:noProof/>
          <w:sz w:val="24"/>
          <w:szCs w:val="24"/>
        </w:rPr>
        <w:t>inequality for all Member States</w:t>
      </w:r>
      <w:r>
        <w:rPr>
          <w:rFonts w:ascii="Times New Roman" w:hAnsi="Times New Roman" w:cs="Times New Roman"/>
          <w:noProof/>
          <w:sz w:val="24"/>
          <w:szCs w:val="24"/>
        </w:rPr>
        <w:t xml:space="preserve">. Due to the interaction of the tax-benefit systems, the </w:t>
      </w:r>
      <w:r>
        <w:rPr>
          <w:rFonts w:ascii="Times New Roman" w:hAnsi="Times New Roman" w:cs="Times New Roman"/>
          <w:b/>
          <w:bCs/>
          <w:noProof/>
          <w:sz w:val="24"/>
          <w:szCs w:val="24"/>
        </w:rPr>
        <w:t>reduction of inequality of disposable income</w:t>
      </w:r>
      <w:r>
        <w:rPr>
          <w:rFonts w:ascii="Times New Roman" w:hAnsi="Times New Roman" w:cs="Times New Roman"/>
          <w:noProof/>
          <w:sz w:val="24"/>
          <w:szCs w:val="24"/>
        </w:rPr>
        <w:t xml:space="preserve"> (i.e. after taxes and benefits) would occur </w:t>
      </w:r>
      <w:r>
        <w:rPr>
          <w:rFonts w:ascii="Times New Roman" w:hAnsi="Times New Roman" w:cs="Times New Roman"/>
          <w:b/>
          <w:bCs/>
          <w:noProof/>
          <w:sz w:val="24"/>
          <w:szCs w:val="24"/>
        </w:rPr>
        <w:t>for 18 Member States</w:t>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i/>
          <w:iCs/>
          <w:noProof/>
          <w:sz w:val="24"/>
          <w:szCs w:val="24"/>
        </w:rPr>
        <w:t>Impact on poverty</w:t>
      </w:r>
      <w:r>
        <w:rPr>
          <w:rFonts w:ascii="Times New Roman" w:hAnsi="Times New Roman" w:cs="Times New Roman"/>
          <w:noProof/>
          <w:sz w:val="24"/>
          <w:szCs w:val="24"/>
        </w:rPr>
        <w:t xml:space="preserve">: The </w:t>
      </w:r>
      <w:r>
        <w:rPr>
          <w:rFonts w:ascii="Times New Roman" w:hAnsi="Times New Roman" w:cs="Times New Roman"/>
          <w:b/>
          <w:bCs/>
          <w:noProof/>
          <w:sz w:val="24"/>
          <w:szCs w:val="24"/>
        </w:rPr>
        <w:t>at-risk-of-poverty rate</w:t>
      </w:r>
      <w:r>
        <w:rPr>
          <w:rFonts w:ascii="Times New Roman" w:hAnsi="Times New Roman" w:cs="Times New Roman"/>
          <w:noProof/>
          <w:sz w:val="24"/>
          <w:szCs w:val="24"/>
        </w:rPr>
        <w:t xml:space="preserve"> </w:t>
      </w:r>
      <w:r>
        <w:rPr>
          <w:rFonts w:ascii="Times New Roman" w:hAnsi="Times New Roman" w:cs="Times New Roman"/>
          <w:b/>
          <w:bCs/>
          <w:noProof/>
          <w:sz w:val="24"/>
          <w:szCs w:val="24"/>
        </w:rPr>
        <w:t>would drop</w:t>
      </w:r>
      <w:r>
        <w:rPr>
          <w:rFonts w:ascii="Times New Roman" w:hAnsi="Times New Roman" w:cs="Times New Roman"/>
          <w:noProof/>
          <w:sz w:val="24"/>
          <w:szCs w:val="24"/>
        </w:rPr>
        <w:t xml:space="preserve"> from the initial 16.3% on average in the EU27</w:t>
      </w:r>
      <w:r>
        <w:rPr>
          <w:rFonts w:ascii="Times New Roman" w:hAnsi="Times New Roman" w:cs="Times New Roman"/>
          <w:b/>
          <w:bCs/>
          <w:noProof/>
          <w:sz w:val="24"/>
          <w:szCs w:val="24"/>
        </w:rPr>
        <w:t xml:space="preserve"> </w:t>
      </w:r>
      <w:r>
        <w:rPr>
          <w:rFonts w:ascii="Times New Roman" w:hAnsi="Times New Roman" w:cs="Times New Roman"/>
          <w:noProof/>
          <w:sz w:val="24"/>
          <w:szCs w:val="24"/>
        </w:rPr>
        <w:t xml:space="preserve">to around 14.6%, with important heterogeneities across countries and by household types. The risk of poverty would be </w:t>
      </w:r>
      <w:r>
        <w:rPr>
          <w:rFonts w:ascii="Times New Roman" w:hAnsi="Times New Roman" w:cs="Times New Roman"/>
          <w:b/>
          <w:bCs/>
          <w:noProof/>
          <w:sz w:val="24"/>
          <w:szCs w:val="24"/>
        </w:rPr>
        <w:t>mostly reduced for single parent households, which are mostly women (85%).</w:t>
      </w:r>
      <w:r>
        <w:rPr>
          <w:rStyle w:val="FootnoteReference"/>
          <w:rFonts w:ascii="Times New Roman" w:hAnsi="Times New Roman" w:cs="Times New Roman"/>
          <w:noProof/>
          <w:sz w:val="24"/>
          <w:szCs w:val="24"/>
        </w:rPr>
        <w:footnoteReference w:id="193"/>
      </w:r>
    </w:p>
    <w:p>
      <w:pPr>
        <w:jc w:val="both"/>
        <w:rPr>
          <w:rFonts w:ascii="Times New Roman" w:hAnsi="Times New Roman" w:cs="Times New Roman"/>
          <w:noProof/>
          <w:sz w:val="24"/>
          <w:szCs w:val="24"/>
        </w:rPr>
      </w:pPr>
      <w:r>
        <w:rPr>
          <w:rFonts w:ascii="Times New Roman" w:hAnsi="Times New Roman" w:cs="Times New Roman"/>
          <w:i/>
          <w:iCs/>
          <w:noProof/>
          <w:sz w:val="24"/>
          <w:szCs w:val="24"/>
        </w:rPr>
        <w:t>Impact on public budgets:</w:t>
      </w:r>
      <w:r>
        <w:rPr>
          <w:rFonts w:ascii="Times New Roman" w:hAnsi="Times New Roman" w:cs="Times New Roman"/>
          <w:noProof/>
          <w:sz w:val="24"/>
          <w:szCs w:val="24"/>
        </w:rPr>
        <w:t xml:space="preserve"> The reduction of the gender pay gap would generate a </w:t>
      </w:r>
      <w:r>
        <w:rPr>
          <w:rFonts w:ascii="Times New Roman" w:hAnsi="Times New Roman" w:cs="Times New Roman"/>
          <w:b/>
          <w:bCs/>
          <w:noProof/>
          <w:sz w:val="24"/>
          <w:szCs w:val="24"/>
        </w:rPr>
        <w:t>positive budgetary impact</w:t>
      </w:r>
      <w:r>
        <w:rPr>
          <w:rFonts w:ascii="Times New Roman" w:hAnsi="Times New Roman" w:cs="Times New Roman"/>
          <w:noProof/>
          <w:sz w:val="24"/>
          <w:szCs w:val="24"/>
        </w:rPr>
        <w:t xml:space="preserve"> </w:t>
      </w:r>
      <w:r>
        <w:rPr>
          <w:rFonts w:ascii="Times New Roman" w:hAnsi="Times New Roman" w:cs="Times New Roman"/>
          <w:b/>
          <w:bCs/>
          <w:noProof/>
          <w:sz w:val="24"/>
          <w:szCs w:val="24"/>
        </w:rPr>
        <w:t>due to a rise in government revenues</w:t>
      </w:r>
      <w:r>
        <w:rPr>
          <w:rFonts w:ascii="Times New Roman" w:hAnsi="Times New Roman" w:cs="Times New Roman"/>
          <w:noProof/>
          <w:sz w:val="24"/>
          <w:szCs w:val="24"/>
        </w:rPr>
        <w:t xml:space="preserve"> (higher collection of income taxes and social insurance contributions) </w:t>
      </w:r>
      <w:r>
        <w:rPr>
          <w:rFonts w:ascii="Times New Roman" w:hAnsi="Times New Roman" w:cs="Times New Roman"/>
          <w:b/>
          <w:bCs/>
          <w:noProof/>
          <w:sz w:val="24"/>
          <w:szCs w:val="24"/>
        </w:rPr>
        <w:t>and a small decline in social (cash) transfers</w:t>
      </w:r>
      <w:r>
        <w:rPr>
          <w:rFonts w:ascii="Times New Roman" w:hAnsi="Times New Roman" w:cs="Times New Roman"/>
          <w:noProof/>
          <w:sz w:val="24"/>
          <w:szCs w:val="24"/>
        </w:rPr>
        <w:t xml:space="preserve"> (mainly explained by a reduction of means-tested cash benefits). At the EU population-weighted average level, the shrinking of the gap is expected to lead to a rise in government revenues from direct taxes and social contributions of about 7.5%, while the reduction of social transfers (cash benefits) would be of approximately 0.4% .</w:t>
      </w:r>
    </w:p>
    <w:p>
      <w:pPr>
        <w:jc w:val="both"/>
        <w:rPr>
          <w:rFonts w:ascii="Times New Roman" w:hAnsi="Times New Roman" w:cs="Times New Roman"/>
          <w:noProof/>
          <w:sz w:val="24"/>
          <w:szCs w:val="24"/>
        </w:rPr>
      </w:pPr>
      <w:r>
        <w:rPr>
          <w:rFonts w:ascii="Times New Roman" w:hAnsi="Times New Roman" w:cs="Times New Roman"/>
          <w:b/>
          <w:bCs/>
          <w:noProof/>
          <w:sz w:val="24"/>
          <w:szCs w:val="24"/>
        </w:rPr>
        <w:t>The results differ substantially across Member States</w:t>
      </w:r>
      <w:r>
        <w:rPr>
          <w:rFonts w:ascii="Times New Roman" w:hAnsi="Times New Roman" w:cs="Times New Roman"/>
          <w:noProof/>
          <w:sz w:val="24"/>
          <w:szCs w:val="24"/>
        </w:rPr>
        <w:t xml:space="preserve">. The growth in total market incomes and government revenues would range from around 4% to 14%. It would be particularly high in some countries, such as BG, EE, LT and LV (in between 10% and 14%), whereas it would be more limited in EL, IT, MT and NL (of about 5%). </w:t>
      </w:r>
    </w:p>
    <w:p>
      <w:pPr>
        <w:jc w:val="both"/>
        <w:rPr>
          <w:rFonts w:ascii="Times New Roman" w:hAnsi="Times New Roman" w:cs="Times New Roman"/>
          <w:noProof/>
          <w:sz w:val="24"/>
          <w:szCs w:val="24"/>
        </w:rPr>
      </w:pPr>
      <w:r>
        <w:rPr>
          <w:rFonts w:ascii="Times New Roman" w:hAnsi="Times New Roman" w:cs="Times New Roman"/>
          <w:noProof/>
          <w:sz w:val="24"/>
          <w:szCs w:val="24"/>
          <w:u w:val="single"/>
        </w:rPr>
        <w:t>Macroeconomic impact:</w:t>
      </w:r>
      <w:r>
        <w:rPr>
          <w:rFonts w:ascii="Times New Roman" w:hAnsi="Times New Roman" w:cs="Times New Roman"/>
          <w:noProof/>
          <w:sz w:val="24"/>
          <w:szCs w:val="24"/>
        </w:rPr>
        <w:t xml:space="preserve"> The analysis of the behavioral impacts of a change in the gender pay gap could in principle be carried out with other types of models. For instance, a labour supply model could assess the impact of these changes in women gross earnings at the extensive margin (change in labour market participation) and intensive margin (change in number of hours worked for people already employed). The use of a general equilibrium model (which could estimate effects on other earnings, prices and gender pay gap) would however require a number of assumptions, which could make the macro-level effect of the reform difficult to evaluate. For example, accounting only for the wage increase would overestimate the effect at the macrolevel as it could not be excluded that male labour supply/participation would adapt to such a large increase in female earnings (e.g. within households). Firms might also just re-adjust wages on male workers in order to mitigate the higher wage costs.</w:t>
      </w:r>
    </w:p>
    <w:p>
      <w:pPr>
        <w:jc w:val="both"/>
        <w:rPr>
          <w:i/>
          <w:noProof/>
        </w:rPr>
      </w:pPr>
      <w:r>
        <w:rPr>
          <w:rFonts w:ascii="Times New Roman" w:hAnsi="Times New Roman" w:cs="Times New Roman"/>
          <w:noProof/>
          <w:sz w:val="24"/>
          <w:szCs w:val="24"/>
        </w:rPr>
        <w:t xml:space="preserve">Several studies have estimated the potential impact of a reduction of the gender pay gap on economic growth through different channels (See </w:t>
      </w:r>
      <w:r>
        <w:rPr>
          <w:rFonts w:ascii="Times New Roman" w:hAnsi="Times New Roman" w:cs="Times New Roman"/>
          <w:i/>
          <w:iCs/>
          <w:noProof/>
          <w:sz w:val="24"/>
          <w:szCs w:val="24"/>
        </w:rPr>
        <w:t>Annex 5, section 4</w:t>
      </w:r>
      <w:r>
        <w:rPr>
          <w:rFonts w:ascii="Times New Roman" w:hAnsi="Times New Roman" w:cs="Times New Roman"/>
          <w:noProof/>
          <w:sz w:val="24"/>
          <w:szCs w:val="24"/>
        </w:rPr>
        <w:t xml:space="preserve"> – for a summary review). The main channel is the increase in labour market participation. The European Added Value Assessment carried out by the European Parliament</w:t>
      </w:r>
      <w:r>
        <w:rPr>
          <w:rFonts w:ascii="Times New Roman" w:eastAsia="Times New Roman" w:hAnsi="Times New Roman" w:cs="Times New Roman"/>
          <w:noProof/>
          <w:sz w:val="24"/>
          <w:szCs w:val="24"/>
        </w:rPr>
        <w:t xml:space="preserve"> estimates a substantial potential effect of a reduction of the gender pay gap on the GDP:</w:t>
      </w:r>
      <w:r>
        <w:rPr>
          <w:rFonts w:ascii="Times New Roman" w:hAnsi="Times New Roman" w:cs="Times New Roman"/>
          <w:noProof/>
          <w:sz w:val="24"/>
          <w:szCs w:val="24"/>
        </w:rPr>
        <w:t xml:space="preserve"> </w:t>
      </w:r>
      <w:r>
        <w:rPr>
          <w:rFonts w:ascii="Times New Roman" w:hAnsi="Times New Roman" w:cs="Times New Roman"/>
          <w:b/>
          <w:bCs/>
          <w:noProof/>
          <w:sz w:val="24"/>
          <w:szCs w:val="24"/>
        </w:rPr>
        <w:t>each percentage point reduction in the gender pay gap would translate into an increase in the EU gross domestic product (GDP) of 0.1 percentage point</w:t>
      </w:r>
      <w:r>
        <w:rPr>
          <w:rFonts w:ascii="Times New Roman" w:hAnsi="Times New Roman" w:cs="Times New Roman"/>
          <w:noProof/>
          <w:sz w:val="24"/>
          <w:szCs w:val="24"/>
        </w:rPr>
        <w:t>.</w:t>
      </w:r>
      <w:r>
        <w:rPr>
          <w:rFonts w:ascii="Times New Roman" w:hAnsi="Times New Roman" w:cs="Times New Roman"/>
          <w:noProof/>
          <w:vertAlign w:val="superscript"/>
        </w:rPr>
        <w:footnoteReference w:id="194"/>
      </w:r>
      <w:r>
        <w:rPr>
          <w:rFonts w:ascii="Times New Roman" w:hAnsi="Times New Roman" w:cs="Times New Roman"/>
          <w:noProof/>
          <w:sz w:val="24"/>
          <w:szCs w:val="24"/>
        </w:rPr>
        <w:t xml:space="preserve"> This impact was estimated as the result of the implementation of the Recommendation of the Bauer report</w:t>
      </w:r>
      <w:r>
        <w:rPr>
          <w:rStyle w:val="FootnoteReference"/>
          <w:rFonts w:ascii="Times New Roman" w:hAnsi="Times New Roman" w:cs="Times New Roman"/>
          <w:noProof/>
          <w:sz w:val="24"/>
          <w:szCs w:val="24"/>
        </w:rPr>
        <w:footnoteReference w:id="195"/>
      </w:r>
      <w:r>
        <w:rPr>
          <w:rFonts w:ascii="Times New Roman" w:hAnsi="Times New Roman" w:cs="Times New Roman"/>
          <w:noProof/>
          <w:sz w:val="24"/>
          <w:szCs w:val="24"/>
        </w:rPr>
        <w:t xml:space="preserve"> mentioned above. EIGE’s estimates of the effect on GDP of closing the gender pay gap are lower: they show a 0-0.2% increase in GDP per capita over the 2030-2050 period. </w:t>
      </w:r>
    </w:p>
    <w:p>
      <w:pPr>
        <w:pStyle w:val="Heading2"/>
        <w:numPr>
          <w:ilvl w:val="1"/>
          <w:numId w:val="43"/>
        </w:numPr>
        <w:rPr>
          <w:noProof/>
          <w:color w:val="000000" w:themeColor="text1"/>
        </w:rPr>
      </w:pPr>
      <w:bookmarkStart w:id="5282" w:name="_Toc58767217"/>
      <w:bookmarkStart w:id="5283" w:name="_Toc58769520"/>
      <w:bookmarkStart w:id="5284" w:name="_Toc58863860"/>
      <w:bookmarkStart w:id="5285" w:name="_Toc58868887"/>
      <w:bookmarkStart w:id="5286" w:name="_Toc58870718"/>
      <w:bookmarkStart w:id="5287" w:name="_Toc58870956"/>
      <w:bookmarkStart w:id="5288" w:name="_Toc58871862"/>
      <w:bookmarkStart w:id="5289" w:name="_Toc58872077"/>
      <w:bookmarkStart w:id="5290" w:name="_Toc58922819"/>
      <w:bookmarkStart w:id="5291" w:name="_Toc58925407"/>
      <w:bookmarkStart w:id="5292" w:name="_Toc58928903"/>
      <w:bookmarkStart w:id="5293" w:name="_Toc58931274"/>
      <w:bookmarkStart w:id="5294" w:name="_Toc58931908"/>
      <w:bookmarkStart w:id="5295" w:name="_Toc58950512"/>
      <w:bookmarkStart w:id="5296" w:name="_Toc58956806"/>
      <w:bookmarkStart w:id="5297" w:name="_Toc58957969"/>
      <w:bookmarkStart w:id="5298" w:name="_Toc58962502"/>
      <w:bookmarkStart w:id="5299" w:name="_Toc59096535"/>
      <w:bookmarkStart w:id="5300" w:name="_Toc59103131"/>
      <w:bookmarkStart w:id="5301" w:name="_Toc59104982"/>
      <w:bookmarkStart w:id="5302" w:name="_Toc59119942"/>
      <w:bookmarkStart w:id="5303" w:name="_Toc59121206"/>
      <w:bookmarkStart w:id="5304" w:name="_Toc59121325"/>
      <w:r>
        <w:rPr>
          <w:noProof/>
        </w:rPr>
        <w:t xml:space="preserve"> </w:t>
      </w:r>
      <w:bookmarkStart w:id="5305" w:name="_Toc59549378"/>
      <w:bookmarkStart w:id="5306" w:name="_Toc59642331"/>
      <w:r>
        <w:rPr>
          <w:noProof/>
        </w:rPr>
        <w:t>Choice of legal instrument</w:t>
      </w:r>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p>
    <w:p>
      <w:pPr>
        <w:spacing w:after="120"/>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As regards the choice of the legal instrument, different types of acts were considered. A regulation would impose uniform obligations in all Member States, which would be most easy to monitor and apply across the EU. However, a regulation would make it more difficult for Member States to integrate the new measures taking into account the existing legal and administrative framework; it would also not allow flexibility to adapt the implementation in accordance with their specific labour market models. Room should be left for implementation especially considering the crucial role of Social Partners for a successful implementation. </w:t>
      </w:r>
    </w:p>
    <w:p>
      <w:pPr>
        <w:spacing w:after="120"/>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A revision of the Recast Directive was discarded because of its wider scope and because its entire logical structure would have to be revised to include the new measures. Indeed, the new measures focus on one aspect of the Recast Directive, namely the right to equal pay, tailoring measures according to size of organisations; as a result, a specific directive dedicated to this matter, strengthening the general rules under the Recast Directive, is considered as more appropriate. </w:t>
      </w:r>
    </w:p>
    <w:p>
      <w:pPr>
        <w:spacing w:after="120"/>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On the basis of the 2020 evaluation and this impact assessment, a new directive, laying down a framework to enhance the application of the equal pay principle through pay transparency and related reinforced enforcement mechanisms, is therefore considered to be a more appropriate instrument. A Directive allows for flexibility as to the means each Member State considers appropriate to ensure compliance with the obligations taking into account the national context. It would also be in line with the approach followed as regards similar obligations in the field of employment (posted workers) and discrimination (free movement of workers). Further development of non-binding measures, as mentioned in </w:t>
      </w:r>
      <w:r>
        <w:rPr>
          <w:rFonts w:ascii="Times New Roman" w:hAnsi="Times New Roman" w:cs="Times New Roman"/>
          <w:i/>
          <w:iCs/>
          <w:noProof/>
          <w:color w:val="000000" w:themeColor="text1"/>
          <w:sz w:val="24"/>
          <w:szCs w:val="24"/>
        </w:rPr>
        <w:t>Section 6.1</w:t>
      </w:r>
      <w:r>
        <w:rPr>
          <w:rFonts w:ascii="Times New Roman" w:hAnsi="Times New Roman" w:cs="Times New Roman"/>
          <w:noProof/>
          <w:color w:val="000000" w:themeColor="text1"/>
          <w:sz w:val="24"/>
          <w:szCs w:val="24"/>
        </w:rPr>
        <w:t xml:space="preserve">, is unlikely to bring pay inequalities on the political agenda and engage in setting the necessary framework to combat pay discrimination and bias in pay structures. This does not mean that the future directive may not be supported by non-legislative flanking measures, some of which may be directly relevant to a good implementation of the new rules (e.g. guidance on how to assess and define work of equal value based on the criteria set out in the new rules). </w:t>
      </w:r>
    </w:p>
    <w:p>
      <w:pPr>
        <w:pStyle w:val="Heading1"/>
        <w:numPr>
          <w:ilvl w:val="0"/>
          <w:numId w:val="43"/>
        </w:numPr>
        <w:spacing w:before="120" w:after="120" w:line="276" w:lineRule="auto"/>
        <w:ind w:left="0" w:firstLine="0"/>
        <w:rPr>
          <w:smallCaps w:val="0"/>
          <w:noProof/>
        </w:rPr>
      </w:pPr>
      <w:bookmarkStart w:id="5307" w:name="_Toc49876206"/>
      <w:bookmarkStart w:id="5308" w:name="_Toc49876308"/>
      <w:bookmarkStart w:id="5309" w:name="_Toc49877375"/>
      <w:bookmarkStart w:id="5310" w:name="_Toc49877832"/>
      <w:bookmarkStart w:id="5311" w:name="_Toc49878118"/>
      <w:bookmarkStart w:id="5312" w:name="_Toc49878183"/>
      <w:bookmarkStart w:id="5313" w:name="_Toc49878248"/>
      <w:bookmarkStart w:id="5314" w:name="_Toc49878313"/>
      <w:bookmarkStart w:id="5315" w:name="_Toc49878368"/>
      <w:bookmarkStart w:id="5316" w:name="_Toc49878433"/>
      <w:bookmarkStart w:id="5317" w:name="_Toc49878465"/>
      <w:bookmarkStart w:id="5318" w:name="_Toc49878581"/>
      <w:bookmarkStart w:id="5319" w:name="_Toc49878671"/>
      <w:bookmarkStart w:id="5320" w:name="_Toc49878784"/>
      <w:bookmarkStart w:id="5321" w:name="_Toc49878849"/>
      <w:bookmarkStart w:id="5322" w:name="_Toc49879083"/>
      <w:bookmarkStart w:id="5323" w:name="_Toc49879455"/>
      <w:bookmarkStart w:id="5324" w:name="_Toc49879595"/>
      <w:bookmarkStart w:id="5325" w:name="_Toc49879663"/>
      <w:bookmarkStart w:id="5326" w:name="_Toc49879799"/>
      <w:bookmarkStart w:id="5327" w:name="_Toc49879843"/>
      <w:bookmarkStart w:id="5328" w:name="_Toc49879979"/>
      <w:bookmarkStart w:id="5329" w:name="_Toc49880161"/>
      <w:bookmarkStart w:id="5330" w:name="_Toc49880229"/>
      <w:bookmarkStart w:id="5331" w:name="_Toc49880459"/>
      <w:bookmarkStart w:id="5332" w:name="_Toc49880527"/>
      <w:bookmarkStart w:id="5333" w:name="_Toc49879731"/>
      <w:bookmarkStart w:id="5334" w:name="_Toc49881012"/>
      <w:bookmarkStart w:id="5335" w:name="_Toc49881171"/>
      <w:bookmarkStart w:id="5336" w:name="_Toc49881690"/>
      <w:bookmarkStart w:id="5337" w:name="_Toc49883560"/>
      <w:bookmarkStart w:id="5338" w:name="_Toc49883798"/>
      <w:bookmarkStart w:id="5339" w:name="_Toc49884164"/>
      <w:bookmarkStart w:id="5340" w:name="_Toc49884232"/>
      <w:bookmarkStart w:id="5341" w:name="_Toc49884308"/>
      <w:bookmarkStart w:id="5342" w:name="_Toc49888735"/>
      <w:bookmarkStart w:id="5343" w:name="_Toc49893564"/>
      <w:bookmarkStart w:id="5344" w:name="_Toc49893878"/>
      <w:bookmarkStart w:id="5345" w:name="_Toc49895393"/>
      <w:bookmarkStart w:id="5346" w:name="_Toc49896928"/>
      <w:bookmarkStart w:id="5347" w:name="_Toc49926292"/>
      <w:bookmarkStart w:id="5348" w:name="_Toc49928846"/>
      <w:bookmarkStart w:id="5349" w:name="_Toc49928916"/>
      <w:bookmarkStart w:id="5350" w:name="_Toc49928996"/>
      <w:bookmarkStart w:id="5351" w:name="_Toc49930205"/>
      <w:bookmarkStart w:id="5352" w:name="_Toc49930427"/>
      <w:bookmarkStart w:id="5353" w:name="_Toc49930497"/>
      <w:bookmarkStart w:id="5354" w:name="_Toc49930567"/>
      <w:bookmarkStart w:id="5355" w:name="_Toc49930637"/>
      <w:bookmarkStart w:id="5356" w:name="_Toc49930707"/>
      <w:bookmarkStart w:id="5357" w:name="_Toc49930848"/>
      <w:bookmarkStart w:id="5358" w:name="_Toc49930991"/>
      <w:bookmarkStart w:id="5359" w:name="_Toc49931245"/>
      <w:bookmarkStart w:id="5360" w:name="_Toc49931451"/>
      <w:bookmarkStart w:id="5361" w:name="_Toc49931752"/>
      <w:bookmarkStart w:id="5362" w:name="_Toc49931885"/>
      <w:bookmarkStart w:id="5363" w:name="_Toc49932190"/>
      <w:bookmarkStart w:id="5364" w:name="_Toc49932321"/>
      <w:bookmarkStart w:id="5365" w:name="_Toc49932879"/>
      <w:bookmarkStart w:id="5366" w:name="_Toc49933213"/>
      <w:bookmarkStart w:id="5367" w:name="_Toc49933283"/>
      <w:bookmarkStart w:id="5368" w:name="_Toc49933809"/>
      <w:bookmarkStart w:id="5369" w:name="_Toc49933952"/>
      <w:bookmarkStart w:id="5370" w:name="_Toc49934078"/>
      <w:bookmarkStart w:id="5371" w:name="_Toc49934193"/>
      <w:bookmarkStart w:id="5372" w:name="_Toc49934874"/>
      <w:bookmarkStart w:id="5373" w:name="_Toc49935139"/>
      <w:bookmarkStart w:id="5374" w:name="_Toc49935209"/>
      <w:bookmarkStart w:id="5375" w:name="_Toc49935429"/>
      <w:bookmarkStart w:id="5376" w:name="_Toc49935499"/>
      <w:bookmarkStart w:id="5377" w:name="_Toc49935606"/>
      <w:bookmarkStart w:id="5378" w:name="_Toc49935676"/>
      <w:bookmarkStart w:id="5379" w:name="_Toc49935704"/>
      <w:bookmarkStart w:id="5380" w:name="_Toc49936087"/>
      <w:bookmarkStart w:id="5381" w:name="_Toc49936157"/>
      <w:bookmarkStart w:id="5382" w:name="_Toc49936227"/>
      <w:bookmarkStart w:id="5383" w:name="_Toc49936815"/>
      <w:bookmarkStart w:id="5384" w:name="_Toc49937048"/>
      <w:bookmarkStart w:id="5385" w:name="_Toc49937166"/>
      <w:bookmarkStart w:id="5386" w:name="_Toc49937675"/>
      <w:bookmarkStart w:id="5387" w:name="_Toc49938055"/>
      <w:bookmarkStart w:id="5388" w:name="_Toc49938860"/>
      <w:bookmarkStart w:id="5389" w:name="_Toc49939032"/>
      <w:bookmarkStart w:id="5390" w:name="_Toc49939102"/>
      <w:bookmarkStart w:id="5391" w:name="_Toc49939172"/>
      <w:bookmarkStart w:id="5392" w:name="_Toc49939235"/>
      <w:bookmarkStart w:id="5393" w:name="_Toc49939305"/>
      <w:bookmarkStart w:id="5394" w:name="_Toc49939607"/>
      <w:bookmarkStart w:id="5395" w:name="_Toc49939953"/>
      <w:bookmarkStart w:id="5396" w:name="_Toc49940488"/>
      <w:bookmarkStart w:id="5397" w:name="_Toc49941639"/>
      <w:bookmarkStart w:id="5398" w:name="_Toc49941709"/>
      <w:bookmarkStart w:id="5399" w:name="_Toc49942085"/>
      <w:bookmarkStart w:id="5400" w:name="_Toc49942269"/>
      <w:bookmarkStart w:id="5401" w:name="_Toc49942477"/>
      <w:bookmarkStart w:id="5402" w:name="_Toc49942711"/>
      <w:bookmarkStart w:id="5403" w:name="_Toc49942826"/>
      <w:bookmarkStart w:id="5404" w:name="_Toc49944363"/>
      <w:bookmarkStart w:id="5405" w:name="_Toc49945140"/>
      <w:bookmarkStart w:id="5406" w:name="_Toc49945934"/>
      <w:bookmarkStart w:id="5407" w:name="_Toc49946292"/>
      <w:bookmarkStart w:id="5408" w:name="_Toc49946579"/>
      <w:bookmarkStart w:id="5409" w:name="_Toc49946688"/>
      <w:bookmarkStart w:id="5410" w:name="_Toc49947288"/>
      <w:bookmarkStart w:id="5411" w:name="_Toc49946391"/>
      <w:bookmarkStart w:id="5412" w:name="_Toc49947170"/>
      <w:bookmarkStart w:id="5413" w:name="_Toc49947424"/>
      <w:bookmarkStart w:id="5414" w:name="_Toc49947802"/>
      <w:bookmarkStart w:id="5415" w:name="_Toc49947897"/>
      <w:bookmarkStart w:id="5416" w:name="_Toc49947967"/>
      <w:bookmarkStart w:id="5417" w:name="_Toc49948062"/>
      <w:bookmarkStart w:id="5418" w:name="_Toc49948132"/>
      <w:bookmarkStart w:id="5419" w:name="_Toc49948343"/>
      <w:bookmarkStart w:id="5420" w:name="_Toc49948413"/>
      <w:bookmarkStart w:id="5421" w:name="_Toc49948483"/>
      <w:bookmarkStart w:id="5422" w:name="_Toc49948553"/>
      <w:bookmarkStart w:id="5423" w:name="_Toc49948672"/>
      <w:bookmarkStart w:id="5424" w:name="_Toc49943522"/>
      <w:bookmarkStart w:id="5425" w:name="_Toc49948766"/>
      <w:bookmarkStart w:id="5426" w:name="_Toc49949559"/>
      <w:bookmarkStart w:id="5427" w:name="_Toc49949629"/>
      <w:bookmarkStart w:id="5428" w:name="_Toc49950665"/>
      <w:bookmarkStart w:id="5429" w:name="_Toc49950832"/>
      <w:bookmarkStart w:id="5430" w:name="_Toc49951183"/>
      <w:bookmarkStart w:id="5431" w:name="_Toc49951434"/>
      <w:bookmarkStart w:id="5432" w:name="_Toc49951494"/>
      <w:bookmarkStart w:id="5433" w:name="_Toc49951601"/>
      <w:bookmarkStart w:id="5434" w:name="_Toc49951688"/>
      <w:bookmarkStart w:id="5435" w:name="_Toc49951758"/>
      <w:bookmarkStart w:id="5436" w:name="_Toc49951997"/>
      <w:bookmarkStart w:id="5437" w:name="_Toc49952096"/>
      <w:bookmarkStart w:id="5438" w:name="_Toc49952272"/>
      <w:bookmarkStart w:id="5439" w:name="_Toc49953027"/>
      <w:bookmarkStart w:id="5440" w:name="_Toc49953118"/>
      <w:bookmarkStart w:id="5441" w:name="_Toc49953188"/>
      <w:bookmarkStart w:id="5442" w:name="_Toc49952972"/>
      <w:bookmarkStart w:id="5443" w:name="_Toc49953903"/>
      <w:bookmarkStart w:id="5444" w:name="_Toc49953973"/>
      <w:bookmarkStart w:id="5445" w:name="_Toc49954056"/>
      <w:bookmarkStart w:id="5446" w:name="_Toc49954126"/>
      <w:bookmarkStart w:id="5447" w:name="_Toc49949687"/>
      <w:bookmarkStart w:id="5448" w:name="_Toc49953687"/>
      <w:bookmarkStart w:id="5449" w:name="_Toc49953812"/>
      <w:bookmarkStart w:id="5450" w:name="_Toc49954192"/>
      <w:bookmarkStart w:id="5451" w:name="_Toc49954299"/>
      <w:bookmarkStart w:id="5452" w:name="_Toc49954332"/>
      <w:bookmarkStart w:id="5453" w:name="_Toc49954402"/>
      <w:bookmarkStart w:id="5454" w:name="_Toc49954426"/>
      <w:bookmarkStart w:id="5455" w:name="_Toc49954533"/>
      <w:bookmarkStart w:id="5456" w:name="_Toc49954603"/>
      <w:bookmarkStart w:id="5457" w:name="_Toc49954673"/>
      <w:bookmarkStart w:id="5458" w:name="_Toc49954707"/>
      <w:bookmarkStart w:id="5459" w:name="_Toc49954777"/>
      <w:bookmarkStart w:id="5460" w:name="_Toc49954832"/>
      <w:bookmarkStart w:id="5461" w:name="_Toc49954902"/>
      <w:bookmarkStart w:id="5462" w:name="_Toc49954926"/>
      <w:bookmarkStart w:id="5463" w:name="_Toc49954996"/>
      <w:bookmarkStart w:id="5464" w:name="_Toc49955066"/>
      <w:bookmarkStart w:id="5465" w:name="_Toc49955136"/>
      <w:bookmarkStart w:id="5466" w:name="_Toc49955170"/>
      <w:bookmarkStart w:id="5467" w:name="_Toc49955206"/>
      <w:bookmarkStart w:id="5468" w:name="_Toc49955276"/>
      <w:bookmarkStart w:id="5469" w:name="_Toc49955346"/>
      <w:bookmarkStart w:id="5470" w:name="_Toc49955416"/>
      <w:bookmarkStart w:id="5471" w:name="_Toc49955724"/>
      <w:bookmarkStart w:id="5472" w:name="_Toc49955794"/>
      <w:bookmarkStart w:id="5473" w:name="_Toc49956149"/>
      <w:bookmarkStart w:id="5474" w:name="_Toc49958294"/>
      <w:bookmarkStart w:id="5475" w:name="_Toc49958419"/>
      <w:bookmarkStart w:id="5476" w:name="_Toc49958489"/>
      <w:bookmarkStart w:id="5477" w:name="_Toc49958559"/>
      <w:bookmarkStart w:id="5478" w:name="_Toc49876207"/>
      <w:bookmarkStart w:id="5479" w:name="_Toc49876309"/>
      <w:bookmarkStart w:id="5480" w:name="_Toc49877376"/>
      <w:bookmarkStart w:id="5481" w:name="_Toc49877833"/>
      <w:bookmarkStart w:id="5482" w:name="_Toc49878119"/>
      <w:bookmarkStart w:id="5483" w:name="_Toc49878184"/>
      <w:bookmarkStart w:id="5484" w:name="_Toc49878249"/>
      <w:bookmarkStart w:id="5485" w:name="_Toc49878314"/>
      <w:bookmarkStart w:id="5486" w:name="_Toc49878369"/>
      <w:bookmarkStart w:id="5487" w:name="_Toc49878434"/>
      <w:bookmarkStart w:id="5488" w:name="_Toc49878466"/>
      <w:bookmarkStart w:id="5489" w:name="_Toc49878582"/>
      <w:bookmarkStart w:id="5490" w:name="_Toc49878672"/>
      <w:bookmarkStart w:id="5491" w:name="_Toc49878785"/>
      <w:bookmarkStart w:id="5492" w:name="_Toc49878850"/>
      <w:bookmarkStart w:id="5493" w:name="_Toc49879084"/>
      <w:bookmarkStart w:id="5494" w:name="_Toc49879456"/>
      <w:bookmarkStart w:id="5495" w:name="_Toc49879596"/>
      <w:bookmarkStart w:id="5496" w:name="_Toc49879664"/>
      <w:bookmarkStart w:id="5497" w:name="_Toc49879800"/>
      <w:bookmarkStart w:id="5498" w:name="_Toc49879844"/>
      <w:bookmarkStart w:id="5499" w:name="_Toc49879980"/>
      <w:bookmarkStart w:id="5500" w:name="_Toc49880162"/>
      <w:bookmarkStart w:id="5501" w:name="_Toc49880230"/>
      <w:bookmarkStart w:id="5502" w:name="_Toc49880460"/>
      <w:bookmarkStart w:id="5503" w:name="_Toc49880528"/>
      <w:bookmarkStart w:id="5504" w:name="_Toc49879732"/>
      <w:bookmarkStart w:id="5505" w:name="_Toc49881013"/>
      <w:bookmarkStart w:id="5506" w:name="_Toc49881172"/>
      <w:bookmarkStart w:id="5507" w:name="_Toc49881691"/>
      <w:bookmarkStart w:id="5508" w:name="_Toc49883561"/>
      <w:bookmarkStart w:id="5509" w:name="_Toc49883799"/>
      <w:bookmarkStart w:id="5510" w:name="_Toc49884165"/>
      <w:bookmarkStart w:id="5511" w:name="_Toc49884233"/>
      <w:bookmarkStart w:id="5512" w:name="_Toc49884309"/>
      <w:bookmarkStart w:id="5513" w:name="_Toc49888736"/>
      <w:bookmarkStart w:id="5514" w:name="_Toc49893565"/>
      <w:bookmarkStart w:id="5515" w:name="_Toc49893879"/>
      <w:bookmarkStart w:id="5516" w:name="_Toc49895394"/>
      <w:bookmarkStart w:id="5517" w:name="_Toc49896929"/>
      <w:bookmarkStart w:id="5518" w:name="_Toc49926293"/>
      <w:bookmarkStart w:id="5519" w:name="_Toc49928847"/>
      <w:bookmarkStart w:id="5520" w:name="_Toc49928917"/>
      <w:bookmarkStart w:id="5521" w:name="_Toc49928997"/>
      <w:bookmarkStart w:id="5522" w:name="_Toc49930206"/>
      <w:bookmarkStart w:id="5523" w:name="_Toc49930428"/>
      <w:bookmarkStart w:id="5524" w:name="_Toc49930498"/>
      <w:bookmarkStart w:id="5525" w:name="_Toc49930568"/>
      <w:bookmarkStart w:id="5526" w:name="_Toc49930638"/>
      <w:bookmarkStart w:id="5527" w:name="_Toc49930708"/>
      <w:bookmarkStart w:id="5528" w:name="_Toc49930849"/>
      <w:bookmarkStart w:id="5529" w:name="_Toc49930992"/>
      <w:bookmarkStart w:id="5530" w:name="_Toc49931246"/>
      <w:bookmarkStart w:id="5531" w:name="_Toc49931452"/>
      <w:bookmarkStart w:id="5532" w:name="_Toc49931753"/>
      <w:bookmarkStart w:id="5533" w:name="_Toc49931886"/>
      <w:bookmarkStart w:id="5534" w:name="_Toc49932191"/>
      <w:bookmarkStart w:id="5535" w:name="_Toc49932322"/>
      <w:bookmarkStart w:id="5536" w:name="_Toc49932880"/>
      <w:bookmarkStart w:id="5537" w:name="_Toc49933214"/>
      <w:bookmarkStart w:id="5538" w:name="_Toc49933284"/>
      <w:bookmarkStart w:id="5539" w:name="_Toc49933810"/>
      <w:bookmarkStart w:id="5540" w:name="_Toc49933953"/>
      <w:bookmarkStart w:id="5541" w:name="_Toc49934079"/>
      <w:bookmarkStart w:id="5542" w:name="_Toc49934194"/>
      <w:bookmarkStart w:id="5543" w:name="_Toc49934875"/>
      <w:bookmarkStart w:id="5544" w:name="_Toc49935140"/>
      <w:bookmarkStart w:id="5545" w:name="_Toc49935210"/>
      <w:bookmarkStart w:id="5546" w:name="_Toc49935430"/>
      <w:bookmarkStart w:id="5547" w:name="_Toc49935500"/>
      <w:bookmarkStart w:id="5548" w:name="_Toc49935607"/>
      <w:bookmarkStart w:id="5549" w:name="_Toc49935677"/>
      <w:bookmarkStart w:id="5550" w:name="_Toc49935705"/>
      <w:bookmarkStart w:id="5551" w:name="_Toc49936088"/>
      <w:bookmarkStart w:id="5552" w:name="_Toc49936158"/>
      <w:bookmarkStart w:id="5553" w:name="_Toc49936228"/>
      <w:bookmarkStart w:id="5554" w:name="_Toc49936816"/>
      <w:bookmarkStart w:id="5555" w:name="_Toc49937049"/>
      <w:bookmarkStart w:id="5556" w:name="_Toc49937167"/>
      <w:bookmarkStart w:id="5557" w:name="_Toc49937676"/>
      <w:bookmarkStart w:id="5558" w:name="_Toc49938056"/>
      <w:bookmarkStart w:id="5559" w:name="_Toc49938861"/>
      <w:bookmarkStart w:id="5560" w:name="_Toc49939033"/>
      <w:bookmarkStart w:id="5561" w:name="_Toc49939103"/>
      <w:bookmarkStart w:id="5562" w:name="_Toc49939173"/>
      <w:bookmarkStart w:id="5563" w:name="_Toc49939236"/>
      <w:bookmarkStart w:id="5564" w:name="_Toc49939306"/>
      <w:bookmarkStart w:id="5565" w:name="_Toc49939608"/>
      <w:bookmarkStart w:id="5566" w:name="_Toc49939954"/>
      <w:bookmarkStart w:id="5567" w:name="_Toc49940489"/>
      <w:bookmarkStart w:id="5568" w:name="_Toc49941640"/>
      <w:bookmarkStart w:id="5569" w:name="_Toc49941710"/>
      <w:bookmarkStart w:id="5570" w:name="_Toc49942086"/>
      <w:bookmarkStart w:id="5571" w:name="_Toc49942270"/>
      <w:bookmarkStart w:id="5572" w:name="_Toc49942478"/>
      <w:bookmarkStart w:id="5573" w:name="_Toc49942712"/>
      <w:bookmarkStart w:id="5574" w:name="_Toc49942827"/>
      <w:bookmarkStart w:id="5575" w:name="_Toc49944364"/>
      <w:bookmarkStart w:id="5576" w:name="_Toc49945141"/>
      <w:bookmarkStart w:id="5577" w:name="_Toc49945935"/>
      <w:bookmarkStart w:id="5578" w:name="_Toc49946293"/>
      <w:bookmarkStart w:id="5579" w:name="_Toc49946580"/>
      <w:bookmarkStart w:id="5580" w:name="_Toc49946689"/>
      <w:bookmarkStart w:id="5581" w:name="_Toc49947289"/>
      <w:bookmarkStart w:id="5582" w:name="_Toc49946392"/>
      <w:bookmarkStart w:id="5583" w:name="_Toc49947171"/>
      <w:bookmarkStart w:id="5584" w:name="_Toc49947425"/>
      <w:bookmarkStart w:id="5585" w:name="_Toc49947803"/>
      <w:bookmarkStart w:id="5586" w:name="_Toc49947898"/>
      <w:bookmarkStart w:id="5587" w:name="_Toc49947968"/>
      <w:bookmarkStart w:id="5588" w:name="_Toc49948063"/>
      <w:bookmarkStart w:id="5589" w:name="_Toc49948133"/>
      <w:bookmarkStart w:id="5590" w:name="_Toc49948344"/>
      <w:bookmarkStart w:id="5591" w:name="_Toc49948414"/>
      <w:bookmarkStart w:id="5592" w:name="_Toc49948484"/>
      <w:bookmarkStart w:id="5593" w:name="_Toc49948554"/>
      <w:bookmarkStart w:id="5594" w:name="_Toc49948673"/>
      <w:bookmarkStart w:id="5595" w:name="_Toc49943523"/>
      <w:bookmarkStart w:id="5596" w:name="_Toc49948767"/>
      <w:bookmarkStart w:id="5597" w:name="_Toc49949560"/>
      <w:bookmarkStart w:id="5598" w:name="_Toc49949630"/>
      <w:bookmarkStart w:id="5599" w:name="_Toc49950666"/>
      <w:bookmarkStart w:id="5600" w:name="_Toc49950833"/>
      <w:bookmarkStart w:id="5601" w:name="_Toc49951184"/>
      <w:bookmarkStart w:id="5602" w:name="_Toc49951435"/>
      <w:bookmarkStart w:id="5603" w:name="_Toc49951495"/>
      <w:bookmarkStart w:id="5604" w:name="_Toc49951602"/>
      <w:bookmarkStart w:id="5605" w:name="_Toc49951689"/>
      <w:bookmarkStart w:id="5606" w:name="_Toc49951759"/>
      <w:bookmarkStart w:id="5607" w:name="_Toc49951998"/>
      <w:bookmarkStart w:id="5608" w:name="_Toc49952097"/>
      <w:bookmarkStart w:id="5609" w:name="_Toc49952273"/>
      <w:bookmarkStart w:id="5610" w:name="_Toc49953028"/>
      <w:bookmarkStart w:id="5611" w:name="_Toc49953119"/>
      <w:bookmarkStart w:id="5612" w:name="_Toc49953189"/>
      <w:bookmarkStart w:id="5613" w:name="_Toc49952973"/>
      <w:bookmarkStart w:id="5614" w:name="_Toc49953904"/>
      <w:bookmarkStart w:id="5615" w:name="_Toc49953974"/>
      <w:bookmarkStart w:id="5616" w:name="_Toc49954057"/>
      <w:bookmarkStart w:id="5617" w:name="_Toc49954127"/>
      <w:bookmarkStart w:id="5618" w:name="_Toc49949688"/>
      <w:bookmarkStart w:id="5619" w:name="_Toc49953688"/>
      <w:bookmarkStart w:id="5620" w:name="_Toc49954193"/>
      <w:bookmarkStart w:id="5621" w:name="_Toc49954300"/>
      <w:bookmarkStart w:id="5622" w:name="_Toc49954333"/>
      <w:bookmarkStart w:id="5623" w:name="_Toc49954403"/>
      <w:bookmarkStart w:id="5624" w:name="_Toc49954427"/>
      <w:bookmarkStart w:id="5625" w:name="_Toc49954534"/>
      <w:bookmarkStart w:id="5626" w:name="_Toc49954604"/>
      <w:bookmarkStart w:id="5627" w:name="_Toc49954674"/>
      <w:bookmarkStart w:id="5628" w:name="_Toc49954708"/>
      <w:bookmarkStart w:id="5629" w:name="_Toc49954778"/>
      <w:bookmarkStart w:id="5630" w:name="_Toc49954833"/>
      <w:bookmarkStart w:id="5631" w:name="_Toc49954903"/>
      <w:bookmarkStart w:id="5632" w:name="_Toc49954927"/>
      <w:bookmarkStart w:id="5633" w:name="_Toc49954997"/>
      <w:bookmarkStart w:id="5634" w:name="_Toc49955067"/>
      <w:bookmarkStart w:id="5635" w:name="_Toc49955137"/>
      <w:bookmarkStart w:id="5636" w:name="_Toc49955171"/>
      <w:bookmarkStart w:id="5637" w:name="_Toc49955207"/>
      <w:bookmarkStart w:id="5638" w:name="_Toc49955277"/>
      <w:bookmarkStart w:id="5639" w:name="_Toc49955347"/>
      <w:bookmarkStart w:id="5640" w:name="_Toc49955417"/>
      <w:bookmarkStart w:id="5641" w:name="_Toc49955725"/>
      <w:bookmarkStart w:id="5642" w:name="_Toc49955795"/>
      <w:bookmarkStart w:id="5643" w:name="_Toc49956150"/>
      <w:bookmarkStart w:id="5644" w:name="_Toc49958295"/>
      <w:bookmarkStart w:id="5645" w:name="_Toc49958420"/>
      <w:bookmarkStart w:id="5646" w:name="_Toc49958490"/>
      <w:bookmarkStart w:id="5647" w:name="_Toc49958560"/>
      <w:bookmarkStart w:id="5648" w:name="_Toc49800472"/>
      <w:bookmarkStart w:id="5649" w:name="_Toc49804421"/>
      <w:bookmarkStart w:id="5650" w:name="_Toc49804581"/>
      <w:bookmarkStart w:id="5651" w:name="_Toc49804667"/>
      <w:bookmarkStart w:id="5652" w:name="_Toc49804742"/>
      <w:bookmarkStart w:id="5653" w:name="_Toc49804817"/>
      <w:bookmarkStart w:id="5654" w:name="_Toc49805489"/>
      <w:bookmarkStart w:id="5655" w:name="_Toc49806148"/>
      <w:bookmarkStart w:id="5656" w:name="_Toc49806201"/>
      <w:bookmarkStart w:id="5657" w:name="_Toc49810599"/>
      <w:bookmarkStart w:id="5658" w:name="_Toc49811132"/>
      <w:bookmarkStart w:id="5659" w:name="_Toc49800473"/>
      <w:bookmarkStart w:id="5660" w:name="_Toc49804422"/>
      <w:bookmarkStart w:id="5661" w:name="_Toc49804582"/>
      <w:bookmarkStart w:id="5662" w:name="_Toc49804668"/>
      <w:bookmarkStart w:id="5663" w:name="_Toc49804743"/>
      <w:bookmarkStart w:id="5664" w:name="_Toc49804818"/>
      <w:bookmarkStart w:id="5665" w:name="_Toc49805490"/>
      <w:bookmarkStart w:id="5666" w:name="_Toc49806149"/>
      <w:bookmarkStart w:id="5667" w:name="_Toc49806202"/>
      <w:bookmarkStart w:id="5668" w:name="_Toc49810600"/>
      <w:bookmarkStart w:id="5669" w:name="_Toc49811133"/>
      <w:bookmarkStart w:id="5670" w:name="_Toc49800474"/>
      <w:bookmarkStart w:id="5671" w:name="_Toc49804423"/>
      <w:bookmarkStart w:id="5672" w:name="_Toc49804583"/>
      <w:bookmarkStart w:id="5673" w:name="_Toc49804669"/>
      <w:bookmarkStart w:id="5674" w:name="_Toc49804744"/>
      <w:bookmarkStart w:id="5675" w:name="_Toc49804819"/>
      <w:bookmarkStart w:id="5676" w:name="_Toc49805491"/>
      <w:bookmarkStart w:id="5677" w:name="_Toc49806150"/>
      <w:bookmarkStart w:id="5678" w:name="_Toc49806203"/>
      <w:bookmarkStart w:id="5679" w:name="_Toc49810601"/>
      <w:bookmarkStart w:id="5680" w:name="_Toc49811134"/>
      <w:bookmarkStart w:id="5681" w:name="_Toc49800477"/>
      <w:bookmarkStart w:id="5682" w:name="_Toc49804426"/>
      <w:bookmarkStart w:id="5683" w:name="_Toc49804586"/>
      <w:bookmarkStart w:id="5684" w:name="_Toc49804672"/>
      <w:bookmarkStart w:id="5685" w:name="_Toc49804747"/>
      <w:bookmarkStart w:id="5686" w:name="_Toc49804822"/>
      <w:bookmarkStart w:id="5687" w:name="_Toc49805494"/>
      <w:bookmarkStart w:id="5688" w:name="_Toc49806153"/>
      <w:bookmarkStart w:id="5689" w:name="_Toc49806206"/>
      <w:bookmarkStart w:id="5690" w:name="_Toc49810604"/>
      <w:bookmarkStart w:id="5691" w:name="_Toc49811137"/>
      <w:bookmarkStart w:id="5692" w:name="_Toc49876210"/>
      <w:bookmarkStart w:id="5693" w:name="_Toc49876312"/>
      <w:bookmarkStart w:id="5694" w:name="_Toc49877379"/>
      <w:bookmarkStart w:id="5695" w:name="_Toc49877836"/>
      <w:bookmarkStart w:id="5696" w:name="_Toc49878187"/>
      <w:bookmarkStart w:id="5697" w:name="_Toc49878252"/>
      <w:bookmarkStart w:id="5698" w:name="_Toc49878317"/>
      <w:bookmarkStart w:id="5699" w:name="_Toc49878372"/>
      <w:bookmarkStart w:id="5700" w:name="_Toc49878437"/>
      <w:bookmarkStart w:id="5701" w:name="_Toc49878469"/>
      <w:bookmarkStart w:id="5702" w:name="_Toc49878585"/>
      <w:bookmarkStart w:id="5703" w:name="_Toc49878675"/>
      <w:bookmarkStart w:id="5704" w:name="_Toc49878788"/>
      <w:bookmarkStart w:id="5705" w:name="_Toc49878853"/>
      <w:bookmarkStart w:id="5706" w:name="_Toc49879087"/>
      <w:bookmarkStart w:id="5707" w:name="_Toc49879459"/>
      <w:bookmarkStart w:id="5708" w:name="_Toc49879599"/>
      <w:bookmarkStart w:id="5709" w:name="_Toc49879667"/>
      <w:bookmarkStart w:id="5710" w:name="_Toc49879803"/>
      <w:bookmarkStart w:id="5711" w:name="_Toc49879847"/>
      <w:bookmarkStart w:id="5712" w:name="_Toc49879983"/>
      <w:bookmarkStart w:id="5713" w:name="_Toc49880165"/>
      <w:bookmarkStart w:id="5714" w:name="_Toc49880233"/>
      <w:bookmarkStart w:id="5715" w:name="_Toc49880463"/>
      <w:bookmarkStart w:id="5716" w:name="_Toc49880531"/>
      <w:bookmarkStart w:id="5717" w:name="_Toc49879735"/>
      <w:bookmarkStart w:id="5718" w:name="_Toc49881016"/>
      <w:bookmarkStart w:id="5719" w:name="_Toc49881175"/>
      <w:bookmarkStart w:id="5720" w:name="_Toc49881694"/>
      <w:bookmarkStart w:id="5721" w:name="_Toc49883564"/>
      <w:bookmarkStart w:id="5722" w:name="_Toc49883802"/>
      <w:bookmarkStart w:id="5723" w:name="_Toc49884168"/>
      <w:bookmarkStart w:id="5724" w:name="_Toc49884236"/>
      <w:bookmarkStart w:id="5725" w:name="_Toc49884312"/>
      <w:bookmarkStart w:id="5726" w:name="_Toc49888739"/>
      <w:bookmarkStart w:id="5727" w:name="_Toc49893568"/>
      <w:bookmarkStart w:id="5728" w:name="_Toc49893882"/>
      <w:bookmarkStart w:id="5729" w:name="_Toc49895397"/>
      <w:bookmarkStart w:id="5730" w:name="_Toc49896932"/>
      <w:bookmarkStart w:id="5731" w:name="_Toc49926296"/>
      <w:bookmarkStart w:id="5732" w:name="_Toc49928850"/>
      <w:bookmarkStart w:id="5733" w:name="_Toc49928920"/>
      <w:bookmarkStart w:id="5734" w:name="_Toc49929000"/>
      <w:bookmarkStart w:id="5735" w:name="_Toc49930209"/>
      <w:bookmarkStart w:id="5736" w:name="_Toc49930431"/>
      <w:bookmarkStart w:id="5737" w:name="_Toc49930501"/>
      <w:bookmarkStart w:id="5738" w:name="_Toc49930571"/>
      <w:bookmarkStart w:id="5739" w:name="_Toc49930641"/>
      <w:bookmarkStart w:id="5740" w:name="_Toc49930711"/>
      <w:bookmarkStart w:id="5741" w:name="_Toc49930852"/>
      <w:bookmarkStart w:id="5742" w:name="_Toc49930995"/>
      <w:bookmarkStart w:id="5743" w:name="_Toc49931249"/>
      <w:bookmarkStart w:id="5744" w:name="_Toc49931455"/>
      <w:bookmarkStart w:id="5745" w:name="_Toc49931756"/>
      <w:bookmarkStart w:id="5746" w:name="_Toc49931889"/>
      <w:bookmarkStart w:id="5747" w:name="_Toc49932194"/>
      <w:bookmarkStart w:id="5748" w:name="_Toc49932325"/>
      <w:bookmarkStart w:id="5749" w:name="_Toc49932883"/>
      <w:bookmarkStart w:id="5750" w:name="_Toc49933217"/>
      <w:bookmarkStart w:id="5751" w:name="_Toc49933287"/>
      <w:bookmarkStart w:id="5752" w:name="_Toc49933813"/>
      <w:bookmarkStart w:id="5753" w:name="_Toc49933956"/>
      <w:bookmarkStart w:id="5754" w:name="_Toc49934082"/>
      <w:bookmarkStart w:id="5755" w:name="_Toc49934197"/>
      <w:bookmarkStart w:id="5756" w:name="_Toc49934878"/>
      <w:bookmarkStart w:id="5757" w:name="_Toc49935143"/>
      <w:bookmarkStart w:id="5758" w:name="_Toc49935213"/>
      <w:bookmarkStart w:id="5759" w:name="_Toc49935433"/>
      <w:bookmarkStart w:id="5760" w:name="_Toc49935503"/>
      <w:bookmarkStart w:id="5761" w:name="_Toc49935610"/>
      <w:bookmarkStart w:id="5762" w:name="_Toc49935680"/>
      <w:bookmarkStart w:id="5763" w:name="_Toc49935708"/>
      <w:bookmarkStart w:id="5764" w:name="_Toc49936091"/>
      <w:bookmarkStart w:id="5765" w:name="_Toc49936161"/>
      <w:bookmarkStart w:id="5766" w:name="_Toc49936231"/>
      <w:bookmarkStart w:id="5767" w:name="_Toc49936819"/>
      <w:bookmarkStart w:id="5768" w:name="_Toc49937052"/>
      <w:bookmarkStart w:id="5769" w:name="_Toc49937679"/>
      <w:bookmarkStart w:id="5770" w:name="_Toc49938059"/>
      <w:bookmarkStart w:id="5771" w:name="_Toc49938864"/>
      <w:bookmarkStart w:id="5772" w:name="_Toc49938997"/>
      <w:bookmarkStart w:id="5773" w:name="_Toc49939036"/>
      <w:bookmarkStart w:id="5774" w:name="_Toc49939106"/>
      <w:bookmarkStart w:id="5775" w:name="_Toc49939176"/>
      <w:bookmarkStart w:id="5776" w:name="_Toc49939239"/>
      <w:bookmarkStart w:id="5777" w:name="_Toc49939309"/>
      <w:bookmarkStart w:id="5778" w:name="_Toc49939611"/>
      <w:bookmarkStart w:id="5779" w:name="_Toc49939957"/>
      <w:bookmarkStart w:id="5780" w:name="_Toc49940492"/>
      <w:bookmarkStart w:id="5781" w:name="_Toc49941643"/>
      <w:bookmarkStart w:id="5782" w:name="_Toc49941713"/>
      <w:bookmarkStart w:id="5783" w:name="_Toc49941649"/>
      <w:bookmarkStart w:id="5784" w:name="_Toc49942089"/>
      <w:bookmarkStart w:id="5785" w:name="_Toc49942273"/>
      <w:bookmarkStart w:id="5786" w:name="_Toc49942481"/>
      <w:bookmarkStart w:id="5787" w:name="_Toc49942715"/>
      <w:bookmarkStart w:id="5788" w:name="_Toc49942830"/>
      <w:bookmarkStart w:id="5789" w:name="_Toc49944367"/>
      <w:bookmarkStart w:id="5790" w:name="_Toc49945144"/>
      <w:bookmarkStart w:id="5791" w:name="_Toc49945938"/>
      <w:bookmarkStart w:id="5792" w:name="_Toc49946296"/>
      <w:bookmarkStart w:id="5793" w:name="_Toc49946583"/>
      <w:bookmarkStart w:id="5794" w:name="_Toc49946692"/>
      <w:bookmarkStart w:id="5795" w:name="_Toc49947292"/>
      <w:bookmarkStart w:id="5796" w:name="_Toc49946395"/>
      <w:bookmarkStart w:id="5797" w:name="_Toc49947174"/>
      <w:bookmarkStart w:id="5798" w:name="_Toc49947428"/>
      <w:bookmarkStart w:id="5799" w:name="_Toc49947806"/>
      <w:bookmarkStart w:id="5800" w:name="_Toc49947901"/>
      <w:bookmarkStart w:id="5801" w:name="_Toc49947971"/>
      <w:bookmarkStart w:id="5802" w:name="_Toc49948066"/>
      <w:bookmarkStart w:id="5803" w:name="_Toc49948136"/>
      <w:bookmarkStart w:id="5804" w:name="_Toc49948347"/>
      <w:bookmarkStart w:id="5805" w:name="_Toc49948417"/>
      <w:bookmarkStart w:id="5806" w:name="_Toc49948487"/>
      <w:bookmarkStart w:id="5807" w:name="_Toc49948557"/>
      <w:bookmarkStart w:id="5808" w:name="_Toc49948676"/>
      <w:bookmarkStart w:id="5809" w:name="_Toc49943526"/>
      <w:bookmarkStart w:id="5810" w:name="_Toc49948770"/>
      <w:bookmarkStart w:id="5811" w:name="_Toc49949563"/>
      <w:bookmarkStart w:id="5812" w:name="_Toc49949633"/>
      <w:bookmarkStart w:id="5813" w:name="_Toc49950669"/>
      <w:bookmarkStart w:id="5814" w:name="_Toc49950836"/>
      <w:bookmarkStart w:id="5815" w:name="_Toc49951187"/>
      <w:bookmarkStart w:id="5816" w:name="_Toc49951438"/>
      <w:bookmarkStart w:id="5817" w:name="_Toc49951498"/>
      <w:bookmarkStart w:id="5818" w:name="_Toc49951605"/>
      <w:bookmarkStart w:id="5819" w:name="_Toc49951692"/>
      <w:bookmarkStart w:id="5820" w:name="_Toc49951762"/>
      <w:bookmarkStart w:id="5821" w:name="_Toc49952001"/>
      <w:bookmarkStart w:id="5822" w:name="_Toc49952100"/>
      <w:bookmarkStart w:id="5823" w:name="_Toc49952276"/>
      <w:bookmarkStart w:id="5824" w:name="_Toc49953031"/>
      <w:bookmarkStart w:id="5825" w:name="_Toc49953122"/>
      <w:bookmarkStart w:id="5826" w:name="_Toc49953192"/>
      <w:bookmarkStart w:id="5827" w:name="_Toc49952976"/>
      <w:bookmarkStart w:id="5828" w:name="_Toc49953907"/>
      <w:bookmarkStart w:id="5829" w:name="_Toc49953977"/>
      <w:bookmarkStart w:id="5830" w:name="_Toc49954060"/>
      <w:bookmarkStart w:id="5831" w:name="_Toc49954130"/>
      <w:bookmarkStart w:id="5832" w:name="_Toc49949691"/>
      <w:bookmarkStart w:id="5833" w:name="_Toc49953691"/>
      <w:bookmarkStart w:id="5834" w:name="_Toc49953816"/>
      <w:bookmarkStart w:id="5835" w:name="_Toc49954196"/>
      <w:bookmarkStart w:id="5836" w:name="_Toc49954303"/>
      <w:bookmarkStart w:id="5837" w:name="_Toc49954336"/>
      <w:bookmarkStart w:id="5838" w:name="_Toc49954406"/>
      <w:bookmarkStart w:id="5839" w:name="_Toc49954430"/>
      <w:bookmarkStart w:id="5840" w:name="_Toc49954537"/>
      <w:bookmarkStart w:id="5841" w:name="_Toc49954607"/>
      <w:bookmarkStart w:id="5842" w:name="_Toc49954677"/>
      <w:bookmarkStart w:id="5843" w:name="_Toc49954711"/>
      <w:bookmarkStart w:id="5844" w:name="_Toc49954781"/>
      <w:bookmarkStart w:id="5845" w:name="_Toc49954836"/>
      <w:bookmarkStart w:id="5846" w:name="_Toc49954906"/>
      <w:bookmarkStart w:id="5847" w:name="_Toc49954930"/>
      <w:bookmarkStart w:id="5848" w:name="_Toc49955000"/>
      <w:bookmarkStart w:id="5849" w:name="_Toc49955070"/>
      <w:bookmarkStart w:id="5850" w:name="_Toc49955140"/>
      <w:bookmarkStart w:id="5851" w:name="_Toc49955174"/>
      <w:bookmarkStart w:id="5852" w:name="_Toc49955210"/>
      <w:bookmarkStart w:id="5853" w:name="_Toc49955280"/>
      <w:bookmarkStart w:id="5854" w:name="_Toc49955350"/>
      <w:bookmarkStart w:id="5855" w:name="_Toc49955420"/>
      <w:bookmarkStart w:id="5856" w:name="_Toc49955728"/>
      <w:bookmarkStart w:id="5857" w:name="_Toc49955798"/>
      <w:bookmarkStart w:id="5858" w:name="_Toc49956153"/>
      <w:bookmarkStart w:id="5859" w:name="_Toc49958298"/>
      <w:bookmarkStart w:id="5860" w:name="_Toc49958423"/>
      <w:bookmarkStart w:id="5861" w:name="_Toc49958493"/>
      <w:bookmarkStart w:id="5862" w:name="_Toc49958563"/>
      <w:bookmarkStart w:id="5863" w:name="_Toc49800478"/>
      <w:bookmarkStart w:id="5864" w:name="_Toc49804427"/>
      <w:bookmarkStart w:id="5865" w:name="_Toc49804587"/>
      <w:bookmarkStart w:id="5866" w:name="_Toc49804673"/>
      <w:bookmarkStart w:id="5867" w:name="_Toc49804748"/>
      <w:bookmarkStart w:id="5868" w:name="_Toc49804823"/>
      <w:bookmarkStart w:id="5869" w:name="_Toc49805495"/>
      <w:bookmarkStart w:id="5870" w:name="_Toc49806154"/>
      <w:bookmarkStart w:id="5871" w:name="_Toc49806207"/>
      <w:bookmarkStart w:id="5872" w:name="_Toc49810605"/>
      <w:bookmarkStart w:id="5873" w:name="_Toc49811138"/>
      <w:bookmarkStart w:id="5874" w:name="_Toc49876211"/>
      <w:bookmarkStart w:id="5875" w:name="_Toc49876313"/>
      <w:bookmarkStart w:id="5876" w:name="_Toc49877380"/>
      <w:bookmarkStart w:id="5877" w:name="_Toc49877837"/>
      <w:bookmarkStart w:id="5878" w:name="_Toc49878188"/>
      <w:bookmarkStart w:id="5879" w:name="_Toc49878253"/>
      <w:bookmarkStart w:id="5880" w:name="_Toc49878318"/>
      <w:bookmarkStart w:id="5881" w:name="_Toc49878373"/>
      <w:bookmarkStart w:id="5882" w:name="_Toc49878470"/>
      <w:bookmarkStart w:id="5883" w:name="_Toc49878586"/>
      <w:bookmarkStart w:id="5884" w:name="_Toc49878676"/>
      <w:bookmarkStart w:id="5885" w:name="_Toc49878789"/>
      <w:bookmarkStart w:id="5886" w:name="_Toc49878854"/>
      <w:bookmarkStart w:id="5887" w:name="_Toc49879088"/>
      <w:bookmarkStart w:id="5888" w:name="_Toc49879460"/>
      <w:bookmarkStart w:id="5889" w:name="_Toc49879600"/>
      <w:bookmarkStart w:id="5890" w:name="_Toc49879668"/>
      <w:bookmarkStart w:id="5891" w:name="_Toc49879804"/>
      <w:bookmarkStart w:id="5892" w:name="_Toc49879848"/>
      <w:bookmarkStart w:id="5893" w:name="_Toc49879916"/>
      <w:bookmarkStart w:id="5894" w:name="_Toc49879984"/>
      <w:bookmarkStart w:id="5895" w:name="_Toc49880166"/>
      <w:bookmarkStart w:id="5896" w:name="_Toc49880234"/>
      <w:bookmarkStart w:id="5897" w:name="_Toc49880464"/>
      <w:bookmarkStart w:id="5898" w:name="_Toc49880532"/>
      <w:bookmarkStart w:id="5899" w:name="_Toc49879736"/>
      <w:bookmarkStart w:id="5900" w:name="_Toc49881017"/>
      <w:bookmarkStart w:id="5901" w:name="_Toc49881176"/>
      <w:bookmarkStart w:id="5902" w:name="_Toc49881695"/>
      <w:bookmarkStart w:id="5903" w:name="_Toc49883565"/>
      <w:bookmarkStart w:id="5904" w:name="_Toc49883803"/>
      <w:bookmarkStart w:id="5905" w:name="_Toc49884169"/>
      <w:bookmarkStart w:id="5906" w:name="_Toc49884237"/>
      <w:bookmarkStart w:id="5907" w:name="_Toc49884313"/>
      <w:bookmarkStart w:id="5908" w:name="_Toc49888740"/>
      <w:bookmarkStart w:id="5909" w:name="_Toc49893569"/>
      <w:bookmarkStart w:id="5910" w:name="_Toc49893883"/>
      <w:bookmarkStart w:id="5911" w:name="_Toc49895398"/>
      <w:bookmarkStart w:id="5912" w:name="_Toc49896933"/>
      <w:bookmarkStart w:id="5913" w:name="_Toc49926297"/>
      <w:bookmarkStart w:id="5914" w:name="_Toc49928851"/>
      <w:bookmarkStart w:id="5915" w:name="_Toc49928921"/>
      <w:bookmarkStart w:id="5916" w:name="_Toc49929001"/>
      <w:bookmarkStart w:id="5917" w:name="_Toc49930210"/>
      <w:bookmarkStart w:id="5918" w:name="_Toc49930432"/>
      <w:bookmarkStart w:id="5919" w:name="_Toc49930502"/>
      <w:bookmarkStart w:id="5920" w:name="_Toc49930572"/>
      <w:bookmarkStart w:id="5921" w:name="_Toc49930642"/>
      <w:bookmarkStart w:id="5922" w:name="_Toc49930712"/>
      <w:bookmarkStart w:id="5923" w:name="_Toc49930853"/>
      <w:bookmarkStart w:id="5924" w:name="_Toc49930996"/>
      <w:bookmarkStart w:id="5925" w:name="_Toc49931250"/>
      <w:bookmarkStart w:id="5926" w:name="_Toc49931456"/>
      <w:bookmarkStart w:id="5927" w:name="_Toc49931757"/>
      <w:bookmarkStart w:id="5928" w:name="_Toc49931890"/>
      <w:bookmarkStart w:id="5929" w:name="_Toc49932195"/>
      <w:bookmarkStart w:id="5930" w:name="_Toc49932326"/>
      <w:bookmarkStart w:id="5931" w:name="_Toc49932884"/>
      <w:bookmarkStart w:id="5932" w:name="_Toc49933218"/>
      <w:bookmarkStart w:id="5933" w:name="_Toc49933288"/>
      <w:bookmarkStart w:id="5934" w:name="_Toc49933814"/>
      <w:bookmarkStart w:id="5935" w:name="_Toc49933957"/>
      <w:bookmarkStart w:id="5936" w:name="_Toc49934083"/>
      <w:bookmarkStart w:id="5937" w:name="_Toc49934198"/>
      <w:bookmarkStart w:id="5938" w:name="_Toc49934879"/>
      <w:bookmarkStart w:id="5939" w:name="_Toc49935144"/>
      <w:bookmarkStart w:id="5940" w:name="_Toc49935214"/>
      <w:bookmarkStart w:id="5941" w:name="_Toc49935434"/>
      <w:bookmarkStart w:id="5942" w:name="_Toc49935504"/>
      <w:bookmarkStart w:id="5943" w:name="_Toc49935611"/>
      <w:bookmarkStart w:id="5944" w:name="_Toc49935681"/>
      <w:bookmarkStart w:id="5945" w:name="_Toc49935709"/>
      <w:bookmarkStart w:id="5946" w:name="_Toc49936092"/>
      <w:bookmarkStart w:id="5947" w:name="_Toc49936162"/>
      <w:bookmarkStart w:id="5948" w:name="_Toc49936232"/>
      <w:bookmarkStart w:id="5949" w:name="_Toc49936820"/>
      <w:bookmarkStart w:id="5950" w:name="_Toc49937053"/>
      <w:bookmarkStart w:id="5951" w:name="_Toc49937680"/>
      <w:bookmarkStart w:id="5952" w:name="_Toc49938060"/>
      <w:bookmarkStart w:id="5953" w:name="_Toc49938865"/>
      <w:bookmarkStart w:id="5954" w:name="_Toc49938998"/>
      <w:bookmarkStart w:id="5955" w:name="_Toc49939037"/>
      <w:bookmarkStart w:id="5956" w:name="_Toc49939107"/>
      <w:bookmarkStart w:id="5957" w:name="_Toc49939177"/>
      <w:bookmarkStart w:id="5958" w:name="_Toc49939240"/>
      <w:bookmarkStart w:id="5959" w:name="_Toc49939310"/>
      <w:bookmarkStart w:id="5960" w:name="_Toc49939612"/>
      <w:bookmarkStart w:id="5961" w:name="_Toc49939958"/>
      <w:bookmarkStart w:id="5962" w:name="_Toc49940493"/>
      <w:bookmarkStart w:id="5963" w:name="_Toc49941714"/>
      <w:bookmarkStart w:id="5964" w:name="_Toc49941650"/>
      <w:bookmarkStart w:id="5965" w:name="_Toc49942090"/>
      <w:bookmarkStart w:id="5966" w:name="_Toc49942274"/>
      <w:bookmarkStart w:id="5967" w:name="_Toc49942482"/>
      <w:bookmarkStart w:id="5968" w:name="_Toc49942716"/>
      <w:bookmarkStart w:id="5969" w:name="_Toc49942831"/>
      <w:bookmarkStart w:id="5970" w:name="_Toc49944368"/>
      <w:bookmarkStart w:id="5971" w:name="_Toc49945145"/>
      <w:bookmarkStart w:id="5972" w:name="_Toc49945939"/>
      <w:bookmarkStart w:id="5973" w:name="_Toc49946297"/>
      <w:bookmarkStart w:id="5974" w:name="_Toc49946584"/>
      <w:bookmarkStart w:id="5975" w:name="_Toc49946693"/>
      <w:bookmarkStart w:id="5976" w:name="_Toc49947293"/>
      <w:bookmarkStart w:id="5977" w:name="_Toc49946396"/>
      <w:bookmarkStart w:id="5978" w:name="_Toc49947175"/>
      <w:bookmarkStart w:id="5979" w:name="_Toc49947429"/>
      <w:bookmarkStart w:id="5980" w:name="_Toc49947807"/>
      <w:bookmarkStart w:id="5981" w:name="_Toc49947902"/>
      <w:bookmarkStart w:id="5982" w:name="_Toc49947972"/>
      <w:bookmarkStart w:id="5983" w:name="_Toc49948067"/>
      <w:bookmarkStart w:id="5984" w:name="_Toc49948137"/>
      <w:bookmarkStart w:id="5985" w:name="_Toc49948348"/>
      <w:bookmarkStart w:id="5986" w:name="_Toc49948418"/>
      <w:bookmarkStart w:id="5987" w:name="_Toc49948488"/>
      <w:bookmarkStart w:id="5988" w:name="_Toc49948558"/>
      <w:bookmarkStart w:id="5989" w:name="_Toc49948677"/>
      <w:bookmarkStart w:id="5990" w:name="_Toc49943527"/>
      <w:bookmarkStart w:id="5991" w:name="_Toc49948771"/>
      <w:bookmarkStart w:id="5992" w:name="_Toc49949564"/>
      <w:bookmarkStart w:id="5993" w:name="_Toc49949634"/>
      <w:bookmarkStart w:id="5994" w:name="_Toc49950670"/>
      <w:bookmarkStart w:id="5995" w:name="_Toc49950837"/>
      <w:bookmarkStart w:id="5996" w:name="_Toc49951188"/>
      <w:bookmarkStart w:id="5997" w:name="_Toc49951439"/>
      <w:bookmarkStart w:id="5998" w:name="_Toc49951499"/>
      <w:bookmarkStart w:id="5999" w:name="_Toc49951606"/>
      <w:bookmarkStart w:id="6000" w:name="_Toc49951693"/>
      <w:bookmarkStart w:id="6001" w:name="_Toc49951763"/>
      <w:bookmarkStart w:id="6002" w:name="_Toc49952002"/>
      <w:bookmarkStart w:id="6003" w:name="_Toc49952101"/>
      <w:bookmarkStart w:id="6004" w:name="_Toc49952277"/>
      <w:bookmarkStart w:id="6005" w:name="_Toc49953032"/>
      <w:bookmarkStart w:id="6006" w:name="_Toc49953123"/>
      <w:bookmarkStart w:id="6007" w:name="_Toc49953193"/>
      <w:bookmarkStart w:id="6008" w:name="_Toc49952977"/>
      <w:bookmarkStart w:id="6009" w:name="_Toc49953908"/>
      <w:bookmarkStart w:id="6010" w:name="_Toc49953978"/>
      <w:bookmarkStart w:id="6011" w:name="_Toc49954131"/>
      <w:bookmarkStart w:id="6012" w:name="_Toc49949692"/>
      <w:bookmarkStart w:id="6013" w:name="_Toc49953692"/>
      <w:bookmarkStart w:id="6014" w:name="_Toc49954197"/>
      <w:bookmarkStart w:id="6015" w:name="_Toc49954304"/>
      <w:bookmarkStart w:id="6016" w:name="_Toc49954337"/>
      <w:bookmarkStart w:id="6017" w:name="_Toc49954407"/>
      <w:bookmarkStart w:id="6018" w:name="_Toc49954431"/>
      <w:bookmarkStart w:id="6019" w:name="_Toc49954538"/>
      <w:bookmarkStart w:id="6020" w:name="_Toc49954608"/>
      <w:bookmarkStart w:id="6021" w:name="_Toc49954678"/>
      <w:bookmarkStart w:id="6022" w:name="_Toc49954712"/>
      <w:bookmarkStart w:id="6023" w:name="_Toc49954782"/>
      <w:bookmarkStart w:id="6024" w:name="_Toc49954837"/>
      <w:bookmarkStart w:id="6025" w:name="_Toc49954907"/>
      <w:bookmarkStart w:id="6026" w:name="_Toc49954931"/>
      <w:bookmarkStart w:id="6027" w:name="_Toc49955001"/>
      <w:bookmarkStart w:id="6028" w:name="_Toc49955071"/>
      <w:bookmarkStart w:id="6029" w:name="_Toc49955141"/>
      <w:bookmarkStart w:id="6030" w:name="_Toc49955175"/>
      <w:bookmarkStart w:id="6031" w:name="_Toc49955211"/>
      <w:bookmarkStart w:id="6032" w:name="_Toc49955281"/>
      <w:bookmarkStart w:id="6033" w:name="_Toc49955351"/>
      <w:bookmarkStart w:id="6034" w:name="_Toc49955421"/>
      <w:bookmarkStart w:id="6035" w:name="_Toc49955729"/>
      <w:bookmarkStart w:id="6036" w:name="_Toc49955799"/>
      <w:bookmarkStart w:id="6037" w:name="_Toc49956154"/>
      <w:bookmarkStart w:id="6038" w:name="_Toc49958299"/>
      <w:bookmarkStart w:id="6039" w:name="_Toc49958424"/>
      <w:bookmarkStart w:id="6040" w:name="_Toc49958494"/>
      <w:bookmarkStart w:id="6041" w:name="_Toc49958564"/>
      <w:bookmarkStart w:id="6042" w:name="_Toc49800479"/>
      <w:bookmarkStart w:id="6043" w:name="_Toc49804428"/>
      <w:bookmarkStart w:id="6044" w:name="_Toc49804588"/>
      <w:bookmarkStart w:id="6045" w:name="_Toc49804674"/>
      <w:bookmarkStart w:id="6046" w:name="_Toc49804749"/>
      <w:bookmarkStart w:id="6047" w:name="_Toc49804824"/>
      <w:bookmarkStart w:id="6048" w:name="_Toc49805496"/>
      <w:bookmarkStart w:id="6049" w:name="_Toc49806155"/>
      <w:bookmarkStart w:id="6050" w:name="_Toc49806208"/>
      <w:bookmarkStart w:id="6051" w:name="_Toc49810606"/>
      <w:bookmarkStart w:id="6052" w:name="_Toc49811139"/>
      <w:bookmarkStart w:id="6053" w:name="_Toc49876212"/>
      <w:bookmarkStart w:id="6054" w:name="_Toc49876314"/>
      <w:bookmarkStart w:id="6055" w:name="_Toc49877381"/>
      <w:bookmarkStart w:id="6056" w:name="_Toc49877838"/>
      <w:bookmarkStart w:id="6057" w:name="_Toc49878124"/>
      <w:bookmarkStart w:id="6058" w:name="_Toc49878189"/>
      <w:bookmarkStart w:id="6059" w:name="_Toc49878254"/>
      <w:bookmarkStart w:id="6060" w:name="_Toc49878319"/>
      <w:bookmarkStart w:id="6061" w:name="_Toc49878374"/>
      <w:bookmarkStart w:id="6062" w:name="_Toc49878471"/>
      <w:bookmarkStart w:id="6063" w:name="_Toc49878587"/>
      <w:bookmarkStart w:id="6064" w:name="_Toc49878677"/>
      <w:bookmarkStart w:id="6065" w:name="_Toc49878790"/>
      <w:bookmarkStart w:id="6066" w:name="_Toc49878855"/>
      <w:bookmarkStart w:id="6067" w:name="_Toc49879089"/>
      <w:bookmarkStart w:id="6068" w:name="_Toc49879461"/>
      <w:bookmarkStart w:id="6069" w:name="_Toc49879601"/>
      <w:bookmarkStart w:id="6070" w:name="_Toc49879669"/>
      <w:bookmarkStart w:id="6071" w:name="_Toc49879805"/>
      <w:bookmarkStart w:id="6072" w:name="_Toc49879849"/>
      <w:bookmarkStart w:id="6073" w:name="_Toc49879985"/>
      <w:bookmarkStart w:id="6074" w:name="_Toc49880167"/>
      <w:bookmarkStart w:id="6075" w:name="_Toc49880235"/>
      <w:bookmarkStart w:id="6076" w:name="_Toc49880465"/>
      <w:bookmarkStart w:id="6077" w:name="_Toc49880533"/>
      <w:bookmarkStart w:id="6078" w:name="_Toc49879737"/>
      <w:bookmarkStart w:id="6079" w:name="_Toc49881018"/>
      <w:bookmarkStart w:id="6080" w:name="_Toc49881177"/>
      <w:bookmarkStart w:id="6081" w:name="_Toc49881696"/>
      <w:bookmarkStart w:id="6082" w:name="_Toc49883566"/>
      <w:bookmarkStart w:id="6083" w:name="_Toc49883804"/>
      <w:bookmarkStart w:id="6084" w:name="_Toc49884170"/>
      <w:bookmarkStart w:id="6085" w:name="_Toc49884238"/>
      <w:bookmarkStart w:id="6086" w:name="_Toc49884314"/>
      <w:bookmarkStart w:id="6087" w:name="_Toc49888741"/>
      <w:bookmarkStart w:id="6088" w:name="_Toc49893570"/>
      <w:bookmarkStart w:id="6089" w:name="_Toc49893884"/>
      <w:bookmarkStart w:id="6090" w:name="_Toc49895399"/>
      <w:bookmarkStart w:id="6091" w:name="_Toc49896934"/>
      <w:bookmarkStart w:id="6092" w:name="_Toc49926298"/>
      <w:bookmarkStart w:id="6093" w:name="_Toc49928852"/>
      <w:bookmarkStart w:id="6094" w:name="_Toc49928922"/>
      <w:bookmarkStart w:id="6095" w:name="_Toc49929002"/>
      <w:bookmarkStart w:id="6096" w:name="_Toc49930211"/>
      <w:bookmarkStart w:id="6097" w:name="_Toc49930433"/>
      <w:bookmarkStart w:id="6098" w:name="_Toc49930503"/>
      <w:bookmarkStart w:id="6099" w:name="_Toc49930573"/>
      <w:bookmarkStart w:id="6100" w:name="_Toc49930643"/>
      <w:bookmarkStart w:id="6101" w:name="_Toc49930713"/>
      <w:bookmarkStart w:id="6102" w:name="_Toc49930854"/>
      <w:bookmarkStart w:id="6103" w:name="_Toc49930997"/>
      <w:bookmarkStart w:id="6104" w:name="_Toc49931251"/>
      <w:bookmarkStart w:id="6105" w:name="_Toc49931457"/>
      <w:bookmarkStart w:id="6106" w:name="_Toc49931758"/>
      <w:bookmarkStart w:id="6107" w:name="_Toc49931891"/>
      <w:bookmarkStart w:id="6108" w:name="_Toc49932196"/>
      <w:bookmarkStart w:id="6109" w:name="_Toc49932327"/>
      <w:bookmarkStart w:id="6110" w:name="_Toc49932885"/>
      <w:bookmarkStart w:id="6111" w:name="_Toc49933219"/>
      <w:bookmarkStart w:id="6112" w:name="_Toc49933289"/>
      <w:bookmarkStart w:id="6113" w:name="_Toc49933815"/>
      <w:bookmarkStart w:id="6114" w:name="_Toc49933958"/>
      <w:bookmarkStart w:id="6115" w:name="_Toc49934084"/>
      <w:bookmarkStart w:id="6116" w:name="_Toc49934199"/>
      <w:bookmarkStart w:id="6117" w:name="_Toc49934880"/>
      <w:bookmarkStart w:id="6118" w:name="_Toc49935145"/>
      <w:bookmarkStart w:id="6119" w:name="_Toc49935215"/>
      <w:bookmarkStart w:id="6120" w:name="_Toc49935435"/>
      <w:bookmarkStart w:id="6121" w:name="_Toc49935505"/>
      <w:bookmarkStart w:id="6122" w:name="_Toc49935612"/>
      <w:bookmarkStart w:id="6123" w:name="_Toc49935682"/>
      <w:bookmarkStart w:id="6124" w:name="_Toc49935710"/>
      <w:bookmarkStart w:id="6125" w:name="_Toc49936093"/>
      <w:bookmarkStart w:id="6126" w:name="_Toc49936163"/>
      <w:bookmarkStart w:id="6127" w:name="_Toc49936233"/>
      <w:bookmarkStart w:id="6128" w:name="_Toc49936821"/>
      <w:bookmarkStart w:id="6129" w:name="_Toc49937054"/>
      <w:bookmarkStart w:id="6130" w:name="_Toc49937681"/>
      <w:bookmarkStart w:id="6131" w:name="_Toc49938061"/>
      <w:bookmarkStart w:id="6132" w:name="_Toc49938866"/>
      <w:bookmarkStart w:id="6133" w:name="_Toc49939038"/>
      <w:bookmarkStart w:id="6134" w:name="_Toc49939108"/>
      <w:bookmarkStart w:id="6135" w:name="_Toc49939178"/>
      <w:bookmarkStart w:id="6136" w:name="_Toc49939241"/>
      <w:bookmarkStart w:id="6137" w:name="_Toc49939311"/>
      <w:bookmarkStart w:id="6138" w:name="_Toc49939613"/>
      <w:bookmarkStart w:id="6139" w:name="_Toc49939959"/>
      <w:bookmarkStart w:id="6140" w:name="_Toc49940494"/>
      <w:bookmarkStart w:id="6141" w:name="_Toc49941645"/>
      <w:bookmarkStart w:id="6142" w:name="_Toc49941715"/>
      <w:bookmarkStart w:id="6143" w:name="_Toc49941651"/>
      <w:bookmarkStart w:id="6144" w:name="_Toc49942091"/>
      <w:bookmarkStart w:id="6145" w:name="_Toc49942275"/>
      <w:bookmarkStart w:id="6146" w:name="_Toc49942483"/>
      <w:bookmarkStart w:id="6147" w:name="_Toc49942717"/>
      <w:bookmarkStart w:id="6148" w:name="_Toc49942832"/>
      <w:bookmarkStart w:id="6149" w:name="_Toc49944369"/>
      <w:bookmarkStart w:id="6150" w:name="_Toc49945146"/>
      <w:bookmarkStart w:id="6151" w:name="_Toc49945940"/>
      <w:bookmarkStart w:id="6152" w:name="_Toc49946298"/>
      <w:bookmarkStart w:id="6153" w:name="_Toc49946585"/>
      <w:bookmarkStart w:id="6154" w:name="_Toc49946694"/>
      <w:bookmarkStart w:id="6155" w:name="_Toc49947294"/>
      <w:bookmarkStart w:id="6156" w:name="_Toc49946397"/>
      <w:bookmarkStart w:id="6157" w:name="_Toc49947176"/>
      <w:bookmarkStart w:id="6158" w:name="_Toc49947430"/>
      <w:bookmarkStart w:id="6159" w:name="_Toc49947808"/>
      <w:bookmarkStart w:id="6160" w:name="_Toc49947903"/>
      <w:bookmarkStart w:id="6161" w:name="_Toc49947973"/>
      <w:bookmarkStart w:id="6162" w:name="_Toc49948068"/>
      <w:bookmarkStart w:id="6163" w:name="_Toc49948138"/>
      <w:bookmarkStart w:id="6164" w:name="_Toc49948349"/>
      <w:bookmarkStart w:id="6165" w:name="_Toc49948419"/>
      <w:bookmarkStart w:id="6166" w:name="_Toc49948489"/>
      <w:bookmarkStart w:id="6167" w:name="_Toc49948559"/>
      <w:bookmarkStart w:id="6168" w:name="_Toc49948678"/>
      <w:bookmarkStart w:id="6169" w:name="_Toc49943528"/>
      <w:bookmarkStart w:id="6170" w:name="_Toc49948772"/>
      <w:bookmarkStart w:id="6171" w:name="_Toc49949565"/>
      <w:bookmarkStart w:id="6172" w:name="_Toc49949635"/>
      <w:bookmarkStart w:id="6173" w:name="_Toc49950671"/>
      <w:bookmarkStart w:id="6174" w:name="_Toc49950838"/>
      <w:bookmarkStart w:id="6175" w:name="_Toc49951189"/>
      <w:bookmarkStart w:id="6176" w:name="_Toc49951440"/>
      <w:bookmarkStart w:id="6177" w:name="_Toc49951500"/>
      <w:bookmarkStart w:id="6178" w:name="_Toc49951607"/>
      <w:bookmarkStart w:id="6179" w:name="_Toc49951694"/>
      <w:bookmarkStart w:id="6180" w:name="_Toc49951764"/>
      <w:bookmarkStart w:id="6181" w:name="_Toc49952003"/>
      <w:bookmarkStart w:id="6182" w:name="_Toc49952102"/>
      <w:bookmarkStart w:id="6183" w:name="_Toc49952278"/>
      <w:bookmarkStart w:id="6184" w:name="_Toc49953033"/>
      <w:bookmarkStart w:id="6185" w:name="_Toc49953124"/>
      <w:bookmarkStart w:id="6186" w:name="_Toc49953194"/>
      <w:bookmarkStart w:id="6187" w:name="_Toc49953839"/>
      <w:bookmarkStart w:id="6188" w:name="_Toc49953909"/>
      <w:bookmarkStart w:id="6189" w:name="_Toc49953979"/>
      <w:bookmarkStart w:id="6190" w:name="_Toc49954132"/>
      <w:bookmarkStart w:id="6191" w:name="_Toc49949693"/>
      <w:bookmarkStart w:id="6192" w:name="_Toc49953693"/>
      <w:bookmarkStart w:id="6193" w:name="_Toc49953818"/>
      <w:bookmarkStart w:id="6194" w:name="_Toc49954198"/>
      <w:bookmarkStart w:id="6195" w:name="_Toc49954305"/>
      <w:bookmarkStart w:id="6196" w:name="_Toc49954338"/>
      <w:bookmarkStart w:id="6197" w:name="_Toc49954408"/>
      <w:bookmarkStart w:id="6198" w:name="_Toc49954432"/>
      <w:bookmarkStart w:id="6199" w:name="_Toc49954539"/>
      <w:bookmarkStart w:id="6200" w:name="_Toc49954609"/>
      <w:bookmarkStart w:id="6201" w:name="_Toc49954679"/>
      <w:bookmarkStart w:id="6202" w:name="_Toc49954713"/>
      <w:bookmarkStart w:id="6203" w:name="_Toc49954783"/>
      <w:bookmarkStart w:id="6204" w:name="_Toc49954838"/>
      <w:bookmarkStart w:id="6205" w:name="_Toc49954908"/>
      <w:bookmarkStart w:id="6206" w:name="_Toc49954932"/>
      <w:bookmarkStart w:id="6207" w:name="_Toc49955002"/>
      <w:bookmarkStart w:id="6208" w:name="_Toc49955072"/>
      <w:bookmarkStart w:id="6209" w:name="_Toc49955142"/>
      <w:bookmarkStart w:id="6210" w:name="_Toc49955176"/>
      <w:bookmarkStart w:id="6211" w:name="_Toc49955212"/>
      <w:bookmarkStart w:id="6212" w:name="_Toc49955282"/>
      <w:bookmarkStart w:id="6213" w:name="_Toc49955352"/>
      <w:bookmarkStart w:id="6214" w:name="_Toc49955422"/>
      <w:bookmarkStart w:id="6215" w:name="_Toc49955730"/>
      <w:bookmarkStart w:id="6216" w:name="_Toc49955800"/>
      <w:bookmarkStart w:id="6217" w:name="_Toc49956155"/>
      <w:bookmarkStart w:id="6218" w:name="_Toc49958300"/>
      <w:bookmarkStart w:id="6219" w:name="_Toc49958425"/>
      <w:bookmarkStart w:id="6220" w:name="_Toc49958495"/>
      <w:bookmarkStart w:id="6221" w:name="_Toc49958565"/>
      <w:bookmarkStart w:id="6222" w:name="_Toc49800480"/>
      <w:bookmarkStart w:id="6223" w:name="_Toc49804429"/>
      <w:bookmarkStart w:id="6224" w:name="_Toc49804589"/>
      <w:bookmarkStart w:id="6225" w:name="_Toc49804675"/>
      <w:bookmarkStart w:id="6226" w:name="_Toc49804750"/>
      <w:bookmarkStart w:id="6227" w:name="_Toc49804825"/>
      <w:bookmarkStart w:id="6228" w:name="_Toc49805497"/>
      <w:bookmarkStart w:id="6229" w:name="_Toc49806156"/>
      <w:bookmarkStart w:id="6230" w:name="_Toc49806209"/>
      <w:bookmarkStart w:id="6231" w:name="_Toc49810607"/>
      <w:bookmarkStart w:id="6232" w:name="_Toc49811140"/>
      <w:bookmarkStart w:id="6233" w:name="_Toc49876213"/>
      <w:bookmarkStart w:id="6234" w:name="_Toc49876315"/>
      <w:bookmarkStart w:id="6235" w:name="_Toc49877382"/>
      <w:bookmarkStart w:id="6236" w:name="_Toc49877839"/>
      <w:bookmarkStart w:id="6237" w:name="_Toc49878190"/>
      <w:bookmarkStart w:id="6238" w:name="_Toc49878255"/>
      <w:bookmarkStart w:id="6239" w:name="_Toc49878320"/>
      <w:bookmarkStart w:id="6240" w:name="_Toc49878375"/>
      <w:bookmarkStart w:id="6241" w:name="_Toc49878472"/>
      <w:bookmarkStart w:id="6242" w:name="_Toc49878588"/>
      <w:bookmarkStart w:id="6243" w:name="_Toc49878678"/>
      <w:bookmarkStart w:id="6244" w:name="_Toc49878791"/>
      <w:bookmarkStart w:id="6245" w:name="_Toc49878856"/>
      <w:bookmarkStart w:id="6246" w:name="_Toc49879090"/>
      <w:bookmarkStart w:id="6247" w:name="_Toc49879462"/>
      <w:bookmarkStart w:id="6248" w:name="_Toc49879602"/>
      <w:bookmarkStart w:id="6249" w:name="_Toc49879670"/>
      <w:bookmarkStart w:id="6250" w:name="_Toc49879806"/>
      <w:bookmarkStart w:id="6251" w:name="_Toc49879850"/>
      <w:bookmarkStart w:id="6252" w:name="_Toc49879986"/>
      <w:bookmarkStart w:id="6253" w:name="_Toc49880168"/>
      <w:bookmarkStart w:id="6254" w:name="_Toc49880236"/>
      <w:bookmarkStart w:id="6255" w:name="_Toc49880466"/>
      <w:bookmarkStart w:id="6256" w:name="_Toc49880534"/>
      <w:bookmarkStart w:id="6257" w:name="_Toc49879738"/>
      <w:bookmarkStart w:id="6258" w:name="_Toc49881019"/>
      <w:bookmarkStart w:id="6259" w:name="_Toc49881178"/>
      <w:bookmarkStart w:id="6260" w:name="_Toc49881697"/>
      <w:bookmarkStart w:id="6261" w:name="_Toc49883567"/>
      <w:bookmarkStart w:id="6262" w:name="_Toc49883805"/>
      <w:bookmarkStart w:id="6263" w:name="_Toc49884171"/>
      <w:bookmarkStart w:id="6264" w:name="_Toc49884239"/>
      <w:bookmarkStart w:id="6265" w:name="_Toc49884315"/>
      <w:bookmarkStart w:id="6266" w:name="_Toc49888742"/>
      <w:bookmarkStart w:id="6267" w:name="_Toc49893571"/>
      <w:bookmarkStart w:id="6268" w:name="_Toc49893885"/>
      <w:bookmarkStart w:id="6269" w:name="_Toc49895400"/>
      <w:bookmarkStart w:id="6270" w:name="_Toc49896935"/>
      <w:bookmarkStart w:id="6271" w:name="_Toc49926299"/>
      <w:bookmarkStart w:id="6272" w:name="_Toc49928853"/>
      <w:bookmarkStart w:id="6273" w:name="_Toc49928923"/>
      <w:bookmarkStart w:id="6274" w:name="_Toc49929003"/>
      <w:bookmarkStart w:id="6275" w:name="_Toc49930212"/>
      <w:bookmarkStart w:id="6276" w:name="_Toc49930434"/>
      <w:bookmarkStart w:id="6277" w:name="_Toc49930504"/>
      <w:bookmarkStart w:id="6278" w:name="_Toc49930574"/>
      <w:bookmarkStart w:id="6279" w:name="_Toc49930644"/>
      <w:bookmarkStart w:id="6280" w:name="_Toc49930714"/>
      <w:bookmarkStart w:id="6281" w:name="_Toc49930855"/>
      <w:bookmarkStart w:id="6282" w:name="_Toc49930998"/>
      <w:bookmarkStart w:id="6283" w:name="_Toc49931252"/>
      <w:bookmarkStart w:id="6284" w:name="_Toc49931458"/>
      <w:bookmarkStart w:id="6285" w:name="_Toc49931759"/>
      <w:bookmarkStart w:id="6286" w:name="_Toc49931892"/>
      <w:bookmarkStart w:id="6287" w:name="_Toc49932197"/>
      <w:bookmarkStart w:id="6288" w:name="_Toc49932328"/>
      <w:bookmarkStart w:id="6289" w:name="_Toc49932886"/>
      <w:bookmarkStart w:id="6290" w:name="_Toc49933220"/>
      <w:bookmarkStart w:id="6291" w:name="_Toc49933290"/>
      <w:bookmarkStart w:id="6292" w:name="_Toc49933816"/>
      <w:bookmarkStart w:id="6293" w:name="_Toc49933959"/>
      <w:bookmarkStart w:id="6294" w:name="_Toc49934085"/>
      <w:bookmarkStart w:id="6295" w:name="_Toc49934200"/>
      <w:bookmarkStart w:id="6296" w:name="_Toc49934881"/>
      <w:bookmarkStart w:id="6297" w:name="_Toc49935146"/>
      <w:bookmarkStart w:id="6298" w:name="_Toc49935216"/>
      <w:bookmarkStart w:id="6299" w:name="_Toc49935436"/>
      <w:bookmarkStart w:id="6300" w:name="_Toc49935506"/>
      <w:bookmarkStart w:id="6301" w:name="_Toc49935613"/>
      <w:bookmarkStart w:id="6302" w:name="_Toc49935683"/>
      <w:bookmarkStart w:id="6303" w:name="_Toc49935711"/>
      <w:bookmarkStart w:id="6304" w:name="_Toc49936094"/>
      <w:bookmarkStart w:id="6305" w:name="_Toc49936164"/>
      <w:bookmarkStart w:id="6306" w:name="_Toc49936234"/>
      <w:bookmarkStart w:id="6307" w:name="_Toc49936822"/>
      <w:bookmarkStart w:id="6308" w:name="_Toc49937055"/>
      <w:bookmarkStart w:id="6309" w:name="_Toc49937682"/>
      <w:bookmarkStart w:id="6310" w:name="_Toc49938062"/>
      <w:bookmarkStart w:id="6311" w:name="_Toc49938867"/>
      <w:bookmarkStart w:id="6312" w:name="_Toc49939000"/>
      <w:bookmarkStart w:id="6313" w:name="_Toc49939039"/>
      <w:bookmarkStart w:id="6314" w:name="_Toc49939109"/>
      <w:bookmarkStart w:id="6315" w:name="_Toc49939179"/>
      <w:bookmarkStart w:id="6316" w:name="_Toc49939242"/>
      <w:bookmarkStart w:id="6317" w:name="_Toc49939312"/>
      <w:bookmarkStart w:id="6318" w:name="_Toc49939614"/>
      <w:bookmarkStart w:id="6319" w:name="_Toc49939960"/>
      <w:bookmarkStart w:id="6320" w:name="_Toc49940495"/>
      <w:bookmarkStart w:id="6321" w:name="_Toc49941646"/>
      <w:bookmarkStart w:id="6322" w:name="_Toc49941716"/>
      <w:bookmarkStart w:id="6323" w:name="_Toc49941652"/>
      <w:bookmarkStart w:id="6324" w:name="_Toc49942092"/>
      <w:bookmarkStart w:id="6325" w:name="_Toc49942276"/>
      <w:bookmarkStart w:id="6326" w:name="_Toc49942484"/>
      <w:bookmarkStart w:id="6327" w:name="_Toc49942718"/>
      <w:bookmarkStart w:id="6328" w:name="_Toc49942833"/>
      <w:bookmarkStart w:id="6329" w:name="_Toc49944370"/>
      <w:bookmarkStart w:id="6330" w:name="_Toc49945147"/>
      <w:bookmarkStart w:id="6331" w:name="_Toc49945941"/>
      <w:bookmarkStart w:id="6332" w:name="_Toc49946299"/>
      <w:bookmarkStart w:id="6333" w:name="_Toc49946586"/>
      <w:bookmarkStart w:id="6334" w:name="_Toc49946695"/>
      <w:bookmarkStart w:id="6335" w:name="_Toc49947295"/>
      <w:bookmarkStart w:id="6336" w:name="_Toc49946398"/>
      <w:bookmarkStart w:id="6337" w:name="_Toc49947177"/>
      <w:bookmarkStart w:id="6338" w:name="_Toc49947431"/>
      <w:bookmarkStart w:id="6339" w:name="_Toc49947809"/>
      <w:bookmarkStart w:id="6340" w:name="_Toc49947904"/>
      <w:bookmarkStart w:id="6341" w:name="_Toc49947974"/>
      <w:bookmarkStart w:id="6342" w:name="_Toc49948069"/>
      <w:bookmarkStart w:id="6343" w:name="_Toc49948139"/>
      <w:bookmarkStart w:id="6344" w:name="_Toc49948350"/>
      <w:bookmarkStart w:id="6345" w:name="_Toc49948420"/>
      <w:bookmarkStart w:id="6346" w:name="_Toc49948490"/>
      <w:bookmarkStart w:id="6347" w:name="_Toc49948560"/>
      <w:bookmarkStart w:id="6348" w:name="_Toc49948679"/>
      <w:bookmarkStart w:id="6349" w:name="_Toc49943529"/>
      <w:bookmarkStart w:id="6350" w:name="_Toc49948773"/>
      <w:bookmarkStart w:id="6351" w:name="_Toc49949566"/>
      <w:bookmarkStart w:id="6352" w:name="_Toc49949636"/>
      <w:bookmarkStart w:id="6353" w:name="_Toc49950672"/>
      <w:bookmarkStart w:id="6354" w:name="_Toc49950839"/>
      <w:bookmarkStart w:id="6355" w:name="_Toc49951190"/>
      <w:bookmarkStart w:id="6356" w:name="_Toc49951441"/>
      <w:bookmarkStart w:id="6357" w:name="_Toc49951501"/>
      <w:bookmarkStart w:id="6358" w:name="_Toc49951608"/>
      <w:bookmarkStart w:id="6359" w:name="_Toc49951695"/>
      <w:bookmarkStart w:id="6360" w:name="_Toc49951765"/>
      <w:bookmarkStart w:id="6361" w:name="_Toc49952004"/>
      <w:bookmarkStart w:id="6362" w:name="_Toc49952103"/>
      <w:bookmarkStart w:id="6363" w:name="_Toc49952279"/>
      <w:bookmarkStart w:id="6364" w:name="_Toc49953034"/>
      <w:bookmarkStart w:id="6365" w:name="_Toc49953125"/>
      <w:bookmarkStart w:id="6366" w:name="_Toc49953195"/>
      <w:bookmarkStart w:id="6367" w:name="_Toc49953840"/>
      <w:bookmarkStart w:id="6368" w:name="_Toc49953910"/>
      <w:bookmarkStart w:id="6369" w:name="_Toc49953980"/>
      <w:bookmarkStart w:id="6370" w:name="_Toc49954133"/>
      <w:bookmarkStart w:id="6371" w:name="_Toc49949694"/>
      <w:bookmarkStart w:id="6372" w:name="_Toc49953694"/>
      <w:bookmarkStart w:id="6373" w:name="_Toc49954199"/>
      <w:bookmarkStart w:id="6374" w:name="_Toc49954306"/>
      <w:bookmarkStart w:id="6375" w:name="_Toc49954339"/>
      <w:bookmarkStart w:id="6376" w:name="_Toc49954409"/>
      <w:bookmarkStart w:id="6377" w:name="_Toc49954433"/>
      <w:bookmarkStart w:id="6378" w:name="_Toc49954540"/>
      <w:bookmarkStart w:id="6379" w:name="_Toc49954610"/>
      <w:bookmarkStart w:id="6380" w:name="_Toc49954680"/>
      <w:bookmarkStart w:id="6381" w:name="_Toc49954714"/>
      <w:bookmarkStart w:id="6382" w:name="_Toc49954784"/>
      <w:bookmarkStart w:id="6383" w:name="_Toc49954839"/>
      <w:bookmarkStart w:id="6384" w:name="_Toc49954909"/>
      <w:bookmarkStart w:id="6385" w:name="_Toc49954933"/>
      <w:bookmarkStart w:id="6386" w:name="_Toc49955003"/>
      <w:bookmarkStart w:id="6387" w:name="_Toc49955073"/>
      <w:bookmarkStart w:id="6388" w:name="_Toc49955143"/>
      <w:bookmarkStart w:id="6389" w:name="_Toc49955177"/>
      <w:bookmarkStart w:id="6390" w:name="_Toc49955213"/>
      <w:bookmarkStart w:id="6391" w:name="_Toc49955283"/>
      <w:bookmarkStart w:id="6392" w:name="_Toc49955353"/>
      <w:bookmarkStart w:id="6393" w:name="_Toc49955423"/>
      <w:bookmarkStart w:id="6394" w:name="_Toc49955731"/>
      <w:bookmarkStart w:id="6395" w:name="_Toc49955801"/>
      <w:bookmarkStart w:id="6396" w:name="_Toc49956156"/>
      <w:bookmarkStart w:id="6397" w:name="_Toc49958301"/>
      <w:bookmarkStart w:id="6398" w:name="_Toc49958426"/>
      <w:bookmarkStart w:id="6399" w:name="_Toc49958496"/>
      <w:bookmarkStart w:id="6400" w:name="_Toc49958566"/>
      <w:bookmarkStart w:id="6401" w:name="_Toc49800481"/>
      <w:bookmarkStart w:id="6402" w:name="_Toc49804430"/>
      <w:bookmarkStart w:id="6403" w:name="_Toc49804590"/>
      <w:bookmarkStart w:id="6404" w:name="_Toc49804676"/>
      <w:bookmarkStart w:id="6405" w:name="_Toc49804751"/>
      <w:bookmarkStart w:id="6406" w:name="_Toc49804826"/>
      <w:bookmarkStart w:id="6407" w:name="_Toc49805498"/>
      <w:bookmarkStart w:id="6408" w:name="_Toc49806157"/>
      <w:bookmarkStart w:id="6409" w:name="_Toc49806210"/>
      <w:bookmarkStart w:id="6410" w:name="_Toc49810608"/>
      <w:bookmarkStart w:id="6411" w:name="_Toc49811141"/>
      <w:bookmarkStart w:id="6412" w:name="_Toc49876214"/>
      <w:bookmarkStart w:id="6413" w:name="_Toc49876316"/>
      <w:bookmarkStart w:id="6414" w:name="_Toc49877383"/>
      <w:bookmarkStart w:id="6415" w:name="_Toc49877840"/>
      <w:bookmarkStart w:id="6416" w:name="_Toc49878126"/>
      <w:bookmarkStart w:id="6417" w:name="_Toc49878191"/>
      <w:bookmarkStart w:id="6418" w:name="_Toc49878256"/>
      <w:bookmarkStart w:id="6419" w:name="_Toc49878321"/>
      <w:bookmarkStart w:id="6420" w:name="_Toc49878376"/>
      <w:bookmarkStart w:id="6421" w:name="_Toc49878473"/>
      <w:bookmarkStart w:id="6422" w:name="_Toc49878589"/>
      <w:bookmarkStart w:id="6423" w:name="_Toc49878679"/>
      <w:bookmarkStart w:id="6424" w:name="_Toc49878792"/>
      <w:bookmarkStart w:id="6425" w:name="_Toc49878857"/>
      <w:bookmarkStart w:id="6426" w:name="_Toc49879091"/>
      <w:bookmarkStart w:id="6427" w:name="_Toc49879463"/>
      <w:bookmarkStart w:id="6428" w:name="_Toc49879603"/>
      <w:bookmarkStart w:id="6429" w:name="_Toc49879671"/>
      <w:bookmarkStart w:id="6430" w:name="_Toc49879807"/>
      <w:bookmarkStart w:id="6431" w:name="_Toc49879851"/>
      <w:bookmarkStart w:id="6432" w:name="_Toc49879987"/>
      <w:bookmarkStart w:id="6433" w:name="_Toc49880169"/>
      <w:bookmarkStart w:id="6434" w:name="_Toc49880237"/>
      <w:bookmarkStart w:id="6435" w:name="_Toc49880467"/>
      <w:bookmarkStart w:id="6436" w:name="_Toc49880535"/>
      <w:bookmarkStart w:id="6437" w:name="_Toc49879739"/>
      <w:bookmarkStart w:id="6438" w:name="_Toc49881020"/>
      <w:bookmarkStart w:id="6439" w:name="_Toc49881179"/>
      <w:bookmarkStart w:id="6440" w:name="_Toc49881698"/>
      <w:bookmarkStart w:id="6441" w:name="_Toc49883568"/>
      <w:bookmarkStart w:id="6442" w:name="_Toc49883806"/>
      <w:bookmarkStart w:id="6443" w:name="_Toc49884172"/>
      <w:bookmarkStart w:id="6444" w:name="_Toc49884240"/>
      <w:bookmarkStart w:id="6445" w:name="_Toc49884316"/>
      <w:bookmarkStart w:id="6446" w:name="_Toc49888743"/>
      <w:bookmarkStart w:id="6447" w:name="_Toc49893572"/>
      <w:bookmarkStart w:id="6448" w:name="_Toc49893886"/>
      <w:bookmarkStart w:id="6449" w:name="_Toc49895401"/>
      <w:bookmarkStart w:id="6450" w:name="_Toc49896936"/>
      <w:bookmarkStart w:id="6451" w:name="_Toc49926300"/>
      <w:bookmarkStart w:id="6452" w:name="_Toc49928854"/>
      <w:bookmarkStart w:id="6453" w:name="_Toc49928924"/>
      <w:bookmarkStart w:id="6454" w:name="_Toc49929004"/>
      <w:bookmarkStart w:id="6455" w:name="_Toc49930213"/>
      <w:bookmarkStart w:id="6456" w:name="_Toc49930435"/>
      <w:bookmarkStart w:id="6457" w:name="_Toc49930505"/>
      <w:bookmarkStart w:id="6458" w:name="_Toc49930575"/>
      <w:bookmarkStart w:id="6459" w:name="_Toc49930645"/>
      <w:bookmarkStart w:id="6460" w:name="_Toc49930715"/>
      <w:bookmarkStart w:id="6461" w:name="_Toc49930856"/>
      <w:bookmarkStart w:id="6462" w:name="_Toc49930999"/>
      <w:bookmarkStart w:id="6463" w:name="_Toc49931253"/>
      <w:bookmarkStart w:id="6464" w:name="_Toc49931459"/>
      <w:bookmarkStart w:id="6465" w:name="_Toc49931760"/>
      <w:bookmarkStart w:id="6466" w:name="_Toc49931893"/>
      <w:bookmarkStart w:id="6467" w:name="_Toc49932198"/>
      <w:bookmarkStart w:id="6468" w:name="_Toc49932329"/>
      <w:bookmarkStart w:id="6469" w:name="_Toc49932887"/>
      <w:bookmarkStart w:id="6470" w:name="_Toc49933221"/>
      <w:bookmarkStart w:id="6471" w:name="_Toc49933291"/>
      <w:bookmarkStart w:id="6472" w:name="_Toc49933817"/>
      <w:bookmarkStart w:id="6473" w:name="_Toc49933960"/>
      <w:bookmarkStart w:id="6474" w:name="_Toc49934086"/>
      <w:bookmarkStart w:id="6475" w:name="_Toc49934201"/>
      <w:bookmarkStart w:id="6476" w:name="_Toc49934882"/>
      <w:bookmarkStart w:id="6477" w:name="_Toc49935147"/>
      <w:bookmarkStart w:id="6478" w:name="_Toc49935217"/>
      <w:bookmarkStart w:id="6479" w:name="_Toc49935437"/>
      <w:bookmarkStart w:id="6480" w:name="_Toc49935507"/>
      <w:bookmarkStart w:id="6481" w:name="_Toc49935614"/>
      <w:bookmarkStart w:id="6482" w:name="_Toc49935684"/>
      <w:bookmarkStart w:id="6483" w:name="_Toc49935712"/>
      <w:bookmarkStart w:id="6484" w:name="_Toc49936095"/>
      <w:bookmarkStart w:id="6485" w:name="_Toc49936165"/>
      <w:bookmarkStart w:id="6486" w:name="_Toc49936235"/>
      <w:bookmarkStart w:id="6487" w:name="_Toc49936823"/>
      <w:bookmarkStart w:id="6488" w:name="_Toc49937056"/>
      <w:bookmarkStart w:id="6489" w:name="_Toc49937683"/>
      <w:bookmarkStart w:id="6490" w:name="_Toc49938063"/>
      <w:bookmarkStart w:id="6491" w:name="_Toc49938868"/>
      <w:bookmarkStart w:id="6492" w:name="_Toc49939001"/>
      <w:bookmarkStart w:id="6493" w:name="_Toc49939040"/>
      <w:bookmarkStart w:id="6494" w:name="_Toc49939110"/>
      <w:bookmarkStart w:id="6495" w:name="_Toc49939180"/>
      <w:bookmarkStart w:id="6496" w:name="_Toc49939243"/>
      <w:bookmarkStart w:id="6497" w:name="_Toc49939313"/>
      <w:bookmarkStart w:id="6498" w:name="_Toc49939615"/>
      <w:bookmarkStart w:id="6499" w:name="_Toc49939961"/>
      <w:bookmarkStart w:id="6500" w:name="_Toc49940496"/>
      <w:bookmarkStart w:id="6501" w:name="_Toc49941647"/>
      <w:bookmarkStart w:id="6502" w:name="_Toc49941717"/>
      <w:bookmarkStart w:id="6503" w:name="_Toc49941653"/>
      <w:bookmarkStart w:id="6504" w:name="_Toc49942093"/>
      <w:bookmarkStart w:id="6505" w:name="_Toc49942277"/>
      <w:bookmarkStart w:id="6506" w:name="_Toc49942485"/>
      <w:bookmarkStart w:id="6507" w:name="_Toc49942719"/>
      <w:bookmarkStart w:id="6508" w:name="_Toc49942834"/>
      <w:bookmarkStart w:id="6509" w:name="_Toc49944371"/>
      <w:bookmarkStart w:id="6510" w:name="_Toc49945148"/>
      <w:bookmarkStart w:id="6511" w:name="_Toc49945942"/>
      <w:bookmarkStart w:id="6512" w:name="_Toc49946300"/>
      <w:bookmarkStart w:id="6513" w:name="_Toc49946587"/>
      <w:bookmarkStart w:id="6514" w:name="_Toc49946696"/>
      <w:bookmarkStart w:id="6515" w:name="_Toc49947296"/>
      <w:bookmarkStart w:id="6516" w:name="_Toc49946399"/>
      <w:bookmarkStart w:id="6517" w:name="_Toc49947178"/>
      <w:bookmarkStart w:id="6518" w:name="_Toc49947432"/>
      <w:bookmarkStart w:id="6519" w:name="_Toc49947810"/>
      <w:bookmarkStart w:id="6520" w:name="_Toc49947905"/>
      <w:bookmarkStart w:id="6521" w:name="_Toc49947975"/>
      <w:bookmarkStart w:id="6522" w:name="_Toc49948070"/>
      <w:bookmarkStart w:id="6523" w:name="_Toc49948140"/>
      <w:bookmarkStart w:id="6524" w:name="_Toc49948351"/>
      <w:bookmarkStart w:id="6525" w:name="_Toc49948421"/>
      <w:bookmarkStart w:id="6526" w:name="_Toc49948491"/>
      <w:bookmarkStart w:id="6527" w:name="_Toc49948561"/>
      <w:bookmarkStart w:id="6528" w:name="_Toc49948680"/>
      <w:bookmarkStart w:id="6529" w:name="_Toc49943530"/>
      <w:bookmarkStart w:id="6530" w:name="_Toc49948774"/>
      <w:bookmarkStart w:id="6531" w:name="_Toc49949567"/>
      <w:bookmarkStart w:id="6532" w:name="_Toc49949637"/>
      <w:bookmarkStart w:id="6533" w:name="_Toc49950673"/>
      <w:bookmarkStart w:id="6534" w:name="_Toc49950840"/>
      <w:bookmarkStart w:id="6535" w:name="_Toc49951191"/>
      <w:bookmarkStart w:id="6536" w:name="_Toc49951442"/>
      <w:bookmarkStart w:id="6537" w:name="_Toc49951502"/>
      <w:bookmarkStart w:id="6538" w:name="_Toc49951609"/>
      <w:bookmarkStart w:id="6539" w:name="_Toc49951696"/>
      <w:bookmarkStart w:id="6540" w:name="_Toc49951766"/>
      <w:bookmarkStart w:id="6541" w:name="_Toc49952005"/>
      <w:bookmarkStart w:id="6542" w:name="_Toc49952104"/>
      <w:bookmarkStart w:id="6543" w:name="_Toc49952280"/>
      <w:bookmarkStart w:id="6544" w:name="_Toc49953035"/>
      <w:bookmarkStart w:id="6545" w:name="_Toc49953126"/>
      <w:bookmarkStart w:id="6546" w:name="_Toc49953196"/>
      <w:bookmarkStart w:id="6547" w:name="_Toc49953841"/>
      <w:bookmarkStart w:id="6548" w:name="_Toc49953911"/>
      <w:bookmarkStart w:id="6549" w:name="_Toc49953981"/>
      <w:bookmarkStart w:id="6550" w:name="_Toc49954134"/>
      <w:bookmarkStart w:id="6551" w:name="_Toc49949695"/>
      <w:bookmarkStart w:id="6552" w:name="_Toc49953695"/>
      <w:bookmarkStart w:id="6553" w:name="_Toc49954200"/>
      <w:bookmarkStart w:id="6554" w:name="_Toc49954307"/>
      <w:bookmarkStart w:id="6555" w:name="_Toc49954340"/>
      <w:bookmarkStart w:id="6556" w:name="_Toc49954410"/>
      <w:bookmarkStart w:id="6557" w:name="_Toc49954434"/>
      <w:bookmarkStart w:id="6558" w:name="_Toc49954541"/>
      <w:bookmarkStart w:id="6559" w:name="_Toc49954611"/>
      <w:bookmarkStart w:id="6560" w:name="_Toc49954681"/>
      <w:bookmarkStart w:id="6561" w:name="_Toc49954715"/>
      <w:bookmarkStart w:id="6562" w:name="_Toc49954785"/>
      <w:bookmarkStart w:id="6563" w:name="_Toc49954840"/>
      <w:bookmarkStart w:id="6564" w:name="_Toc49954910"/>
      <w:bookmarkStart w:id="6565" w:name="_Toc49954934"/>
      <w:bookmarkStart w:id="6566" w:name="_Toc49955004"/>
      <w:bookmarkStart w:id="6567" w:name="_Toc49955074"/>
      <w:bookmarkStart w:id="6568" w:name="_Toc49955144"/>
      <w:bookmarkStart w:id="6569" w:name="_Toc49955178"/>
      <w:bookmarkStart w:id="6570" w:name="_Toc49955214"/>
      <w:bookmarkStart w:id="6571" w:name="_Toc49955284"/>
      <w:bookmarkStart w:id="6572" w:name="_Toc49955354"/>
      <w:bookmarkStart w:id="6573" w:name="_Toc49955424"/>
      <w:bookmarkStart w:id="6574" w:name="_Toc49955732"/>
      <w:bookmarkStart w:id="6575" w:name="_Toc49955802"/>
      <w:bookmarkStart w:id="6576" w:name="_Toc49956157"/>
      <w:bookmarkStart w:id="6577" w:name="_Toc49958302"/>
      <w:bookmarkStart w:id="6578" w:name="_Toc49958427"/>
      <w:bookmarkStart w:id="6579" w:name="_Toc49958497"/>
      <w:bookmarkStart w:id="6580" w:name="_Toc49958567"/>
      <w:bookmarkStart w:id="6581" w:name="_Toc49800482"/>
      <w:bookmarkStart w:id="6582" w:name="_Toc49804431"/>
      <w:bookmarkStart w:id="6583" w:name="_Toc49804591"/>
      <w:bookmarkStart w:id="6584" w:name="_Toc49804677"/>
      <w:bookmarkStart w:id="6585" w:name="_Toc49804752"/>
      <w:bookmarkStart w:id="6586" w:name="_Toc49804827"/>
      <w:bookmarkStart w:id="6587" w:name="_Toc49805499"/>
      <w:bookmarkStart w:id="6588" w:name="_Toc49806158"/>
      <w:bookmarkStart w:id="6589" w:name="_Toc49806211"/>
      <w:bookmarkStart w:id="6590" w:name="_Toc49810609"/>
      <w:bookmarkStart w:id="6591" w:name="_Toc49811142"/>
      <w:bookmarkStart w:id="6592" w:name="_Toc49876215"/>
      <w:bookmarkStart w:id="6593" w:name="_Toc49876317"/>
      <w:bookmarkStart w:id="6594" w:name="_Toc49877384"/>
      <w:bookmarkStart w:id="6595" w:name="_Toc49877841"/>
      <w:bookmarkStart w:id="6596" w:name="_Toc49878192"/>
      <w:bookmarkStart w:id="6597" w:name="_Toc49878257"/>
      <w:bookmarkStart w:id="6598" w:name="_Toc49878322"/>
      <w:bookmarkStart w:id="6599" w:name="_Toc49878377"/>
      <w:bookmarkStart w:id="6600" w:name="_Toc49878442"/>
      <w:bookmarkStart w:id="6601" w:name="_Toc49878474"/>
      <w:bookmarkStart w:id="6602" w:name="_Toc49878590"/>
      <w:bookmarkStart w:id="6603" w:name="_Toc49878680"/>
      <w:bookmarkStart w:id="6604" w:name="_Toc49878793"/>
      <w:bookmarkStart w:id="6605" w:name="_Toc49878858"/>
      <w:bookmarkStart w:id="6606" w:name="_Toc49879092"/>
      <w:bookmarkStart w:id="6607" w:name="_Toc49879464"/>
      <w:bookmarkStart w:id="6608" w:name="_Toc49879604"/>
      <w:bookmarkStart w:id="6609" w:name="_Toc49879672"/>
      <w:bookmarkStart w:id="6610" w:name="_Toc49879808"/>
      <w:bookmarkStart w:id="6611" w:name="_Toc49879852"/>
      <w:bookmarkStart w:id="6612" w:name="_Toc49879988"/>
      <w:bookmarkStart w:id="6613" w:name="_Toc49880170"/>
      <w:bookmarkStart w:id="6614" w:name="_Toc49880238"/>
      <w:bookmarkStart w:id="6615" w:name="_Toc49880468"/>
      <w:bookmarkStart w:id="6616" w:name="_Toc49880536"/>
      <w:bookmarkStart w:id="6617" w:name="_Toc49879740"/>
      <w:bookmarkStart w:id="6618" w:name="_Toc49881021"/>
      <w:bookmarkStart w:id="6619" w:name="_Toc49881180"/>
      <w:bookmarkStart w:id="6620" w:name="_Toc49881699"/>
      <w:bookmarkStart w:id="6621" w:name="_Toc49883569"/>
      <w:bookmarkStart w:id="6622" w:name="_Toc49883807"/>
      <w:bookmarkStart w:id="6623" w:name="_Toc49884173"/>
      <w:bookmarkStart w:id="6624" w:name="_Toc49884241"/>
      <w:bookmarkStart w:id="6625" w:name="_Toc49884317"/>
      <w:bookmarkStart w:id="6626" w:name="_Toc49888744"/>
      <w:bookmarkStart w:id="6627" w:name="_Toc49893573"/>
      <w:bookmarkStart w:id="6628" w:name="_Toc49893887"/>
      <w:bookmarkStart w:id="6629" w:name="_Toc49895402"/>
      <w:bookmarkStart w:id="6630" w:name="_Toc49896937"/>
      <w:bookmarkStart w:id="6631" w:name="_Toc49926301"/>
      <w:bookmarkStart w:id="6632" w:name="_Toc49928855"/>
      <w:bookmarkStart w:id="6633" w:name="_Toc49928925"/>
      <w:bookmarkStart w:id="6634" w:name="_Toc49929005"/>
      <w:bookmarkStart w:id="6635" w:name="_Toc49930214"/>
      <w:bookmarkStart w:id="6636" w:name="_Toc49930436"/>
      <w:bookmarkStart w:id="6637" w:name="_Toc49930506"/>
      <w:bookmarkStart w:id="6638" w:name="_Toc49930576"/>
      <w:bookmarkStart w:id="6639" w:name="_Toc49930646"/>
      <w:bookmarkStart w:id="6640" w:name="_Toc49930716"/>
      <w:bookmarkStart w:id="6641" w:name="_Toc49930857"/>
      <w:bookmarkStart w:id="6642" w:name="_Toc49931000"/>
      <w:bookmarkStart w:id="6643" w:name="_Toc49931254"/>
      <w:bookmarkStart w:id="6644" w:name="_Toc49931460"/>
      <w:bookmarkStart w:id="6645" w:name="_Toc49931761"/>
      <w:bookmarkStart w:id="6646" w:name="_Toc49931894"/>
      <w:bookmarkStart w:id="6647" w:name="_Toc49932199"/>
      <w:bookmarkStart w:id="6648" w:name="_Toc49932330"/>
      <w:bookmarkStart w:id="6649" w:name="_Toc49932888"/>
      <w:bookmarkStart w:id="6650" w:name="_Toc49933222"/>
      <w:bookmarkStart w:id="6651" w:name="_Toc49933292"/>
      <w:bookmarkStart w:id="6652" w:name="_Toc49933818"/>
      <w:bookmarkStart w:id="6653" w:name="_Toc49933961"/>
      <w:bookmarkStart w:id="6654" w:name="_Toc49934087"/>
      <w:bookmarkStart w:id="6655" w:name="_Toc49934202"/>
      <w:bookmarkStart w:id="6656" w:name="_Toc49934883"/>
      <w:bookmarkStart w:id="6657" w:name="_Toc49935148"/>
      <w:bookmarkStart w:id="6658" w:name="_Toc49935218"/>
      <w:bookmarkStart w:id="6659" w:name="_Toc49935438"/>
      <w:bookmarkStart w:id="6660" w:name="_Toc49935508"/>
      <w:bookmarkStart w:id="6661" w:name="_Toc49935615"/>
      <w:bookmarkStart w:id="6662" w:name="_Toc49935685"/>
      <w:bookmarkStart w:id="6663" w:name="_Toc49935713"/>
      <w:bookmarkStart w:id="6664" w:name="_Toc49936096"/>
      <w:bookmarkStart w:id="6665" w:name="_Toc49936166"/>
      <w:bookmarkStart w:id="6666" w:name="_Toc49936236"/>
      <w:bookmarkStart w:id="6667" w:name="_Toc49936824"/>
      <w:bookmarkStart w:id="6668" w:name="_Toc49937057"/>
      <w:bookmarkStart w:id="6669" w:name="_Toc49937684"/>
      <w:bookmarkStart w:id="6670" w:name="_Toc49938064"/>
      <w:bookmarkStart w:id="6671" w:name="_Toc49938869"/>
      <w:bookmarkStart w:id="6672" w:name="_Toc49939041"/>
      <w:bookmarkStart w:id="6673" w:name="_Toc49939111"/>
      <w:bookmarkStart w:id="6674" w:name="_Toc49939181"/>
      <w:bookmarkStart w:id="6675" w:name="_Toc49939244"/>
      <w:bookmarkStart w:id="6676" w:name="_Toc49939314"/>
      <w:bookmarkStart w:id="6677" w:name="_Toc49939616"/>
      <w:bookmarkStart w:id="6678" w:name="_Toc49939962"/>
      <w:bookmarkStart w:id="6679" w:name="_Toc49940497"/>
      <w:bookmarkStart w:id="6680" w:name="_Toc49941648"/>
      <w:bookmarkStart w:id="6681" w:name="_Toc49941718"/>
      <w:bookmarkStart w:id="6682" w:name="_Toc49941654"/>
      <w:bookmarkStart w:id="6683" w:name="_Toc49942094"/>
      <w:bookmarkStart w:id="6684" w:name="_Toc49942278"/>
      <w:bookmarkStart w:id="6685" w:name="_Toc49942486"/>
      <w:bookmarkStart w:id="6686" w:name="_Toc49942720"/>
      <w:bookmarkStart w:id="6687" w:name="_Toc49942835"/>
      <w:bookmarkStart w:id="6688" w:name="_Toc49944372"/>
      <w:bookmarkStart w:id="6689" w:name="_Toc49945149"/>
      <w:bookmarkStart w:id="6690" w:name="_Toc49945943"/>
      <w:bookmarkStart w:id="6691" w:name="_Toc49946301"/>
      <w:bookmarkStart w:id="6692" w:name="_Toc49946588"/>
      <w:bookmarkStart w:id="6693" w:name="_Toc49946697"/>
      <w:bookmarkStart w:id="6694" w:name="_Toc49947297"/>
      <w:bookmarkStart w:id="6695" w:name="_Toc49946400"/>
      <w:bookmarkStart w:id="6696" w:name="_Toc49947179"/>
      <w:bookmarkStart w:id="6697" w:name="_Toc49947433"/>
      <w:bookmarkStart w:id="6698" w:name="_Toc49947811"/>
      <w:bookmarkStart w:id="6699" w:name="_Toc49947906"/>
      <w:bookmarkStart w:id="6700" w:name="_Toc49947976"/>
      <w:bookmarkStart w:id="6701" w:name="_Toc49948071"/>
      <w:bookmarkStart w:id="6702" w:name="_Toc49948141"/>
      <w:bookmarkStart w:id="6703" w:name="_Toc49948352"/>
      <w:bookmarkStart w:id="6704" w:name="_Toc49948422"/>
      <w:bookmarkStart w:id="6705" w:name="_Toc49948492"/>
      <w:bookmarkStart w:id="6706" w:name="_Toc49948562"/>
      <w:bookmarkStart w:id="6707" w:name="_Toc49948681"/>
      <w:bookmarkStart w:id="6708" w:name="_Toc49943531"/>
      <w:bookmarkStart w:id="6709" w:name="_Toc49948775"/>
      <w:bookmarkStart w:id="6710" w:name="_Toc49949568"/>
      <w:bookmarkStart w:id="6711" w:name="_Toc49949638"/>
      <w:bookmarkStart w:id="6712" w:name="_Toc49950674"/>
      <w:bookmarkStart w:id="6713" w:name="_Toc49950841"/>
      <w:bookmarkStart w:id="6714" w:name="_Toc49951192"/>
      <w:bookmarkStart w:id="6715" w:name="_Toc49951443"/>
      <w:bookmarkStart w:id="6716" w:name="_Toc49951503"/>
      <w:bookmarkStart w:id="6717" w:name="_Toc49951610"/>
      <w:bookmarkStart w:id="6718" w:name="_Toc49951697"/>
      <w:bookmarkStart w:id="6719" w:name="_Toc49951767"/>
      <w:bookmarkStart w:id="6720" w:name="_Toc49952006"/>
      <w:bookmarkStart w:id="6721" w:name="_Toc49952105"/>
      <w:bookmarkStart w:id="6722" w:name="_Toc49952281"/>
      <w:bookmarkStart w:id="6723" w:name="_Toc49953036"/>
      <w:bookmarkStart w:id="6724" w:name="_Toc49953127"/>
      <w:bookmarkStart w:id="6725" w:name="_Toc49953197"/>
      <w:bookmarkStart w:id="6726" w:name="_Toc49953842"/>
      <w:bookmarkStart w:id="6727" w:name="_Toc49953912"/>
      <w:bookmarkStart w:id="6728" w:name="_Toc49953982"/>
      <w:bookmarkStart w:id="6729" w:name="_Toc49954135"/>
      <w:bookmarkStart w:id="6730" w:name="_Toc49949696"/>
      <w:bookmarkStart w:id="6731" w:name="_Toc49953696"/>
      <w:bookmarkStart w:id="6732" w:name="_Toc49954201"/>
      <w:bookmarkStart w:id="6733" w:name="_Toc49954308"/>
      <w:bookmarkStart w:id="6734" w:name="_Toc49954341"/>
      <w:bookmarkStart w:id="6735" w:name="_Toc49954411"/>
      <w:bookmarkStart w:id="6736" w:name="_Toc49954435"/>
      <w:bookmarkStart w:id="6737" w:name="_Toc49954542"/>
      <w:bookmarkStart w:id="6738" w:name="_Toc49954612"/>
      <w:bookmarkStart w:id="6739" w:name="_Toc49954682"/>
      <w:bookmarkStart w:id="6740" w:name="_Toc49954716"/>
      <w:bookmarkStart w:id="6741" w:name="_Toc49954786"/>
      <w:bookmarkStart w:id="6742" w:name="_Toc49954841"/>
      <w:bookmarkStart w:id="6743" w:name="_Toc49954911"/>
      <w:bookmarkStart w:id="6744" w:name="_Toc49954935"/>
      <w:bookmarkStart w:id="6745" w:name="_Toc49955005"/>
      <w:bookmarkStart w:id="6746" w:name="_Toc49955075"/>
      <w:bookmarkStart w:id="6747" w:name="_Toc49955145"/>
      <w:bookmarkStart w:id="6748" w:name="_Toc49955179"/>
      <w:bookmarkStart w:id="6749" w:name="_Toc49955215"/>
      <w:bookmarkStart w:id="6750" w:name="_Toc49955285"/>
      <w:bookmarkStart w:id="6751" w:name="_Toc49955355"/>
      <w:bookmarkStart w:id="6752" w:name="_Toc49955425"/>
      <w:bookmarkStart w:id="6753" w:name="_Toc49955733"/>
      <w:bookmarkStart w:id="6754" w:name="_Toc49955803"/>
      <w:bookmarkStart w:id="6755" w:name="_Toc49956158"/>
      <w:bookmarkStart w:id="6756" w:name="_Toc49958303"/>
      <w:bookmarkStart w:id="6757" w:name="_Toc49958428"/>
      <w:bookmarkStart w:id="6758" w:name="_Toc49958498"/>
      <w:bookmarkStart w:id="6759" w:name="_Toc49958568"/>
      <w:bookmarkStart w:id="6760" w:name="_Toc47455491"/>
      <w:bookmarkStart w:id="6761" w:name="_Toc49527889"/>
      <w:bookmarkStart w:id="6762" w:name="_Toc49530011"/>
      <w:bookmarkStart w:id="6763" w:name="_Toc49530675"/>
      <w:bookmarkStart w:id="6764" w:name="_Toc49532625"/>
      <w:bookmarkStart w:id="6765" w:name="_Toc49695797"/>
      <w:bookmarkStart w:id="6766" w:name="_Toc49695974"/>
      <w:bookmarkStart w:id="6767" w:name="_Toc49805500"/>
      <w:bookmarkStart w:id="6768" w:name="_Toc49806212"/>
      <w:bookmarkStart w:id="6769" w:name="_Toc49877763"/>
      <w:bookmarkStart w:id="6770" w:name="_Toc49881181"/>
      <w:bookmarkStart w:id="6771" w:name="_Toc49884242"/>
      <w:bookmarkStart w:id="6772" w:name="_Toc49884318"/>
      <w:bookmarkStart w:id="6773" w:name="_Toc49893574"/>
      <w:bookmarkStart w:id="6774" w:name="_Toc49933962"/>
      <w:bookmarkStart w:id="6775" w:name="_Toc49937849"/>
      <w:bookmarkStart w:id="6776" w:name="_Toc49939245"/>
      <w:bookmarkStart w:id="6777" w:name="_Toc49942095"/>
      <w:bookmarkStart w:id="6778" w:name="_Toc49948563"/>
      <w:bookmarkStart w:id="6779" w:name="_Toc49953037"/>
      <w:bookmarkStart w:id="6780" w:name="_Toc49954342"/>
      <w:bookmarkStart w:id="6781" w:name="_Toc49954787"/>
      <w:bookmarkStart w:id="6782" w:name="_Toc49955216"/>
      <w:bookmarkStart w:id="6783" w:name="_Toc49955804"/>
      <w:bookmarkStart w:id="6784" w:name="_Toc49958304"/>
      <w:bookmarkStart w:id="6785" w:name="_Toc49958499"/>
      <w:bookmarkStart w:id="6786" w:name="_Toc49961991"/>
      <w:bookmarkStart w:id="6787" w:name="_Toc49963178"/>
      <w:bookmarkStart w:id="6788" w:name="_Toc53678220"/>
      <w:bookmarkStart w:id="6789" w:name="_Toc53678440"/>
      <w:bookmarkStart w:id="6790" w:name="_Toc53678762"/>
      <w:bookmarkStart w:id="6791" w:name="_Toc53680111"/>
      <w:bookmarkStart w:id="6792" w:name="_Toc54289126"/>
      <w:bookmarkStart w:id="6793" w:name="_Toc54290626"/>
      <w:bookmarkStart w:id="6794" w:name="_Toc54290995"/>
      <w:bookmarkStart w:id="6795" w:name="_Toc54292118"/>
      <w:bookmarkStart w:id="6796" w:name="_Toc54340677"/>
      <w:bookmarkStart w:id="6797" w:name="_Toc54345778"/>
      <w:bookmarkStart w:id="6798" w:name="_Toc54348791"/>
      <w:bookmarkStart w:id="6799" w:name="_Toc54355121"/>
      <w:bookmarkStart w:id="6800" w:name="_Toc54355174"/>
      <w:bookmarkStart w:id="6801" w:name="_Toc54355646"/>
      <w:bookmarkStart w:id="6802" w:name="_Toc54355794"/>
      <w:bookmarkStart w:id="6803" w:name="_Toc54356148"/>
      <w:bookmarkStart w:id="6804" w:name="_Toc54356699"/>
      <w:bookmarkStart w:id="6805" w:name="_Toc54357566"/>
      <w:bookmarkStart w:id="6806" w:name="_Toc54357663"/>
      <w:bookmarkStart w:id="6807" w:name="_Toc54364614"/>
      <w:bookmarkStart w:id="6808" w:name="_Toc54371222"/>
      <w:bookmarkStart w:id="6809" w:name="_Toc54372059"/>
      <w:bookmarkStart w:id="6810" w:name="_Toc54376666"/>
      <w:bookmarkStart w:id="6811" w:name="_Toc58767218"/>
      <w:bookmarkStart w:id="6812" w:name="_Toc58769521"/>
      <w:bookmarkStart w:id="6813" w:name="_Toc58863861"/>
      <w:bookmarkStart w:id="6814" w:name="_Toc58868888"/>
      <w:bookmarkStart w:id="6815" w:name="_Toc58870719"/>
      <w:bookmarkStart w:id="6816" w:name="_Toc58870957"/>
      <w:bookmarkStart w:id="6817" w:name="_Toc58871863"/>
      <w:bookmarkStart w:id="6818" w:name="_Toc58872078"/>
      <w:bookmarkStart w:id="6819" w:name="_Toc58922820"/>
      <w:bookmarkStart w:id="6820" w:name="_Toc58925408"/>
      <w:bookmarkStart w:id="6821" w:name="_Toc58928904"/>
      <w:bookmarkStart w:id="6822" w:name="_Toc58931275"/>
      <w:bookmarkStart w:id="6823" w:name="_Toc58931909"/>
      <w:bookmarkStart w:id="6824" w:name="_Toc58950513"/>
      <w:bookmarkStart w:id="6825" w:name="_Toc58956807"/>
      <w:bookmarkStart w:id="6826" w:name="_Toc58957970"/>
      <w:bookmarkStart w:id="6827" w:name="_Toc58962503"/>
      <w:bookmarkStart w:id="6828" w:name="_Toc59096536"/>
      <w:bookmarkStart w:id="6829" w:name="_Toc59103132"/>
      <w:bookmarkStart w:id="6830" w:name="_Toc59104983"/>
      <w:bookmarkStart w:id="6831" w:name="_Toc59119943"/>
      <w:bookmarkStart w:id="6832" w:name="_Toc59121207"/>
      <w:bookmarkStart w:id="6833" w:name="_Toc59121326"/>
      <w:bookmarkStart w:id="6834" w:name="_Toc59549379"/>
      <w:bookmarkStart w:id="6835" w:name="_Toc59642332"/>
      <w:bookmarkEnd w:id="4851"/>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r>
        <w:rPr>
          <w:smallCaps w:val="0"/>
          <w:noProof/>
        </w:rPr>
        <w:t>How will actual impacts be monitored and evaluated?</w:t>
      </w:r>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p>
    <w:p>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u w:val="single"/>
        </w:rPr>
        <w:t>Monitoring of implementation</w:t>
      </w:r>
      <w:r>
        <w:rPr>
          <w:rFonts w:ascii="Times New Roman" w:eastAsia="Calibri" w:hAnsi="Times New Roman" w:cs="Times New Roman"/>
          <w:noProof/>
          <w:sz w:val="24"/>
          <w:szCs w:val="24"/>
        </w:rPr>
        <w:t xml:space="preserve">. Transposition of the initiatve into national legislation will be </w:t>
      </w:r>
      <w:r>
        <w:rPr>
          <w:rFonts w:ascii="Times New Roman" w:eastAsia="Calibri" w:hAnsi="Times New Roman" w:cs="Times New Roman"/>
          <w:b/>
          <w:bCs/>
          <w:noProof/>
          <w:sz w:val="24"/>
          <w:szCs w:val="24"/>
        </w:rPr>
        <w:t>monitored by the European Commission</w:t>
      </w:r>
      <w:r>
        <w:rPr>
          <w:rFonts w:ascii="Times New Roman" w:eastAsia="Calibri" w:hAnsi="Times New Roman" w:cs="Times New Roman"/>
          <w:noProof/>
          <w:sz w:val="24"/>
          <w:szCs w:val="24"/>
        </w:rPr>
        <w:t>, in particular at the end of the transposition period and thereafter. The monitoring would look at legislative or non-legislative initiatives adopted by Member States beyond what is strictly required by the initiative and their effect. The Commission will evaluate the initiative 8 years after the end of the implementation deadline referred to in the initiative.</w:t>
      </w:r>
    </w:p>
    <w:p>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In addition, monitoring of the implementation of national legal provisions will be conducted through a body designated in accordance with the initiative. This national body may be part of existing bodies at national level pursuing similar objectives. Regular exchanges between these bodies would be organised at EU level in the context of the existing </w:t>
      </w:r>
      <w:r>
        <w:rPr>
          <w:rFonts w:ascii="Times New Roman" w:eastAsia="Calibri" w:hAnsi="Times New Roman" w:cs="Times New Roman"/>
          <w:b/>
          <w:bCs/>
          <w:noProof/>
          <w:sz w:val="24"/>
          <w:szCs w:val="24"/>
        </w:rPr>
        <w:t>Advisory Committee</w:t>
      </w:r>
      <w:r>
        <w:rPr>
          <w:rFonts w:ascii="Times New Roman" w:eastAsia="Calibri" w:hAnsi="Times New Roman" w:cs="Times New Roman"/>
          <w:noProof/>
          <w:sz w:val="24"/>
          <w:szCs w:val="24"/>
        </w:rPr>
        <w:t xml:space="preserve"> on equal opportunities for women and men</w:t>
      </w:r>
      <w:r>
        <w:rPr>
          <w:rStyle w:val="FootnoteReference"/>
          <w:rFonts w:ascii="Times New Roman" w:eastAsia="Calibri" w:hAnsi="Times New Roman" w:cs="Times New Roman"/>
          <w:noProof/>
          <w:sz w:val="24"/>
          <w:szCs w:val="24"/>
        </w:rPr>
        <w:footnoteReference w:id="196"/>
      </w:r>
      <w:r>
        <w:rPr>
          <w:rFonts w:ascii="Times New Roman" w:eastAsia="Calibri" w:hAnsi="Times New Roman" w:cs="Times New Roman"/>
          <w:noProof/>
          <w:sz w:val="24"/>
          <w:szCs w:val="24"/>
        </w:rPr>
        <w:t xml:space="preserve"> (together with social partners and relevant NGOs represented in the Committee).</w:t>
      </w:r>
    </w:p>
    <w:p>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u w:val="single"/>
        </w:rPr>
        <w:t>Quantitative monitoring of impacts</w:t>
      </w:r>
      <w:r>
        <w:rPr>
          <w:rFonts w:ascii="Times New Roman" w:eastAsia="Calibri" w:hAnsi="Times New Roman" w:cs="Times New Roman"/>
          <w:noProof/>
          <w:sz w:val="24"/>
          <w:szCs w:val="24"/>
        </w:rPr>
        <w:t xml:space="preserve">. Ideally, progress towards achieving the objectives of the initiative should be monitored on the basis of a </w:t>
      </w:r>
      <w:r>
        <w:rPr>
          <w:rFonts w:ascii="Times New Roman" w:eastAsia="Calibri" w:hAnsi="Times New Roman" w:cs="Times New Roman"/>
          <w:b/>
          <w:bCs/>
          <w:noProof/>
          <w:sz w:val="24"/>
          <w:szCs w:val="24"/>
        </w:rPr>
        <w:t>quantitative indicator</w:t>
      </w:r>
      <w:r>
        <w:rPr>
          <w:rFonts w:ascii="Times New Roman" w:eastAsia="Calibri" w:hAnsi="Times New Roman" w:cs="Times New Roman"/>
          <w:noProof/>
          <w:sz w:val="24"/>
          <w:szCs w:val="24"/>
        </w:rPr>
        <w:t xml:space="preserve"> of gender pay discrimination. However, the lack of data and methodological difficulties make developing such indicator a challenging exercise.</w:t>
      </w:r>
      <w:r>
        <w:rPr>
          <w:rStyle w:val="FootnoteReference"/>
          <w:rFonts w:ascii="Times New Roman" w:eastAsia="Calibri" w:hAnsi="Times New Roman" w:cs="Times New Roman"/>
          <w:noProof/>
          <w:sz w:val="24"/>
          <w:szCs w:val="24"/>
        </w:rPr>
        <w:footnoteReference w:id="197"/>
      </w:r>
      <w:r>
        <w:rPr>
          <w:rFonts w:ascii="Times New Roman" w:eastAsia="Calibri" w:hAnsi="Times New Roman" w:cs="Times New Roman"/>
          <w:noProof/>
          <w:sz w:val="24"/>
          <w:szCs w:val="24"/>
        </w:rPr>
        <w:t xml:space="preserve"> A feasibility study could be launched to investigate how to assess pay discrimination and the possibility to develop more robust indicators based on the additional information collected through the envisaged pay transparency measures.</w:t>
      </w:r>
    </w:p>
    <w:p>
      <w:pPr>
        <w:spacing w:after="120"/>
        <w:jc w:val="both"/>
        <w:rPr>
          <w:rStyle w:val="Hyperlink"/>
          <w:rFonts w:ascii="Times New Roman" w:hAnsi="Times New Roman" w:cs="Times New Roman"/>
          <w:noProof/>
          <w:color w:val="auto"/>
          <w:sz w:val="24"/>
          <w:szCs w:val="24"/>
          <w:u w:val="none"/>
        </w:rPr>
      </w:pPr>
      <w:r>
        <w:rPr>
          <w:rFonts w:ascii="Times New Roman" w:eastAsia="Calibri" w:hAnsi="Times New Roman" w:cs="Times New Roman"/>
          <w:noProof/>
          <w:sz w:val="24"/>
          <w:szCs w:val="24"/>
        </w:rPr>
        <w:t xml:space="preserve">In the absence of a pay discrimination indicator, </w:t>
      </w:r>
      <w:r>
        <w:rPr>
          <w:rFonts w:ascii="Times New Roman" w:eastAsia="Calibri" w:hAnsi="Times New Roman" w:cs="Times New Roman"/>
          <w:b/>
          <w:bCs/>
          <w:noProof/>
          <w:sz w:val="24"/>
          <w:szCs w:val="24"/>
        </w:rPr>
        <w:t>a refinement of the GPG indicator</w:t>
      </w:r>
      <w:r>
        <w:rPr>
          <w:rFonts w:ascii="Times New Roman" w:eastAsia="Calibri" w:hAnsi="Times New Roman" w:cs="Times New Roman"/>
          <w:noProof/>
          <w:sz w:val="24"/>
          <w:szCs w:val="24"/>
        </w:rPr>
        <w:t xml:space="preserve"> at EU level could already support in-depth quantitative analysis. Such analysis should focus on the impact on people starting out in their careers and in their mid-career in order to capture changes in behaviour and outcomes. The aggregated information collected from data resulting from pay reporting could also be used with this purpose at national level e.g. by monitoring the evolution of data by employer/group of employers and checking the progression in the reduction of the gender pay gap over time. Depending on public availability of data, a selection (e.g. by size or sector) of employers could be monitored at EU level over time at aggregate level, possibly with in-depth analysis of volunteering employers. </w:t>
      </w:r>
      <w:r>
        <w:rPr>
          <w:rFonts w:ascii="Times New Roman" w:hAnsi="Times New Roman" w:cs="Times New Roman"/>
          <w:noProof/>
          <w:sz w:val="24"/>
          <w:szCs w:val="24"/>
        </w:rPr>
        <w:t>Finally, considering that the legal baseline is different across Member States, progress could be monitored with reference to tailor-made benchmarks, i.e. monitoring progress compared to the initial situation up to a common EU target.</w:t>
      </w:r>
      <w:r>
        <w:rPr>
          <w:rFonts w:ascii="Times New Roman" w:eastAsia="Calibri" w:hAnsi="Times New Roman" w:cs="Times New Roman"/>
          <w:noProof/>
          <w:sz w:val="24"/>
          <w:szCs w:val="24"/>
        </w:rPr>
        <w:t xml:space="preserve"> This could be done in coordination with the </w:t>
      </w:r>
      <w:r>
        <w:rPr>
          <w:rStyle w:val="Hyperlink"/>
          <w:rFonts w:ascii="Times New Roman" w:hAnsi="Times New Roman" w:cs="Times New Roman"/>
          <w:noProof/>
          <w:color w:val="auto"/>
          <w:sz w:val="24"/>
          <w:szCs w:val="24"/>
          <w:u w:val="none"/>
        </w:rPr>
        <w:t>European Semester process</w:t>
      </w:r>
      <w:r>
        <w:rPr>
          <w:rStyle w:val="FootnoteReference"/>
          <w:rFonts w:ascii="Times New Roman" w:hAnsi="Times New Roman" w:cs="Times New Roman"/>
          <w:noProof/>
          <w:sz w:val="24"/>
          <w:szCs w:val="24"/>
        </w:rPr>
        <w:footnoteReference w:id="198"/>
      </w:r>
      <w:r>
        <w:rPr>
          <w:rStyle w:val="Hyperlink"/>
          <w:rFonts w:ascii="Times New Roman" w:hAnsi="Times New Roman" w:cs="Times New Roman"/>
          <w:noProof/>
          <w:color w:val="auto"/>
          <w:sz w:val="24"/>
          <w:szCs w:val="24"/>
          <w:u w:val="none"/>
        </w:rPr>
        <w:t>.</w:t>
      </w:r>
    </w:p>
    <w:p>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u w:val="single"/>
        </w:rPr>
        <w:t>Qualitative monitoring of impacts</w:t>
      </w:r>
      <w:r>
        <w:rPr>
          <w:rFonts w:ascii="Times New Roman" w:eastAsia="Calibri" w:hAnsi="Times New Roman" w:cs="Times New Roman"/>
          <w:noProof/>
          <w:sz w:val="24"/>
          <w:szCs w:val="24"/>
        </w:rPr>
        <w:t xml:space="preserve"> could be organised as follows: </w:t>
      </w:r>
    </w:p>
    <w:p>
      <w:pPr>
        <w:pStyle w:val="ListParagraph"/>
        <w:numPr>
          <w:ilvl w:val="0"/>
          <w:numId w:val="23"/>
        </w:numPr>
        <w:jc w:val="both"/>
        <w:rPr>
          <w:rFonts w:ascii="Times New Roman" w:hAnsi="Times New Roman" w:cs="Times New Roman"/>
          <w:noProof/>
          <w:sz w:val="24"/>
          <w:szCs w:val="24"/>
        </w:rPr>
      </w:pPr>
      <w:r>
        <w:rPr>
          <w:rFonts w:ascii="Times New Roman" w:eastAsia="Calibri" w:hAnsi="Times New Roman" w:cs="Times New Roman"/>
          <w:noProof/>
          <w:sz w:val="24"/>
          <w:szCs w:val="24"/>
        </w:rPr>
        <w:t xml:space="preserve">Based on data collected in Member States, the state of pay discrimination </w:t>
      </w:r>
      <w:r>
        <w:rPr>
          <w:rFonts w:ascii="Times New Roman" w:hAnsi="Times New Roman" w:cs="Times New Roman"/>
          <w:noProof/>
          <w:sz w:val="24"/>
          <w:szCs w:val="24"/>
        </w:rPr>
        <w:t>may</w:t>
      </w:r>
      <w:r>
        <w:rPr>
          <w:rFonts w:ascii="Times New Roman" w:eastAsia="Calibri" w:hAnsi="Times New Roman" w:cs="Times New Roman"/>
          <w:noProof/>
          <w:sz w:val="24"/>
          <w:szCs w:val="24"/>
        </w:rPr>
        <w:t xml:space="preserve"> be evaluated based on the </w:t>
      </w:r>
      <w:r>
        <w:rPr>
          <w:rFonts w:ascii="Times New Roman" w:eastAsia="Calibri" w:hAnsi="Times New Roman" w:cs="Times New Roman"/>
          <w:b/>
          <w:bCs/>
          <w:noProof/>
          <w:sz w:val="24"/>
          <w:szCs w:val="24"/>
        </w:rPr>
        <w:t>number and percentage of employers that will have to carry out a joint pay assessment</w:t>
      </w:r>
      <w:r>
        <w:rPr>
          <w:rFonts w:ascii="Times New Roman" w:hAnsi="Times New Roman" w:cs="Times New Roman"/>
          <w:b/>
          <w:bCs/>
          <w:noProof/>
          <w:sz w:val="24"/>
          <w:szCs w:val="24"/>
        </w:rPr>
        <w:t xml:space="preserve">. </w:t>
      </w:r>
      <w:r>
        <w:rPr>
          <w:rFonts w:ascii="Times New Roman" w:hAnsi="Times New Roman" w:cs="Times New Roman"/>
          <w:noProof/>
          <w:sz w:val="24"/>
          <w:szCs w:val="24"/>
        </w:rPr>
        <w:t>Such data will give</w:t>
      </w:r>
      <w:r>
        <w:rPr>
          <w:rFonts w:ascii="Times New Roman" w:hAnsi="Times New Roman" w:cs="Times New Roman"/>
          <w:b/>
          <w:bCs/>
          <w:noProof/>
          <w:sz w:val="24"/>
          <w:szCs w:val="24"/>
        </w:rPr>
        <w:t xml:space="preserve"> </w:t>
      </w:r>
      <w:r>
        <w:rPr>
          <w:rFonts w:ascii="Times New Roman" w:eastAsia="Calibri" w:hAnsi="Times New Roman" w:cs="Times New Roman"/>
          <w:noProof/>
          <w:sz w:val="24"/>
          <w:szCs w:val="24"/>
        </w:rPr>
        <w:t xml:space="preserve">an indication of suspected gender pay discrimination in the context of </w:t>
      </w:r>
      <w:r>
        <w:rPr>
          <w:rFonts w:ascii="Times New Roman" w:hAnsi="Times New Roman" w:cs="Times New Roman"/>
          <w:noProof/>
          <w:sz w:val="24"/>
          <w:szCs w:val="24"/>
        </w:rPr>
        <w:t xml:space="preserve">the </w:t>
      </w:r>
      <w:r>
        <w:rPr>
          <w:rFonts w:ascii="Times New Roman" w:eastAsia="Calibri" w:hAnsi="Times New Roman" w:cs="Times New Roman"/>
          <w:noProof/>
          <w:sz w:val="24"/>
          <w:szCs w:val="24"/>
        </w:rPr>
        <w:t xml:space="preserve">pay reporting exercice set out by the initiative. </w:t>
      </w:r>
    </w:p>
    <w:p>
      <w:pPr>
        <w:pStyle w:val="ListParagraph"/>
        <w:numPr>
          <w:ilvl w:val="0"/>
          <w:numId w:val="23"/>
        </w:numPr>
        <w:jc w:val="both"/>
        <w:rPr>
          <w:rFonts w:ascii="Times New Roman" w:hAnsi="Times New Roman" w:cs="Times New Roman"/>
          <w:noProof/>
          <w:sz w:val="24"/>
          <w:szCs w:val="24"/>
        </w:rPr>
      </w:pPr>
      <w:r>
        <w:rPr>
          <w:rFonts w:ascii="Times New Roman" w:eastAsia="Calibri" w:hAnsi="Times New Roman" w:cs="Times New Roman"/>
          <w:noProof/>
          <w:sz w:val="24"/>
          <w:szCs w:val="24"/>
        </w:rPr>
        <w:t xml:space="preserve">Follow up analysis </w:t>
      </w:r>
      <w:r>
        <w:rPr>
          <w:rFonts w:ascii="Times New Roman" w:hAnsi="Times New Roman" w:cs="Times New Roman"/>
          <w:noProof/>
          <w:sz w:val="24"/>
          <w:szCs w:val="24"/>
        </w:rPr>
        <w:t>c</w:t>
      </w:r>
      <w:r>
        <w:rPr>
          <w:rFonts w:ascii="Times New Roman" w:eastAsia="Calibri" w:hAnsi="Times New Roman" w:cs="Times New Roman"/>
          <w:noProof/>
          <w:sz w:val="24"/>
          <w:szCs w:val="24"/>
        </w:rPr>
        <w:t xml:space="preserve">ould be done on </w:t>
      </w:r>
      <w:r>
        <w:rPr>
          <w:rFonts w:ascii="Times New Roman" w:hAnsi="Times New Roman" w:cs="Times New Roman"/>
          <w:b/>
          <w:bCs/>
          <w:noProof/>
          <w:sz w:val="24"/>
          <w:szCs w:val="24"/>
        </w:rPr>
        <w:t>remedial</w:t>
      </w:r>
      <w:r>
        <w:rPr>
          <w:rFonts w:ascii="Times New Roman" w:eastAsia="Calibri" w:hAnsi="Times New Roman" w:cs="Times New Roman"/>
          <w:b/>
          <w:bCs/>
          <w:noProof/>
          <w:sz w:val="24"/>
          <w:szCs w:val="24"/>
        </w:rPr>
        <w:t xml:space="preserve"> action by employers</w:t>
      </w:r>
      <w:r>
        <w:rPr>
          <w:rFonts w:ascii="Times New Roman" w:eastAsia="Calibri" w:hAnsi="Times New Roman" w:cs="Times New Roman"/>
          <w:noProof/>
          <w:sz w:val="24"/>
          <w:szCs w:val="24"/>
        </w:rPr>
        <w:t>,</w:t>
      </w:r>
      <w:r>
        <w:rPr>
          <w:rFonts w:ascii="Times New Roman" w:eastAsia="Calibri" w:hAnsi="Times New Roman" w:cs="Times New Roman"/>
          <w:b/>
          <w:bCs/>
          <w:noProof/>
          <w:sz w:val="24"/>
          <w:szCs w:val="24"/>
        </w:rPr>
        <w:t xml:space="preserve"> </w:t>
      </w:r>
      <w:r>
        <w:rPr>
          <w:rFonts w:ascii="Times New Roman" w:eastAsia="Calibri" w:hAnsi="Times New Roman" w:cs="Times New Roman"/>
          <w:noProof/>
          <w:sz w:val="24"/>
          <w:szCs w:val="24"/>
        </w:rPr>
        <w:t xml:space="preserve">e.g. in terms of gender equality plans developed after the introduction of pay transparency measures or voluntary overall revisions of pay </w:t>
      </w:r>
      <w:r>
        <w:rPr>
          <w:rFonts w:ascii="Times New Roman" w:hAnsi="Times New Roman" w:cs="Times New Roman"/>
          <w:noProof/>
          <w:sz w:val="24"/>
          <w:szCs w:val="24"/>
        </w:rPr>
        <w:t>structures.</w:t>
      </w:r>
      <w:r>
        <w:rPr>
          <w:rStyle w:val="FootnoteReference"/>
          <w:rFonts w:ascii="Times New Roman" w:eastAsia="Calibri" w:hAnsi="Times New Roman" w:cs="Times New Roman"/>
          <w:noProof/>
          <w:sz w:val="24"/>
          <w:szCs w:val="24"/>
        </w:rPr>
        <w:footnoteReference w:id="199"/>
      </w:r>
      <w:r>
        <w:rPr>
          <w:rFonts w:ascii="Times New Roman" w:hAnsi="Times New Roman" w:cs="Times New Roman"/>
          <w:noProof/>
          <w:sz w:val="24"/>
          <w:szCs w:val="24"/>
        </w:rPr>
        <w:t xml:space="preserve"> </w:t>
      </w:r>
    </w:p>
    <w:p>
      <w:pPr>
        <w:pStyle w:val="ListParagraph"/>
        <w:numPr>
          <w:ilvl w:val="0"/>
          <w:numId w:val="23"/>
        </w:numPr>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Data on the </w:t>
      </w:r>
      <w:r>
        <w:rPr>
          <w:rFonts w:ascii="Times New Roman" w:eastAsia="Calibri" w:hAnsi="Times New Roman" w:cs="Times New Roman"/>
          <w:b/>
          <w:bCs/>
          <w:noProof/>
          <w:sz w:val="24"/>
          <w:szCs w:val="24"/>
        </w:rPr>
        <w:t xml:space="preserve">number of claims </w:t>
      </w:r>
      <w:r>
        <w:rPr>
          <w:rFonts w:ascii="Times New Roman" w:eastAsia="Calibri" w:hAnsi="Times New Roman" w:cs="Times New Roman"/>
          <w:noProof/>
          <w:sz w:val="24"/>
          <w:szCs w:val="24"/>
        </w:rPr>
        <w:t xml:space="preserve">brought before enforcement authorities (e.g. equality bodies, courts) </w:t>
      </w:r>
      <w:r>
        <w:rPr>
          <w:rFonts w:ascii="Times New Roman" w:hAnsi="Times New Roman" w:cs="Times New Roman"/>
          <w:noProof/>
          <w:sz w:val="24"/>
          <w:szCs w:val="24"/>
        </w:rPr>
        <w:t xml:space="preserve">would also be a useful indication of the impact of the measures. This could be monitored through </w:t>
      </w:r>
      <w:r>
        <w:rPr>
          <w:rFonts w:ascii="Times New Roman" w:eastAsia="Calibri" w:hAnsi="Times New Roman" w:cs="Times New Roman"/>
          <w:noProof/>
          <w:sz w:val="24"/>
          <w:szCs w:val="24"/>
        </w:rPr>
        <w:t xml:space="preserve">the European Equality Law Network and could be combined with a periodic </w:t>
      </w:r>
      <w:r>
        <w:rPr>
          <w:rFonts w:ascii="Times New Roman" w:eastAsia="Calibri" w:hAnsi="Times New Roman" w:cs="Times New Roman"/>
          <w:b/>
          <w:bCs/>
          <w:noProof/>
          <w:sz w:val="24"/>
          <w:szCs w:val="24"/>
        </w:rPr>
        <w:t>survey of judicial and enforcement staff</w:t>
      </w:r>
      <w:r>
        <w:rPr>
          <w:rFonts w:ascii="Times New Roman" w:eastAsia="Calibri" w:hAnsi="Times New Roman" w:cs="Times New Roman"/>
          <w:noProof/>
          <w:sz w:val="24"/>
          <w:szCs w:val="24"/>
        </w:rPr>
        <w:t xml:space="preserve"> to test the extent to which awareness and skills to deal with these matters are increasing.</w:t>
      </w:r>
    </w:p>
    <w:p>
      <w:pPr>
        <w:pStyle w:val="ListParagraph"/>
        <w:numPr>
          <w:ilvl w:val="0"/>
          <w:numId w:val="23"/>
        </w:numPr>
        <w:jc w:val="both"/>
        <w:rPr>
          <w:rFonts w:ascii="Times New Roman" w:eastAsia="Times New Roman" w:hAnsi="Times New Roman" w:cs="Times New Roman"/>
          <w:noProof/>
          <w:sz w:val="24"/>
          <w:szCs w:val="24"/>
        </w:rPr>
      </w:pPr>
      <w:r>
        <w:rPr>
          <w:rFonts w:ascii="Times New Roman" w:eastAsia="Calibri" w:hAnsi="Times New Roman" w:cs="Times New Roman"/>
          <w:noProof/>
          <w:sz w:val="24"/>
          <w:szCs w:val="24"/>
        </w:rPr>
        <w:t xml:space="preserve">The </w:t>
      </w:r>
      <w:r>
        <w:rPr>
          <w:rFonts w:ascii="Times New Roman" w:eastAsia="Calibri" w:hAnsi="Times New Roman" w:cs="Times New Roman"/>
          <w:b/>
          <w:bCs/>
          <w:noProof/>
          <w:sz w:val="24"/>
          <w:szCs w:val="24"/>
        </w:rPr>
        <w:t>cooperation with social partners</w:t>
      </w:r>
      <w:r>
        <w:rPr>
          <w:rFonts w:ascii="Times New Roman" w:eastAsia="Calibri" w:hAnsi="Times New Roman" w:cs="Times New Roman"/>
          <w:noProof/>
          <w:sz w:val="24"/>
          <w:szCs w:val="24"/>
        </w:rPr>
        <w:t xml:space="preserve"> would allow collective qualitative information on implementation issues and to link the monitoring process of equal pay to the broader concept of gender equality in the workplace. The presence, quality and relevance of specific measures aimed at fostering equal pay in collective agreements e.g. the </w:t>
      </w:r>
      <w:r>
        <w:rPr>
          <w:rFonts w:ascii="Times New Roman" w:eastAsia="Times New Roman" w:hAnsi="Times New Roman" w:cs="Times New Roman"/>
          <w:noProof/>
          <w:sz w:val="24"/>
          <w:szCs w:val="24"/>
        </w:rPr>
        <w:t xml:space="preserve">successful development and implementation of tools to facilitate the application of the concept of ‘work of equal value’ (e.g. gender-neutral job evaluation and classification systems) would be monitored through </w:t>
      </w:r>
      <w:r>
        <w:rPr>
          <w:rFonts w:ascii="Times New Roman" w:eastAsia="Times New Roman" w:hAnsi="Times New Roman" w:cs="Times New Roman"/>
          <w:b/>
          <w:bCs/>
          <w:noProof/>
          <w:sz w:val="24"/>
          <w:szCs w:val="24"/>
        </w:rPr>
        <w:t>surveys or dedicated hearings with social partners</w:t>
      </w:r>
      <w:r>
        <w:rPr>
          <w:rFonts w:ascii="Times New Roman" w:eastAsia="Times New Roman" w:hAnsi="Times New Roman" w:cs="Times New Roman"/>
          <w:noProof/>
          <w:sz w:val="24"/>
          <w:szCs w:val="24"/>
        </w:rPr>
        <w:t xml:space="preserve">. Possible recommendations from such surveys/meetings could feed into mutual learning sessions organised under the Commission’s Mutual Learning Programme on gender equality and capacity-building seminars. </w:t>
      </w:r>
    </w:p>
    <w:p>
      <w:pPr>
        <w:pStyle w:val="ListParagraph"/>
        <w:numPr>
          <w:ilvl w:val="0"/>
          <w:numId w:val="23"/>
        </w:num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increase in the </w:t>
      </w:r>
      <w:r>
        <w:rPr>
          <w:rFonts w:ascii="Times New Roman" w:eastAsia="Calibri" w:hAnsi="Times New Roman" w:cs="Times New Roman"/>
          <w:b/>
          <w:bCs/>
          <w:noProof/>
          <w:sz w:val="24"/>
          <w:szCs w:val="24"/>
        </w:rPr>
        <w:t>level of awareness</w:t>
      </w:r>
      <w:r>
        <w:rPr>
          <w:rFonts w:ascii="Times New Roman" w:eastAsia="Calibri" w:hAnsi="Times New Roman" w:cs="Times New Roman"/>
          <w:noProof/>
          <w:sz w:val="24"/>
          <w:szCs w:val="24"/>
        </w:rPr>
        <w:t xml:space="preserve"> on equal pay issues among the general public could be monitored by looking</w:t>
      </w:r>
      <w:r>
        <w:rPr>
          <w:rFonts w:ascii="Times New Roman" w:hAnsi="Times New Roman" w:cs="Times New Roman"/>
          <w:noProof/>
          <w:sz w:val="24"/>
          <w:szCs w:val="24"/>
        </w:rPr>
        <w:t xml:space="preserve"> </w:t>
      </w:r>
      <w:r>
        <w:rPr>
          <w:rFonts w:ascii="Times New Roman" w:eastAsia="Calibri" w:hAnsi="Times New Roman" w:cs="Times New Roman"/>
          <w:noProof/>
          <w:sz w:val="24"/>
          <w:szCs w:val="24"/>
        </w:rPr>
        <w:t xml:space="preserve">at the frequency with which equal pay is mentioned in the </w:t>
      </w:r>
      <w:r>
        <w:rPr>
          <w:rFonts w:ascii="Times New Roman" w:eastAsia="Calibri" w:hAnsi="Times New Roman" w:cs="Times New Roman"/>
          <w:b/>
          <w:bCs/>
          <w:noProof/>
          <w:sz w:val="24"/>
          <w:szCs w:val="24"/>
        </w:rPr>
        <w:t>press, parliamentary acts, company reports and other relevant sources</w:t>
      </w:r>
      <w:r>
        <w:rPr>
          <w:rFonts w:ascii="Times New Roman" w:eastAsia="Calibri" w:hAnsi="Times New Roman" w:cs="Times New Roman"/>
          <w:noProof/>
          <w:sz w:val="24"/>
          <w:szCs w:val="24"/>
        </w:rPr>
        <w:t xml:space="preserve">. </w:t>
      </w:r>
    </w:p>
    <w:p>
      <w:pPr>
        <w:pStyle w:val="ListParagraph"/>
        <w:numPr>
          <w:ilvl w:val="0"/>
          <w:numId w:val="23"/>
        </w:numPr>
        <w:spacing w:after="120"/>
        <w:jc w:val="both"/>
        <w:rPr>
          <w:rFonts w:ascii="Times New Roman" w:eastAsia="Calibri" w:hAnsi="Times New Roman" w:cs="Times New Roman"/>
          <w:noProof/>
          <w:sz w:val="24"/>
          <w:szCs w:val="24"/>
        </w:rPr>
      </w:pPr>
      <w:r>
        <w:rPr>
          <w:rFonts w:ascii="Times New Roman" w:hAnsi="Times New Roman" w:cs="Times New Roman"/>
          <w:noProof/>
          <w:sz w:val="24"/>
          <w:szCs w:val="24"/>
        </w:rPr>
        <w:t xml:space="preserve">Finally, a </w:t>
      </w:r>
      <w:r>
        <w:rPr>
          <w:rFonts w:ascii="Times New Roman" w:hAnsi="Times New Roman" w:cs="Times New Roman"/>
          <w:b/>
          <w:bCs/>
          <w:noProof/>
          <w:sz w:val="24"/>
          <w:szCs w:val="24"/>
        </w:rPr>
        <w:t>Eurobarometer survey</w:t>
      </w:r>
      <w:r>
        <w:rPr>
          <w:rFonts w:ascii="Times New Roman" w:hAnsi="Times New Roman" w:cs="Times New Roman"/>
          <w:noProof/>
          <w:sz w:val="24"/>
          <w:szCs w:val="24"/>
        </w:rPr>
        <w:t xml:space="preserve"> (such as the one from 2017) could show change in perceptions and attitudes. </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u w:val="single"/>
        </w:rPr>
        <w:t>The future evaluation of impacts</w:t>
      </w:r>
      <w:r>
        <w:rPr>
          <w:rFonts w:ascii="Times New Roman" w:hAnsi="Times New Roman" w:cs="Times New Roman"/>
          <w:noProof/>
          <w:sz w:val="24"/>
          <w:szCs w:val="24"/>
        </w:rPr>
        <w:t xml:space="preserve">, i.e. to assess factually the degree of success of the initiative, would require </w:t>
      </w:r>
      <w:r>
        <w:rPr>
          <w:rFonts w:ascii="Times New Roman" w:eastAsia="Calibri" w:hAnsi="Times New Roman" w:cs="Times New Roman"/>
          <w:noProof/>
          <w:sz w:val="24"/>
          <w:szCs w:val="24"/>
        </w:rPr>
        <w:t>a timeframe of at least eight years from full implementation of the initiative and would require data gathered at Member State level. The review should ideally be synchronised with the release of SES data.</w:t>
      </w:r>
      <w:r>
        <w:rPr>
          <w:rStyle w:val="FootnoteReference"/>
          <w:rFonts w:ascii="Times New Roman" w:eastAsia="Calibri" w:hAnsi="Times New Roman" w:cs="Times New Roman"/>
          <w:noProof/>
          <w:sz w:val="24"/>
          <w:szCs w:val="24"/>
        </w:rPr>
        <w:footnoteReference w:id="200"/>
      </w:r>
      <w:r>
        <w:rPr>
          <w:rFonts w:ascii="Times New Roman" w:eastAsia="Calibri" w:hAnsi="Times New Roman" w:cs="Times New Roman"/>
          <w:noProof/>
          <w:sz w:val="24"/>
          <w:szCs w:val="24"/>
        </w:rPr>
        <w:t xml:space="preserve"> D</w:t>
      </w:r>
      <w:r>
        <w:rPr>
          <w:rFonts w:ascii="Times New Roman" w:hAnsi="Times New Roman" w:cs="Times New Roman"/>
          <w:noProof/>
          <w:sz w:val="24"/>
          <w:szCs w:val="24"/>
        </w:rPr>
        <w:t xml:space="preserve">ifferent conceptual options are in principle available: </w:t>
      </w:r>
    </w:p>
    <w:p>
      <w:pPr>
        <w:spacing w:after="120"/>
        <w:jc w:val="both"/>
        <w:rPr>
          <w:rFonts w:ascii="Times New Roman" w:hAnsi="Times New Roman" w:cs="Times New Roman"/>
          <w:noProof/>
        </w:rPr>
      </w:pPr>
      <w:r>
        <w:rPr>
          <w:rFonts w:ascii="Times New Roman" w:hAnsi="Times New Roman" w:cs="Times New Roman"/>
          <w:noProof/>
          <w:sz w:val="24"/>
          <w:szCs w:val="24"/>
        </w:rPr>
        <w:t>1. Counterfactual analysis – the golden standard to determine the specific impact of a policy measure. The literature shows some national examples regarding pay transparency measures</w:t>
      </w:r>
      <w:r>
        <w:rPr>
          <w:rStyle w:val="FootnoteReference"/>
          <w:rFonts w:ascii="Times New Roman" w:hAnsi="Times New Roman" w:cs="Times New Roman"/>
          <w:noProof/>
          <w:sz w:val="24"/>
          <w:szCs w:val="24"/>
        </w:rPr>
        <w:footnoteReference w:id="201"/>
      </w:r>
      <w:r>
        <w:rPr>
          <w:rFonts w:ascii="Times New Roman" w:hAnsi="Times New Roman" w:cs="Times New Roman"/>
          <w:noProof/>
          <w:sz w:val="24"/>
          <w:szCs w:val="24"/>
        </w:rPr>
        <w:t xml:space="preserve">. Due to the granularity of the data required for this exercise, the analysis would need to be tailored to the specifics of the national legislation of each Member State and should therefore be carried out at national level. The Commission could support Member States through dedicated projects. </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2. Indicators on transparency in wage setting: regression of wage levels on explanatory variables such as age, occupation, economic activity, etc. can provide an indicator (the coefficient of determination – R2) on the transparency of wage setting mechanisms in the different countries. Moreover, adjusting the gender pay gap for the above mentioned explanatory factors can give indications on possible inequalities between male and female earnings. Both indicators could be further refined, by collecting, possibly, a variable to account for career breaks.</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br w:type="page"/>
      </w:r>
    </w:p>
    <w:p>
      <w:pPr>
        <w:pStyle w:val="Heading1"/>
        <w:tabs>
          <w:tab w:val="clear" w:pos="2640"/>
        </w:tabs>
        <w:ind w:left="0" w:firstLine="0"/>
        <w:rPr>
          <w:noProof/>
        </w:rPr>
      </w:pPr>
      <w:bookmarkStart w:id="6836" w:name="_Toc49527890"/>
      <w:bookmarkStart w:id="6837" w:name="_Toc49530012"/>
      <w:bookmarkStart w:id="6838" w:name="_Toc49530676"/>
      <w:bookmarkStart w:id="6839" w:name="_Toc49532626"/>
      <w:bookmarkStart w:id="6840" w:name="_Toc49695798"/>
      <w:bookmarkStart w:id="6841" w:name="_Toc49695975"/>
      <w:bookmarkStart w:id="6842" w:name="_Toc49805501"/>
      <w:bookmarkStart w:id="6843" w:name="_Toc49806213"/>
      <w:bookmarkStart w:id="6844" w:name="_Toc49877764"/>
      <w:bookmarkStart w:id="6845" w:name="_Toc49881182"/>
      <w:bookmarkStart w:id="6846" w:name="_Toc49884243"/>
      <w:bookmarkStart w:id="6847" w:name="_Toc49884319"/>
      <w:bookmarkStart w:id="6848" w:name="_Toc49893575"/>
      <w:bookmarkStart w:id="6849" w:name="_Toc49933963"/>
      <w:bookmarkStart w:id="6850" w:name="_Toc49937850"/>
      <w:bookmarkStart w:id="6851" w:name="_Toc49939246"/>
      <w:bookmarkStart w:id="6852" w:name="_Toc49942096"/>
      <w:bookmarkStart w:id="6853" w:name="_Toc49948564"/>
      <w:bookmarkStart w:id="6854" w:name="_Toc49953038"/>
      <w:bookmarkStart w:id="6855" w:name="_Toc49954343"/>
      <w:bookmarkStart w:id="6856" w:name="_Toc49954788"/>
      <w:bookmarkStart w:id="6857" w:name="_Toc49955217"/>
      <w:bookmarkStart w:id="6858" w:name="_Toc49955805"/>
      <w:bookmarkStart w:id="6859" w:name="_Toc49958305"/>
      <w:bookmarkStart w:id="6860" w:name="_Toc49958500"/>
      <w:bookmarkStart w:id="6861" w:name="_Toc49961992"/>
      <w:bookmarkStart w:id="6862" w:name="_Toc49963179"/>
      <w:bookmarkStart w:id="6863" w:name="_Toc53678221"/>
      <w:bookmarkStart w:id="6864" w:name="_Toc53678441"/>
      <w:bookmarkStart w:id="6865" w:name="_Toc53678763"/>
      <w:bookmarkStart w:id="6866" w:name="_Toc53680112"/>
      <w:bookmarkStart w:id="6867" w:name="_Toc54289127"/>
      <w:bookmarkStart w:id="6868" w:name="_Toc54290627"/>
      <w:bookmarkStart w:id="6869" w:name="_Toc54290996"/>
      <w:bookmarkStart w:id="6870" w:name="_Toc54292119"/>
      <w:bookmarkStart w:id="6871" w:name="_Toc54340678"/>
      <w:bookmarkStart w:id="6872" w:name="_Toc54345779"/>
      <w:bookmarkStart w:id="6873" w:name="_Toc54348792"/>
      <w:bookmarkStart w:id="6874" w:name="_Toc54355122"/>
      <w:bookmarkStart w:id="6875" w:name="_Toc54355175"/>
      <w:bookmarkStart w:id="6876" w:name="_Toc54355647"/>
      <w:bookmarkStart w:id="6877" w:name="_Toc54355795"/>
      <w:bookmarkStart w:id="6878" w:name="_Toc54356149"/>
      <w:bookmarkStart w:id="6879" w:name="_Toc54356700"/>
      <w:bookmarkStart w:id="6880" w:name="_Toc54357567"/>
      <w:bookmarkStart w:id="6881" w:name="_Toc54357664"/>
      <w:bookmarkStart w:id="6882" w:name="_Toc54364615"/>
      <w:bookmarkStart w:id="6883" w:name="_Toc54371223"/>
      <w:bookmarkStart w:id="6884" w:name="_Toc54372060"/>
      <w:bookmarkStart w:id="6885" w:name="_Toc54376667"/>
      <w:bookmarkStart w:id="6886" w:name="_Toc58767219"/>
      <w:bookmarkStart w:id="6887" w:name="_Toc58769522"/>
      <w:bookmarkStart w:id="6888" w:name="_Toc58863862"/>
      <w:bookmarkStart w:id="6889" w:name="_Toc58868889"/>
      <w:bookmarkStart w:id="6890" w:name="_Toc58870720"/>
      <w:bookmarkStart w:id="6891" w:name="_Toc58870958"/>
      <w:bookmarkStart w:id="6892" w:name="_Toc58871864"/>
      <w:bookmarkStart w:id="6893" w:name="_Toc58872079"/>
      <w:bookmarkStart w:id="6894" w:name="_Toc58922821"/>
      <w:bookmarkStart w:id="6895" w:name="_Toc58925409"/>
      <w:bookmarkStart w:id="6896" w:name="_Toc58928905"/>
      <w:bookmarkStart w:id="6897" w:name="_Toc58931276"/>
      <w:bookmarkStart w:id="6898" w:name="_Toc58931910"/>
      <w:bookmarkStart w:id="6899" w:name="_Toc58950514"/>
      <w:bookmarkStart w:id="6900" w:name="_Toc58956808"/>
      <w:bookmarkStart w:id="6901" w:name="_Toc58957971"/>
      <w:bookmarkStart w:id="6902" w:name="_Toc58962504"/>
      <w:bookmarkStart w:id="6903" w:name="_Toc59096537"/>
      <w:bookmarkStart w:id="6904" w:name="_Toc59103133"/>
      <w:bookmarkStart w:id="6905" w:name="_Toc59104984"/>
      <w:bookmarkStart w:id="6906" w:name="_Toc59119944"/>
      <w:bookmarkStart w:id="6907" w:name="_Toc59121208"/>
      <w:bookmarkStart w:id="6908" w:name="_Toc59121327"/>
      <w:r>
        <w:rPr>
          <w:noProof/>
        </w:rPr>
        <w:t xml:space="preserve"> </w:t>
      </w:r>
      <w:bookmarkStart w:id="6909" w:name="_Toc59549380"/>
      <w:bookmarkStart w:id="6910" w:name="_Toc59642333"/>
      <w:r>
        <w:rPr>
          <w:noProof/>
        </w:rPr>
        <w:t>Bibliography</w:t>
      </w:r>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8"/>
      </w:tblGrid>
      <w:tr>
        <w:tc>
          <w:tcPr>
            <w:tcW w:w="8608" w:type="dxa"/>
          </w:tcPr>
          <w:p>
            <w:pPr>
              <w:spacing w:before="60" w:after="60"/>
              <w:jc w:val="both"/>
              <w:rPr>
                <w:b/>
                <w:noProof/>
                <w:sz w:val="24"/>
                <w:szCs w:val="24"/>
                <w:u w:val="single"/>
                <w:lang w:val="en-US"/>
              </w:rPr>
            </w:pPr>
            <w:r>
              <w:rPr>
                <w:b/>
                <w:noProof/>
                <w:sz w:val="24"/>
                <w:szCs w:val="24"/>
                <w:u w:val="single"/>
                <w:lang w:val="en-US"/>
              </w:rPr>
              <w:t>Books / papers / reports:</w:t>
            </w:r>
          </w:p>
          <w:p>
            <w:pPr>
              <w:spacing w:before="120" w:after="60"/>
              <w:jc w:val="both"/>
              <w:rPr>
                <w:noProof/>
                <w:sz w:val="24"/>
                <w:szCs w:val="24"/>
                <w:lang w:val="en-US"/>
              </w:rPr>
            </w:pPr>
            <w:r>
              <w:rPr>
                <w:noProof/>
                <w:sz w:val="24"/>
                <w:szCs w:val="24"/>
              </w:rPr>
              <w:t>Agúndez</w:t>
            </w:r>
            <w:r>
              <w:rPr>
                <w:noProof/>
                <w:sz w:val="24"/>
                <w:szCs w:val="24"/>
                <w:lang w:val="en-US"/>
              </w:rPr>
              <w:t xml:space="preserve"> García A., De Poli S., Ivaškaitė-Tamošiūnė V., Maier, S., </w:t>
            </w:r>
            <w:r>
              <w:rPr>
                <w:i/>
                <w:noProof/>
                <w:sz w:val="24"/>
                <w:szCs w:val="24"/>
                <w:lang w:val="en-US"/>
              </w:rPr>
              <w:t>Closing the gender pay gap as a result of increased pay transparency: estimated impacts on household income distribution and government budgets based on EUROMOD</w:t>
            </w:r>
            <w:r>
              <w:rPr>
                <w:noProof/>
                <w:sz w:val="24"/>
                <w:szCs w:val="24"/>
                <w:lang w:val="en-US"/>
              </w:rPr>
              <w:t>, JRC, 2020.</w:t>
            </w:r>
          </w:p>
        </w:tc>
      </w:tr>
      <w:tr>
        <w:tc>
          <w:tcPr>
            <w:tcW w:w="8608" w:type="dxa"/>
            <w:shd w:val="clear" w:color="auto" w:fill="auto"/>
          </w:tcPr>
          <w:p>
            <w:pPr>
              <w:spacing w:before="60" w:after="60"/>
              <w:jc w:val="both"/>
              <w:rPr>
                <w:b/>
                <w:noProof/>
                <w:sz w:val="24"/>
                <w:szCs w:val="24"/>
                <w:u w:val="single"/>
                <w:lang w:val="en-US"/>
              </w:rPr>
            </w:pPr>
            <w:r>
              <w:rPr>
                <w:noProof/>
                <w:sz w:val="24"/>
                <w:szCs w:val="24"/>
              </w:rPr>
              <w:t>Al</w:t>
            </w:r>
            <w:r>
              <w:rPr>
                <w:noProof/>
                <w:sz w:val="24"/>
                <w:szCs w:val="24"/>
                <w:lang w:val="en-US"/>
              </w:rPr>
              <w:t>-Zu'bi, H. A., ‘</w:t>
            </w:r>
            <w:hyperlink r:id="rId19" w:history="1">
              <w:r>
                <w:rPr>
                  <w:rStyle w:val="Hyperlink"/>
                  <w:noProof/>
                  <w:sz w:val="24"/>
                  <w:szCs w:val="24"/>
                  <w:lang w:val="en-US"/>
                </w:rPr>
                <w:t>A study of relationship between organizational justice and job satisfaction</w:t>
              </w:r>
            </w:hyperlink>
            <w:r>
              <w:rPr>
                <w:noProof/>
                <w:sz w:val="24"/>
                <w:szCs w:val="24"/>
                <w:lang w:val="en-US"/>
              </w:rPr>
              <w:t xml:space="preserve">’, </w:t>
            </w:r>
            <w:r>
              <w:rPr>
                <w:i/>
                <w:noProof/>
                <w:sz w:val="24"/>
                <w:szCs w:val="24"/>
                <w:lang w:val="en-US"/>
              </w:rPr>
              <w:t>International Journal of Business and Management</w:t>
            </w:r>
            <w:r>
              <w:rPr>
                <w:noProof/>
                <w:sz w:val="24"/>
                <w:szCs w:val="24"/>
                <w:lang w:val="en-US"/>
              </w:rPr>
              <w:t>, 5(12), 2010, pp. 102-109.</w:t>
            </w:r>
          </w:p>
        </w:tc>
      </w:tr>
      <w:tr>
        <w:tc>
          <w:tcPr>
            <w:tcW w:w="8608" w:type="dxa"/>
            <w:shd w:val="clear" w:color="auto" w:fill="auto"/>
          </w:tcPr>
          <w:p>
            <w:pPr>
              <w:spacing w:before="60" w:after="60"/>
              <w:jc w:val="both"/>
              <w:rPr>
                <w:b/>
                <w:noProof/>
                <w:sz w:val="24"/>
                <w:szCs w:val="24"/>
                <w:u w:val="single"/>
                <w:lang w:val="en-US"/>
              </w:rPr>
            </w:pPr>
            <w:r>
              <w:rPr>
                <w:noProof/>
                <w:sz w:val="24"/>
                <w:szCs w:val="24"/>
              </w:rPr>
              <w:t>Allen</w:t>
            </w:r>
            <w:r>
              <w:rPr>
                <w:noProof/>
                <w:sz w:val="24"/>
                <w:szCs w:val="24"/>
                <w:lang w:val="en-US"/>
              </w:rPr>
              <w:t xml:space="preserve">, D.G., Arnold, A., Fulmer, I.S., Sender, A., Staffelbach, B., &amp; Perkins, S.J., </w:t>
            </w:r>
            <w:hyperlink r:id="rId20" w:history="1">
              <w:r>
                <w:rPr>
                  <w:rStyle w:val="Hyperlink"/>
                  <w:i/>
                  <w:noProof/>
                  <w:sz w:val="24"/>
                  <w:szCs w:val="24"/>
                </w:rPr>
                <w:t>International study on compensation and pay transparency practices</w:t>
              </w:r>
            </w:hyperlink>
            <w:r>
              <w:rPr>
                <w:noProof/>
                <w:sz w:val="24"/>
                <w:szCs w:val="24"/>
              </w:rPr>
              <w:t xml:space="preserve">. Lucerne, Switzerland: Center for Human Resource Management, University of Lucerne, </w:t>
            </w:r>
            <w:r>
              <w:rPr>
                <w:noProof/>
                <w:sz w:val="24"/>
                <w:szCs w:val="24"/>
                <w:lang w:val="en-US"/>
              </w:rPr>
              <w:t>2018</w:t>
            </w:r>
            <w:r>
              <w:rPr>
                <w:noProof/>
                <w:sz w:val="24"/>
                <w:szCs w:val="24"/>
              </w:rPr>
              <w:t xml:space="preserve">. </w:t>
            </w:r>
          </w:p>
        </w:tc>
      </w:tr>
      <w:tr>
        <w:tc>
          <w:tcPr>
            <w:tcW w:w="8608" w:type="dxa"/>
            <w:shd w:val="clear" w:color="auto" w:fill="auto"/>
          </w:tcPr>
          <w:p>
            <w:pPr>
              <w:spacing w:before="60" w:after="60"/>
              <w:jc w:val="both"/>
              <w:rPr>
                <w:b/>
                <w:noProof/>
                <w:sz w:val="24"/>
                <w:szCs w:val="24"/>
                <w:u w:val="single"/>
                <w:lang w:val="en-US"/>
              </w:rPr>
            </w:pPr>
            <w:r>
              <w:rPr>
                <w:noProof/>
                <w:sz w:val="24"/>
                <w:szCs w:val="24"/>
              </w:rPr>
              <w:t>Alterman, V. Bamberger, P., Belogolovsky, E., et al., ‘</w:t>
            </w:r>
            <w:hyperlink r:id="rId21" w:history="1">
              <w:r>
                <w:rPr>
                  <w:rStyle w:val="Hyperlink"/>
                  <w:noProof/>
                  <w:sz w:val="24"/>
                  <w:szCs w:val="24"/>
                </w:rPr>
                <w:t>Looking for Assistance in the Dark: Pay Secrecy, Expertise Perceptions, and Efficacious Help Seeking Among Members of Newly Formed Virtual Work Groups</w:t>
              </w:r>
            </w:hyperlink>
            <w:r>
              <w:rPr>
                <w:rStyle w:val="Hyperlink"/>
                <w:noProof/>
                <w:sz w:val="24"/>
                <w:szCs w:val="24"/>
              </w:rPr>
              <w:t>’</w:t>
            </w:r>
            <w:r>
              <w:rPr>
                <w:noProof/>
                <w:sz w:val="24"/>
                <w:szCs w:val="24"/>
              </w:rPr>
              <w:t xml:space="preserve">, </w:t>
            </w:r>
            <w:r>
              <w:rPr>
                <w:i/>
                <w:noProof/>
                <w:sz w:val="24"/>
                <w:szCs w:val="24"/>
              </w:rPr>
              <w:t>Journal of Business and Psychology</w:t>
            </w:r>
            <w:r>
              <w:rPr>
                <w:noProof/>
                <w:sz w:val="24"/>
                <w:szCs w:val="24"/>
              </w:rPr>
              <w:t xml:space="preserve"> 31, 2016, pp. 459–477.</w:t>
            </w:r>
          </w:p>
        </w:tc>
      </w:tr>
      <w:tr>
        <w:tc>
          <w:tcPr>
            <w:tcW w:w="8608" w:type="dxa"/>
          </w:tcPr>
          <w:p>
            <w:pPr>
              <w:spacing w:before="60" w:after="60"/>
              <w:jc w:val="both"/>
              <w:rPr>
                <w:noProof/>
                <w:sz w:val="24"/>
                <w:szCs w:val="24"/>
              </w:rPr>
            </w:pPr>
            <w:r>
              <w:rPr>
                <w:noProof/>
                <w:sz w:val="24"/>
                <w:szCs w:val="24"/>
              </w:rPr>
              <w:t>Artz, B., Goodall, A. H. and Oswald, A. J., ‘</w:t>
            </w:r>
            <w:hyperlink r:id="rId22" w:history="1">
              <w:r>
                <w:rPr>
                  <w:rStyle w:val="Hyperlink"/>
                  <w:noProof/>
                  <w:sz w:val="24"/>
                  <w:szCs w:val="24"/>
                </w:rPr>
                <w:t>Do Women Ask</w:t>
              </w:r>
            </w:hyperlink>
            <w:r>
              <w:rPr>
                <w:noProof/>
                <w:sz w:val="24"/>
                <w:szCs w:val="24"/>
              </w:rPr>
              <w:t xml:space="preserve">?’ </w:t>
            </w:r>
            <w:r>
              <w:rPr>
                <w:i/>
                <w:noProof/>
                <w:sz w:val="24"/>
                <w:szCs w:val="24"/>
              </w:rPr>
              <w:t>Industrial Relations: A Journal of Economy and Society</w:t>
            </w:r>
            <w:r>
              <w:rPr>
                <w:noProof/>
                <w:sz w:val="24"/>
                <w:szCs w:val="24"/>
              </w:rPr>
              <w:t>, Vol. 57, Issue 4, pp. 611-636, 2018.</w:t>
            </w:r>
          </w:p>
        </w:tc>
      </w:tr>
      <w:tr>
        <w:tc>
          <w:tcPr>
            <w:tcW w:w="8608" w:type="dxa"/>
          </w:tcPr>
          <w:p>
            <w:pPr>
              <w:spacing w:before="60" w:after="60"/>
              <w:jc w:val="both"/>
              <w:rPr>
                <w:noProof/>
                <w:sz w:val="24"/>
                <w:szCs w:val="24"/>
              </w:rPr>
            </w:pPr>
            <w:r>
              <w:rPr>
                <w:noProof/>
                <w:sz w:val="24"/>
                <w:szCs w:val="24"/>
                <w:lang w:val="en-IE"/>
              </w:rPr>
              <w:t>Auspurg K., Hinz T., Sauer C., ‘</w:t>
            </w:r>
            <w:hyperlink r:id="rId23" w:history="1">
              <w:r>
                <w:rPr>
                  <w:rStyle w:val="Hyperlink"/>
                  <w:noProof/>
                  <w:sz w:val="24"/>
                  <w:szCs w:val="24"/>
                  <w:lang w:val="en-IE"/>
                </w:rPr>
                <w:t>Why Should Women Get Less? Evidence on the Gender Pay Gap from Multifactorial Survey Experiments</w:t>
              </w:r>
            </w:hyperlink>
            <w:r>
              <w:rPr>
                <w:noProof/>
                <w:sz w:val="24"/>
                <w:szCs w:val="24"/>
                <w:lang w:val="en-IE"/>
              </w:rPr>
              <w:t xml:space="preserve">’, </w:t>
            </w:r>
            <w:r>
              <w:rPr>
                <w:i/>
                <w:noProof/>
                <w:sz w:val="24"/>
                <w:szCs w:val="24"/>
                <w:lang w:val="en-IE"/>
              </w:rPr>
              <w:t>American Sociological Review</w:t>
            </w:r>
            <w:r>
              <w:rPr>
                <w:noProof/>
                <w:sz w:val="24"/>
                <w:szCs w:val="24"/>
                <w:lang w:val="en-IE"/>
              </w:rPr>
              <w:t>, 82(1), 2017</w:t>
            </w:r>
            <w:r>
              <w:rPr>
                <w:noProof/>
                <w:sz w:val="24"/>
                <w:szCs w:val="24"/>
              </w:rPr>
              <w:t xml:space="preserve">, 179–210. </w:t>
            </w:r>
          </w:p>
        </w:tc>
      </w:tr>
      <w:tr>
        <w:tc>
          <w:tcPr>
            <w:tcW w:w="8608" w:type="dxa"/>
          </w:tcPr>
          <w:p>
            <w:pPr>
              <w:spacing w:before="60" w:after="60"/>
              <w:jc w:val="both"/>
              <w:rPr>
                <w:noProof/>
                <w:sz w:val="24"/>
                <w:szCs w:val="24"/>
              </w:rPr>
            </w:pPr>
            <w:r>
              <w:rPr>
                <w:noProof/>
                <w:sz w:val="24"/>
                <w:szCs w:val="24"/>
              </w:rPr>
              <w:t>Avent-Holt, D., Tomaskovic-Devey, D., ‘</w:t>
            </w:r>
            <w:hyperlink r:id="rId24" w:history="1">
              <w:r>
                <w:rPr>
                  <w:rStyle w:val="Hyperlink"/>
                  <w:noProof/>
                  <w:sz w:val="24"/>
                  <w:szCs w:val="24"/>
                </w:rPr>
                <w:t>A relational theory of earnings inequality</w:t>
              </w:r>
            </w:hyperlink>
            <w:r>
              <w:rPr>
                <w:rStyle w:val="Hyperlink"/>
                <w:noProof/>
                <w:sz w:val="24"/>
                <w:szCs w:val="24"/>
              </w:rPr>
              <w:t>’</w:t>
            </w:r>
            <w:r>
              <w:rPr>
                <w:noProof/>
                <w:sz w:val="24"/>
                <w:szCs w:val="24"/>
              </w:rPr>
              <w:t xml:space="preserve">. </w:t>
            </w:r>
            <w:r>
              <w:rPr>
                <w:i/>
                <w:noProof/>
                <w:sz w:val="24"/>
                <w:szCs w:val="24"/>
              </w:rPr>
              <w:t>American Behavioral Scientist</w:t>
            </w:r>
            <w:r>
              <w:rPr>
                <w:noProof/>
                <w:sz w:val="24"/>
                <w:szCs w:val="24"/>
              </w:rPr>
              <w:t>, 58, 2014.</w:t>
            </w:r>
          </w:p>
        </w:tc>
      </w:tr>
      <w:tr>
        <w:tc>
          <w:tcPr>
            <w:tcW w:w="8608" w:type="dxa"/>
          </w:tcPr>
          <w:p>
            <w:pPr>
              <w:spacing w:before="60" w:after="60"/>
              <w:jc w:val="both"/>
              <w:rPr>
                <w:noProof/>
                <w:sz w:val="24"/>
                <w:szCs w:val="24"/>
              </w:rPr>
            </w:pPr>
            <w:r>
              <w:rPr>
                <w:noProof/>
                <w:sz w:val="24"/>
                <w:szCs w:val="24"/>
              </w:rPr>
              <w:t>Babcock, L., Gelfand, M., Laschever, S., Small, D., ‘</w:t>
            </w:r>
            <w:hyperlink r:id="rId25" w:history="1">
              <w:r>
                <w:rPr>
                  <w:rStyle w:val="Hyperlink"/>
                  <w:noProof/>
                  <w:sz w:val="24"/>
                  <w:szCs w:val="24"/>
                </w:rPr>
                <w:t>Nice girls don't ask - Women negotiate less than men - and everyone pays the price</w:t>
              </w:r>
            </w:hyperlink>
            <w:r>
              <w:rPr>
                <w:noProof/>
                <w:sz w:val="24"/>
                <w:szCs w:val="24"/>
              </w:rPr>
              <w:t xml:space="preserve">’. </w:t>
            </w:r>
            <w:r>
              <w:rPr>
                <w:i/>
                <w:noProof/>
                <w:sz w:val="24"/>
                <w:szCs w:val="24"/>
              </w:rPr>
              <w:t>Harvard business review</w:t>
            </w:r>
            <w:r>
              <w:rPr>
                <w:noProof/>
                <w:sz w:val="24"/>
                <w:szCs w:val="24"/>
              </w:rPr>
              <w:t xml:space="preserve">. 81, 2003.  </w:t>
            </w:r>
          </w:p>
        </w:tc>
      </w:tr>
      <w:tr>
        <w:tc>
          <w:tcPr>
            <w:tcW w:w="8608" w:type="dxa"/>
          </w:tcPr>
          <w:p>
            <w:pPr>
              <w:spacing w:before="60" w:after="60"/>
              <w:jc w:val="both"/>
              <w:rPr>
                <w:noProof/>
                <w:sz w:val="24"/>
                <w:szCs w:val="24"/>
              </w:rPr>
            </w:pPr>
            <w:r>
              <w:rPr>
                <w:noProof/>
                <w:sz w:val="24"/>
                <w:szCs w:val="24"/>
              </w:rPr>
              <w:t>Baker, et al., ‘</w:t>
            </w:r>
            <w:hyperlink r:id="rId26" w:history="1">
              <w:r>
                <w:rPr>
                  <w:rStyle w:val="Hyperlink"/>
                  <w:noProof/>
                  <w:sz w:val="24"/>
                  <w:szCs w:val="24"/>
                </w:rPr>
                <w:t>Pay Transparency and the Gender Gap</w:t>
              </w:r>
            </w:hyperlink>
            <w:r>
              <w:rPr>
                <w:rStyle w:val="Hyperlink"/>
                <w:noProof/>
                <w:sz w:val="24"/>
                <w:szCs w:val="24"/>
              </w:rPr>
              <w:t>’</w:t>
            </w:r>
            <w:r>
              <w:rPr>
                <w:noProof/>
                <w:sz w:val="24"/>
                <w:szCs w:val="24"/>
              </w:rPr>
              <w:t xml:space="preserve">, </w:t>
            </w:r>
            <w:r>
              <w:rPr>
                <w:i/>
                <w:noProof/>
                <w:sz w:val="24"/>
                <w:szCs w:val="24"/>
              </w:rPr>
              <w:t>NBER</w:t>
            </w:r>
            <w:r>
              <w:rPr>
                <w:noProof/>
                <w:sz w:val="24"/>
                <w:szCs w:val="24"/>
              </w:rPr>
              <w:t xml:space="preserve"> Working Paper No. 25834, May 2019. </w:t>
            </w:r>
          </w:p>
        </w:tc>
      </w:tr>
      <w:tr>
        <w:tc>
          <w:tcPr>
            <w:tcW w:w="8608" w:type="dxa"/>
          </w:tcPr>
          <w:p>
            <w:pPr>
              <w:spacing w:before="60" w:after="60"/>
              <w:jc w:val="both"/>
              <w:rPr>
                <w:noProof/>
                <w:sz w:val="24"/>
                <w:szCs w:val="24"/>
              </w:rPr>
            </w:pPr>
            <w:r>
              <w:rPr>
                <w:noProof/>
                <w:sz w:val="24"/>
                <w:szCs w:val="24"/>
              </w:rPr>
              <w:t>Bamberger, P.; Belogolovsky, E., ‘</w:t>
            </w:r>
            <w:hyperlink r:id="rId27" w:history="1">
              <w:r>
                <w:rPr>
                  <w:rStyle w:val="Hyperlink"/>
                  <w:noProof/>
                  <w:sz w:val="24"/>
                  <w:szCs w:val="24"/>
                </w:rPr>
                <w:t>The dark side of transparency: How and when pay administration practices affect employee helping</w:t>
              </w:r>
            </w:hyperlink>
            <w:r>
              <w:rPr>
                <w:noProof/>
                <w:sz w:val="24"/>
                <w:szCs w:val="24"/>
              </w:rPr>
              <w:t xml:space="preserve">.’, </w:t>
            </w:r>
            <w:r>
              <w:rPr>
                <w:i/>
                <w:noProof/>
                <w:sz w:val="24"/>
                <w:szCs w:val="24"/>
              </w:rPr>
              <w:t>Journal of Applied Psychology</w:t>
            </w:r>
            <w:r>
              <w:rPr>
                <w:noProof/>
                <w:sz w:val="24"/>
                <w:szCs w:val="24"/>
              </w:rPr>
              <w:t xml:space="preserve"> 102(4), 658, 2017. </w:t>
            </w:r>
          </w:p>
        </w:tc>
      </w:tr>
      <w:tr>
        <w:tc>
          <w:tcPr>
            <w:tcW w:w="8608" w:type="dxa"/>
          </w:tcPr>
          <w:p>
            <w:pPr>
              <w:spacing w:before="60" w:after="60"/>
              <w:jc w:val="both"/>
              <w:rPr>
                <w:noProof/>
                <w:sz w:val="24"/>
                <w:szCs w:val="24"/>
              </w:rPr>
            </w:pPr>
            <w:r>
              <w:rPr>
                <w:noProof/>
                <w:sz w:val="24"/>
                <w:szCs w:val="24"/>
              </w:rPr>
              <w:t>Bamberger, P.; Belogolovsky E. ‘</w:t>
            </w:r>
            <w:hyperlink r:id="rId28" w:history="1">
              <w:r>
                <w:rPr>
                  <w:rStyle w:val="Hyperlink"/>
                  <w:noProof/>
                  <w:sz w:val="24"/>
                  <w:szCs w:val="24"/>
                </w:rPr>
                <w:t>Signaling in Secret: Pay for Performance and the Incentive and Sorting Effects of Pay Secrecy</w:t>
              </w:r>
            </w:hyperlink>
            <w:r>
              <w:rPr>
                <w:rStyle w:val="Hyperlink"/>
                <w:noProof/>
                <w:sz w:val="24"/>
                <w:szCs w:val="24"/>
              </w:rPr>
              <w:t>’</w:t>
            </w:r>
            <w:r>
              <w:rPr>
                <w:noProof/>
                <w:sz w:val="24"/>
                <w:szCs w:val="24"/>
              </w:rPr>
              <w:t xml:space="preserve">, </w:t>
            </w:r>
            <w:r>
              <w:rPr>
                <w:i/>
                <w:noProof/>
                <w:sz w:val="24"/>
                <w:szCs w:val="24"/>
              </w:rPr>
              <w:t>Academy of Management Journal</w:t>
            </w:r>
            <w:r>
              <w:rPr>
                <w:noProof/>
                <w:sz w:val="24"/>
                <w:szCs w:val="24"/>
              </w:rPr>
              <w:t>, Vol. 57, No. 6, 2014.</w:t>
            </w:r>
          </w:p>
        </w:tc>
      </w:tr>
      <w:tr>
        <w:tc>
          <w:tcPr>
            <w:tcW w:w="8608" w:type="dxa"/>
          </w:tcPr>
          <w:p>
            <w:pPr>
              <w:spacing w:before="60" w:after="60"/>
              <w:jc w:val="both"/>
              <w:rPr>
                <w:noProof/>
                <w:sz w:val="24"/>
                <w:szCs w:val="24"/>
              </w:rPr>
            </w:pPr>
            <w:r>
              <w:rPr>
                <w:noProof/>
                <w:sz w:val="24"/>
                <w:szCs w:val="24"/>
                <w:lang w:val="en-US"/>
              </w:rPr>
              <w:t>Bamberger, P.; SimanTov-Nachlieli, I.</w:t>
            </w:r>
            <w:r>
              <w:rPr>
                <w:noProof/>
                <w:sz w:val="24"/>
                <w:szCs w:val="24"/>
              </w:rPr>
              <w:t>, ‘</w:t>
            </w:r>
            <w:hyperlink r:id="rId29" w:history="1">
              <w:r>
                <w:rPr>
                  <w:rStyle w:val="Hyperlink"/>
                  <w:noProof/>
                  <w:sz w:val="24"/>
                  <w:szCs w:val="24"/>
                </w:rPr>
                <w:t>Pay communication, justice, and affect: The asymmetric effects of process and outcome pay transparency on counterproductive workplace behavior</w:t>
              </w:r>
            </w:hyperlink>
            <w:r>
              <w:rPr>
                <w:rStyle w:val="Hyperlink"/>
                <w:noProof/>
                <w:sz w:val="24"/>
                <w:szCs w:val="24"/>
              </w:rPr>
              <w:t>’</w:t>
            </w:r>
            <w:r>
              <w:rPr>
                <w:noProof/>
                <w:sz w:val="24"/>
                <w:szCs w:val="24"/>
              </w:rPr>
              <w:t xml:space="preserve">, </w:t>
            </w:r>
            <w:r>
              <w:rPr>
                <w:i/>
                <w:noProof/>
                <w:sz w:val="24"/>
                <w:szCs w:val="24"/>
              </w:rPr>
              <w:t>Journal of Applied Psychology</w:t>
            </w:r>
            <w:r>
              <w:rPr>
                <w:noProof/>
                <w:sz w:val="24"/>
                <w:szCs w:val="24"/>
              </w:rPr>
              <w:t>, 2020.</w:t>
            </w:r>
          </w:p>
        </w:tc>
      </w:tr>
      <w:tr>
        <w:tc>
          <w:tcPr>
            <w:tcW w:w="8608" w:type="dxa"/>
          </w:tcPr>
          <w:p>
            <w:pPr>
              <w:spacing w:before="60" w:after="60"/>
              <w:jc w:val="both"/>
              <w:rPr>
                <w:noProof/>
                <w:sz w:val="24"/>
                <w:szCs w:val="24"/>
              </w:rPr>
            </w:pPr>
            <w:r>
              <w:rPr>
                <w:noProof/>
                <w:sz w:val="24"/>
                <w:szCs w:val="24"/>
              </w:rPr>
              <w:t xml:space="preserve">Bauer, P. et al., </w:t>
            </w:r>
            <w:hyperlink r:id="rId30" w:history="1">
              <w:r>
                <w:rPr>
                  <w:rStyle w:val="Hyperlink"/>
                  <w:i/>
                  <w:noProof/>
                  <w:sz w:val="24"/>
                  <w:szCs w:val="24"/>
                </w:rPr>
                <w:t>Productivity in Europe: Trends and drivers in a service-based economy</w:t>
              </w:r>
            </w:hyperlink>
            <w:r>
              <w:rPr>
                <w:noProof/>
                <w:sz w:val="24"/>
                <w:szCs w:val="24"/>
              </w:rPr>
              <w:t>, Publications office of the European Union, Luxembourg, 2020.</w:t>
            </w:r>
          </w:p>
        </w:tc>
      </w:tr>
      <w:tr>
        <w:tc>
          <w:tcPr>
            <w:tcW w:w="8608" w:type="dxa"/>
          </w:tcPr>
          <w:p>
            <w:pPr>
              <w:spacing w:before="60" w:after="60"/>
              <w:jc w:val="both"/>
              <w:rPr>
                <w:noProof/>
                <w:sz w:val="24"/>
                <w:szCs w:val="24"/>
              </w:rPr>
            </w:pPr>
            <w:r>
              <w:rPr>
                <w:noProof/>
                <w:sz w:val="24"/>
                <w:szCs w:val="24"/>
              </w:rPr>
              <w:t xml:space="preserve">Becker, G.S., </w:t>
            </w:r>
            <w:r>
              <w:rPr>
                <w:i/>
                <w:noProof/>
                <w:sz w:val="24"/>
                <w:szCs w:val="24"/>
              </w:rPr>
              <w:t>Human Capital. A Theoretical and Empirical Analysis with Special Reference to Education</w:t>
            </w:r>
            <w:r>
              <w:rPr>
                <w:noProof/>
                <w:sz w:val="24"/>
                <w:szCs w:val="24"/>
              </w:rPr>
              <w:t>, New York: National Bureau of Economic Research, Chicago/London: Chicago University Press, 1964.</w:t>
            </w:r>
          </w:p>
        </w:tc>
      </w:tr>
      <w:tr>
        <w:tc>
          <w:tcPr>
            <w:tcW w:w="8608" w:type="dxa"/>
          </w:tcPr>
          <w:p>
            <w:pPr>
              <w:spacing w:before="60" w:after="60"/>
              <w:jc w:val="both"/>
              <w:rPr>
                <w:noProof/>
                <w:sz w:val="24"/>
                <w:szCs w:val="24"/>
              </w:rPr>
            </w:pPr>
            <w:r>
              <w:rPr>
                <w:noProof/>
                <w:sz w:val="24"/>
                <w:szCs w:val="24"/>
              </w:rPr>
              <w:t>Bennedsen, M.; Simintzi, E.; Tsoutsoura, M.; Wolfenzon, D.: ‘</w:t>
            </w:r>
            <w:hyperlink r:id="rId31" w:history="1">
              <w:r>
                <w:rPr>
                  <w:rStyle w:val="Hyperlink"/>
                  <w:noProof/>
                  <w:sz w:val="24"/>
                  <w:szCs w:val="24"/>
                </w:rPr>
                <w:t>Do Firms Respond to Gender Pay Gap Transparency?</w:t>
              </w:r>
            </w:hyperlink>
            <w:r>
              <w:rPr>
                <w:noProof/>
                <w:sz w:val="24"/>
                <w:szCs w:val="24"/>
              </w:rPr>
              <w:t xml:space="preserve">’, </w:t>
            </w:r>
            <w:r>
              <w:rPr>
                <w:i/>
                <w:noProof/>
                <w:sz w:val="24"/>
                <w:szCs w:val="24"/>
              </w:rPr>
              <w:t xml:space="preserve">NBER </w:t>
            </w:r>
            <w:r>
              <w:rPr>
                <w:noProof/>
                <w:sz w:val="24"/>
                <w:szCs w:val="24"/>
              </w:rPr>
              <w:t>Working Paper No. 25435, 2019.</w:t>
            </w:r>
          </w:p>
        </w:tc>
      </w:tr>
      <w:tr>
        <w:tc>
          <w:tcPr>
            <w:tcW w:w="8608" w:type="dxa"/>
          </w:tcPr>
          <w:p>
            <w:pPr>
              <w:spacing w:before="60" w:after="60"/>
              <w:jc w:val="both"/>
              <w:rPr>
                <w:noProof/>
                <w:sz w:val="24"/>
                <w:szCs w:val="24"/>
              </w:rPr>
            </w:pPr>
            <w:r>
              <w:rPr>
                <w:noProof/>
                <w:sz w:val="24"/>
                <w:szCs w:val="24"/>
              </w:rPr>
              <w:t>Bohnet, I., R. Zeckhauser:, ‘</w:t>
            </w:r>
            <w:hyperlink r:id="rId32" w:history="1">
              <w:r>
                <w:rPr>
                  <w:rStyle w:val="Hyperlink"/>
                  <w:noProof/>
                  <w:sz w:val="24"/>
                  <w:szCs w:val="24"/>
                </w:rPr>
                <w:t>Social comparisons in ultimatum bargaining</w:t>
              </w:r>
            </w:hyperlink>
            <w:r>
              <w:rPr>
                <w:noProof/>
                <w:sz w:val="24"/>
                <w:szCs w:val="24"/>
              </w:rPr>
              <w:t xml:space="preserve">’, </w:t>
            </w:r>
            <w:r>
              <w:rPr>
                <w:i/>
                <w:noProof/>
                <w:sz w:val="24"/>
                <w:szCs w:val="24"/>
              </w:rPr>
              <w:t>Scandinavian</w:t>
            </w:r>
            <w:r>
              <w:rPr>
                <w:noProof/>
                <w:sz w:val="24"/>
                <w:szCs w:val="24"/>
              </w:rPr>
              <w:t xml:space="preserve"> </w:t>
            </w:r>
            <w:r>
              <w:rPr>
                <w:i/>
                <w:noProof/>
                <w:sz w:val="24"/>
                <w:szCs w:val="24"/>
              </w:rPr>
              <w:t>Journal of Economics</w:t>
            </w:r>
            <w:r>
              <w:rPr>
                <w:noProof/>
                <w:sz w:val="24"/>
                <w:szCs w:val="24"/>
              </w:rPr>
              <w:t xml:space="preserve"> 106(3), 2004, pp. 495–510;</w:t>
            </w:r>
          </w:p>
        </w:tc>
      </w:tr>
      <w:tr>
        <w:tc>
          <w:tcPr>
            <w:tcW w:w="8608" w:type="dxa"/>
          </w:tcPr>
          <w:p>
            <w:pPr>
              <w:spacing w:before="60" w:after="60"/>
              <w:jc w:val="both"/>
              <w:rPr>
                <w:noProof/>
                <w:sz w:val="24"/>
                <w:szCs w:val="24"/>
              </w:rPr>
            </w:pPr>
            <w:r>
              <w:rPr>
                <w:noProof/>
                <w:sz w:val="24"/>
                <w:szCs w:val="24"/>
                <w:lang w:val="en-US"/>
              </w:rPr>
              <w:t>Bosmans, K.,  Gagnon, N., Riedl, A.</w:t>
            </w:r>
            <w:r>
              <w:rPr>
                <w:noProof/>
                <w:sz w:val="24"/>
                <w:szCs w:val="24"/>
              </w:rPr>
              <w:t>, ‘</w:t>
            </w:r>
            <w:hyperlink r:id="rId33" w:history="1">
              <w:r>
                <w:rPr>
                  <w:rStyle w:val="Hyperlink"/>
                  <w:noProof/>
                  <w:sz w:val="24"/>
                  <w:szCs w:val="24"/>
                </w:rPr>
                <w:t>The Effect of Unfair Chances and Gender Discrimination on Labor Supply</w:t>
              </w:r>
            </w:hyperlink>
            <w:r>
              <w:rPr>
                <w:noProof/>
                <w:sz w:val="24"/>
                <w:szCs w:val="24"/>
              </w:rPr>
              <w:t xml:space="preserve">’, </w:t>
            </w:r>
            <w:r>
              <w:rPr>
                <w:i/>
                <w:noProof/>
                <w:sz w:val="24"/>
                <w:szCs w:val="24"/>
              </w:rPr>
              <w:t>IZA DP No. 12912</w:t>
            </w:r>
            <w:r>
              <w:rPr>
                <w:noProof/>
                <w:sz w:val="24"/>
                <w:szCs w:val="24"/>
              </w:rPr>
              <w:t>, 2020.</w:t>
            </w:r>
          </w:p>
        </w:tc>
      </w:tr>
      <w:tr>
        <w:tc>
          <w:tcPr>
            <w:tcW w:w="8608" w:type="dxa"/>
          </w:tcPr>
          <w:p>
            <w:pPr>
              <w:spacing w:before="60" w:after="60"/>
              <w:jc w:val="both"/>
              <w:rPr>
                <w:noProof/>
                <w:sz w:val="24"/>
                <w:szCs w:val="24"/>
              </w:rPr>
            </w:pPr>
            <w:r>
              <w:rPr>
                <w:noProof/>
                <w:sz w:val="24"/>
                <w:szCs w:val="24"/>
                <w:lang w:val="en-US"/>
              </w:rPr>
              <w:t>Bracha, A., Gneezy, U., Loewenstein, G.</w:t>
            </w:r>
            <w:r>
              <w:rPr>
                <w:noProof/>
                <w:sz w:val="24"/>
                <w:szCs w:val="24"/>
              </w:rPr>
              <w:t>, ‘</w:t>
            </w:r>
            <w:hyperlink r:id="rId34" w:history="1">
              <w:r>
                <w:rPr>
                  <w:rStyle w:val="Hyperlink"/>
                  <w:noProof/>
                  <w:sz w:val="24"/>
                  <w:szCs w:val="24"/>
                </w:rPr>
                <w:t>Relative pay and labor supply</w:t>
              </w:r>
            </w:hyperlink>
            <w:r>
              <w:rPr>
                <w:noProof/>
                <w:sz w:val="24"/>
                <w:szCs w:val="24"/>
              </w:rPr>
              <w:t xml:space="preserve">’. </w:t>
            </w:r>
            <w:r>
              <w:rPr>
                <w:i/>
                <w:noProof/>
                <w:sz w:val="24"/>
                <w:szCs w:val="24"/>
              </w:rPr>
              <w:t>Journal of</w:t>
            </w:r>
            <w:r>
              <w:rPr>
                <w:noProof/>
                <w:sz w:val="24"/>
                <w:szCs w:val="24"/>
              </w:rPr>
              <w:t xml:space="preserve"> </w:t>
            </w:r>
            <w:r>
              <w:rPr>
                <w:i/>
                <w:noProof/>
                <w:sz w:val="24"/>
                <w:szCs w:val="24"/>
              </w:rPr>
              <w:t>labor economics</w:t>
            </w:r>
            <w:r>
              <w:rPr>
                <w:noProof/>
                <w:sz w:val="24"/>
                <w:szCs w:val="24"/>
              </w:rPr>
              <w:t xml:space="preserve"> 33(2), 2015, pp. 297–31.</w:t>
            </w:r>
          </w:p>
        </w:tc>
      </w:tr>
      <w:tr>
        <w:tc>
          <w:tcPr>
            <w:tcW w:w="8608" w:type="dxa"/>
          </w:tcPr>
          <w:p>
            <w:pPr>
              <w:spacing w:before="60" w:after="60"/>
              <w:jc w:val="both"/>
              <w:rPr>
                <w:noProof/>
                <w:sz w:val="24"/>
                <w:szCs w:val="24"/>
              </w:rPr>
            </w:pPr>
            <w:r>
              <w:rPr>
                <w:noProof/>
                <w:sz w:val="24"/>
                <w:szCs w:val="24"/>
                <w:lang w:val="en-US"/>
              </w:rPr>
              <w:t>Breza, E., Kaur, S., Shamdasani, Y.</w:t>
            </w:r>
            <w:r>
              <w:rPr>
                <w:noProof/>
                <w:sz w:val="24"/>
                <w:szCs w:val="24"/>
              </w:rPr>
              <w:t>, ‘</w:t>
            </w:r>
            <w:hyperlink r:id="rId35" w:history="1">
              <w:r>
                <w:rPr>
                  <w:rStyle w:val="Hyperlink"/>
                  <w:noProof/>
                  <w:sz w:val="24"/>
                  <w:szCs w:val="24"/>
                </w:rPr>
                <w:t>The morale effects of pay inequality</w:t>
              </w:r>
            </w:hyperlink>
            <w:r>
              <w:rPr>
                <w:noProof/>
                <w:sz w:val="24"/>
                <w:szCs w:val="24"/>
              </w:rPr>
              <w:t xml:space="preserve">’. </w:t>
            </w:r>
            <w:r>
              <w:rPr>
                <w:i/>
                <w:noProof/>
                <w:sz w:val="24"/>
                <w:szCs w:val="24"/>
              </w:rPr>
              <w:t>The Quarterly Journal of Economics</w:t>
            </w:r>
            <w:r>
              <w:rPr>
                <w:noProof/>
                <w:sz w:val="24"/>
                <w:szCs w:val="24"/>
              </w:rPr>
              <w:t xml:space="preserve"> 133(2), 2018, pp. 611–663. </w:t>
            </w:r>
          </w:p>
        </w:tc>
      </w:tr>
      <w:tr>
        <w:tc>
          <w:tcPr>
            <w:tcW w:w="8608" w:type="dxa"/>
          </w:tcPr>
          <w:p>
            <w:pPr>
              <w:spacing w:before="60" w:after="60"/>
              <w:jc w:val="both"/>
              <w:rPr>
                <w:noProof/>
                <w:sz w:val="24"/>
                <w:szCs w:val="24"/>
                <w:lang w:val="en-US"/>
              </w:rPr>
            </w:pPr>
            <w:r>
              <w:rPr>
                <w:noProof/>
                <w:sz w:val="24"/>
                <w:szCs w:val="24"/>
              </w:rPr>
              <w:t xml:space="preserve">Brosi, P.; Schwarzmüller, T.; Welpe, I., </w:t>
            </w:r>
            <w:hyperlink r:id="rId36" w:history="1">
              <w:r>
                <w:rPr>
                  <w:rStyle w:val="Hyperlink"/>
                  <w:i/>
                  <w:noProof/>
                  <w:sz w:val="24"/>
                  <w:szCs w:val="24"/>
                </w:rPr>
                <w:t>Ensuring equal pay and equal access to employment through gender-neutral job evaluation and classification</w:t>
              </w:r>
            </w:hyperlink>
            <w:r>
              <w:rPr>
                <w:noProof/>
                <w:sz w:val="24"/>
                <w:szCs w:val="24"/>
              </w:rPr>
              <w:t>, European Union, 2015.</w:t>
            </w:r>
          </w:p>
        </w:tc>
      </w:tr>
      <w:tr>
        <w:tc>
          <w:tcPr>
            <w:tcW w:w="8608" w:type="dxa"/>
          </w:tcPr>
          <w:p>
            <w:pPr>
              <w:spacing w:before="60" w:after="60"/>
              <w:jc w:val="both"/>
              <w:rPr>
                <w:noProof/>
                <w:sz w:val="24"/>
                <w:szCs w:val="24"/>
              </w:rPr>
            </w:pPr>
            <w:r>
              <w:rPr>
                <w:noProof/>
                <w:sz w:val="24"/>
                <w:szCs w:val="24"/>
              </w:rPr>
              <w:t>Bryson, A., et al., ‘</w:t>
            </w:r>
            <w:hyperlink r:id="rId37" w:history="1">
              <w:r>
                <w:rPr>
                  <w:rStyle w:val="Hyperlink"/>
                  <w:noProof/>
                  <w:sz w:val="24"/>
                  <w:szCs w:val="24"/>
                </w:rPr>
                <w:t>A Short History of the Gender Wage Gap in Britain</w:t>
              </w:r>
            </w:hyperlink>
            <w:r>
              <w:rPr>
                <w:rStyle w:val="Hyperlink"/>
                <w:noProof/>
                <w:sz w:val="24"/>
                <w:szCs w:val="24"/>
              </w:rPr>
              <w:t>’</w:t>
            </w:r>
            <w:r>
              <w:rPr>
                <w:noProof/>
                <w:sz w:val="24"/>
                <w:szCs w:val="24"/>
              </w:rPr>
              <w:t xml:space="preserve">, </w:t>
            </w:r>
            <w:r>
              <w:rPr>
                <w:i/>
                <w:noProof/>
                <w:sz w:val="24"/>
                <w:szCs w:val="24"/>
              </w:rPr>
              <w:t>IZA</w:t>
            </w:r>
            <w:r>
              <w:rPr>
                <w:noProof/>
                <w:sz w:val="24"/>
                <w:szCs w:val="24"/>
              </w:rPr>
              <w:t xml:space="preserve"> Discussion Papers No. 13289, May 2020. </w:t>
            </w:r>
          </w:p>
        </w:tc>
      </w:tr>
      <w:tr>
        <w:tc>
          <w:tcPr>
            <w:tcW w:w="8608" w:type="dxa"/>
          </w:tcPr>
          <w:p>
            <w:pPr>
              <w:spacing w:before="60" w:after="60"/>
              <w:jc w:val="both"/>
              <w:rPr>
                <w:noProof/>
                <w:sz w:val="24"/>
                <w:szCs w:val="24"/>
              </w:rPr>
            </w:pPr>
            <w:r>
              <w:rPr>
                <w:noProof/>
                <w:sz w:val="24"/>
                <w:szCs w:val="24"/>
              </w:rPr>
              <w:t>Burn, I., Kettler, K., ‘</w:t>
            </w:r>
            <w:hyperlink r:id="rId38" w:history="1">
              <w:r>
                <w:rPr>
                  <w:rStyle w:val="Hyperlink"/>
                  <w:noProof/>
                  <w:sz w:val="24"/>
                  <w:szCs w:val="24"/>
                </w:rPr>
                <w:t>The more you know, the better you’re paid? Evidence from pay secrecy bans for managers</w:t>
              </w:r>
            </w:hyperlink>
            <w:r>
              <w:rPr>
                <w:rStyle w:val="Hyperlink"/>
                <w:noProof/>
                <w:sz w:val="24"/>
                <w:szCs w:val="24"/>
              </w:rPr>
              <w:t>’</w:t>
            </w:r>
            <w:r>
              <w:rPr>
                <w:noProof/>
                <w:sz w:val="24"/>
                <w:szCs w:val="24"/>
              </w:rPr>
              <w:t xml:space="preserve">, </w:t>
            </w:r>
            <w:r>
              <w:rPr>
                <w:i/>
                <w:noProof/>
                <w:sz w:val="24"/>
                <w:szCs w:val="24"/>
              </w:rPr>
              <w:t>Labour Economics</w:t>
            </w:r>
            <w:r>
              <w:rPr>
                <w:noProof/>
                <w:sz w:val="24"/>
                <w:szCs w:val="24"/>
              </w:rPr>
              <w:t>, 59, 2019, 92-109.</w:t>
            </w:r>
          </w:p>
        </w:tc>
      </w:tr>
      <w:tr>
        <w:tc>
          <w:tcPr>
            <w:tcW w:w="8608" w:type="dxa"/>
          </w:tcPr>
          <w:p>
            <w:pPr>
              <w:spacing w:before="60" w:after="60"/>
              <w:jc w:val="both"/>
              <w:rPr>
                <w:noProof/>
                <w:sz w:val="24"/>
                <w:szCs w:val="24"/>
              </w:rPr>
            </w:pPr>
            <w:r>
              <w:rPr>
                <w:noProof/>
                <w:sz w:val="24"/>
                <w:szCs w:val="24"/>
              </w:rPr>
              <w:t>Burri, S., ‘</w:t>
            </w:r>
            <w:hyperlink r:id="rId39" w:history="1">
              <w:r>
                <w:rPr>
                  <w:rStyle w:val="Hyperlink"/>
                  <w:noProof/>
                  <w:sz w:val="24"/>
                  <w:szCs w:val="24"/>
                </w:rPr>
                <w:t>National cases and good practices on equal pay</w:t>
              </w:r>
            </w:hyperlink>
            <w:r>
              <w:rPr>
                <w:rStyle w:val="Hyperlink"/>
                <w:noProof/>
                <w:sz w:val="24"/>
                <w:szCs w:val="24"/>
              </w:rPr>
              <w:t>’</w:t>
            </w:r>
            <w:r>
              <w:rPr>
                <w:noProof/>
                <w:sz w:val="24"/>
                <w:szCs w:val="24"/>
              </w:rPr>
              <w:t>. European Network of Legal Experts in Gender Equality and Non-Discrimination. European Commission – DG JUST. Luxembourg: Publications Office of the European Union, 2019.</w:t>
            </w:r>
          </w:p>
        </w:tc>
      </w:tr>
      <w:tr>
        <w:tc>
          <w:tcPr>
            <w:tcW w:w="8608" w:type="dxa"/>
          </w:tcPr>
          <w:p>
            <w:pPr>
              <w:spacing w:before="60" w:after="60"/>
              <w:jc w:val="both"/>
              <w:rPr>
                <w:noProof/>
                <w:sz w:val="24"/>
                <w:szCs w:val="24"/>
              </w:rPr>
            </w:pPr>
            <w:r>
              <w:rPr>
                <w:noProof/>
                <w:sz w:val="24"/>
                <w:szCs w:val="24"/>
                <w:lang w:val="en-US"/>
              </w:rPr>
              <w:t xml:space="preserve">Card, D.; Mas, A.;   </w:t>
            </w:r>
            <w:r>
              <w:rPr>
                <w:noProof/>
                <w:sz w:val="24"/>
                <w:szCs w:val="24"/>
              </w:rPr>
              <w:t xml:space="preserve">Moretti, E.; Saez, </w:t>
            </w:r>
            <w:r>
              <w:rPr>
                <w:noProof/>
                <w:sz w:val="24"/>
                <w:szCs w:val="24"/>
                <w:lang w:val="en-US"/>
              </w:rPr>
              <w:t>E.</w:t>
            </w:r>
            <w:r>
              <w:rPr>
                <w:noProof/>
                <w:sz w:val="24"/>
                <w:szCs w:val="24"/>
              </w:rPr>
              <w:t>, ‘</w:t>
            </w:r>
            <w:hyperlink r:id="rId40" w:history="1">
              <w:r>
                <w:rPr>
                  <w:rStyle w:val="Hyperlink"/>
                  <w:noProof/>
                  <w:sz w:val="24"/>
                  <w:szCs w:val="24"/>
                </w:rPr>
                <w:t>Inequality at work: The effect of peer salaries on job satisfaction</w:t>
              </w:r>
            </w:hyperlink>
            <w:r>
              <w:rPr>
                <w:noProof/>
                <w:sz w:val="24"/>
                <w:szCs w:val="24"/>
              </w:rPr>
              <w:t xml:space="preserve">’, </w:t>
            </w:r>
            <w:r>
              <w:rPr>
                <w:i/>
                <w:noProof/>
                <w:sz w:val="24"/>
                <w:szCs w:val="24"/>
              </w:rPr>
              <w:t xml:space="preserve">American Economic Review </w:t>
            </w:r>
            <w:r>
              <w:rPr>
                <w:noProof/>
                <w:sz w:val="24"/>
                <w:szCs w:val="24"/>
              </w:rPr>
              <w:t>102(6), 2012, pp. 2981–3003.</w:t>
            </w:r>
          </w:p>
        </w:tc>
      </w:tr>
      <w:tr>
        <w:tc>
          <w:tcPr>
            <w:tcW w:w="8608" w:type="dxa"/>
          </w:tcPr>
          <w:p>
            <w:pPr>
              <w:spacing w:before="60" w:after="60"/>
              <w:jc w:val="both"/>
              <w:rPr>
                <w:noProof/>
                <w:sz w:val="24"/>
                <w:szCs w:val="24"/>
              </w:rPr>
            </w:pPr>
            <w:r>
              <w:rPr>
                <w:noProof/>
                <w:sz w:val="24"/>
                <w:szCs w:val="24"/>
              </w:rPr>
              <w:t>Castilla, E.J., ‘</w:t>
            </w:r>
            <w:hyperlink r:id="rId41" w:history="1">
              <w:r>
                <w:rPr>
                  <w:rStyle w:val="Hyperlink"/>
                  <w:noProof/>
                  <w:sz w:val="24"/>
                  <w:szCs w:val="24"/>
                </w:rPr>
                <w:t>Accounting for the Gap: A Firm Study Manipulating Organizational Accountability and Transparency in Pay Decisions</w:t>
              </w:r>
            </w:hyperlink>
            <w:r>
              <w:rPr>
                <w:noProof/>
                <w:sz w:val="24"/>
                <w:szCs w:val="24"/>
              </w:rPr>
              <w:t xml:space="preserve">’, Organization Science, 26, 2015, pp. 311–333. </w:t>
            </w:r>
          </w:p>
        </w:tc>
      </w:tr>
      <w:tr>
        <w:tc>
          <w:tcPr>
            <w:tcW w:w="8608" w:type="dxa"/>
          </w:tcPr>
          <w:p>
            <w:pPr>
              <w:spacing w:before="60" w:after="60"/>
              <w:jc w:val="both"/>
              <w:rPr>
                <w:noProof/>
                <w:sz w:val="24"/>
                <w:szCs w:val="24"/>
              </w:rPr>
            </w:pPr>
            <w:r>
              <w:rPr>
                <w:noProof/>
                <w:sz w:val="24"/>
                <w:szCs w:val="24"/>
              </w:rPr>
              <w:t>CGTP-IN et al, ‘</w:t>
            </w:r>
            <w:hyperlink r:id="rId42" w:history="1">
              <w:r>
                <w:rPr>
                  <w:rStyle w:val="Hyperlink"/>
                  <w:noProof/>
                  <w:sz w:val="24"/>
                  <w:szCs w:val="24"/>
                </w:rPr>
                <w:t>Value of work and gender equality – Guide to applying a methodology for assessing the value of work free from gender bias</w:t>
              </w:r>
            </w:hyperlink>
            <w:r>
              <w:rPr>
                <w:rStyle w:val="Hyperlink"/>
                <w:noProof/>
                <w:sz w:val="24"/>
                <w:szCs w:val="24"/>
              </w:rPr>
              <w:t>’</w:t>
            </w:r>
            <w:r>
              <w:rPr>
                <w:noProof/>
                <w:sz w:val="24"/>
                <w:szCs w:val="24"/>
              </w:rPr>
              <w:t>, Lisbon, November 2008.</w:t>
            </w:r>
          </w:p>
        </w:tc>
      </w:tr>
      <w:tr>
        <w:tc>
          <w:tcPr>
            <w:tcW w:w="8608" w:type="dxa"/>
          </w:tcPr>
          <w:p>
            <w:pPr>
              <w:spacing w:before="60" w:after="60"/>
              <w:jc w:val="both"/>
              <w:rPr>
                <w:noProof/>
                <w:sz w:val="24"/>
                <w:szCs w:val="24"/>
              </w:rPr>
            </w:pPr>
            <w:r>
              <w:rPr>
                <w:noProof/>
                <w:sz w:val="24"/>
                <w:szCs w:val="24"/>
              </w:rPr>
              <w:t>Chamberlain, A., ‘</w:t>
            </w:r>
            <w:hyperlink r:id="rId43" w:history="1">
              <w:r>
                <w:rPr>
                  <w:rStyle w:val="Hyperlink"/>
                  <w:noProof/>
                  <w:sz w:val="24"/>
                  <w:szCs w:val="24"/>
                </w:rPr>
                <w:t>Is Salary Transparency More Than a Trend?</w:t>
              </w:r>
            </w:hyperlink>
            <w:r>
              <w:rPr>
                <w:noProof/>
                <w:sz w:val="24"/>
                <w:szCs w:val="24"/>
              </w:rPr>
              <w:t xml:space="preserve">’, </w:t>
            </w:r>
            <w:r>
              <w:rPr>
                <w:i/>
                <w:noProof/>
                <w:sz w:val="24"/>
                <w:szCs w:val="24"/>
              </w:rPr>
              <w:t>Glassdoor Economic Research Report</w:t>
            </w:r>
            <w:r>
              <w:rPr>
                <w:noProof/>
                <w:sz w:val="24"/>
                <w:szCs w:val="24"/>
              </w:rPr>
              <w:t>, 2015.</w:t>
            </w:r>
          </w:p>
        </w:tc>
      </w:tr>
      <w:tr>
        <w:tc>
          <w:tcPr>
            <w:tcW w:w="8608" w:type="dxa"/>
          </w:tcPr>
          <w:p>
            <w:pPr>
              <w:spacing w:before="60" w:after="60"/>
              <w:jc w:val="both"/>
              <w:rPr>
                <w:noProof/>
                <w:sz w:val="24"/>
                <w:szCs w:val="24"/>
              </w:rPr>
            </w:pPr>
            <w:r>
              <w:rPr>
                <w:noProof/>
                <w:sz w:val="24"/>
                <w:szCs w:val="24"/>
              </w:rPr>
              <w:t xml:space="preserve">Charness, G.; Cobo-Reyes, R.;  Lacomba, J. A.; Lagos, F.; Pérez, J. M., ‘Social comparisonsin wage delegation: Experimental evidence’, </w:t>
            </w:r>
            <w:r>
              <w:rPr>
                <w:i/>
                <w:noProof/>
                <w:sz w:val="24"/>
                <w:szCs w:val="24"/>
              </w:rPr>
              <w:t>Experimental Economics</w:t>
            </w:r>
            <w:r>
              <w:rPr>
                <w:noProof/>
                <w:sz w:val="24"/>
                <w:szCs w:val="24"/>
              </w:rPr>
              <w:t xml:space="preserve"> 19(2), 433–459, 2016.</w:t>
            </w:r>
          </w:p>
        </w:tc>
      </w:tr>
      <w:tr>
        <w:tc>
          <w:tcPr>
            <w:tcW w:w="8608" w:type="dxa"/>
          </w:tcPr>
          <w:p>
            <w:pPr>
              <w:spacing w:before="60" w:after="60"/>
              <w:jc w:val="both"/>
              <w:rPr>
                <w:noProof/>
                <w:sz w:val="24"/>
                <w:szCs w:val="24"/>
              </w:rPr>
            </w:pPr>
            <w:r>
              <w:rPr>
                <w:noProof/>
                <w:sz w:val="24"/>
                <w:szCs w:val="24"/>
                <w:shd w:val="clear" w:color="auto" w:fill="FFFFFF"/>
              </w:rPr>
              <w:t>Chicha, M.-T., ‘</w:t>
            </w:r>
            <w:hyperlink r:id="rId44" w:history="1">
              <w:r>
                <w:rPr>
                  <w:rStyle w:val="Hyperlink"/>
                  <w:noProof/>
                  <w:sz w:val="24"/>
                  <w:szCs w:val="24"/>
                </w:rPr>
                <w:t>A comparative analysis of promoting pay equity: models and impacts</w:t>
              </w:r>
            </w:hyperlink>
            <w:r>
              <w:rPr>
                <w:rStyle w:val="Hyperlink"/>
                <w:noProof/>
                <w:sz w:val="24"/>
                <w:szCs w:val="24"/>
              </w:rPr>
              <w:t>’</w:t>
            </w:r>
            <w:r>
              <w:rPr>
                <w:noProof/>
                <w:sz w:val="24"/>
                <w:szCs w:val="24"/>
                <w:shd w:val="clear" w:color="auto" w:fill="FFFFFF"/>
              </w:rPr>
              <w:t xml:space="preserve">, </w:t>
            </w:r>
            <w:hyperlink r:id="rId45" w:history="1">
              <w:r>
                <w:rPr>
                  <w:rStyle w:val="Hyperlink"/>
                  <w:i/>
                  <w:iCs/>
                  <w:noProof/>
                  <w:color w:val="auto"/>
                  <w:sz w:val="24"/>
                  <w:szCs w:val="24"/>
                  <w:u w:val="none"/>
                </w:rPr>
                <w:t>ILO Working Papers</w:t>
              </w:r>
            </w:hyperlink>
            <w:r>
              <w:rPr>
                <w:rFonts w:eastAsiaTheme="minorEastAsia"/>
                <w:noProof/>
                <w:sz w:val="24"/>
                <w:szCs w:val="24"/>
                <w:shd w:val="clear" w:color="auto" w:fill="FFFFFF"/>
              </w:rPr>
              <w:t xml:space="preserve">, International Labour Organization, </w:t>
            </w:r>
            <w:r>
              <w:rPr>
                <w:noProof/>
                <w:sz w:val="24"/>
                <w:szCs w:val="24"/>
                <w:shd w:val="clear" w:color="auto" w:fill="FFFFFF"/>
              </w:rPr>
              <w:t>2006</w:t>
            </w:r>
            <w:r>
              <w:rPr>
                <w:rFonts w:eastAsiaTheme="minorEastAsia"/>
                <w:noProof/>
                <w:sz w:val="24"/>
                <w:szCs w:val="24"/>
                <w:shd w:val="clear" w:color="auto" w:fill="FFFFFF"/>
              </w:rPr>
              <w:t>.</w:t>
            </w:r>
          </w:p>
        </w:tc>
      </w:tr>
      <w:tr>
        <w:tc>
          <w:tcPr>
            <w:tcW w:w="8608" w:type="dxa"/>
          </w:tcPr>
          <w:p>
            <w:pPr>
              <w:spacing w:before="60" w:after="60"/>
              <w:jc w:val="both"/>
              <w:rPr>
                <w:noProof/>
                <w:sz w:val="24"/>
                <w:szCs w:val="24"/>
                <w:shd w:val="clear" w:color="auto" w:fill="FFFFFF"/>
              </w:rPr>
            </w:pPr>
            <w:r>
              <w:rPr>
                <w:noProof/>
                <w:sz w:val="24"/>
                <w:szCs w:val="24"/>
              </w:rPr>
              <w:t xml:space="preserve">Clark, A. E., Masclet, D., Villeval, M. C., ‘Effort and comparison income: Experimentaland survey evidence’. </w:t>
            </w:r>
            <w:r>
              <w:rPr>
                <w:i/>
                <w:noProof/>
                <w:sz w:val="24"/>
                <w:szCs w:val="24"/>
              </w:rPr>
              <w:t>ILR Review</w:t>
            </w:r>
            <w:r>
              <w:rPr>
                <w:noProof/>
                <w:sz w:val="24"/>
                <w:szCs w:val="24"/>
              </w:rPr>
              <w:t xml:space="preserve"> 63(3), 2010, pp. 407–426. </w:t>
            </w:r>
          </w:p>
        </w:tc>
      </w:tr>
      <w:tr>
        <w:tc>
          <w:tcPr>
            <w:tcW w:w="8608" w:type="dxa"/>
          </w:tcPr>
          <w:p>
            <w:pPr>
              <w:spacing w:before="60" w:after="60"/>
              <w:jc w:val="both"/>
              <w:rPr>
                <w:noProof/>
                <w:sz w:val="24"/>
                <w:szCs w:val="24"/>
              </w:rPr>
            </w:pPr>
            <w:r>
              <w:rPr>
                <w:noProof/>
                <w:sz w:val="24"/>
                <w:szCs w:val="24"/>
              </w:rPr>
              <w:t>Colletti, J. A., Schuster, J. R., ‘</w:t>
            </w:r>
            <w:hyperlink r:id="rId46" w:anchor="metadata_info_tab_contents" w:history="1">
              <w:r>
                <w:rPr>
                  <w:rStyle w:val="Hyperlink"/>
                  <w:noProof/>
                  <w:sz w:val="24"/>
                  <w:szCs w:val="24"/>
                </w:rPr>
                <w:t>Pay Secrecy: Who Is for and against It</w:t>
              </w:r>
            </w:hyperlink>
            <w:r>
              <w:rPr>
                <w:noProof/>
                <w:sz w:val="24"/>
                <w:szCs w:val="24"/>
              </w:rPr>
              <w:t xml:space="preserve">?’, </w:t>
            </w:r>
            <w:r>
              <w:rPr>
                <w:i/>
                <w:noProof/>
                <w:sz w:val="24"/>
                <w:szCs w:val="24"/>
              </w:rPr>
              <w:t>The Academy</w:t>
            </w:r>
            <w:r>
              <w:rPr>
                <w:noProof/>
                <w:sz w:val="24"/>
                <w:szCs w:val="24"/>
              </w:rPr>
              <w:t xml:space="preserve"> </w:t>
            </w:r>
            <w:r>
              <w:rPr>
                <w:i/>
                <w:noProof/>
                <w:sz w:val="24"/>
                <w:szCs w:val="24"/>
              </w:rPr>
              <w:t>of Management Journal</w:t>
            </w:r>
            <w:r>
              <w:rPr>
                <w:noProof/>
                <w:sz w:val="24"/>
                <w:szCs w:val="24"/>
              </w:rPr>
              <w:t>, vol. 16, no. 1, 1973.</w:t>
            </w:r>
          </w:p>
        </w:tc>
      </w:tr>
      <w:tr>
        <w:tc>
          <w:tcPr>
            <w:tcW w:w="8608" w:type="dxa"/>
          </w:tcPr>
          <w:p>
            <w:pPr>
              <w:spacing w:before="60" w:after="60"/>
              <w:jc w:val="both"/>
              <w:rPr>
                <w:noProof/>
                <w:sz w:val="24"/>
                <w:szCs w:val="24"/>
              </w:rPr>
            </w:pPr>
            <w:r>
              <w:rPr>
                <w:noProof/>
                <w:sz w:val="24"/>
                <w:szCs w:val="24"/>
              </w:rPr>
              <w:t xml:space="preserve">Crosby, F., </w:t>
            </w:r>
            <w:r>
              <w:rPr>
                <w:i/>
                <w:noProof/>
                <w:sz w:val="24"/>
                <w:szCs w:val="24"/>
              </w:rPr>
              <w:t>Relative Deprivation and Working Women</w:t>
            </w:r>
            <w:r>
              <w:rPr>
                <w:noProof/>
                <w:sz w:val="24"/>
                <w:szCs w:val="24"/>
              </w:rPr>
              <w:t xml:space="preserve">. New York: Oxford University Press, 1982. </w:t>
            </w:r>
          </w:p>
        </w:tc>
      </w:tr>
      <w:tr>
        <w:tc>
          <w:tcPr>
            <w:tcW w:w="8608" w:type="dxa"/>
          </w:tcPr>
          <w:p>
            <w:pPr>
              <w:spacing w:before="60" w:after="60"/>
              <w:jc w:val="both"/>
              <w:rPr>
                <w:noProof/>
                <w:sz w:val="24"/>
                <w:szCs w:val="24"/>
              </w:rPr>
            </w:pPr>
            <w:r>
              <w:rPr>
                <w:noProof/>
                <w:sz w:val="24"/>
                <w:szCs w:val="24"/>
              </w:rPr>
              <w:t xml:space="preserve">Cullen, Z.B. and Pakzad-Hurson B., </w:t>
            </w:r>
            <w:hyperlink r:id="rId47" w:history="1">
              <w:r>
                <w:rPr>
                  <w:i/>
                  <w:iCs/>
                  <w:noProof/>
                  <w:sz w:val="24"/>
                  <w:szCs w:val="24"/>
                </w:rPr>
                <w:t>Equilibrium Effects of Pay Transparency in a Simple Labor Market</w:t>
              </w:r>
            </w:hyperlink>
            <w:r>
              <w:rPr>
                <w:rFonts w:eastAsiaTheme="minorEastAsia"/>
                <w:i/>
                <w:noProof/>
                <w:sz w:val="24"/>
                <w:szCs w:val="24"/>
              </w:rPr>
              <w:t>,</w:t>
            </w:r>
            <w:r>
              <w:rPr>
                <w:noProof/>
                <w:sz w:val="24"/>
                <w:szCs w:val="24"/>
              </w:rPr>
              <w:t xml:space="preserve"> </w:t>
            </w:r>
            <w:r>
              <w:rPr>
                <w:rFonts w:eastAsiaTheme="minorEastAsia"/>
                <w:noProof/>
                <w:sz w:val="24"/>
                <w:szCs w:val="24"/>
              </w:rPr>
              <w:t>Working Paper, April 2019</w:t>
            </w:r>
            <w:r>
              <w:rPr>
                <w:rFonts w:eastAsiaTheme="minorEastAsia"/>
                <w:noProof/>
                <w:sz w:val="24"/>
                <w:szCs w:val="24"/>
                <w:shd w:val="clear" w:color="auto" w:fill="FFFFFF"/>
              </w:rPr>
              <w:t>.</w:t>
            </w:r>
          </w:p>
        </w:tc>
      </w:tr>
      <w:tr>
        <w:tc>
          <w:tcPr>
            <w:tcW w:w="8608" w:type="dxa"/>
          </w:tcPr>
          <w:p>
            <w:pPr>
              <w:spacing w:before="60" w:after="60"/>
              <w:jc w:val="both"/>
              <w:rPr>
                <w:rFonts w:eastAsiaTheme="minorEastAsia"/>
                <w:noProof/>
                <w:sz w:val="24"/>
                <w:szCs w:val="24"/>
              </w:rPr>
            </w:pPr>
            <w:r>
              <w:rPr>
                <w:noProof/>
                <w:sz w:val="24"/>
                <w:szCs w:val="24"/>
              </w:rPr>
              <w:t>Davison, H., ‘</w:t>
            </w:r>
            <w:hyperlink r:id="rId48" w:history="1">
              <w:r>
                <w:rPr>
                  <w:rStyle w:val="Hyperlink"/>
                  <w:noProof/>
                  <w:sz w:val="24"/>
                  <w:szCs w:val="24"/>
                </w:rPr>
                <w:t>The Paradox of the Contented Female Worker: Why Are Women Satisfied with Lower Pay?</w:t>
              </w:r>
            </w:hyperlink>
            <w:r>
              <w:rPr>
                <w:rStyle w:val="Hyperlink"/>
                <w:noProof/>
                <w:sz w:val="24"/>
                <w:szCs w:val="24"/>
              </w:rPr>
              <w:t>’</w:t>
            </w:r>
            <w:r>
              <w:rPr>
                <w:noProof/>
                <w:sz w:val="24"/>
                <w:szCs w:val="24"/>
              </w:rPr>
              <w:t xml:space="preserve">, </w:t>
            </w:r>
            <w:r>
              <w:rPr>
                <w:i/>
                <w:noProof/>
                <w:sz w:val="24"/>
                <w:szCs w:val="24"/>
              </w:rPr>
              <w:t>Employee Responsibilities and Rights Journal</w:t>
            </w:r>
            <w:r>
              <w:rPr>
                <w:rFonts w:eastAsiaTheme="minorEastAsia"/>
                <w:noProof/>
                <w:sz w:val="24"/>
                <w:szCs w:val="24"/>
              </w:rPr>
              <w:t xml:space="preserve"> 26, </w:t>
            </w:r>
            <w:r>
              <w:rPr>
                <w:noProof/>
                <w:sz w:val="24"/>
                <w:szCs w:val="24"/>
              </w:rPr>
              <w:t>2014,</w:t>
            </w:r>
            <w:r>
              <w:rPr>
                <w:rFonts w:eastAsiaTheme="minorEastAsia"/>
                <w:noProof/>
                <w:sz w:val="24"/>
                <w:szCs w:val="24"/>
              </w:rPr>
              <w:t xml:space="preserve"> pp. 195–216.</w:t>
            </w:r>
          </w:p>
        </w:tc>
      </w:tr>
      <w:tr>
        <w:tc>
          <w:tcPr>
            <w:tcW w:w="8608" w:type="dxa"/>
          </w:tcPr>
          <w:p>
            <w:pPr>
              <w:spacing w:before="60" w:after="60"/>
              <w:jc w:val="both"/>
              <w:rPr>
                <w:noProof/>
                <w:sz w:val="24"/>
                <w:szCs w:val="24"/>
              </w:rPr>
            </w:pPr>
            <w:r>
              <w:rPr>
                <w:noProof/>
                <w:sz w:val="24"/>
                <w:szCs w:val="24"/>
                <w:lang w:val="pt-BR"/>
              </w:rPr>
              <w:t>De Wispelaere, J., Noguera, J. A.</w:t>
            </w:r>
            <w:r>
              <w:rPr>
                <w:noProof/>
                <w:sz w:val="24"/>
                <w:szCs w:val="24"/>
                <w:lang w:val="en-US"/>
              </w:rPr>
              <w:t>, ‘</w:t>
            </w:r>
            <w:r>
              <w:rPr>
                <w:noProof/>
                <w:sz w:val="24"/>
                <w:szCs w:val="24"/>
              </w:rPr>
              <w:t xml:space="preserve">On the Political Feasibility of Universal Basic Income’ in  Caputo, K., </w:t>
            </w:r>
            <w:r>
              <w:rPr>
                <w:i/>
                <w:noProof/>
                <w:sz w:val="24"/>
                <w:szCs w:val="24"/>
              </w:rPr>
              <w:t>Basic Income Guarantee and Politics. International Experiences and Perspectives on the Viability of Income Guarantee</w:t>
            </w:r>
            <w:r>
              <w:rPr>
                <w:noProof/>
                <w:sz w:val="24"/>
                <w:szCs w:val="24"/>
              </w:rPr>
              <w:t xml:space="preserve">, NewYork: Palgrave Macmillan, </w:t>
            </w:r>
            <w:r>
              <w:rPr>
                <w:noProof/>
                <w:sz w:val="24"/>
                <w:szCs w:val="24"/>
                <w:lang w:val="en-US"/>
              </w:rPr>
              <w:t xml:space="preserve">2012, </w:t>
            </w:r>
            <w:r>
              <w:rPr>
                <w:noProof/>
                <w:sz w:val="24"/>
                <w:szCs w:val="24"/>
              </w:rPr>
              <w:t>pp. 17-38.</w:t>
            </w:r>
          </w:p>
        </w:tc>
      </w:tr>
      <w:tr>
        <w:tc>
          <w:tcPr>
            <w:tcW w:w="8608" w:type="dxa"/>
          </w:tcPr>
          <w:p>
            <w:pPr>
              <w:spacing w:before="60" w:after="60"/>
              <w:jc w:val="both"/>
              <w:rPr>
                <w:noProof/>
                <w:sz w:val="24"/>
                <w:szCs w:val="24"/>
                <w:lang w:val="en-US"/>
              </w:rPr>
            </w:pPr>
            <w:r>
              <w:rPr>
                <w:noProof/>
                <w:sz w:val="24"/>
                <w:szCs w:val="24"/>
              </w:rPr>
              <w:t xml:space="preserve">Deakin, S. et al., ‘Are litigation and collective bargaining complements or substitutes for achieving gender equality? A study of the British Equal Pay Act’, </w:t>
            </w:r>
            <w:r>
              <w:rPr>
                <w:i/>
                <w:noProof/>
                <w:sz w:val="24"/>
                <w:szCs w:val="24"/>
              </w:rPr>
              <w:t>Cambridge Journal of Economics</w:t>
            </w:r>
            <w:r>
              <w:rPr>
                <w:noProof/>
                <w:sz w:val="24"/>
                <w:szCs w:val="24"/>
              </w:rPr>
              <w:t>, 39, 2015, pp. 381–403.</w:t>
            </w:r>
            <w:r>
              <w:rPr>
                <w:rFonts w:eastAsiaTheme="minorEastAsia"/>
                <w:noProof/>
                <w:sz w:val="24"/>
                <w:szCs w:val="24"/>
              </w:rPr>
              <w:t xml:space="preserve"> </w:t>
            </w:r>
          </w:p>
        </w:tc>
      </w:tr>
      <w:tr>
        <w:tc>
          <w:tcPr>
            <w:tcW w:w="8608" w:type="dxa"/>
          </w:tcPr>
          <w:p>
            <w:pPr>
              <w:spacing w:before="60" w:after="60"/>
              <w:jc w:val="both"/>
              <w:rPr>
                <w:noProof/>
                <w:sz w:val="24"/>
                <w:szCs w:val="24"/>
              </w:rPr>
            </w:pPr>
            <w:r>
              <w:rPr>
                <w:noProof/>
                <w:sz w:val="24"/>
                <w:szCs w:val="24"/>
                <w:lang w:val="de-DE"/>
              </w:rPr>
              <w:t xml:space="preserve">Deutscher Bundestag, </w:t>
            </w:r>
            <w:r>
              <w:rPr>
                <w:i/>
                <w:noProof/>
                <w:sz w:val="24"/>
                <w:szCs w:val="24"/>
                <w:lang w:val="de-DE"/>
              </w:rPr>
              <w:t>Entwurf eines Gesetzes zur Förderung der Transparenz von Entgeltstrukturen, Gesetzentwurf des Bundesregierung</w:t>
            </w:r>
            <w:r>
              <w:rPr>
                <w:noProof/>
                <w:sz w:val="24"/>
                <w:szCs w:val="24"/>
                <w:lang w:val="de-DE"/>
              </w:rPr>
              <w:t>, 2017. (Drucksache 18/11133).</w:t>
            </w:r>
          </w:p>
        </w:tc>
      </w:tr>
      <w:tr>
        <w:tc>
          <w:tcPr>
            <w:tcW w:w="8608" w:type="dxa"/>
          </w:tcPr>
          <w:p>
            <w:pPr>
              <w:spacing w:before="60" w:after="60"/>
              <w:jc w:val="both"/>
              <w:rPr>
                <w:noProof/>
                <w:sz w:val="24"/>
                <w:szCs w:val="24"/>
              </w:rPr>
            </w:pPr>
            <w:r>
              <w:rPr>
                <w:noProof/>
                <w:sz w:val="24"/>
                <w:szCs w:val="24"/>
              </w:rPr>
              <w:t>Eckel, C.C., Shurchkov, O., ‘</w:t>
            </w:r>
            <w:hyperlink r:id="rId49" w:history="1">
              <w:r>
                <w:rPr>
                  <w:rStyle w:val="Hyperlink"/>
                  <w:noProof/>
                  <w:sz w:val="24"/>
                  <w:szCs w:val="24"/>
                </w:rPr>
                <w:t>Gender differences in Behavioural Traits and Labour Market Outcomes</w:t>
              </w:r>
            </w:hyperlink>
            <w:r>
              <w:rPr>
                <w:rStyle w:val="Hyperlink"/>
                <w:noProof/>
                <w:sz w:val="24"/>
                <w:szCs w:val="24"/>
              </w:rPr>
              <w:t>’</w:t>
            </w:r>
            <w:r>
              <w:rPr>
                <w:noProof/>
                <w:sz w:val="24"/>
                <w:szCs w:val="24"/>
              </w:rPr>
              <w:t xml:space="preserve">, </w:t>
            </w:r>
            <w:r>
              <w:rPr>
                <w:i/>
                <w:noProof/>
                <w:sz w:val="24"/>
                <w:szCs w:val="24"/>
              </w:rPr>
              <w:t>The Oxford Handbook of Women and the Economy</w:t>
            </w:r>
            <w:r>
              <w:rPr>
                <w:noProof/>
                <w:sz w:val="24"/>
                <w:szCs w:val="24"/>
              </w:rPr>
              <w:t>, 2018.</w:t>
            </w:r>
          </w:p>
        </w:tc>
      </w:tr>
      <w:tr>
        <w:tc>
          <w:tcPr>
            <w:tcW w:w="8608" w:type="dxa"/>
          </w:tcPr>
          <w:p>
            <w:pPr>
              <w:spacing w:before="60" w:after="60"/>
              <w:rPr>
                <w:noProof/>
                <w:sz w:val="24"/>
                <w:szCs w:val="24"/>
              </w:rPr>
            </w:pPr>
            <w:r>
              <w:rPr>
                <w:noProof/>
                <w:sz w:val="24"/>
                <w:szCs w:val="24"/>
              </w:rPr>
              <w:t>EY, Support study for the impact assessment, forthcoming 2021.</w:t>
            </w:r>
          </w:p>
        </w:tc>
      </w:tr>
      <w:tr>
        <w:tc>
          <w:tcPr>
            <w:tcW w:w="8608" w:type="dxa"/>
          </w:tcPr>
          <w:p>
            <w:pPr>
              <w:spacing w:before="60" w:after="60"/>
              <w:jc w:val="both"/>
              <w:rPr>
                <w:noProof/>
                <w:sz w:val="24"/>
                <w:szCs w:val="24"/>
              </w:rPr>
            </w:pPr>
            <w:r>
              <w:rPr>
                <w:noProof/>
                <w:sz w:val="24"/>
                <w:szCs w:val="24"/>
              </w:rPr>
              <w:t xml:space="preserve">EIGE, </w:t>
            </w:r>
            <w:r>
              <w:rPr>
                <w:i/>
                <w:noProof/>
                <w:sz w:val="24"/>
                <w:szCs w:val="24"/>
              </w:rPr>
              <w:t>Gender Equality Index,2020. https://eige.europa.eu/gender-equality-index/2020</w:t>
            </w:r>
            <w:r>
              <w:rPr>
                <w:noProof/>
                <w:sz w:val="24"/>
                <w:szCs w:val="24"/>
              </w:rPr>
              <w:t>.</w:t>
            </w:r>
          </w:p>
        </w:tc>
      </w:tr>
      <w:tr>
        <w:tc>
          <w:tcPr>
            <w:tcW w:w="8608" w:type="dxa"/>
          </w:tcPr>
          <w:p>
            <w:pPr>
              <w:spacing w:before="60" w:after="60"/>
              <w:jc w:val="both"/>
              <w:rPr>
                <w:noProof/>
                <w:sz w:val="24"/>
                <w:szCs w:val="24"/>
              </w:rPr>
            </w:pPr>
            <w:r>
              <w:rPr>
                <w:noProof/>
                <w:sz w:val="24"/>
                <w:szCs w:val="24"/>
              </w:rPr>
              <w:t>England, P.,</w:t>
            </w:r>
            <w:r>
              <w:rPr>
                <w:noProof/>
                <w:sz w:val="24"/>
                <w:szCs w:val="24"/>
                <w:shd w:val="clear" w:color="auto" w:fill="FFFFFF"/>
              </w:rPr>
              <w:t xml:space="preserve"> </w:t>
            </w:r>
            <w:r>
              <w:rPr>
                <w:rStyle w:val="Emphasis"/>
                <w:noProof/>
                <w:sz w:val="24"/>
                <w:szCs w:val="24"/>
              </w:rPr>
              <w:t>Comparable Worth: Theories and Evidence</w:t>
            </w:r>
            <w:r>
              <w:rPr>
                <w:noProof/>
                <w:sz w:val="24"/>
                <w:szCs w:val="24"/>
                <w:shd w:val="clear" w:color="auto" w:fill="FFFFFF"/>
              </w:rPr>
              <w:t xml:space="preserve">. Social institutions and social change, Aldine De Gruyter, </w:t>
            </w:r>
            <w:r>
              <w:rPr>
                <w:noProof/>
                <w:sz w:val="24"/>
                <w:szCs w:val="24"/>
              </w:rPr>
              <w:t>1992</w:t>
            </w:r>
            <w:r>
              <w:rPr>
                <w:noProof/>
                <w:sz w:val="24"/>
                <w:szCs w:val="24"/>
                <w:shd w:val="clear" w:color="auto" w:fill="FFFFFF"/>
              </w:rPr>
              <w:t xml:space="preserve">. </w:t>
            </w:r>
          </w:p>
        </w:tc>
      </w:tr>
      <w:tr>
        <w:tc>
          <w:tcPr>
            <w:tcW w:w="8608" w:type="dxa"/>
          </w:tcPr>
          <w:p>
            <w:pPr>
              <w:spacing w:before="60" w:after="60"/>
              <w:jc w:val="both"/>
              <w:rPr>
                <w:noProof/>
                <w:sz w:val="24"/>
                <w:szCs w:val="24"/>
              </w:rPr>
            </w:pPr>
            <w:r>
              <w:rPr>
                <w:noProof/>
                <w:sz w:val="24"/>
                <w:szCs w:val="24"/>
              </w:rPr>
              <w:t xml:space="preserve">EPSCO, </w:t>
            </w:r>
            <w:r>
              <w:rPr>
                <w:i/>
                <w:noProof/>
                <w:sz w:val="24"/>
                <w:szCs w:val="24"/>
              </w:rPr>
              <w:t>Council Conclusions</w:t>
            </w:r>
            <w:r>
              <w:rPr>
                <w:noProof/>
                <w:sz w:val="24"/>
                <w:szCs w:val="24"/>
              </w:rPr>
              <w:t>, June 2019, doc. 10349/19.</w:t>
            </w:r>
          </w:p>
        </w:tc>
      </w:tr>
      <w:tr>
        <w:tc>
          <w:tcPr>
            <w:tcW w:w="8608" w:type="dxa"/>
          </w:tcPr>
          <w:p>
            <w:pPr>
              <w:spacing w:before="60" w:after="60"/>
              <w:rPr>
                <w:rFonts w:eastAsia="Calibri"/>
                <w:noProof/>
                <w:color w:val="000000" w:themeColor="text1"/>
                <w:sz w:val="24"/>
                <w:szCs w:val="24"/>
                <w:u w:val="single"/>
              </w:rPr>
            </w:pPr>
            <w:r>
              <w:rPr>
                <w:rFonts w:eastAsia="Calibri"/>
                <w:noProof/>
                <w:sz w:val="24"/>
                <w:szCs w:val="24"/>
              </w:rPr>
              <w:t xml:space="preserve">ESRI, </w:t>
            </w:r>
            <w:hyperlink r:id="rId50" w:history="1">
              <w:r>
                <w:rPr>
                  <w:rStyle w:val="Hyperlink"/>
                  <w:rFonts w:eastAsia="Calibri"/>
                  <w:i/>
                  <w:iCs/>
                  <w:noProof/>
                  <w:sz w:val="24"/>
                  <w:szCs w:val="24"/>
                </w:rPr>
                <w:t>Who experiences discrimination in Ireland? Evidence from the QNHS Equality Modules</w:t>
              </w:r>
            </w:hyperlink>
            <w:r>
              <w:rPr>
                <w:rFonts w:eastAsia="Calibri"/>
                <w:noProof/>
                <w:sz w:val="24"/>
                <w:szCs w:val="24"/>
              </w:rPr>
              <w:t>, 2017</w:t>
            </w:r>
          </w:p>
        </w:tc>
      </w:tr>
      <w:tr>
        <w:tc>
          <w:tcPr>
            <w:tcW w:w="8608" w:type="dxa"/>
          </w:tcPr>
          <w:p>
            <w:pPr>
              <w:spacing w:before="60" w:after="60"/>
              <w:jc w:val="both"/>
              <w:rPr>
                <w:noProof/>
                <w:sz w:val="24"/>
                <w:szCs w:val="24"/>
              </w:rPr>
            </w:pPr>
            <w:r>
              <w:rPr>
                <w:noProof/>
                <w:sz w:val="24"/>
                <w:szCs w:val="24"/>
              </w:rPr>
              <w:t xml:space="preserve">ETUC, </w:t>
            </w:r>
            <w:hyperlink r:id="rId51" w:history="1">
              <w:r>
                <w:rPr>
                  <w:rStyle w:val="Hyperlink"/>
                  <w:noProof/>
                  <w:sz w:val="24"/>
                  <w:szCs w:val="24"/>
                </w:rPr>
                <w:t>Annual Gender Equality Survey</w:t>
              </w:r>
            </w:hyperlink>
            <w:r>
              <w:rPr>
                <w:noProof/>
              </w:rPr>
              <w:t xml:space="preserve">, </w:t>
            </w:r>
            <w:r>
              <w:rPr>
                <w:noProof/>
                <w:sz w:val="24"/>
                <w:szCs w:val="24"/>
              </w:rPr>
              <w:t>2019.</w:t>
            </w:r>
          </w:p>
        </w:tc>
      </w:tr>
      <w:tr>
        <w:tc>
          <w:tcPr>
            <w:tcW w:w="8608" w:type="dxa"/>
          </w:tcPr>
          <w:p>
            <w:pPr>
              <w:spacing w:before="60" w:after="60"/>
              <w:jc w:val="both"/>
              <w:rPr>
                <w:i/>
                <w:noProof/>
                <w:color w:val="000000"/>
                <w:sz w:val="24"/>
                <w:szCs w:val="24"/>
                <w:lang w:val="en-US"/>
              </w:rPr>
            </w:pPr>
            <w:r>
              <w:rPr>
                <w:noProof/>
                <w:sz w:val="24"/>
                <w:szCs w:val="24"/>
              </w:rPr>
              <w:t xml:space="preserve">Eurofound, </w:t>
            </w:r>
            <w:r>
              <w:rPr>
                <w:i/>
                <w:noProof/>
                <w:sz w:val="24"/>
                <w:szCs w:val="24"/>
              </w:rPr>
              <w:t>Measures to promote gender pay transparency in companies: How much do they cost and what are their benefits and opportunities?</w:t>
            </w:r>
            <w:r>
              <w:rPr>
                <w:noProof/>
                <w:sz w:val="24"/>
                <w:szCs w:val="24"/>
              </w:rPr>
              <w:t>, 2020.</w:t>
            </w:r>
          </w:p>
        </w:tc>
      </w:tr>
      <w:tr>
        <w:tc>
          <w:tcPr>
            <w:tcW w:w="8608" w:type="dxa"/>
          </w:tcPr>
          <w:p>
            <w:pPr>
              <w:spacing w:before="60" w:after="60"/>
              <w:jc w:val="both"/>
              <w:rPr>
                <w:noProof/>
                <w:sz w:val="24"/>
                <w:szCs w:val="24"/>
              </w:rPr>
            </w:pPr>
            <w:r>
              <w:rPr>
                <w:noProof/>
                <w:color w:val="000000"/>
                <w:sz w:val="24"/>
                <w:szCs w:val="24"/>
                <w:lang w:val="en-US"/>
              </w:rPr>
              <w:t xml:space="preserve">Eurofound (European Foundation for the Improvement of Living and Working Conditions), </w:t>
            </w:r>
            <w:hyperlink r:id="rId52" w:history="1">
              <w:r>
                <w:rPr>
                  <w:rStyle w:val="Hyperlink"/>
                  <w:i/>
                  <w:iCs/>
                  <w:noProof/>
                  <w:sz w:val="24"/>
                  <w:szCs w:val="24"/>
                  <w:lang w:val="en-US"/>
                </w:rPr>
                <w:t>Addressing the gender pay gap: Government and social partner actions</w:t>
              </w:r>
            </w:hyperlink>
            <w:r>
              <w:rPr>
                <w:noProof/>
                <w:color w:val="000000"/>
                <w:sz w:val="24"/>
                <w:szCs w:val="24"/>
                <w:lang w:val="en-US"/>
              </w:rPr>
              <w:t>, 2010.</w:t>
            </w:r>
          </w:p>
        </w:tc>
      </w:tr>
      <w:tr>
        <w:tc>
          <w:tcPr>
            <w:tcW w:w="8608" w:type="dxa"/>
          </w:tcPr>
          <w:p>
            <w:pPr>
              <w:spacing w:before="60" w:after="60"/>
              <w:jc w:val="both"/>
              <w:rPr>
                <w:noProof/>
                <w:sz w:val="24"/>
                <w:szCs w:val="24"/>
              </w:rPr>
            </w:pPr>
            <w:r>
              <w:rPr>
                <w:noProof/>
                <w:sz w:val="24"/>
                <w:szCs w:val="24"/>
              </w:rPr>
              <w:t xml:space="preserve">European Commission, </w:t>
            </w:r>
            <w:hyperlink r:id="rId53" w:history="1">
              <w:r>
                <w:rPr>
                  <w:rStyle w:val="Hyperlink"/>
                  <w:i/>
                  <w:noProof/>
                  <w:sz w:val="24"/>
                  <w:szCs w:val="24"/>
                </w:rPr>
                <w:t>Pilot and feasibility study on the sustainability and effectiveness of results for European Social Fund participants using Counterfactual impact evaluations</w:t>
              </w:r>
            </w:hyperlink>
            <w:r>
              <w:rPr>
                <w:rFonts w:eastAsiaTheme="minorEastAsia"/>
                <w:noProof/>
                <w:sz w:val="24"/>
                <w:szCs w:val="24"/>
              </w:rPr>
              <w:t xml:space="preserve">, </w:t>
            </w:r>
            <w:r>
              <w:rPr>
                <w:noProof/>
                <w:sz w:val="24"/>
                <w:szCs w:val="24"/>
              </w:rPr>
              <w:t>2019</w:t>
            </w:r>
            <w:r>
              <w:rPr>
                <w:rFonts w:eastAsiaTheme="minorEastAsia"/>
                <w:noProof/>
                <w:sz w:val="24"/>
                <w:szCs w:val="24"/>
              </w:rPr>
              <w:t>.</w:t>
            </w:r>
          </w:p>
        </w:tc>
      </w:tr>
      <w:tr>
        <w:tc>
          <w:tcPr>
            <w:tcW w:w="8608" w:type="dxa"/>
          </w:tcPr>
          <w:p>
            <w:pPr>
              <w:spacing w:before="60" w:after="60"/>
              <w:jc w:val="both"/>
              <w:rPr>
                <w:noProof/>
                <w:sz w:val="24"/>
                <w:szCs w:val="24"/>
              </w:rPr>
            </w:pPr>
            <w:r>
              <w:rPr>
                <w:noProof/>
                <w:sz w:val="24"/>
                <w:szCs w:val="24"/>
              </w:rPr>
              <w:t xml:space="preserve">European Commission, </w:t>
            </w:r>
            <w:r>
              <w:rPr>
                <w:i/>
                <w:noProof/>
                <w:sz w:val="24"/>
                <w:szCs w:val="24"/>
              </w:rPr>
              <w:t>EU Action Plan 2017-2019: tackling the gender pay gap, (COM (2017)0678 final) and its implementation report,</w:t>
            </w:r>
            <w:r>
              <w:rPr>
                <w:noProof/>
                <w:sz w:val="24"/>
                <w:szCs w:val="24"/>
              </w:rPr>
              <w:t xml:space="preserve"> SWD(2020) 101 final, 2020.</w:t>
            </w:r>
          </w:p>
        </w:tc>
      </w:tr>
      <w:tr>
        <w:tc>
          <w:tcPr>
            <w:tcW w:w="8608" w:type="dxa"/>
          </w:tcPr>
          <w:p>
            <w:pPr>
              <w:spacing w:before="60" w:after="60"/>
              <w:jc w:val="both"/>
              <w:rPr>
                <w:noProof/>
                <w:sz w:val="24"/>
                <w:szCs w:val="24"/>
              </w:rPr>
            </w:pPr>
            <w:r>
              <w:rPr>
                <w:noProof/>
                <w:sz w:val="24"/>
                <w:szCs w:val="24"/>
              </w:rPr>
              <w:t xml:space="preserve">European Commission, </w:t>
            </w:r>
            <w:r>
              <w:rPr>
                <w:i/>
                <w:noProof/>
                <w:sz w:val="24"/>
                <w:szCs w:val="24"/>
              </w:rPr>
              <w:t>Report on the implementation of Commission Recommendation on strengthening the principle of equal pay between women and men through transparency,</w:t>
            </w:r>
            <w:r>
              <w:rPr>
                <w:noProof/>
                <w:sz w:val="24"/>
                <w:szCs w:val="24"/>
              </w:rPr>
              <w:t xml:space="preserve"> (COM(2017) 671 final), 2017.</w:t>
            </w:r>
          </w:p>
        </w:tc>
      </w:tr>
      <w:tr>
        <w:tc>
          <w:tcPr>
            <w:tcW w:w="8608" w:type="dxa"/>
          </w:tcPr>
          <w:p>
            <w:pPr>
              <w:spacing w:before="60" w:after="60"/>
              <w:jc w:val="both"/>
              <w:rPr>
                <w:noProof/>
                <w:sz w:val="24"/>
                <w:szCs w:val="24"/>
              </w:rPr>
            </w:pPr>
            <w:r>
              <w:rPr>
                <w:noProof/>
                <w:sz w:val="24"/>
                <w:szCs w:val="24"/>
              </w:rPr>
              <w:t xml:space="preserve">European Commission, </w:t>
            </w:r>
            <w:r>
              <w:rPr>
                <w:i/>
                <w:noProof/>
                <w:sz w:val="24"/>
                <w:szCs w:val="24"/>
              </w:rPr>
              <w:t>Adjusted Commission Work Programme 2020</w:t>
            </w:r>
            <w:r>
              <w:rPr>
                <w:noProof/>
                <w:sz w:val="24"/>
                <w:szCs w:val="24"/>
              </w:rPr>
              <w:t>, COM(2020)440 final, Annex I, 2020.</w:t>
            </w:r>
          </w:p>
        </w:tc>
      </w:tr>
      <w:tr>
        <w:tc>
          <w:tcPr>
            <w:tcW w:w="8608" w:type="dxa"/>
          </w:tcPr>
          <w:p>
            <w:pPr>
              <w:spacing w:before="60" w:after="60"/>
              <w:jc w:val="both"/>
              <w:rPr>
                <w:noProof/>
                <w:sz w:val="24"/>
                <w:szCs w:val="24"/>
              </w:rPr>
            </w:pPr>
            <w:r>
              <w:rPr>
                <w:noProof/>
                <w:sz w:val="24"/>
                <w:szCs w:val="24"/>
              </w:rPr>
              <w:t xml:space="preserve">European Commission, </w:t>
            </w:r>
            <w:r>
              <w:rPr>
                <w:i/>
                <w:noProof/>
                <w:sz w:val="24"/>
                <w:szCs w:val="24"/>
              </w:rPr>
              <w:t>Employment and Social Developments in Europe</w:t>
            </w:r>
            <w:r>
              <w:rPr>
                <w:noProof/>
                <w:sz w:val="24"/>
                <w:szCs w:val="24"/>
              </w:rPr>
              <w:t>, 2020 (2020b).</w:t>
            </w:r>
          </w:p>
        </w:tc>
      </w:tr>
      <w:tr>
        <w:tc>
          <w:tcPr>
            <w:tcW w:w="8608" w:type="dxa"/>
          </w:tcPr>
          <w:p>
            <w:pPr>
              <w:spacing w:before="60" w:after="60"/>
              <w:jc w:val="both"/>
              <w:rPr>
                <w:noProof/>
                <w:sz w:val="24"/>
                <w:szCs w:val="24"/>
                <w:vertAlign w:val="superscript"/>
              </w:rPr>
            </w:pPr>
            <w:r>
              <w:rPr>
                <w:noProof/>
                <w:sz w:val="24"/>
                <w:szCs w:val="24"/>
              </w:rPr>
              <w:t xml:space="preserve">European Commission, </w:t>
            </w:r>
            <w:r>
              <w:rPr>
                <w:i/>
                <w:noProof/>
                <w:sz w:val="24"/>
                <w:szCs w:val="24"/>
              </w:rPr>
              <w:t>Implementation report on Directive 2006/54/EC</w:t>
            </w:r>
            <w:r>
              <w:rPr>
                <w:noProof/>
                <w:sz w:val="24"/>
                <w:szCs w:val="24"/>
              </w:rPr>
              <w:t>, SWD(2013) 512 final, 2013.</w:t>
            </w:r>
          </w:p>
        </w:tc>
      </w:tr>
      <w:tr>
        <w:tc>
          <w:tcPr>
            <w:tcW w:w="8608" w:type="dxa"/>
          </w:tcPr>
          <w:p>
            <w:pPr>
              <w:spacing w:before="60" w:after="60"/>
              <w:jc w:val="both"/>
              <w:rPr>
                <w:rFonts w:eastAsia="Calibri"/>
                <w:noProof/>
                <w:color w:val="0000FF"/>
                <w:sz w:val="24"/>
                <w:szCs w:val="24"/>
                <w:u w:val="single"/>
              </w:rPr>
            </w:pPr>
            <w:r>
              <w:rPr>
                <w:rFonts w:eastAsia="Calibri"/>
                <w:noProof/>
                <w:sz w:val="24"/>
                <w:szCs w:val="24"/>
              </w:rPr>
              <w:t xml:space="preserve">European Commission, </w:t>
            </w:r>
            <w:r>
              <w:rPr>
                <w:rFonts w:eastAsia="Calibri"/>
                <w:i/>
                <w:noProof/>
                <w:sz w:val="24"/>
                <w:szCs w:val="24"/>
              </w:rPr>
              <w:t>Recommendation on Standards for Equality Bodies</w:t>
            </w:r>
            <w:r>
              <w:rPr>
                <w:rFonts w:eastAsia="Calibri"/>
                <w:noProof/>
                <w:sz w:val="24"/>
                <w:szCs w:val="24"/>
              </w:rPr>
              <w:t>, C(2018) 3850 final, 2018.</w:t>
            </w:r>
          </w:p>
        </w:tc>
      </w:tr>
      <w:tr>
        <w:tc>
          <w:tcPr>
            <w:tcW w:w="8608" w:type="dxa"/>
          </w:tcPr>
          <w:p>
            <w:pPr>
              <w:spacing w:before="60" w:after="60"/>
              <w:jc w:val="both"/>
              <w:rPr>
                <w:rFonts w:eastAsia="EC Square Sans Pro"/>
                <w:noProof/>
                <w:color w:val="000000" w:themeColor="text1"/>
                <w:sz w:val="24"/>
                <w:szCs w:val="24"/>
              </w:rPr>
            </w:pPr>
            <w:r>
              <w:rPr>
                <w:rFonts w:eastAsia="EC Square Sans Pro"/>
                <w:noProof/>
                <w:color w:val="000000" w:themeColor="text1"/>
                <w:sz w:val="24"/>
                <w:szCs w:val="24"/>
              </w:rPr>
              <w:t xml:space="preserve">European Commission, </w:t>
            </w:r>
            <w:r>
              <w:rPr>
                <w:rFonts w:eastAsia="EC Square Sans Pro"/>
                <w:i/>
                <w:noProof/>
                <w:color w:val="000000" w:themeColor="text1"/>
                <w:sz w:val="24"/>
                <w:szCs w:val="24"/>
              </w:rPr>
              <w:t>Annual report on equality between women and men</w:t>
            </w:r>
            <w:r>
              <w:rPr>
                <w:rFonts w:eastAsia="EC Square Sans Pro"/>
                <w:noProof/>
                <w:color w:val="000000" w:themeColor="text1"/>
                <w:sz w:val="24"/>
                <w:szCs w:val="24"/>
              </w:rPr>
              <w:t xml:space="preserve">, 2019. </w:t>
            </w:r>
          </w:p>
        </w:tc>
      </w:tr>
      <w:tr>
        <w:tc>
          <w:tcPr>
            <w:tcW w:w="8608" w:type="dxa"/>
          </w:tcPr>
          <w:p>
            <w:pPr>
              <w:spacing w:before="60" w:after="60"/>
              <w:jc w:val="both"/>
              <w:rPr>
                <w:noProof/>
                <w:sz w:val="24"/>
                <w:szCs w:val="24"/>
              </w:rPr>
            </w:pPr>
            <w:r>
              <w:rPr>
                <w:noProof/>
                <w:sz w:val="24"/>
                <w:szCs w:val="24"/>
              </w:rPr>
              <w:t xml:space="preserve">European Commission, </w:t>
            </w:r>
            <w:r>
              <w:rPr>
                <w:i/>
                <w:noProof/>
                <w:color w:val="0000FF" w:themeColor="hyperlink"/>
                <w:sz w:val="24"/>
                <w:szCs w:val="24"/>
                <w:u w:val="single"/>
              </w:rPr>
              <w:t>Education and training Monitor</w:t>
            </w:r>
            <w:r>
              <w:rPr>
                <w:noProof/>
                <w:color w:val="0000FF" w:themeColor="hyperlink"/>
                <w:sz w:val="24"/>
                <w:szCs w:val="24"/>
                <w:u w:val="single"/>
              </w:rPr>
              <w:t>,</w:t>
            </w:r>
            <w:r>
              <w:rPr>
                <w:rFonts w:eastAsiaTheme="minorEastAsia"/>
                <w:noProof/>
                <w:sz w:val="24"/>
                <w:szCs w:val="24"/>
              </w:rPr>
              <w:t xml:space="preserve"> 2019.</w:t>
            </w:r>
          </w:p>
        </w:tc>
      </w:tr>
      <w:tr>
        <w:tc>
          <w:tcPr>
            <w:tcW w:w="8608" w:type="dxa"/>
          </w:tcPr>
          <w:p>
            <w:pPr>
              <w:pStyle w:val="Default"/>
              <w:spacing w:before="60" w:after="60"/>
              <w:jc w:val="both"/>
              <w:rPr>
                <w:noProof/>
                <w:lang w:val="en-GB"/>
              </w:rPr>
            </w:pPr>
            <w:r>
              <w:rPr>
                <w:noProof/>
              </w:rPr>
              <w:t xml:space="preserve">European Commission, </w:t>
            </w:r>
            <w:r>
              <w:rPr>
                <w:i/>
                <w:noProof/>
              </w:rPr>
              <w:t>Special Eurobarometer 465, Gender Equality</w:t>
            </w:r>
            <w:r>
              <w:rPr>
                <w:noProof/>
              </w:rPr>
              <w:t>, 2017.</w:t>
            </w:r>
          </w:p>
        </w:tc>
      </w:tr>
      <w:tr>
        <w:tc>
          <w:tcPr>
            <w:tcW w:w="8608" w:type="dxa"/>
          </w:tcPr>
          <w:p>
            <w:pPr>
              <w:pStyle w:val="Default"/>
              <w:spacing w:before="60" w:after="60"/>
              <w:jc w:val="both"/>
              <w:rPr>
                <w:noProof/>
                <w:lang w:val="en-GB"/>
              </w:rPr>
            </w:pPr>
            <w:r>
              <w:rPr>
                <w:noProof/>
                <w:lang w:val="en-GB"/>
              </w:rPr>
              <w:t xml:space="preserve">European Commission, </w:t>
            </w:r>
            <w:r>
              <w:rPr>
                <w:i/>
                <w:noProof/>
                <w:lang w:val="en-GB"/>
              </w:rPr>
              <w:t>Evaluation of the relevant provisions in the Directive 2006/54/EC implementing the Treaty principle on ‘equal pay for equal work or work of equal value’</w:t>
            </w:r>
            <w:r>
              <w:rPr>
                <w:noProof/>
                <w:lang w:val="en-GB"/>
              </w:rPr>
              <w:t>, SWD(2020)50, 2020.</w:t>
            </w:r>
          </w:p>
        </w:tc>
      </w:tr>
      <w:tr>
        <w:tc>
          <w:tcPr>
            <w:tcW w:w="8608" w:type="dxa"/>
          </w:tcPr>
          <w:p>
            <w:pPr>
              <w:pStyle w:val="Default"/>
              <w:spacing w:before="60" w:after="60"/>
              <w:jc w:val="both"/>
              <w:rPr>
                <w:noProof/>
                <w:lang w:val="en-GB"/>
              </w:rPr>
            </w:pPr>
            <w:r>
              <w:rPr>
                <w:noProof/>
              </w:rPr>
              <w:t xml:space="preserve">European Commission, </w:t>
            </w:r>
            <w:r>
              <w:rPr>
                <w:i/>
                <w:noProof/>
              </w:rPr>
              <w:t>Impact Assessment accompanying the Pay Transparency Recommendation</w:t>
            </w:r>
            <w:r>
              <w:rPr>
                <w:noProof/>
              </w:rPr>
              <w:t xml:space="preserve"> (SWD(2014) 59 final), 2014.</w:t>
            </w:r>
          </w:p>
        </w:tc>
      </w:tr>
      <w:tr>
        <w:tc>
          <w:tcPr>
            <w:tcW w:w="8608" w:type="dxa"/>
          </w:tcPr>
          <w:p>
            <w:pPr>
              <w:pStyle w:val="Default"/>
              <w:spacing w:before="60" w:after="60"/>
              <w:jc w:val="both"/>
              <w:rPr>
                <w:noProof/>
                <w:lang w:val="en-GB"/>
              </w:rPr>
            </w:pPr>
            <w:r>
              <w:rPr>
                <w:noProof/>
              </w:rPr>
              <w:t>European Parliament</w:t>
            </w:r>
            <w:r>
              <w:rPr>
                <w:i/>
                <w:noProof/>
              </w:rPr>
              <w:t xml:space="preserve">, </w:t>
            </w:r>
            <w:hyperlink r:id="rId54" w:history="1">
              <w:r>
                <w:rPr>
                  <w:rStyle w:val="Hyperlink"/>
                  <w:i/>
                  <w:noProof/>
                </w:rPr>
                <w:t>Equal pay for equal work – Binding pay-transparency measures</w:t>
              </w:r>
            </w:hyperlink>
            <w:r>
              <w:rPr>
                <w:noProof/>
              </w:rPr>
              <w:t>, European Parliament, Policy Department for Economic, Scientific and Quality of Life Policies Directorate-General for Internal Policies, 2020.</w:t>
            </w:r>
          </w:p>
        </w:tc>
      </w:tr>
      <w:tr>
        <w:tc>
          <w:tcPr>
            <w:tcW w:w="8608" w:type="dxa"/>
          </w:tcPr>
          <w:p>
            <w:pPr>
              <w:pStyle w:val="Default"/>
              <w:spacing w:before="60" w:after="60"/>
              <w:jc w:val="both"/>
              <w:rPr>
                <w:noProof/>
                <w:lang w:val="en-GB"/>
              </w:rPr>
            </w:pPr>
            <w:r>
              <w:rPr>
                <w:noProof/>
                <w:lang w:val="en-GB"/>
              </w:rPr>
              <w:t xml:space="preserve">European Union Agency for Fundamental Rights and Council of Europe, </w:t>
            </w:r>
            <w:r>
              <w:rPr>
                <w:i/>
                <w:noProof/>
                <w:lang w:val="en-GB"/>
              </w:rPr>
              <w:t>Handbook on European non-discrimination law</w:t>
            </w:r>
            <w:r>
              <w:rPr>
                <w:noProof/>
                <w:lang w:val="en-GB"/>
              </w:rPr>
              <w:t>, 2018.</w:t>
            </w:r>
          </w:p>
        </w:tc>
      </w:tr>
      <w:tr>
        <w:tc>
          <w:tcPr>
            <w:tcW w:w="8608" w:type="dxa"/>
          </w:tcPr>
          <w:p>
            <w:pPr>
              <w:pStyle w:val="Default"/>
              <w:spacing w:before="60" w:after="60"/>
              <w:jc w:val="both"/>
              <w:rPr>
                <w:noProof/>
                <w:lang w:val="en-GB"/>
              </w:rPr>
            </w:pPr>
            <w:r>
              <w:rPr>
                <w:noProof/>
              </w:rPr>
              <w:t xml:space="preserve">EIGE, </w:t>
            </w:r>
            <w:hyperlink r:id="rId55" w:history="1">
              <w:r>
                <w:rPr>
                  <w:rStyle w:val="Hyperlink"/>
                  <w:i/>
                  <w:noProof/>
                </w:rPr>
                <w:t>Economic Benefits of Gender Equality in the European Union. How closing the gender gaps in labour market activity and pay leads to economic growth</w:t>
              </w:r>
            </w:hyperlink>
            <w:r>
              <w:rPr>
                <w:rStyle w:val="Hyperlink"/>
                <w:i/>
                <w:noProof/>
              </w:rPr>
              <w:t xml:space="preserve">, </w:t>
            </w:r>
            <w:r>
              <w:rPr>
                <w:noProof/>
              </w:rPr>
              <w:t>2017.</w:t>
            </w:r>
          </w:p>
        </w:tc>
      </w:tr>
      <w:tr>
        <w:tc>
          <w:tcPr>
            <w:tcW w:w="8608" w:type="dxa"/>
          </w:tcPr>
          <w:p>
            <w:pPr>
              <w:spacing w:before="60" w:after="60"/>
              <w:jc w:val="both"/>
              <w:rPr>
                <w:noProof/>
                <w:sz w:val="24"/>
                <w:szCs w:val="24"/>
              </w:rPr>
            </w:pPr>
            <w:r>
              <w:rPr>
                <w:noProof/>
                <w:sz w:val="24"/>
                <w:szCs w:val="24"/>
              </w:rPr>
              <w:t xml:space="preserve">Equinet, </w:t>
            </w:r>
            <w:r>
              <w:rPr>
                <w:i/>
                <w:noProof/>
                <w:sz w:val="24"/>
                <w:szCs w:val="24"/>
              </w:rPr>
              <w:t>How to build a case on equal pay</w:t>
            </w:r>
            <w:r>
              <w:rPr>
                <w:noProof/>
                <w:sz w:val="24"/>
                <w:szCs w:val="24"/>
              </w:rPr>
              <w:t>, 2016.</w:t>
            </w:r>
          </w:p>
        </w:tc>
      </w:tr>
      <w:tr>
        <w:tc>
          <w:tcPr>
            <w:tcW w:w="8608" w:type="dxa"/>
          </w:tcPr>
          <w:p>
            <w:pPr>
              <w:spacing w:before="60" w:after="60"/>
              <w:jc w:val="both"/>
              <w:rPr>
                <w:noProof/>
                <w:sz w:val="24"/>
                <w:szCs w:val="24"/>
              </w:rPr>
            </w:pPr>
            <w:r>
              <w:rPr>
                <w:noProof/>
                <w:sz w:val="24"/>
                <w:szCs w:val="24"/>
              </w:rPr>
              <w:t>Eurostat, ‘</w:t>
            </w:r>
            <w:hyperlink r:id="rId56" w:history="1">
              <w:r>
                <w:rPr>
                  <w:rStyle w:val="Hyperlink"/>
                  <w:noProof/>
                  <w:sz w:val="24"/>
                  <w:szCs w:val="24"/>
                </w:rPr>
                <w:t>A decomposition of the unadjusted gender pay gap using Structure of Earnings Survey data</w:t>
              </w:r>
            </w:hyperlink>
            <w:r>
              <w:rPr>
                <w:noProof/>
                <w:sz w:val="24"/>
                <w:szCs w:val="24"/>
              </w:rPr>
              <w:t xml:space="preserve">’, </w:t>
            </w:r>
            <w:r>
              <w:rPr>
                <w:i/>
                <w:iCs/>
                <w:noProof/>
                <w:color w:val="000000"/>
                <w:sz w:val="24"/>
                <w:szCs w:val="24"/>
                <w:shd w:val="clear" w:color="auto" w:fill="FFFFFF"/>
              </w:rPr>
              <w:t>Statistical working papers</w:t>
            </w:r>
            <w:r>
              <w:rPr>
                <w:noProof/>
                <w:color w:val="000000"/>
                <w:sz w:val="24"/>
                <w:szCs w:val="24"/>
                <w:shd w:val="clear" w:color="auto" w:fill="FFFFFF"/>
              </w:rPr>
              <w:t>, 2018.</w:t>
            </w:r>
          </w:p>
        </w:tc>
      </w:tr>
      <w:tr>
        <w:tc>
          <w:tcPr>
            <w:tcW w:w="8608" w:type="dxa"/>
          </w:tcPr>
          <w:p>
            <w:pPr>
              <w:spacing w:before="60" w:after="60"/>
              <w:jc w:val="both"/>
              <w:rPr>
                <w:noProof/>
                <w:sz w:val="24"/>
                <w:szCs w:val="24"/>
              </w:rPr>
            </w:pPr>
            <w:r>
              <w:rPr>
                <w:noProof/>
                <w:sz w:val="24"/>
                <w:szCs w:val="24"/>
              </w:rPr>
              <w:t xml:space="preserve">Federal Republic of Germany, </w:t>
            </w:r>
            <w:r>
              <w:rPr>
                <w:i/>
                <w:noProof/>
                <w:sz w:val="24"/>
                <w:szCs w:val="24"/>
              </w:rPr>
              <w:t>Report for the Twenty‐fifth Anniversary of the Fourth World Conference on Women and Adoption of the Beijing Declaration and Platform for Action (1995)</w:t>
            </w:r>
            <w:r>
              <w:rPr>
                <w:noProof/>
                <w:sz w:val="24"/>
                <w:szCs w:val="24"/>
              </w:rPr>
              <w:t>, August 2019.</w:t>
            </w:r>
          </w:p>
        </w:tc>
      </w:tr>
      <w:tr>
        <w:tc>
          <w:tcPr>
            <w:tcW w:w="8608" w:type="dxa"/>
          </w:tcPr>
          <w:p>
            <w:pPr>
              <w:spacing w:before="60" w:after="60"/>
              <w:jc w:val="both"/>
              <w:rPr>
                <w:noProof/>
                <w:sz w:val="24"/>
                <w:szCs w:val="24"/>
              </w:rPr>
            </w:pPr>
            <w:r>
              <w:rPr>
                <w:noProof/>
                <w:sz w:val="24"/>
                <w:szCs w:val="24"/>
              </w:rPr>
              <w:t xml:space="preserve">Foubert, P., </w:t>
            </w:r>
            <w:r>
              <w:rPr>
                <w:i/>
                <w:noProof/>
                <w:sz w:val="24"/>
                <w:szCs w:val="24"/>
              </w:rPr>
              <w:t>The enforcement of the principle of equal pay for equal work or work of equal value, A legal analysis of the situation in the EU Member States, Iceland, Liechtenstein and Norway</w:t>
            </w:r>
            <w:r>
              <w:rPr>
                <w:noProof/>
                <w:sz w:val="24"/>
                <w:szCs w:val="24"/>
              </w:rPr>
              <w:t>, European network of legal experts in gender equality and non-discrimination, DG JUST, 2017.</w:t>
            </w:r>
          </w:p>
        </w:tc>
      </w:tr>
      <w:tr>
        <w:tc>
          <w:tcPr>
            <w:tcW w:w="8608" w:type="dxa"/>
          </w:tcPr>
          <w:p>
            <w:pPr>
              <w:spacing w:before="60" w:after="60"/>
              <w:jc w:val="both"/>
              <w:rPr>
                <w:noProof/>
                <w:sz w:val="24"/>
                <w:szCs w:val="24"/>
              </w:rPr>
            </w:pPr>
            <w:r>
              <w:rPr>
                <w:noProof/>
                <w:sz w:val="24"/>
                <w:szCs w:val="24"/>
              </w:rPr>
              <w:t xml:space="preserve">Gächter, S., Thöni, C., ‘Social comparison and performance: Experimental evidence onthe fair wage–effort hypothesis’, </w:t>
            </w:r>
            <w:r>
              <w:rPr>
                <w:i/>
                <w:noProof/>
                <w:sz w:val="24"/>
                <w:szCs w:val="24"/>
              </w:rPr>
              <w:t>Journal of Economic Behavior &amp; Organization</w:t>
            </w:r>
            <w:r>
              <w:rPr>
                <w:noProof/>
                <w:sz w:val="24"/>
                <w:szCs w:val="24"/>
              </w:rPr>
              <w:t xml:space="preserve"> 76(3), 2010, pp. 531–543.</w:t>
            </w:r>
          </w:p>
        </w:tc>
      </w:tr>
      <w:tr>
        <w:trPr>
          <w:trHeight w:val="1079"/>
        </w:trPr>
        <w:tc>
          <w:tcPr>
            <w:tcW w:w="8608" w:type="dxa"/>
          </w:tcPr>
          <w:p>
            <w:pPr>
              <w:spacing w:before="60" w:after="60"/>
              <w:jc w:val="both"/>
              <w:rPr>
                <w:noProof/>
                <w:sz w:val="24"/>
                <w:szCs w:val="24"/>
              </w:rPr>
            </w:pPr>
            <w:r>
              <w:rPr>
                <w:noProof/>
                <w:sz w:val="24"/>
                <w:szCs w:val="24"/>
              </w:rPr>
              <w:t xml:space="preserve">Gomez, R.;Wald, S., ‘When Public-Sector Salaries Become Public Knowledge: Academic Salaries and Ontario’s Public Sector Salary Disclosure Act’, </w:t>
            </w:r>
            <w:r>
              <w:rPr>
                <w:i/>
                <w:noProof/>
                <w:sz w:val="24"/>
                <w:szCs w:val="24"/>
              </w:rPr>
              <w:t>Canadian Public Administration</w:t>
            </w:r>
            <w:r>
              <w:rPr>
                <w:noProof/>
                <w:sz w:val="24"/>
                <w:szCs w:val="24"/>
              </w:rPr>
              <w:t>, vol. 53, issue 1, 2010., pp. 107-123.</w:t>
            </w:r>
          </w:p>
        </w:tc>
      </w:tr>
      <w:tr>
        <w:tc>
          <w:tcPr>
            <w:tcW w:w="8608" w:type="dxa"/>
          </w:tcPr>
          <w:p>
            <w:pPr>
              <w:spacing w:before="60" w:after="60"/>
              <w:jc w:val="both"/>
              <w:rPr>
                <w:noProof/>
                <w:sz w:val="24"/>
                <w:szCs w:val="24"/>
              </w:rPr>
            </w:pPr>
            <w:r>
              <w:rPr>
                <w:noProof/>
                <w:sz w:val="24"/>
                <w:szCs w:val="24"/>
              </w:rPr>
              <w:t xml:space="preserve">Granato, S., Santangelo, G., ‘Administrative data for the evaluation of Pay transparency measures’, </w:t>
            </w:r>
            <w:r>
              <w:rPr>
                <w:i/>
                <w:noProof/>
                <w:sz w:val="24"/>
                <w:szCs w:val="24"/>
              </w:rPr>
              <w:t>JRC Technical report</w:t>
            </w:r>
            <w:r>
              <w:rPr>
                <w:noProof/>
                <w:sz w:val="24"/>
                <w:szCs w:val="24"/>
              </w:rPr>
              <w:t xml:space="preserve">, 2020. </w:t>
            </w:r>
          </w:p>
        </w:tc>
      </w:tr>
      <w:tr>
        <w:tc>
          <w:tcPr>
            <w:tcW w:w="8608" w:type="dxa"/>
          </w:tcPr>
          <w:p>
            <w:pPr>
              <w:spacing w:before="60" w:after="60"/>
              <w:jc w:val="both"/>
              <w:rPr>
                <w:noProof/>
                <w:sz w:val="24"/>
                <w:szCs w:val="24"/>
              </w:rPr>
            </w:pPr>
            <w:r>
              <w:rPr>
                <w:noProof/>
                <w:sz w:val="24"/>
                <w:szCs w:val="24"/>
              </w:rPr>
              <w:t xml:space="preserve">Greiner, B., Ockenfels, A., Werner: P., ‘Wage transparency and performance: A real-effort experiment’. </w:t>
            </w:r>
            <w:r>
              <w:rPr>
                <w:i/>
                <w:noProof/>
                <w:sz w:val="24"/>
                <w:szCs w:val="24"/>
              </w:rPr>
              <w:t>Economics Letters</w:t>
            </w:r>
            <w:r>
              <w:rPr>
                <w:noProof/>
                <w:sz w:val="24"/>
                <w:szCs w:val="24"/>
              </w:rPr>
              <w:t xml:space="preserve"> 111(3), 2011, pp. 236–238. </w:t>
            </w:r>
          </w:p>
        </w:tc>
      </w:tr>
      <w:tr>
        <w:tc>
          <w:tcPr>
            <w:tcW w:w="8608" w:type="dxa"/>
          </w:tcPr>
          <w:p>
            <w:pPr>
              <w:spacing w:before="60" w:after="60"/>
              <w:jc w:val="both"/>
              <w:rPr>
                <w:noProof/>
                <w:sz w:val="24"/>
                <w:szCs w:val="24"/>
              </w:rPr>
            </w:pPr>
            <w:r>
              <w:rPr>
                <w:rFonts w:eastAsiaTheme="minorEastAsia"/>
                <w:noProof/>
                <w:color w:val="333333"/>
                <w:sz w:val="24"/>
                <w:szCs w:val="24"/>
                <w:shd w:val="clear" w:color="auto" w:fill="FFFFFF"/>
                <w:lang w:val="en-US"/>
              </w:rPr>
              <w:t xml:space="preserve">Gulyas, A., Seitz, S., Sinha, S., </w:t>
            </w:r>
            <w:r>
              <w:rPr>
                <w:rFonts w:eastAsiaTheme="minorEastAsia"/>
                <w:noProof/>
                <w:color w:val="333333"/>
                <w:sz w:val="24"/>
                <w:szCs w:val="24"/>
                <w:shd w:val="clear" w:color="auto" w:fill="FFFFFF"/>
              </w:rPr>
              <w:t>‘</w:t>
            </w:r>
            <w:hyperlink r:id="rId57" w:history="1">
              <w:r>
                <w:rPr>
                  <w:noProof/>
                  <w:color w:val="0000FF"/>
                  <w:sz w:val="24"/>
                  <w:szCs w:val="24"/>
                  <w:u w:val="single"/>
                </w:rPr>
                <w:t>Does Pay Transparency Affect the Gender Wage Gap? Evidence from Austria</w:t>
              </w:r>
            </w:hyperlink>
            <w:r>
              <w:rPr>
                <w:rFonts w:eastAsiaTheme="minorEastAsia"/>
                <w:noProof/>
                <w:color w:val="333333"/>
                <w:sz w:val="24"/>
                <w:szCs w:val="24"/>
                <w:shd w:val="clear" w:color="auto" w:fill="FFFFFF"/>
              </w:rPr>
              <w:t xml:space="preserve">’, </w:t>
            </w:r>
            <w:r>
              <w:rPr>
                <w:rFonts w:eastAsiaTheme="minorEastAsia"/>
                <w:i/>
                <w:iCs/>
                <w:noProof/>
                <w:sz w:val="24"/>
                <w:szCs w:val="24"/>
              </w:rPr>
              <w:t>CRC TR 224 Discussion Paper Series</w:t>
            </w:r>
            <w:r>
              <w:rPr>
                <w:rFonts w:eastAsiaTheme="minorEastAsia"/>
                <w:noProof/>
                <w:color w:val="333333"/>
                <w:sz w:val="24"/>
                <w:szCs w:val="24"/>
                <w:shd w:val="clear" w:color="auto" w:fill="FFFFFF"/>
              </w:rPr>
              <w:t xml:space="preserve"> crctr224_2020_194, University of Bonn and University of Mannheim, Germany.</w:t>
            </w:r>
          </w:p>
        </w:tc>
      </w:tr>
      <w:tr>
        <w:tc>
          <w:tcPr>
            <w:tcW w:w="8608" w:type="dxa"/>
          </w:tcPr>
          <w:p>
            <w:pPr>
              <w:spacing w:before="60" w:after="60"/>
              <w:jc w:val="both"/>
              <w:rPr>
                <w:noProof/>
                <w:sz w:val="24"/>
                <w:szCs w:val="24"/>
              </w:rPr>
            </w:pPr>
            <w:r>
              <w:rPr>
                <w:noProof/>
                <w:sz w:val="24"/>
                <w:szCs w:val="24"/>
              </w:rPr>
              <w:t xml:space="preserve">Huet-Vaughn, E., </w:t>
            </w:r>
            <w:r>
              <w:rPr>
                <w:i/>
                <w:noProof/>
                <w:sz w:val="24"/>
                <w:szCs w:val="24"/>
              </w:rPr>
              <w:t>Do Social Comparisons Motivate Workers? A Field Experiment on Relative Earnings, Labor Supply and the Inhibitory Effect of Pay Inequality</w:t>
            </w:r>
            <w:r>
              <w:rPr>
                <w:noProof/>
                <w:sz w:val="24"/>
                <w:szCs w:val="24"/>
              </w:rPr>
              <w:t>,Working paper, 2015.</w:t>
            </w:r>
          </w:p>
        </w:tc>
      </w:tr>
      <w:tr>
        <w:tc>
          <w:tcPr>
            <w:tcW w:w="8608" w:type="dxa"/>
          </w:tcPr>
          <w:p>
            <w:pPr>
              <w:spacing w:before="60" w:after="60"/>
              <w:jc w:val="both"/>
              <w:rPr>
                <w:noProof/>
                <w:sz w:val="24"/>
                <w:szCs w:val="24"/>
              </w:rPr>
            </w:pPr>
            <w:r>
              <w:rPr>
                <w:noProof/>
                <w:sz w:val="24"/>
                <w:szCs w:val="24"/>
              </w:rPr>
              <w:t xml:space="preserve">ICF, </w:t>
            </w:r>
            <w:r>
              <w:rPr>
                <w:i/>
                <w:noProof/>
                <w:sz w:val="24"/>
                <w:szCs w:val="24"/>
              </w:rPr>
              <w:t>Final Report - Study to support the evaluation of the relevant provisions in Directive 2006/54/EC implementing</w:t>
            </w:r>
            <w:r>
              <w:rPr>
                <w:noProof/>
                <w:sz w:val="24"/>
                <w:szCs w:val="24"/>
              </w:rPr>
              <w:t>, DG JUST, 2019.</w:t>
            </w:r>
          </w:p>
          <w:p>
            <w:pPr>
              <w:spacing w:before="60" w:after="60"/>
              <w:jc w:val="both"/>
              <w:rPr>
                <w:noProof/>
                <w:sz w:val="24"/>
                <w:szCs w:val="24"/>
              </w:rPr>
            </w:pPr>
            <w:r>
              <w:rPr>
                <w:noProof/>
                <w:sz w:val="24"/>
                <w:szCs w:val="24"/>
              </w:rPr>
              <w:t xml:space="preserve">ILO, </w:t>
            </w:r>
            <w:r>
              <w:rPr>
                <w:i/>
                <w:noProof/>
                <w:sz w:val="24"/>
                <w:szCs w:val="24"/>
              </w:rPr>
              <w:t xml:space="preserve">Global Wage Report 2018/19: </w:t>
            </w:r>
            <w:hyperlink r:id="rId58" w:history="1">
              <w:r>
                <w:rPr>
                  <w:rStyle w:val="Hyperlink"/>
                  <w:i/>
                  <w:noProof/>
                  <w:sz w:val="24"/>
                  <w:szCs w:val="24"/>
                </w:rPr>
                <w:t>What lies behind gender pay gaps</w:t>
              </w:r>
            </w:hyperlink>
            <w:r>
              <w:rPr>
                <w:i/>
                <w:noProof/>
                <w:sz w:val="24"/>
                <w:szCs w:val="24"/>
              </w:rPr>
              <w:t>,</w:t>
            </w:r>
            <w:r>
              <w:rPr>
                <w:noProof/>
                <w:sz w:val="24"/>
                <w:szCs w:val="24"/>
              </w:rPr>
              <w:t xml:space="preserve"> International Labour Office – Geneva: ILO, 2018. </w:t>
            </w:r>
          </w:p>
        </w:tc>
      </w:tr>
      <w:tr>
        <w:tc>
          <w:tcPr>
            <w:tcW w:w="8608" w:type="dxa"/>
          </w:tcPr>
          <w:p>
            <w:pPr>
              <w:spacing w:before="60" w:after="60"/>
              <w:jc w:val="both"/>
              <w:rPr>
                <w:noProof/>
                <w:sz w:val="24"/>
                <w:szCs w:val="24"/>
              </w:rPr>
            </w:pPr>
            <w:r>
              <w:rPr>
                <w:noProof/>
                <w:sz w:val="24"/>
                <w:szCs w:val="24"/>
              </w:rPr>
              <w:t xml:space="preserve">ILO, </w:t>
            </w:r>
            <w:hyperlink r:id="rId59" w:history="1">
              <w:r>
                <w:rPr>
                  <w:rStyle w:val="Hyperlink"/>
                  <w:i/>
                  <w:noProof/>
                  <w:sz w:val="24"/>
                  <w:szCs w:val="24"/>
                </w:rPr>
                <w:t>Promoting Equity: Gender-Neutral Job Evaluation for Equal Pay</w:t>
              </w:r>
            </w:hyperlink>
            <w:r>
              <w:rPr>
                <w:noProof/>
                <w:sz w:val="24"/>
                <w:szCs w:val="24"/>
              </w:rPr>
              <w:t xml:space="preserve">, 2019. </w:t>
            </w:r>
          </w:p>
        </w:tc>
      </w:tr>
      <w:tr>
        <w:tc>
          <w:tcPr>
            <w:tcW w:w="8608" w:type="dxa"/>
          </w:tcPr>
          <w:p>
            <w:pPr>
              <w:spacing w:before="60" w:after="60"/>
              <w:jc w:val="both"/>
              <w:rPr>
                <w:noProof/>
                <w:sz w:val="24"/>
                <w:szCs w:val="24"/>
                <w:lang w:val="fr-FR"/>
              </w:rPr>
            </w:pPr>
            <w:r>
              <w:rPr>
                <w:noProof/>
                <w:sz w:val="24"/>
                <w:szCs w:val="24"/>
              </w:rPr>
              <w:t>Institute</w:t>
            </w:r>
            <w:r>
              <w:rPr>
                <w:rFonts w:eastAsia="Calibri"/>
                <w:noProof/>
                <w:sz w:val="24"/>
                <w:szCs w:val="24"/>
              </w:rPr>
              <w:t xml:space="preserve"> for Equality between Women and Men, </w:t>
            </w:r>
            <w:hyperlink r:id="rId60" w:history="1">
              <w:r>
                <w:rPr>
                  <w:rStyle w:val="Hyperlink"/>
                  <w:rFonts w:eastAsia="Calibri"/>
                  <w:i/>
                  <w:iCs/>
                  <w:noProof/>
                  <w:sz w:val="24"/>
                  <w:szCs w:val="24"/>
                </w:rPr>
                <w:t xml:space="preserve">Grossesse au travail. </w:t>
              </w:r>
              <w:r>
                <w:rPr>
                  <w:rStyle w:val="Hyperlink"/>
                  <w:rFonts w:eastAsia="Calibri"/>
                  <w:i/>
                  <w:noProof/>
                  <w:sz w:val="24"/>
                  <w:szCs w:val="24"/>
                  <w:lang w:val="fr-BE"/>
                </w:rPr>
                <w:t>Expériences de candidates, d'employées et de travailleuses indépendantes en Belgique</w:t>
              </w:r>
            </w:hyperlink>
            <w:r>
              <w:rPr>
                <w:rFonts w:eastAsia="Calibri"/>
                <w:noProof/>
                <w:sz w:val="24"/>
                <w:szCs w:val="24"/>
                <w:lang w:val="fr-BE"/>
              </w:rPr>
              <w:t xml:space="preserve">, 2017. </w:t>
            </w:r>
          </w:p>
        </w:tc>
      </w:tr>
      <w:tr>
        <w:tc>
          <w:tcPr>
            <w:tcW w:w="8608" w:type="dxa"/>
          </w:tcPr>
          <w:p>
            <w:pPr>
              <w:spacing w:before="60" w:after="60"/>
              <w:jc w:val="both"/>
              <w:rPr>
                <w:noProof/>
                <w:sz w:val="24"/>
                <w:szCs w:val="24"/>
              </w:rPr>
            </w:pPr>
            <w:hyperlink r:id="rId61" w:history="1">
              <w:r>
                <w:rPr>
                  <w:rStyle w:val="Hyperlink"/>
                  <w:noProof/>
                  <w:sz w:val="24"/>
                  <w:szCs w:val="24"/>
                </w:rPr>
                <w:t>Joshi, Aparna et al</w:t>
              </w:r>
            </w:hyperlink>
            <w:r>
              <w:rPr>
                <w:noProof/>
                <w:sz w:val="24"/>
                <w:szCs w:val="24"/>
              </w:rPr>
              <w:t xml:space="preserve">., ‘When can women close the gap? A meta-analytic test of sex differences in performance and rewards’, </w:t>
            </w:r>
            <w:r>
              <w:rPr>
                <w:i/>
                <w:noProof/>
                <w:sz w:val="24"/>
                <w:szCs w:val="24"/>
              </w:rPr>
              <w:t xml:space="preserve">Academy of Management Journal, </w:t>
            </w:r>
            <w:r>
              <w:rPr>
                <w:noProof/>
                <w:sz w:val="24"/>
                <w:szCs w:val="24"/>
              </w:rPr>
              <w:t>Vol. 58, No. 5</w:t>
            </w:r>
            <w:r>
              <w:rPr>
                <w:i/>
                <w:noProof/>
                <w:sz w:val="24"/>
                <w:szCs w:val="24"/>
              </w:rPr>
              <w:t>,</w:t>
            </w:r>
            <w:r>
              <w:rPr>
                <w:noProof/>
                <w:sz w:val="24"/>
                <w:szCs w:val="24"/>
              </w:rPr>
              <w:t xml:space="preserve"> 2014</w:t>
            </w:r>
            <w:r>
              <w:rPr>
                <w:rFonts w:eastAsiaTheme="minorEastAsia"/>
                <w:noProof/>
                <w:sz w:val="24"/>
                <w:szCs w:val="24"/>
              </w:rPr>
              <w:t>.</w:t>
            </w:r>
          </w:p>
        </w:tc>
      </w:tr>
      <w:tr>
        <w:tc>
          <w:tcPr>
            <w:tcW w:w="8608" w:type="dxa"/>
          </w:tcPr>
          <w:p>
            <w:pPr>
              <w:spacing w:before="60" w:after="60"/>
              <w:jc w:val="both"/>
              <w:rPr>
                <w:noProof/>
                <w:sz w:val="24"/>
                <w:szCs w:val="24"/>
              </w:rPr>
            </w:pPr>
            <w:r>
              <w:rPr>
                <w:noProof/>
                <w:sz w:val="24"/>
                <w:szCs w:val="24"/>
              </w:rPr>
              <w:t>Kahn, L. M., ‘</w:t>
            </w:r>
            <w:hyperlink r:id="rId62" w:history="1">
              <w:r>
                <w:rPr>
                  <w:noProof/>
                  <w:sz w:val="24"/>
                  <w:szCs w:val="24"/>
                </w:rPr>
                <w:t>Wage compression and the gender pay gap</w:t>
              </w:r>
            </w:hyperlink>
            <w:r>
              <w:rPr>
                <w:noProof/>
                <w:sz w:val="24"/>
                <w:szCs w:val="24"/>
              </w:rPr>
              <w:t>’,</w:t>
            </w:r>
            <w:r>
              <w:rPr>
                <w:rFonts w:eastAsiaTheme="minorEastAsia"/>
                <w:noProof/>
                <w:sz w:val="24"/>
                <w:szCs w:val="24"/>
              </w:rPr>
              <w:t xml:space="preserve"> </w:t>
            </w:r>
            <w:hyperlink r:id="rId63" w:history="1">
              <w:r>
                <w:rPr>
                  <w:rFonts w:eastAsiaTheme="minorEastAsia"/>
                  <w:i/>
                  <w:noProof/>
                  <w:sz w:val="24"/>
                  <w:szCs w:val="24"/>
                </w:rPr>
                <w:t>IZA World of Labor</w:t>
              </w:r>
            </w:hyperlink>
            <w:r>
              <w:rPr>
                <w:i/>
                <w:noProof/>
                <w:sz w:val="24"/>
                <w:szCs w:val="24"/>
              </w:rPr>
              <w:t>, Institute of Labor Economics</w:t>
            </w:r>
            <w:r>
              <w:rPr>
                <w:noProof/>
                <w:sz w:val="24"/>
                <w:szCs w:val="24"/>
              </w:rPr>
              <w:t>, 2015, pp. 150-1</w:t>
            </w:r>
            <w:r>
              <w:rPr>
                <w:rFonts w:eastAsiaTheme="minorEastAsia"/>
                <w:noProof/>
                <w:sz w:val="24"/>
                <w:szCs w:val="24"/>
              </w:rPr>
              <w:t xml:space="preserve">50. </w:t>
            </w:r>
          </w:p>
        </w:tc>
      </w:tr>
      <w:tr>
        <w:tc>
          <w:tcPr>
            <w:tcW w:w="8608" w:type="dxa"/>
          </w:tcPr>
          <w:p>
            <w:pPr>
              <w:spacing w:before="60" w:after="60"/>
              <w:jc w:val="both"/>
              <w:rPr>
                <w:noProof/>
                <w:sz w:val="24"/>
                <w:szCs w:val="24"/>
              </w:rPr>
            </w:pPr>
            <w:r>
              <w:rPr>
                <w:noProof/>
                <w:sz w:val="24"/>
                <w:szCs w:val="24"/>
              </w:rPr>
              <w:t>Kim, M., ‘</w:t>
            </w:r>
            <w:hyperlink r:id="rId64" w:history="1">
              <w:r>
                <w:rPr>
                  <w:rStyle w:val="Hyperlink"/>
                  <w:noProof/>
                  <w:sz w:val="24"/>
                  <w:szCs w:val="24"/>
                </w:rPr>
                <w:t>Pay Secrecy and the Gender Wage Gap in the United States</w:t>
              </w:r>
            </w:hyperlink>
            <w:r>
              <w:rPr>
                <w:rStyle w:val="Hyperlink"/>
                <w:noProof/>
                <w:sz w:val="24"/>
                <w:szCs w:val="24"/>
              </w:rPr>
              <w:t>’</w:t>
            </w:r>
            <w:r>
              <w:rPr>
                <w:noProof/>
                <w:sz w:val="24"/>
                <w:szCs w:val="24"/>
              </w:rPr>
              <w:t xml:space="preserve">, </w:t>
            </w:r>
            <w:r>
              <w:rPr>
                <w:i/>
                <w:noProof/>
                <w:sz w:val="24"/>
                <w:szCs w:val="24"/>
              </w:rPr>
              <w:t>Industrial</w:t>
            </w:r>
            <w:r>
              <w:rPr>
                <w:noProof/>
                <w:sz w:val="24"/>
                <w:szCs w:val="24"/>
              </w:rPr>
              <w:t xml:space="preserve"> </w:t>
            </w:r>
            <w:r>
              <w:rPr>
                <w:i/>
                <w:noProof/>
                <w:sz w:val="24"/>
                <w:szCs w:val="24"/>
              </w:rPr>
              <w:t>Relations</w:t>
            </w:r>
            <w:r>
              <w:rPr>
                <w:noProof/>
                <w:sz w:val="24"/>
                <w:szCs w:val="24"/>
              </w:rPr>
              <w:t>, 54, 2015, pp. 648-667.</w:t>
            </w:r>
            <w:r>
              <w:rPr>
                <w:rFonts w:eastAsiaTheme="minorEastAsia"/>
                <w:noProof/>
                <w:sz w:val="24"/>
                <w:szCs w:val="24"/>
              </w:rPr>
              <w:t xml:space="preserve"> </w:t>
            </w:r>
          </w:p>
        </w:tc>
      </w:tr>
      <w:tr>
        <w:tc>
          <w:tcPr>
            <w:tcW w:w="8608" w:type="dxa"/>
          </w:tcPr>
          <w:p>
            <w:pPr>
              <w:spacing w:before="60" w:after="60"/>
              <w:jc w:val="both"/>
              <w:rPr>
                <w:noProof/>
                <w:sz w:val="24"/>
                <w:szCs w:val="24"/>
              </w:rPr>
            </w:pPr>
            <w:r>
              <w:rPr>
                <w:noProof/>
                <w:sz w:val="24"/>
                <w:szCs w:val="24"/>
              </w:rPr>
              <w:t xml:space="preserve">KPMG, </w:t>
            </w:r>
            <w:r>
              <w:rPr>
                <w:i/>
                <w:noProof/>
                <w:sz w:val="24"/>
                <w:szCs w:val="24"/>
              </w:rPr>
              <w:t>‘</w:t>
            </w:r>
            <w:hyperlink r:id="rId65" w:history="1">
              <w:r>
                <w:rPr>
                  <w:rStyle w:val="Hyperlink"/>
                  <w:i/>
                  <w:noProof/>
                  <w:sz w:val="24"/>
                  <w:szCs w:val="24"/>
                </w:rPr>
                <w:t>She is Price(d)less: The Economics of the Gender Pay Gap</w:t>
              </w:r>
            </w:hyperlink>
            <w:r>
              <w:rPr>
                <w:i/>
                <w:noProof/>
                <w:sz w:val="24"/>
                <w:szCs w:val="24"/>
              </w:rPr>
              <w:t>’ summary report</w:t>
            </w:r>
            <w:r>
              <w:rPr>
                <w:noProof/>
                <w:sz w:val="24"/>
                <w:szCs w:val="24"/>
              </w:rPr>
              <w:t xml:space="preserve">, 22 August 2019. </w:t>
            </w:r>
          </w:p>
        </w:tc>
      </w:tr>
      <w:tr>
        <w:tc>
          <w:tcPr>
            <w:tcW w:w="8608" w:type="dxa"/>
          </w:tcPr>
          <w:p>
            <w:pPr>
              <w:spacing w:before="60" w:after="60"/>
              <w:jc w:val="both"/>
              <w:rPr>
                <w:noProof/>
                <w:sz w:val="24"/>
                <w:szCs w:val="24"/>
              </w:rPr>
            </w:pPr>
            <w:r>
              <w:rPr>
                <w:noProof/>
                <w:sz w:val="24"/>
                <w:szCs w:val="24"/>
                <w:lang w:val="en-US"/>
              </w:rPr>
              <w:t xml:space="preserve">Leibbrandt, A.; List J.A., </w:t>
            </w:r>
            <w:r>
              <w:rPr>
                <w:noProof/>
                <w:sz w:val="24"/>
                <w:szCs w:val="24"/>
              </w:rPr>
              <w:t>‘</w:t>
            </w:r>
            <w:hyperlink r:id="rId66" w:history="1">
              <w:r>
                <w:rPr>
                  <w:rStyle w:val="Hyperlink"/>
                  <w:noProof/>
                  <w:sz w:val="24"/>
                  <w:szCs w:val="24"/>
                </w:rPr>
                <w:t>Do women avoid salary negotiations? Evidence from a large-scale natural field experiment</w:t>
              </w:r>
            </w:hyperlink>
            <w:r>
              <w:rPr>
                <w:noProof/>
                <w:sz w:val="24"/>
                <w:szCs w:val="24"/>
              </w:rPr>
              <w:t xml:space="preserve">’, </w:t>
            </w:r>
            <w:r>
              <w:rPr>
                <w:i/>
                <w:noProof/>
                <w:sz w:val="24"/>
                <w:szCs w:val="24"/>
              </w:rPr>
              <w:t>Management Science</w:t>
            </w:r>
            <w:r>
              <w:rPr>
                <w:noProof/>
                <w:sz w:val="24"/>
                <w:szCs w:val="24"/>
              </w:rPr>
              <w:t xml:space="preserve"> 61.9, 2012 (published in 2015), pp. 2016-2024. </w:t>
            </w:r>
          </w:p>
        </w:tc>
      </w:tr>
      <w:tr>
        <w:tc>
          <w:tcPr>
            <w:tcW w:w="8608" w:type="dxa"/>
          </w:tcPr>
          <w:p>
            <w:pPr>
              <w:spacing w:before="60" w:after="60"/>
              <w:jc w:val="both"/>
              <w:rPr>
                <w:noProof/>
                <w:sz w:val="24"/>
                <w:szCs w:val="24"/>
              </w:rPr>
            </w:pPr>
            <w:r>
              <w:rPr>
                <w:noProof/>
                <w:sz w:val="24"/>
                <w:szCs w:val="24"/>
              </w:rPr>
              <w:t xml:space="preserve">Luebker, M., Schulten, T., ‘Minimum Wage Report 2019 </w:t>
            </w:r>
            <w:hyperlink r:id="rId67" w:history="1">
              <w:r>
                <w:rPr>
                  <w:noProof/>
                  <w:color w:val="0000FF" w:themeColor="hyperlink"/>
                  <w:sz w:val="24"/>
                  <w:szCs w:val="24"/>
                  <w:u w:val="single"/>
                </w:rPr>
                <w:t>Time for substantial minimum wage rises and a European minimum wage policy</w:t>
              </w:r>
            </w:hyperlink>
            <w:r>
              <w:rPr>
                <w:noProof/>
                <w:color w:val="0000FF" w:themeColor="hyperlink"/>
                <w:sz w:val="24"/>
                <w:szCs w:val="24"/>
                <w:u w:val="single"/>
              </w:rPr>
              <w:t xml:space="preserve">’, </w:t>
            </w:r>
            <w:r>
              <w:rPr>
                <w:i/>
                <w:noProof/>
                <w:sz w:val="24"/>
                <w:szCs w:val="24"/>
              </w:rPr>
              <w:t>WSI/HBS</w:t>
            </w:r>
            <w:r>
              <w:rPr>
                <w:noProof/>
                <w:sz w:val="24"/>
                <w:szCs w:val="24"/>
              </w:rPr>
              <w:t xml:space="preserve"> No. 46e, 2019.</w:t>
            </w:r>
          </w:p>
        </w:tc>
      </w:tr>
      <w:tr>
        <w:tc>
          <w:tcPr>
            <w:tcW w:w="8608" w:type="dxa"/>
          </w:tcPr>
          <w:p>
            <w:pPr>
              <w:spacing w:before="60" w:after="60"/>
              <w:jc w:val="both"/>
              <w:rPr>
                <w:noProof/>
                <w:sz w:val="24"/>
                <w:szCs w:val="24"/>
              </w:rPr>
            </w:pPr>
            <w:r>
              <w:rPr>
                <w:noProof/>
                <w:sz w:val="24"/>
                <w:szCs w:val="24"/>
              </w:rPr>
              <w:t>Maas, V. S., Yin, H.,‘</w:t>
            </w:r>
            <w:hyperlink r:id="rId68" w:history="1">
              <w:r>
                <w:rPr>
                  <w:rStyle w:val="Hyperlink"/>
                  <w:noProof/>
                  <w:sz w:val="24"/>
                  <w:szCs w:val="24"/>
                </w:rPr>
                <w:t>Finding Partners in Crime? How Internal Transparency Affects Employee Collusion</w:t>
              </w:r>
            </w:hyperlink>
            <w:r>
              <w:rPr>
                <w:noProof/>
                <w:sz w:val="24"/>
                <w:szCs w:val="24"/>
              </w:rPr>
              <w:t xml:space="preserve">’ (paper), 2018. </w:t>
            </w:r>
          </w:p>
        </w:tc>
      </w:tr>
      <w:tr>
        <w:tc>
          <w:tcPr>
            <w:tcW w:w="8608" w:type="dxa"/>
          </w:tcPr>
          <w:p>
            <w:pPr>
              <w:spacing w:before="60" w:after="60"/>
              <w:jc w:val="both"/>
              <w:rPr>
                <w:noProof/>
                <w:sz w:val="24"/>
                <w:szCs w:val="24"/>
              </w:rPr>
            </w:pPr>
            <w:r>
              <w:rPr>
                <w:noProof/>
                <w:sz w:val="24"/>
                <w:szCs w:val="24"/>
              </w:rPr>
              <w:t xml:space="preserve">Manning, A., ‘The Equal Pay Act as an Experiment to Test Theories of the Labour Market’, </w:t>
            </w:r>
            <w:r>
              <w:rPr>
                <w:i/>
                <w:noProof/>
                <w:sz w:val="24"/>
                <w:szCs w:val="24"/>
              </w:rPr>
              <w:t>Economica</w:t>
            </w:r>
            <w:r>
              <w:rPr>
                <w:noProof/>
                <w:sz w:val="24"/>
                <w:szCs w:val="24"/>
              </w:rPr>
              <w:t xml:space="preserve"> 63(250), 1996, pp. 191–212. </w:t>
            </w:r>
          </w:p>
        </w:tc>
      </w:tr>
      <w:tr>
        <w:tc>
          <w:tcPr>
            <w:tcW w:w="8608" w:type="dxa"/>
          </w:tcPr>
          <w:p>
            <w:pPr>
              <w:spacing w:before="60" w:after="60"/>
              <w:jc w:val="both"/>
              <w:rPr>
                <w:noProof/>
              </w:rPr>
            </w:pPr>
            <w:r>
              <w:rPr>
                <w:noProof/>
                <w:sz w:val="24"/>
                <w:szCs w:val="24"/>
              </w:rPr>
              <w:t>Mueller, C.W. and Kim, S.-W., ‘</w:t>
            </w:r>
            <w:hyperlink r:id="rId69" w:history="1">
              <w:r>
                <w:rPr>
                  <w:rStyle w:val="Hyperlink"/>
                  <w:noProof/>
                  <w:sz w:val="24"/>
                  <w:szCs w:val="24"/>
                </w:rPr>
                <w:t>The contented female worker: Still a paradox?</w:t>
              </w:r>
            </w:hyperlink>
            <w:r>
              <w:rPr>
                <w:noProof/>
                <w:sz w:val="24"/>
                <w:szCs w:val="24"/>
              </w:rPr>
              <w:t xml:space="preserve">’, Hegtvedt, K.A. and Clay-Warner, J. (Ed.) </w:t>
            </w:r>
            <w:r>
              <w:rPr>
                <w:i/>
                <w:iCs/>
                <w:noProof/>
                <w:sz w:val="24"/>
                <w:szCs w:val="24"/>
                <w:bdr w:val="none" w:sz="0" w:space="0" w:color="auto" w:frame="1"/>
              </w:rPr>
              <w:t>Justice</w:t>
            </w:r>
            <w:r>
              <w:rPr>
                <w:noProof/>
                <w:sz w:val="24"/>
                <w:szCs w:val="24"/>
              </w:rPr>
              <w:t xml:space="preserve"> (</w:t>
            </w:r>
            <w:r>
              <w:rPr>
                <w:i/>
                <w:iCs/>
                <w:noProof/>
                <w:sz w:val="24"/>
                <w:szCs w:val="24"/>
                <w:bdr w:val="none" w:sz="0" w:space="0" w:color="auto" w:frame="1"/>
              </w:rPr>
              <w:t>Advances in Group Processes, Vol. 25</w:t>
            </w:r>
            <w:r>
              <w:rPr>
                <w:noProof/>
                <w:sz w:val="24"/>
                <w:szCs w:val="24"/>
              </w:rPr>
              <w:t>, Emerald Group Publishing Limited, Bingley, 2008, pp. 117-149.</w:t>
            </w:r>
          </w:p>
        </w:tc>
      </w:tr>
      <w:tr>
        <w:tc>
          <w:tcPr>
            <w:tcW w:w="8608" w:type="dxa"/>
          </w:tcPr>
          <w:p>
            <w:pPr>
              <w:spacing w:before="60" w:after="60"/>
              <w:jc w:val="both"/>
              <w:rPr>
                <w:noProof/>
                <w:sz w:val="24"/>
                <w:szCs w:val="24"/>
              </w:rPr>
            </w:pPr>
            <w:r>
              <w:rPr>
                <w:noProof/>
                <w:sz w:val="24"/>
                <w:szCs w:val="24"/>
              </w:rPr>
              <w:t xml:space="preserve">Murphy E., Oesch D., </w:t>
            </w:r>
            <w:r>
              <w:rPr>
                <w:i/>
                <w:noProof/>
                <w:sz w:val="24"/>
                <w:szCs w:val="24"/>
              </w:rPr>
              <w:t>The Feminisation of Occupations and Change in Wages: A Panel Analysis of Britain, Germany, and Switzerland</w:t>
            </w:r>
            <w:r>
              <w:rPr>
                <w:noProof/>
                <w:sz w:val="24"/>
                <w:szCs w:val="24"/>
              </w:rPr>
              <w:t>, 2015.</w:t>
            </w:r>
          </w:p>
        </w:tc>
      </w:tr>
      <w:tr>
        <w:tc>
          <w:tcPr>
            <w:tcW w:w="8608" w:type="dxa"/>
          </w:tcPr>
          <w:p>
            <w:pPr>
              <w:widowControl w:val="0"/>
              <w:autoSpaceDE w:val="0"/>
              <w:autoSpaceDN w:val="0"/>
              <w:adjustRightInd w:val="0"/>
              <w:spacing w:before="60" w:after="60" w:line="340" w:lineRule="atLeast"/>
              <w:jc w:val="both"/>
              <w:rPr>
                <w:noProof/>
                <w:sz w:val="24"/>
                <w:szCs w:val="24"/>
              </w:rPr>
            </w:pPr>
            <w:r>
              <w:rPr>
                <w:noProof/>
                <w:sz w:val="24"/>
                <w:szCs w:val="24"/>
              </w:rPr>
              <w:t xml:space="preserve">OECD, </w:t>
            </w:r>
            <w:r>
              <w:rPr>
                <w:i/>
                <w:noProof/>
                <w:sz w:val="24"/>
                <w:szCs w:val="24"/>
              </w:rPr>
              <w:t>Impact evaluation of labour market policies through the use of linked administrative data</w:t>
            </w:r>
            <w:r>
              <w:rPr>
                <w:noProof/>
                <w:sz w:val="24"/>
                <w:szCs w:val="24"/>
              </w:rPr>
              <w:t xml:space="preserve">, </w:t>
            </w:r>
            <w:r>
              <w:rPr>
                <w:noProof/>
                <w:color w:val="000000"/>
                <w:sz w:val="24"/>
                <w:szCs w:val="24"/>
              </w:rPr>
              <w:t xml:space="preserve">DELSA/ELSA(2020)6, </w:t>
            </w:r>
            <w:r>
              <w:rPr>
                <w:i/>
                <w:noProof/>
                <w:sz w:val="24"/>
                <w:szCs w:val="24"/>
              </w:rPr>
              <w:t xml:space="preserve">forthcoming, </w:t>
            </w:r>
            <w:r>
              <w:rPr>
                <w:noProof/>
                <w:sz w:val="24"/>
                <w:szCs w:val="24"/>
              </w:rPr>
              <w:t>2020</w:t>
            </w:r>
            <w:r>
              <w:rPr>
                <w:i/>
                <w:noProof/>
                <w:sz w:val="24"/>
                <w:szCs w:val="24"/>
              </w:rPr>
              <w:t>.</w:t>
            </w:r>
          </w:p>
        </w:tc>
      </w:tr>
      <w:tr>
        <w:tc>
          <w:tcPr>
            <w:tcW w:w="8608" w:type="dxa"/>
          </w:tcPr>
          <w:p>
            <w:pPr>
              <w:widowControl w:val="0"/>
              <w:autoSpaceDE w:val="0"/>
              <w:autoSpaceDN w:val="0"/>
              <w:adjustRightInd w:val="0"/>
              <w:spacing w:before="60" w:after="60"/>
              <w:jc w:val="both"/>
              <w:rPr>
                <w:noProof/>
                <w:sz w:val="24"/>
                <w:szCs w:val="24"/>
              </w:rPr>
            </w:pPr>
            <w:r>
              <w:rPr>
                <w:noProof/>
                <w:sz w:val="24"/>
                <w:szCs w:val="24"/>
              </w:rPr>
              <w:t xml:space="preserve">OECD, </w:t>
            </w:r>
            <w:r>
              <w:rPr>
                <w:i/>
                <w:noProof/>
                <w:sz w:val="24"/>
                <w:szCs w:val="24"/>
              </w:rPr>
              <w:t xml:space="preserve">Policy Responses to Coronavirus (COVID-19) - </w:t>
            </w:r>
            <w:hyperlink r:id="rId70" w:history="1">
              <w:r>
                <w:rPr>
                  <w:rStyle w:val="Hyperlink"/>
                  <w:i/>
                  <w:noProof/>
                  <w:sz w:val="24"/>
                  <w:szCs w:val="24"/>
                </w:rPr>
                <w:t>Women at the core of the fight against COVID-19 crisis</w:t>
              </w:r>
            </w:hyperlink>
            <w:r>
              <w:rPr>
                <w:rStyle w:val="Hyperlink"/>
                <w:i/>
                <w:noProof/>
                <w:sz w:val="24"/>
                <w:szCs w:val="24"/>
              </w:rPr>
              <w:t xml:space="preserve">, </w:t>
            </w:r>
            <w:r>
              <w:rPr>
                <w:noProof/>
                <w:sz w:val="24"/>
                <w:szCs w:val="24"/>
              </w:rPr>
              <w:t>2020b.</w:t>
            </w:r>
          </w:p>
        </w:tc>
      </w:tr>
      <w:tr>
        <w:tc>
          <w:tcPr>
            <w:tcW w:w="8608" w:type="dxa"/>
          </w:tcPr>
          <w:p>
            <w:pPr>
              <w:spacing w:before="60" w:after="60"/>
              <w:jc w:val="both"/>
              <w:rPr>
                <w:noProof/>
                <w:sz w:val="24"/>
                <w:szCs w:val="24"/>
              </w:rPr>
            </w:pPr>
            <w:r>
              <w:rPr>
                <w:noProof/>
                <w:sz w:val="24"/>
                <w:szCs w:val="24"/>
              </w:rPr>
              <w:t>Olsen W.K, Walby, S., Modelling Gender Pay Gaps, EOC Working Paper Series, Manchester: Equal Opportunities Commission, 2004.</w:t>
            </w:r>
          </w:p>
        </w:tc>
      </w:tr>
      <w:tr>
        <w:tc>
          <w:tcPr>
            <w:tcW w:w="8608" w:type="dxa"/>
          </w:tcPr>
          <w:p>
            <w:pPr>
              <w:spacing w:before="60" w:after="60"/>
              <w:jc w:val="both"/>
              <w:rPr>
                <w:noProof/>
                <w:sz w:val="24"/>
                <w:szCs w:val="24"/>
              </w:rPr>
            </w:pPr>
            <w:r>
              <w:rPr>
                <w:noProof/>
                <w:sz w:val="24"/>
                <w:szCs w:val="24"/>
              </w:rPr>
              <w:t xml:space="preserve">Oelz M., Olney S. and Manuel T., </w:t>
            </w:r>
            <w:hyperlink r:id="rId71" w:history="1">
              <w:r>
                <w:rPr>
                  <w:rStyle w:val="Hyperlink"/>
                  <w:noProof/>
                  <w:sz w:val="24"/>
                  <w:szCs w:val="24"/>
                </w:rPr>
                <w:t>Equal Pay: An Introductory Guide</w:t>
              </w:r>
            </w:hyperlink>
            <w:r>
              <w:rPr>
                <w:noProof/>
                <w:sz w:val="24"/>
                <w:szCs w:val="24"/>
              </w:rPr>
              <w:t>, International Labour Office Geneva, 2013.</w:t>
            </w:r>
          </w:p>
        </w:tc>
      </w:tr>
      <w:tr>
        <w:tc>
          <w:tcPr>
            <w:tcW w:w="8608" w:type="dxa"/>
          </w:tcPr>
          <w:p>
            <w:pPr>
              <w:spacing w:before="60" w:after="60"/>
              <w:jc w:val="both"/>
              <w:rPr>
                <w:noProof/>
                <w:sz w:val="24"/>
                <w:szCs w:val="24"/>
              </w:rPr>
            </w:pPr>
            <w:r>
              <w:rPr>
                <w:noProof/>
                <w:sz w:val="24"/>
                <w:szCs w:val="24"/>
              </w:rPr>
              <w:t xml:space="preserve">O’Neill O.A., O’Reilly Ch., ‘Reducing the backlash effect: Self‐monitoring and women's promotions’, </w:t>
            </w:r>
            <w:r>
              <w:rPr>
                <w:i/>
                <w:noProof/>
                <w:sz w:val="24"/>
                <w:szCs w:val="24"/>
              </w:rPr>
              <w:t>Journal of Occupational and Organizational Psychology</w:t>
            </w:r>
            <w:r>
              <w:rPr>
                <w:noProof/>
                <w:sz w:val="24"/>
                <w:szCs w:val="24"/>
              </w:rPr>
              <w:t xml:space="preserve"> 84(4), 2011, pp. 825 – 832.</w:t>
            </w:r>
          </w:p>
        </w:tc>
      </w:tr>
      <w:tr>
        <w:tc>
          <w:tcPr>
            <w:tcW w:w="8608" w:type="dxa"/>
          </w:tcPr>
          <w:p>
            <w:pPr>
              <w:spacing w:before="60" w:after="60"/>
              <w:jc w:val="both"/>
              <w:rPr>
                <w:noProof/>
                <w:sz w:val="24"/>
                <w:szCs w:val="24"/>
              </w:rPr>
            </w:pPr>
            <w:r>
              <w:rPr>
                <w:noProof/>
                <w:sz w:val="24"/>
                <w:szCs w:val="24"/>
              </w:rPr>
              <w:t>O’Reilly et al., ‘</w:t>
            </w:r>
            <w:hyperlink r:id="rId72" w:history="1">
              <w:r>
                <w:rPr>
                  <w:rStyle w:val="Hyperlink"/>
                  <w:noProof/>
                  <w:sz w:val="24"/>
                  <w:szCs w:val="24"/>
                </w:rPr>
                <w:t>Equal Pay as a Moving Target: International perspectives on forty-years of addressing the gender pay gap</w:t>
              </w:r>
            </w:hyperlink>
            <w:r>
              <w:rPr>
                <w:rStyle w:val="Hyperlink"/>
                <w:noProof/>
                <w:sz w:val="24"/>
                <w:szCs w:val="24"/>
              </w:rPr>
              <w:t>’</w:t>
            </w:r>
            <w:r>
              <w:rPr>
                <w:noProof/>
                <w:sz w:val="24"/>
                <w:szCs w:val="24"/>
              </w:rPr>
              <w:t xml:space="preserve">, </w:t>
            </w:r>
            <w:r>
              <w:rPr>
                <w:i/>
                <w:noProof/>
                <w:sz w:val="24"/>
                <w:szCs w:val="24"/>
              </w:rPr>
              <w:t>Cambridge Journal of Economics</w:t>
            </w:r>
            <w:r>
              <w:rPr>
                <w:noProof/>
                <w:sz w:val="24"/>
                <w:szCs w:val="24"/>
              </w:rPr>
              <w:t>, volume 39, issue 2, March 2015, Pages 299–317.</w:t>
            </w:r>
          </w:p>
        </w:tc>
      </w:tr>
      <w:tr>
        <w:tc>
          <w:tcPr>
            <w:tcW w:w="8608" w:type="dxa"/>
          </w:tcPr>
          <w:p>
            <w:pPr>
              <w:spacing w:before="60" w:after="60"/>
              <w:jc w:val="both"/>
              <w:rPr>
                <w:noProof/>
                <w:sz w:val="24"/>
                <w:szCs w:val="24"/>
              </w:rPr>
            </w:pPr>
            <w:r>
              <w:rPr>
                <w:noProof/>
                <w:sz w:val="24"/>
                <w:szCs w:val="24"/>
              </w:rPr>
              <w:t>Perez-Truglia, R. (2019). “The Effects of Income Transparency on Well-Being: Evidence from a Natural Experiment,” NBER Working Paper Series, No. 25622.</w:t>
            </w:r>
          </w:p>
        </w:tc>
      </w:tr>
      <w:tr>
        <w:tc>
          <w:tcPr>
            <w:tcW w:w="8608" w:type="dxa"/>
          </w:tcPr>
          <w:p>
            <w:pPr>
              <w:spacing w:before="60" w:after="60"/>
              <w:jc w:val="both"/>
              <w:rPr>
                <w:noProof/>
                <w:sz w:val="24"/>
                <w:szCs w:val="24"/>
              </w:rPr>
            </w:pPr>
            <w:r>
              <w:rPr>
                <w:noProof/>
                <w:sz w:val="24"/>
                <w:szCs w:val="24"/>
              </w:rPr>
              <w:t>Rafferty, A., Rubery, J., ‘</w:t>
            </w:r>
            <w:hyperlink r:id="rId73" w:history="1">
              <w:r>
                <w:rPr>
                  <w:rStyle w:val="Hyperlink"/>
                  <w:noProof/>
                  <w:sz w:val="24"/>
                  <w:szCs w:val="24"/>
                </w:rPr>
                <w:t>Women and recession revisited</w:t>
              </w:r>
            </w:hyperlink>
            <w:r>
              <w:rPr>
                <w:noProof/>
                <w:sz w:val="24"/>
                <w:szCs w:val="24"/>
              </w:rPr>
              <w:t xml:space="preserve">’, </w:t>
            </w:r>
            <w:r>
              <w:rPr>
                <w:i/>
                <w:noProof/>
                <w:sz w:val="24"/>
                <w:szCs w:val="24"/>
              </w:rPr>
              <w:t>Work, employment and</w:t>
            </w:r>
            <w:r>
              <w:rPr>
                <w:noProof/>
                <w:sz w:val="24"/>
                <w:szCs w:val="24"/>
              </w:rPr>
              <w:t xml:space="preserve"> </w:t>
            </w:r>
            <w:r>
              <w:rPr>
                <w:i/>
                <w:noProof/>
                <w:sz w:val="24"/>
                <w:szCs w:val="24"/>
              </w:rPr>
              <w:t>society</w:t>
            </w:r>
            <w:r>
              <w:rPr>
                <w:noProof/>
                <w:sz w:val="24"/>
                <w:szCs w:val="24"/>
              </w:rPr>
              <w:t>, Vol.27/, 2013, pp. 414 –432.</w:t>
            </w:r>
          </w:p>
        </w:tc>
      </w:tr>
      <w:tr>
        <w:tc>
          <w:tcPr>
            <w:tcW w:w="8608" w:type="dxa"/>
          </w:tcPr>
          <w:p>
            <w:pPr>
              <w:spacing w:before="60" w:after="60"/>
              <w:jc w:val="both"/>
              <w:rPr>
                <w:noProof/>
                <w:sz w:val="24"/>
                <w:szCs w:val="24"/>
              </w:rPr>
            </w:pPr>
            <w:r>
              <w:rPr>
                <w:noProof/>
                <w:sz w:val="24"/>
                <w:szCs w:val="24"/>
              </w:rPr>
              <w:t>Snyder K., ‘</w:t>
            </w:r>
            <w:hyperlink r:id="rId74" w:history="1">
              <w:r>
                <w:rPr>
                  <w:noProof/>
                  <w:color w:val="0000FF" w:themeColor="hyperlink"/>
                  <w:sz w:val="24"/>
                  <w:szCs w:val="24"/>
                  <w:u w:val="single"/>
                </w:rPr>
                <w:t>The abrasiveness trap: High-achieving men and women are described differently in reviews</w:t>
              </w:r>
            </w:hyperlink>
            <w:r>
              <w:rPr>
                <w:noProof/>
                <w:sz w:val="24"/>
                <w:szCs w:val="24"/>
              </w:rPr>
              <w:t>, Fortune, 26 August 2014.</w:t>
            </w:r>
          </w:p>
        </w:tc>
      </w:tr>
      <w:tr>
        <w:tc>
          <w:tcPr>
            <w:tcW w:w="8608" w:type="dxa"/>
          </w:tcPr>
          <w:p>
            <w:pPr>
              <w:spacing w:before="60" w:after="60"/>
              <w:jc w:val="both"/>
              <w:rPr>
                <w:noProof/>
                <w:sz w:val="24"/>
                <w:szCs w:val="24"/>
              </w:rPr>
            </w:pPr>
            <w:r>
              <w:rPr>
                <w:noProof/>
                <w:sz w:val="24"/>
                <w:szCs w:val="24"/>
              </w:rPr>
              <w:t>Trotter, R. G.;  Zacur, S. R., Stickney, L.T.,  ‘</w:t>
            </w:r>
            <w:hyperlink r:id="rId75" w:history="1">
              <w:r>
                <w:rPr>
                  <w:rStyle w:val="Hyperlink"/>
                  <w:noProof/>
                  <w:color w:val="auto"/>
                  <w:sz w:val="24"/>
                  <w:szCs w:val="24"/>
                  <w:u w:val="none"/>
                </w:rPr>
                <w:t>The new age of pay transparency</w:t>
              </w:r>
            </w:hyperlink>
            <w:r>
              <w:rPr>
                <w:rStyle w:val="Hyperlink"/>
                <w:noProof/>
                <w:color w:val="auto"/>
                <w:sz w:val="24"/>
                <w:szCs w:val="24"/>
                <w:u w:val="none"/>
              </w:rPr>
              <w:t>’</w:t>
            </w:r>
            <w:r>
              <w:rPr>
                <w:noProof/>
                <w:sz w:val="24"/>
                <w:szCs w:val="24"/>
              </w:rPr>
              <w:t xml:space="preserve">, </w:t>
            </w:r>
            <w:r>
              <w:rPr>
                <w:i/>
                <w:noProof/>
                <w:sz w:val="24"/>
                <w:szCs w:val="24"/>
              </w:rPr>
              <w:t>Business Horizons</w:t>
            </w:r>
            <w:r>
              <w:rPr>
                <w:noProof/>
                <w:sz w:val="24"/>
                <w:szCs w:val="24"/>
              </w:rPr>
              <w:t>, Volume 60, Issue 4, 2017, Pages 529-539.</w:t>
            </w:r>
          </w:p>
        </w:tc>
      </w:tr>
      <w:tr>
        <w:tc>
          <w:tcPr>
            <w:tcW w:w="8608" w:type="dxa"/>
          </w:tcPr>
          <w:p>
            <w:pPr>
              <w:spacing w:before="60" w:after="60"/>
              <w:jc w:val="both"/>
              <w:rPr>
                <w:noProof/>
                <w:sz w:val="24"/>
                <w:szCs w:val="24"/>
              </w:rPr>
            </w:pPr>
            <w:r>
              <w:rPr>
                <w:noProof/>
                <w:sz w:val="24"/>
                <w:szCs w:val="24"/>
              </w:rPr>
              <w:t xml:space="preserve">Vaccaro, G., ‘Using econometrics to reduce gender discrimination: Evidence from a Difference-in-Discontinuity Design’, </w:t>
            </w:r>
            <w:r>
              <w:rPr>
                <w:i/>
                <w:noProof/>
                <w:sz w:val="24"/>
                <w:szCs w:val="24"/>
              </w:rPr>
              <w:t>IZA</w:t>
            </w:r>
            <w:r>
              <w:rPr>
                <w:noProof/>
                <w:sz w:val="24"/>
                <w:szCs w:val="24"/>
              </w:rPr>
              <w:t>, 2nd Workshop: Gender and Family Economics, 2018.</w:t>
            </w:r>
          </w:p>
        </w:tc>
      </w:tr>
      <w:tr>
        <w:tc>
          <w:tcPr>
            <w:tcW w:w="8608" w:type="dxa"/>
          </w:tcPr>
          <w:p>
            <w:pPr>
              <w:spacing w:before="60" w:after="60"/>
              <w:jc w:val="both"/>
              <w:rPr>
                <w:noProof/>
                <w:sz w:val="24"/>
                <w:szCs w:val="24"/>
              </w:rPr>
            </w:pPr>
            <w:r>
              <w:rPr>
                <w:noProof/>
                <w:sz w:val="24"/>
                <w:szCs w:val="24"/>
              </w:rPr>
              <w:t>Valet P., ‘</w:t>
            </w:r>
            <w:hyperlink r:id="rId76" w:history="1">
              <w:r>
                <w:rPr>
                  <w:rStyle w:val="Hyperlink"/>
                  <w:noProof/>
                  <w:sz w:val="24"/>
                  <w:szCs w:val="24"/>
                </w:rPr>
                <w:t>Social Structure and the Paradox of the Contented Female Worker: How Occupational Gender Segregation Biases Justice Perceptions of Wages</w:t>
              </w:r>
            </w:hyperlink>
            <w:r>
              <w:rPr>
                <w:rStyle w:val="Hyperlink"/>
                <w:noProof/>
                <w:sz w:val="24"/>
                <w:szCs w:val="24"/>
              </w:rPr>
              <w:t>’</w:t>
            </w:r>
            <w:r>
              <w:rPr>
                <w:rStyle w:val="Hyperlink"/>
                <w:i/>
                <w:noProof/>
                <w:sz w:val="24"/>
                <w:szCs w:val="24"/>
              </w:rPr>
              <w:t>,</w:t>
            </w:r>
            <w:r>
              <w:rPr>
                <w:rStyle w:val="Hyperlink"/>
                <w:noProof/>
                <w:sz w:val="24"/>
                <w:szCs w:val="24"/>
              </w:rPr>
              <w:t xml:space="preserve"> </w:t>
            </w:r>
            <w:r>
              <w:rPr>
                <w:rStyle w:val="Hyperlink"/>
                <w:i/>
                <w:noProof/>
                <w:sz w:val="24"/>
                <w:szCs w:val="24"/>
              </w:rPr>
              <w:t>Work and</w:t>
            </w:r>
            <w:r>
              <w:rPr>
                <w:rStyle w:val="Hyperlink"/>
                <w:noProof/>
                <w:sz w:val="24"/>
                <w:szCs w:val="24"/>
              </w:rPr>
              <w:t xml:space="preserve"> </w:t>
            </w:r>
            <w:r>
              <w:rPr>
                <w:rStyle w:val="Hyperlink"/>
                <w:i/>
                <w:noProof/>
                <w:sz w:val="24"/>
                <w:szCs w:val="24"/>
              </w:rPr>
              <w:t>Occupations</w:t>
            </w:r>
            <w:r>
              <w:rPr>
                <w:rStyle w:val="Hyperlink"/>
                <w:noProof/>
                <w:sz w:val="24"/>
                <w:szCs w:val="24"/>
              </w:rPr>
              <w:t xml:space="preserve">, Volume 45, Issue 2, May </w:t>
            </w:r>
            <w:r>
              <w:rPr>
                <w:noProof/>
                <w:sz w:val="24"/>
                <w:szCs w:val="24"/>
              </w:rPr>
              <w:t>2018.</w:t>
            </w:r>
          </w:p>
        </w:tc>
      </w:tr>
      <w:tr>
        <w:tc>
          <w:tcPr>
            <w:tcW w:w="8608" w:type="dxa"/>
          </w:tcPr>
          <w:p>
            <w:pPr>
              <w:spacing w:before="60" w:after="60"/>
              <w:jc w:val="both"/>
              <w:rPr>
                <w:noProof/>
                <w:sz w:val="24"/>
                <w:szCs w:val="24"/>
              </w:rPr>
            </w:pPr>
            <w:r>
              <w:rPr>
                <w:noProof/>
                <w:sz w:val="24"/>
                <w:szCs w:val="24"/>
              </w:rPr>
              <w:t xml:space="preserve">Veldman A. (2017). </w:t>
            </w:r>
            <w:hyperlink r:id="rId77" w:history="1">
              <w:r>
                <w:rPr>
                  <w:rStyle w:val="Hyperlink"/>
                  <w:noProof/>
                  <w:sz w:val="24"/>
                  <w:szCs w:val="24"/>
                </w:rPr>
                <w:t>Pay transparency in the EU. A legal analysis of the situation in the EU Member States, Iceland, Liechtenstein and Norway</w:t>
              </w:r>
            </w:hyperlink>
            <w:r>
              <w:rPr>
                <w:noProof/>
                <w:sz w:val="24"/>
                <w:szCs w:val="24"/>
              </w:rPr>
              <w:t>. European network of legal experts in gender equality and non-discrimination. European Commission – DG JUST. Luxembourg: Publications Office of the European Union.</w:t>
            </w:r>
          </w:p>
        </w:tc>
      </w:tr>
      <w:tr>
        <w:tc>
          <w:tcPr>
            <w:tcW w:w="8608" w:type="dxa"/>
          </w:tcPr>
          <w:p>
            <w:pPr>
              <w:spacing w:before="60" w:after="60"/>
              <w:jc w:val="both"/>
              <w:rPr>
                <w:noProof/>
                <w:sz w:val="24"/>
                <w:szCs w:val="24"/>
              </w:rPr>
            </w:pPr>
            <w:r>
              <w:rPr>
                <w:noProof/>
                <w:sz w:val="24"/>
                <w:szCs w:val="24"/>
              </w:rPr>
              <w:t>Werner, P., ‘</w:t>
            </w:r>
            <w:hyperlink r:id="rId78" w:history="1">
              <w:r>
                <w:rPr>
                  <w:noProof/>
                  <w:color w:val="0000FF" w:themeColor="hyperlink"/>
                  <w:sz w:val="24"/>
                  <w:szCs w:val="24"/>
                  <w:u w:val="single"/>
                </w:rPr>
                <w:t>Wage negotiations and strategic responses to transparency</w:t>
              </w:r>
            </w:hyperlink>
            <w:r>
              <w:rPr>
                <w:noProof/>
                <w:sz w:val="24"/>
                <w:szCs w:val="24"/>
              </w:rPr>
              <w:t xml:space="preserve">’. Annual Conference 2019 (Leipzig): 30 Years after the Fall of the Berlin Wall - Democracy and Market Economy, Verein für Sozialpolitik / </w:t>
            </w:r>
            <w:r>
              <w:rPr>
                <w:i/>
                <w:noProof/>
                <w:sz w:val="24"/>
                <w:szCs w:val="24"/>
              </w:rPr>
              <w:t>Germa</w:t>
            </w:r>
            <w:r>
              <w:rPr>
                <w:rFonts w:eastAsiaTheme="minorEastAsia"/>
                <w:i/>
                <w:noProof/>
                <w:sz w:val="24"/>
                <w:szCs w:val="24"/>
              </w:rPr>
              <w:t>n Economic Association</w:t>
            </w:r>
            <w:r>
              <w:rPr>
                <w:rFonts w:eastAsiaTheme="minorEastAsia"/>
                <w:noProof/>
                <w:sz w:val="24"/>
                <w:szCs w:val="24"/>
              </w:rPr>
              <w:t>, 2019.</w:t>
            </w:r>
          </w:p>
        </w:tc>
      </w:tr>
    </w:tbl>
    <w:p>
      <w:pPr>
        <w:rPr>
          <w:rFonts w:ascii="Times New Roman" w:hAnsi="Times New Roman" w:cs="Times New Roman"/>
          <w:noProof/>
          <w:sz w:val="24"/>
          <w:szCs w:val="24"/>
        </w:rPr>
      </w:pPr>
      <w:r>
        <w:rPr>
          <w:rFonts w:ascii="Times New Roman" w:hAnsi="Times New Roman" w:cs="Times New Roman"/>
          <w:noProof/>
          <w:sz w:val="24"/>
          <w:szCs w:val="24"/>
        </w:rPr>
        <w:br w:type="page"/>
      </w:r>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Legislative acts: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Council, Directive 76/207/EEC, as amended by Directive 2002/73/EC, on equal treatment of women and men, 1976.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Council, Directive 86/378/EEC, as amended by Directive 96/97/EC, on equal treatment in occupational social security schemes, 1986. </w:t>
      </w:r>
    </w:p>
    <w:p>
      <w:pPr>
        <w:jc w:val="both"/>
        <w:rPr>
          <w:rFonts w:ascii="Times New Roman" w:hAnsi="Times New Roman" w:cs="Times New Roman"/>
          <w:noProof/>
          <w:sz w:val="24"/>
          <w:szCs w:val="24"/>
        </w:rPr>
      </w:pPr>
      <w:r>
        <w:rPr>
          <w:rFonts w:ascii="Times New Roman" w:hAnsi="Times New Roman" w:cs="Times New Roman"/>
          <w:noProof/>
          <w:sz w:val="24"/>
          <w:szCs w:val="24"/>
        </w:rPr>
        <w:t>Council, Directive 97/80/EC, as amended by Directive 98/52/EC, on the burden of proof in cases of discrimination based on sex, 1997.</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Council, Directive 75/117/EEC on equal pay. </w:t>
      </w:r>
    </w:p>
    <w:p>
      <w:pPr>
        <w:jc w:val="both"/>
        <w:rPr>
          <w:rFonts w:ascii="Times New Roman" w:hAnsi="Times New Roman" w:cs="Times New Roman"/>
          <w:noProof/>
          <w:sz w:val="24"/>
          <w:szCs w:val="24"/>
        </w:rPr>
      </w:pPr>
      <w:r>
        <w:rPr>
          <w:rFonts w:ascii="Times New Roman" w:hAnsi="Times New Roman" w:cs="Times New Roman"/>
          <w:noProof/>
          <w:sz w:val="24"/>
          <w:szCs w:val="24"/>
          <w:lang w:val="de-DE"/>
        </w:rPr>
        <w:t xml:space="preserve">Deutscher Bundestag, Entwurf eines Gesetzes zur Förderung der Transparenz von Entgeltstrukturen, Gesetzentwurf des Bundesregierung, 2017. </w:t>
      </w:r>
      <w:r>
        <w:rPr>
          <w:rFonts w:ascii="Times New Roman" w:hAnsi="Times New Roman" w:cs="Times New Roman"/>
          <w:noProof/>
          <w:sz w:val="24"/>
          <w:szCs w:val="24"/>
        </w:rPr>
        <w:t>(Drucksache 18/11133).</w:t>
      </w:r>
    </w:p>
    <w:p>
      <w:pPr>
        <w:rPr>
          <w:rFonts w:ascii="Times New Roman" w:hAnsi="Times New Roman" w:cs="Times New Roman"/>
          <w:noProof/>
          <w:sz w:val="24"/>
          <w:szCs w:val="24"/>
        </w:rPr>
      </w:pPr>
    </w:p>
    <w:p>
      <w:pPr>
        <w:rPr>
          <w:rFonts w:ascii="Times New Roman" w:hAnsi="Times New Roman" w:cs="Times New Roman"/>
          <w:noProof/>
          <w:sz w:val="24"/>
          <w:szCs w:val="24"/>
        </w:rPr>
      </w:pPr>
    </w:p>
    <w:p>
      <w:pPr>
        <w:rPr>
          <w:rFonts w:ascii="Times New Roman" w:hAnsi="Times New Roman" w:cs="Times New Roman"/>
          <w:noProof/>
          <w:sz w:val="24"/>
          <w:szCs w:val="24"/>
        </w:rPr>
      </w:pPr>
    </w:p>
    <w:p>
      <w:pPr>
        <w:rPr>
          <w:rFonts w:ascii="Times New Roman" w:hAnsi="Times New Roman" w:cs="Times New Roman"/>
          <w:noProof/>
          <w:sz w:val="24"/>
          <w:szCs w:val="24"/>
        </w:rPr>
      </w:pPr>
      <w:r>
        <w:rPr>
          <w:rFonts w:ascii="Times New Roman" w:hAnsi="Times New Roman" w:cs="Times New Roman"/>
          <w:noProof/>
          <w:sz w:val="24"/>
          <w:szCs w:val="24"/>
        </w:rPr>
        <w:br w:type="page"/>
      </w:r>
    </w:p>
    <w:p>
      <w:pPr>
        <w:pStyle w:val="FootnoteText"/>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Websites / articles:</w:t>
      </w:r>
    </w:p>
    <w:p>
      <w:pPr>
        <w:pStyle w:val="FootnoteText"/>
        <w:jc w:val="both"/>
        <w:rPr>
          <w:rFonts w:ascii="Times New Roman" w:hAnsi="Times New Roman" w:cs="Times New Roman"/>
          <w:b/>
          <w:noProof/>
          <w:sz w:val="24"/>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8"/>
      </w:tblGrid>
      <w:tr>
        <w:tc>
          <w:tcPr>
            <w:tcW w:w="8618" w:type="dxa"/>
          </w:tcPr>
          <w:p>
            <w:pPr>
              <w:spacing w:after="120"/>
              <w:ind w:left="-110"/>
              <w:jc w:val="both"/>
              <w:rPr>
                <w:noProof/>
                <w:sz w:val="24"/>
                <w:szCs w:val="24"/>
              </w:rPr>
            </w:pPr>
            <w:hyperlink r:id="rId79" w:history="1">
              <w:r>
                <w:rPr>
                  <w:noProof/>
                  <w:color w:val="0000FF" w:themeColor="hyperlink"/>
                  <w:sz w:val="24"/>
                  <w:szCs w:val="24"/>
                  <w:u w:val="single"/>
                </w:rPr>
                <w:t>http://econgrads.berkeley.edu/emilianohuet-vaughn/files/2012/11/JMP_e.pdf</w:t>
              </w:r>
            </w:hyperlink>
            <w:r>
              <w:rPr>
                <w:noProof/>
                <w:sz w:val="24"/>
                <w:szCs w:val="24"/>
              </w:rPr>
              <w:t xml:space="preserve"> </w:t>
            </w:r>
          </w:p>
        </w:tc>
      </w:tr>
      <w:tr>
        <w:tc>
          <w:tcPr>
            <w:tcW w:w="8618" w:type="dxa"/>
          </w:tcPr>
          <w:p>
            <w:pPr>
              <w:spacing w:after="120"/>
              <w:ind w:left="-110"/>
              <w:jc w:val="both"/>
              <w:rPr>
                <w:noProof/>
                <w:sz w:val="24"/>
                <w:szCs w:val="24"/>
              </w:rPr>
            </w:pPr>
            <w:hyperlink r:id="rId80" w:history="1">
              <w:r>
                <w:rPr>
                  <w:noProof/>
                  <w:color w:val="0000FF" w:themeColor="hyperlink"/>
                  <w:sz w:val="24"/>
                  <w:szCs w:val="24"/>
                  <w:u w:val="single"/>
                </w:rPr>
                <w:t>https://hbr.org/2015/10/most-people-have-no-idea-whether-theyre-paid-fairly</w:t>
              </w:r>
            </w:hyperlink>
            <w:r>
              <w:rPr>
                <w:noProof/>
                <w:sz w:val="24"/>
                <w:szCs w:val="24"/>
              </w:rPr>
              <w:t xml:space="preserve"> </w:t>
            </w:r>
          </w:p>
        </w:tc>
      </w:tr>
      <w:tr>
        <w:tc>
          <w:tcPr>
            <w:tcW w:w="8618" w:type="dxa"/>
          </w:tcPr>
          <w:p>
            <w:pPr>
              <w:spacing w:after="120"/>
              <w:ind w:left="-110"/>
              <w:jc w:val="both"/>
              <w:rPr>
                <w:rFonts w:eastAsia="Calibri"/>
                <w:noProof/>
                <w:color w:val="0000FF" w:themeColor="hyperlink"/>
                <w:sz w:val="24"/>
                <w:szCs w:val="24"/>
                <w:u w:val="single"/>
              </w:rPr>
            </w:pPr>
            <w:hyperlink r:id="rId81" w:history="1">
              <w:r>
                <w:rPr>
                  <w:rFonts w:eastAsia="Calibri"/>
                  <w:noProof/>
                  <w:color w:val="0000FF" w:themeColor="hyperlink"/>
                  <w:sz w:val="24"/>
                  <w:szCs w:val="24"/>
                  <w:u w:val="single"/>
                </w:rPr>
                <w:t>https://www.eurofound.europa.eu/publications/blog/slow-start-for-gender-pay-transparency-in-germany</w:t>
              </w:r>
            </w:hyperlink>
          </w:p>
          <w:p>
            <w:pPr>
              <w:spacing w:after="120"/>
              <w:ind w:left="-110"/>
              <w:jc w:val="both"/>
              <w:rPr>
                <w:noProof/>
                <w:sz w:val="24"/>
                <w:szCs w:val="24"/>
              </w:rPr>
            </w:pPr>
            <w:hyperlink r:id="rId82" w:history="1">
              <w:r>
                <w:rPr>
                  <w:rStyle w:val="Hyperlink"/>
                  <w:noProof/>
                  <w:sz w:val="24"/>
                  <w:szCs w:val="24"/>
                </w:rPr>
                <w:t>https://www.eurofound.europa.eu/observatories/eurwork/industrial-relations-dictionary/atypical-work</w:t>
              </w:r>
            </w:hyperlink>
            <w:r>
              <w:rPr>
                <w:noProof/>
                <w:sz w:val="24"/>
                <w:szCs w:val="24"/>
              </w:rPr>
              <w:t xml:space="preserve"> </w:t>
            </w:r>
          </w:p>
        </w:tc>
      </w:tr>
      <w:tr>
        <w:tc>
          <w:tcPr>
            <w:tcW w:w="8618" w:type="dxa"/>
          </w:tcPr>
          <w:p>
            <w:pPr>
              <w:spacing w:after="120"/>
              <w:ind w:left="-110"/>
              <w:jc w:val="both"/>
              <w:rPr>
                <w:noProof/>
                <w:sz w:val="24"/>
                <w:szCs w:val="24"/>
              </w:rPr>
            </w:pPr>
            <w:hyperlink r:id="rId83" w:history="1">
              <w:r>
                <w:rPr>
                  <w:noProof/>
                  <w:color w:val="0000FF" w:themeColor="hyperlink"/>
                  <w:sz w:val="24"/>
                  <w:szCs w:val="24"/>
                  <w:u w:val="single"/>
                </w:rPr>
                <w:t>https://www.sciencedirect.com/science/article/pii/S0007681317300356</w:t>
              </w:r>
            </w:hyperlink>
            <w:r>
              <w:rPr>
                <w:noProof/>
                <w:sz w:val="24"/>
                <w:szCs w:val="24"/>
              </w:rPr>
              <w:t xml:space="preserve"> </w:t>
            </w:r>
          </w:p>
        </w:tc>
      </w:tr>
    </w:tbl>
    <w:p>
      <w:pPr>
        <w:pStyle w:val="FootnoteText"/>
        <w:spacing w:after="120"/>
        <w:jc w:val="both"/>
        <w:rPr>
          <w:rFonts w:ascii="Times New Roman" w:hAnsi="Times New Roman" w:cs="Times New Roman"/>
          <w:noProof/>
          <w:sz w:val="24"/>
          <w:szCs w:val="24"/>
        </w:rPr>
      </w:pPr>
      <w:hyperlink r:id="rId84" w:history="1">
        <w:r>
          <w:rPr>
            <w:rStyle w:val="Hyperlink"/>
            <w:rFonts w:ascii="Times New Roman" w:hAnsi="Times New Roman" w:cs="Times New Roman"/>
            <w:noProof/>
            <w:sz w:val="24"/>
            <w:szCs w:val="24"/>
          </w:rPr>
          <w:t>https://www.payscale.com/data/gender-pay-gap</w:t>
        </w:r>
      </w:hyperlink>
      <w:r>
        <w:rPr>
          <w:rFonts w:ascii="Times New Roman" w:hAnsi="Times New Roman" w:cs="Times New Roman"/>
          <w:noProof/>
          <w:sz w:val="24"/>
          <w:szCs w:val="24"/>
        </w:rPr>
        <w:t xml:space="preserve"> </w:t>
      </w:r>
    </w:p>
    <w:p>
      <w:pPr>
        <w:pStyle w:val="FootnoteText"/>
        <w:spacing w:after="120"/>
        <w:rPr>
          <w:rFonts w:ascii="Times New Roman" w:hAnsi="Times New Roman" w:cs="Times New Roman"/>
          <w:noProof/>
          <w:sz w:val="24"/>
          <w:szCs w:val="24"/>
        </w:rPr>
      </w:pPr>
      <w:hyperlink r:id="rId85" w:history="1">
        <w:r>
          <w:rPr>
            <w:rStyle w:val="Hyperlink"/>
            <w:rFonts w:ascii="Times New Roman" w:hAnsi="Times New Roman" w:cs="Times New Roman"/>
            <w:noProof/>
            <w:sz w:val="24"/>
            <w:szCs w:val="24"/>
          </w:rPr>
          <w:t>https://jamstalldhetsfeministern.files.wordpress.com/2014/04/miljongranskningen_etapp2_nov2008.pdf</w:t>
        </w:r>
      </w:hyperlink>
      <w:r>
        <w:rPr>
          <w:rFonts w:ascii="Times New Roman" w:hAnsi="Times New Roman" w:cs="Times New Roman"/>
          <w:noProof/>
          <w:sz w:val="24"/>
          <w:szCs w:val="24"/>
        </w:rPr>
        <w:t xml:space="preserve"> </w:t>
      </w:r>
    </w:p>
    <w:p>
      <w:pPr>
        <w:pStyle w:val="FootnoteText"/>
        <w:spacing w:before="120" w:after="120"/>
        <w:jc w:val="both"/>
        <w:rPr>
          <w:rStyle w:val="FootnoteReference"/>
          <w:rFonts w:ascii="Times New Roman" w:hAnsi="Times New Roman" w:cs="Times New Roman"/>
          <w:noProof/>
          <w:sz w:val="24"/>
          <w:szCs w:val="24"/>
        </w:rPr>
      </w:pPr>
      <w:hyperlink r:id="rId86">
        <w:r>
          <w:rPr>
            <w:rStyle w:val="Hyperlink"/>
            <w:rFonts w:ascii="Times New Roman" w:hAnsi="Times New Roman" w:cs="Times New Roman"/>
            <w:noProof/>
            <w:sz w:val="24"/>
            <w:szCs w:val="24"/>
          </w:rPr>
          <w:t>https://www.sciencedirect.com/science/article/pii/S0007681317300356</w:t>
        </w:r>
      </w:hyperlink>
      <w:r>
        <w:rPr>
          <w:rFonts w:ascii="Times New Roman" w:hAnsi="Times New Roman" w:cs="Times New Roman"/>
          <w:noProof/>
          <w:sz w:val="24"/>
          <w:szCs w:val="24"/>
        </w:rPr>
        <w:t xml:space="preserve"> </w:t>
      </w:r>
    </w:p>
    <w:p>
      <w:pPr>
        <w:spacing w:line="240" w:lineRule="auto"/>
        <w:rPr>
          <w:rStyle w:val="Hyperlink"/>
          <w:rFonts w:ascii="Times New Roman" w:hAnsi="Times New Roman" w:cs="Times New Roman"/>
          <w:noProof/>
          <w:sz w:val="24"/>
          <w:szCs w:val="24"/>
        </w:rPr>
      </w:pPr>
      <w:hyperlink r:id="rId87">
        <w:r>
          <w:rPr>
            <w:rStyle w:val="Hyperlink"/>
            <w:rFonts w:ascii="Times New Roman" w:hAnsi="Times New Roman" w:cs="Times New Roman"/>
            <w:noProof/>
            <w:sz w:val="24"/>
            <w:szCs w:val="24"/>
          </w:rPr>
          <w:t>https://www.cipd.co.uk/Images/reward-management_2017-focus-on-pay_tcm18-34496.pdf</w:t>
        </w:r>
      </w:hyperlink>
    </w:p>
    <w:p>
      <w:pPr>
        <w:pStyle w:val="FootnoteText"/>
        <w:spacing w:before="120" w:after="120"/>
        <w:jc w:val="both"/>
        <w:rPr>
          <w:rFonts w:ascii="Times New Roman" w:hAnsi="Times New Roman" w:cs="Times New Roman"/>
          <w:noProof/>
          <w:sz w:val="24"/>
          <w:szCs w:val="24"/>
        </w:rPr>
      </w:pPr>
      <w:hyperlink r:id="rId88" w:history="1">
        <w:r>
          <w:rPr>
            <w:rStyle w:val="Hyperlink"/>
            <w:rFonts w:ascii="Times New Roman" w:hAnsi="Times New Roman" w:cs="Times New Roman"/>
            <w:noProof/>
            <w:sz w:val="24"/>
            <w:szCs w:val="24"/>
          </w:rPr>
          <w:t>https://eige.europa.eu/news</w:t>
        </w:r>
      </w:hyperlink>
      <w:r>
        <w:rPr>
          <w:rFonts w:ascii="Times New Roman" w:hAnsi="Times New Roman" w:cs="Times New Roman"/>
          <w:noProof/>
          <w:sz w:val="24"/>
          <w:szCs w:val="24"/>
        </w:rPr>
        <w:t xml:space="preserve"> </w:t>
      </w:r>
    </w:p>
    <w:p>
      <w:pPr>
        <w:pStyle w:val="FootnoteText"/>
        <w:spacing w:before="120" w:after="120"/>
        <w:jc w:val="both"/>
        <w:rPr>
          <w:rFonts w:ascii="Times New Roman" w:hAnsi="Times New Roman" w:cs="Times New Roman"/>
          <w:noProof/>
          <w:sz w:val="24"/>
          <w:szCs w:val="24"/>
        </w:rPr>
      </w:pPr>
      <w:hyperlink r:id="rId89" w:history="1">
        <w:r>
          <w:rPr>
            <w:rFonts w:ascii="Times New Roman" w:hAnsi="Times New Roman" w:cs="Times New Roman"/>
            <w:noProof/>
            <w:color w:val="0000FF"/>
            <w:sz w:val="24"/>
            <w:szCs w:val="24"/>
            <w:u w:val="single"/>
          </w:rPr>
          <w:t>https://ec.europa.eu/info/policies/justice-and-fundamental-rights/upholding-rule-law/eu-justice-scoreboard_en</w:t>
        </w:r>
      </w:hyperlink>
    </w:p>
    <w:p>
      <w:pPr>
        <w:pStyle w:val="FootnoteText"/>
        <w:spacing w:before="120" w:after="120"/>
        <w:jc w:val="both"/>
        <w:rPr>
          <w:rFonts w:ascii="Times New Roman" w:hAnsi="Times New Roman" w:cs="Times New Roman"/>
          <w:noProof/>
          <w:sz w:val="24"/>
          <w:szCs w:val="24"/>
        </w:rPr>
      </w:pPr>
      <w:hyperlink r:id="rId90" w:history="1">
        <w:r>
          <w:rPr>
            <w:rStyle w:val="Hyperlink"/>
            <w:rFonts w:ascii="Times New Roman" w:hAnsi="Times New Roman" w:cs="Times New Roman"/>
            <w:noProof/>
            <w:sz w:val="24"/>
            <w:szCs w:val="24"/>
          </w:rPr>
          <w:t>https://ec.europa.eu/growth/smes/business-friendly-environment/sme-definition</w:t>
        </w:r>
      </w:hyperlink>
    </w:p>
    <w:p>
      <w:pPr>
        <w:pStyle w:val="FootnoteText"/>
        <w:spacing w:before="120" w:after="120"/>
        <w:jc w:val="both"/>
        <w:rPr>
          <w:rFonts w:ascii="Times New Roman" w:hAnsi="Times New Roman" w:cs="Times New Roman"/>
          <w:noProof/>
          <w:sz w:val="24"/>
          <w:szCs w:val="24"/>
        </w:rPr>
      </w:pPr>
      <w:hyperlink r:id="rId91" w:history="1">
        <w:r>
          <w:rPr>
            <w:rStyle w:val="Hyperlink"/>
            <w:rFonts w:ascii="Times New Roman" w:hAnsi="Times New Roman" w:cs="Times New Roman"/>
            <w:noProof/>
            <w:sz w:val="24"/>
            <w:szCs w:val="24"/>
          </w:rPr>
          <w:t>https://www.fastcompany.com/3065592/why-everyones-salary-should-be-revealed</w:t>
        </w:r>
      </w:hyperlink>
      <w:r>
        <w:rPr>
          <w:rFonts w:ascii="Times New Roman" w:hAnsi="Times New Roman" w:cs="Times New Roman"/>
          <w:noProof/>
          <w:sz w:val="24"/>
          <w:szCs w:val="24"/>
        </w:rPr>
        <w:t xml:space="preserve"> </w:t>
      </w:r>
    </w:p>
    <w:p>
      <w:pPr>
        <w:pStyle w:val="FootnoteText"/>
        <w:spacing w:before="120" w:after="120"/>
        <w:jc w:val="both"/>
        <w:rPr>
          <w:rStyle w:val="Hyperlink"/>
          <w:rFonts w:ascii="Times New Roman" w:hAnsi="Times New Roman" w:cs="Times New Roman"/>
          <w:noProof/>
          <w:sz w:val="24"/>
          <w:szCs w:val="24"/>
        </w:rPr>
      </w:pPr>
      <w:hyperlink r:id="rId92" w:history="1">
        <w:r>
          <w:rPr>
            <w:rStyle w:val="Hyperlink"/>
            <w:rFonts w:ascii="Times New Roman" w:hAnsi="Times New Roman" w:cs="Times New Roman"/>
            <w:noProof/>
            <w:sz w:val="24"/>
            <w:szCs w:val="24"/>
          </w:rPr>
          <w:t>https://www.wgea.gov.au/data/wgea-research/gender-equitable-recruitment-and-promotion</w:t>
        </w:r>
      </w:hyperlink>
    </w:p>
    <w:p>
      <w:pPr>
        <w:pStyle w:val="FootnoteText"/>
        <w:spacing w:before="120" w:after="120"/>
        <w:jc w:val="both"/>
        <w:rPr>
          <w:rFonts w:ascii="Times New Roman" w:hAnsi="Times New Roman" w:cs="Times New Roman"/>
          <w:noProof/>
          <w:sz w:val="24"/>
          <w:szCs w:val="24"/>
        </w:rPr>
      </w:pPr>
      <w:hyperlink r:id="rId93" w:history="1">
        <w:r>
          <w:rPr>
            <w:rStyle w:val="Hyperlink"/>
            <w:rFonts w:ascii="Times New Roman" w:hAnsi="Times New Roman" w:cs="Times New Roman"/>
            <w:noProof/>
            <w:sz w:val="24"/>
            <w:szCs w:val="24"/>
          </w:rPr>
          <w:t>https://www.wgea.gov.au/sites/default/files/documents/2019-04-4%20International%20reporting%20schemes_Final_for_web_0.pdf</w:t>
        </w:r>
      </w:hyperlink>
      <w:r>
        <w:rPr>
          <w:rFonts w:ascii="Times New Roman" w:hAnsi="Times New Roman" w:cs="Times New Roman"/>
          <w:noProof/>
          <w:sz w:val="24"/>
          <w:szCs w:val="24"/>
        </w:rPr>
        <w:t xml:space="preserve"> </w:t>
      </w:r>
    </w:p>
    <w:p>
      <w:pPr>
        <w:pStyle w:val="FootnoteText"/>
        <w:spacing w:before="120" w:after="120"/>
        <w:jc w:val="both"/>
        <w:rPr>
          <w:rFonts w:ascii="Times New Roman" w:hAnsi="Times New Roman" w:cs="Times New Roman"/>
          <w:noProof/>
          <w:sz w:val="24"/>
          <w:szCs w:val="24"/>
        </w:rPr>
      </w:pPr>
      <w:hyperlink r:id="rId94" w:history="1">
        <w:r>
          <w:rPr>
            <w:rStyle w:val="Hyperlink"/>
            <w:rFonts w:ascii="Times New Roman" w:hAnsi="Times New Roman" w:cs="Times New Roman"/>
            <w:noProof/>
            <w:sz w:val="24"/>
            <w:szCs w:val="24"/>
          </w:rPr>
          <w:t>https://hbr.org/2013/08/a-fairer-way-to-make-hiring-an</w:t>
        </w:r>
      </w:hyperlink>
    </w:p>
    <w:p>
      <w:pPr>
        <w:pStyle w:val="FootnoteText"/>
        <w:spacing w:before="120" w:after="120"/>
        <w:jc w:val="both"/>
        <w:rPr>
          <w:rFonts w:ascii="Times New Roman" w:hAnsi="Times New Roman" w:cs="Times New Roman"/>
          <w:noProof/>
          <w:sz w:val="24"/>
          <w:szCs w:val="24"/>
        </w:rPr>
      </w:pPr>
      <w:hyperlink r:id="rId95" w:history="1">
        <w:r>
          <w:rPr>
            <w:rStyle w:val="Hyperlink"/>
            <w:rFonts w:ascii="Times New Roman" w:hAnsi="Times New Roman" w:cs="Times New Roman"/>
            <w:noProof/>
            <w:sz w:val="24"/>
            <w:szCs w:val="24"/>
          </w:rPr>
          <w:t>http://publications.europa.eu/webpub/com/refit-scoreboard/en/priority/7/7-20.html</w:t>
        </w:r>
      </w:hyperlink>
    </w:p>
    <w:p>
      <w:pPr>
        <w:pStyle w:val="FootnoteText"/>
        <w:spacing w:before="120" w:after="120"/>
        <w:jc w:val="both"/>
        <w:rPr>
          <w:rFonts w:ascii="Times New Roman" w:hAnsi="Times New Roman" w:cs="Times New Roman"/>
          <w:noProof/>
          <w:sz w:val="24"/>
          <w:szCs w:val="24"/>
        </w:rPr>
      </w:pPr>
      <w:hyperlink r:id="rId96" w:history="1">
        <w:r>
          <w:rPr>
            <w:rStyle w:val="Hyperlink"/>
            <w:rFonts w:ascii="Times New Roman" w:hAnsi="Times New Roman" w:cs="Times New Roman"/>
            <w:noProof/>
            <w:sz w:val="24"/>
            <w:szCs w:val="24"/>
          </w:rPr>
          <w:t>https://ec.europa.eu/info/publications/2020-commission-work-programme-key-documents_en</w:t>
        </w:r>
      </w:hyperlink>
    </w:p>
    <w:p>
      <w:pPr>
        <w:pStyle w:val="FootnoteText"/>
        <w:spacing w:before="120" w:after="120"/>
        <w:jc w:val="both"/>
        <w:rPr>
          <w:rStyle w:val="FootnoteReference"/>
          <w:rFonts w:ascii="Times New Roman" w:hAnsi="Times New Roman" w:cs="Times New Roman"/>
          <w:noProof/>
          <w:sz w:val="24"/>
          <w:szCs w:val="24"/>
        </w:rPr>
      </w:pPr>
      <w:hyperlink r:id="rId97" w:history="1">
        <w:r>
          <w:rPr>
            <w:rStyle w:val="Hyperlink"/>
            <w:rFonts w:ascii="Times New Roman" w:hAnsi="Times New Roman" w:cs="Times New Roman"/>
            <w:noProof/>
            <w:sz w:val="24"/>
            <w:szCs w:val="24"/>
          </w:rPr>
          <w:t>https://ec.europa.eu/info/law/better-regulation/initiatives/ares-2018-3415794_en</w:t>
        </w:r>
      </w:hyperlink>
      <w:r>
        <w:rPr>
          <w:rFonts w:ascii="Times New Roman" w:hAnsi="Times New Roman" w:cs="Times New Roman"/>
          <w:noProof/>
          <w:sz w:val="24"/>
          <w:szCs w:val="24"/>
        </w:rPr>
        <w:t xml:space="preserve"> </w:t>
      </w:r>
      <w:r>
        <w:rPr>
          <w:rStyle w:val="FootnoteReference"/>
          <w:rFonts w:ascii="Times New Roman" w:hAnsi="Times New Roman" w:cs="Times New Roman"/>
          <w:noProof/>
          <w:sz w:val="24"/>
          <w:szCs w:val="24"/>
        </w:rPr>
        <w:t xml:space="preserve"> </w:t>
      </w:r>
    </w:p>
    <w:p>
      <w:pPr>
        <w:pStyle w:val="FootnoteText"/>
        <w:spacing w:before="120" w:after="120"/>
        <w:jc w:val="both"/>
        <w:rPr>
          <w:rStyle w:val="FootnoteReference"/>
          <w:rFonts w:ascii="Times New Roman" w:hAnsi="Times New Roman" w:cs="Times New Roman"/>
          <w:noProof/>
          <w:sz w:val="24"/>
          <w:szCs w:val="24"/>
        </w:rPr>
      </w:pPr>
      <w:hyperlink r:id="rId98" w:history="1">
        <w:r>
          <w:rPr>
            <w:rStyle w:val="Hyperlink"/>
            <w:rFonts w:ascii="Times New Roman" w:hAnsi="Times New Roman" w:cs="Times New Roman"/>
            <w:noProof/>
            <w:sz w:val="24"/>
            <w:szCs w:val="24"/>
          </w:rPr>
          <w:t>https://ec.europa.eu/eurostat/web/products-statistical-working-papers/product/-/asset_publisher/DuuxBAj0uSCB/content/KS-TC-18-003</w:t>
        </w:r>
      </w:hyperlink>
      <w:r>
        <w:rPr>
          <w:rFonts w:ascii="Times New Roman" w:hAnsi="Times New Roman" w:cs="Times New Roman"/>
          <w:noProof/>
          <w:sz w:val="24"/>
          <w:szCs w:val="24"/>
        </w:rPr>
        <w:t xml:space="preserve"> </w:t>
      </w:r>
    </w:p>
    <w:p>
      <w:pPr>
        <w:pStyle w:val="FootnoteText"/>
        <w:spacing w:before="120" w:after="120"/>
        <w:jc w:val="both"/>
        <w:rPr>
          <w:rFonts w:ascii="Times New Roman" w:hAnsi="Times New Roman" w:cs="Times New Roman"/>
          <w:noProof/>
          <w:sz w:val="24"/>
          <w:szCs w:val="24"/>
        </w:rPr>
      </w:pPr>
      <w:hyperlink r:id="rId99" w:history="1">
        <w:r>
          <w:rPr>
            <w:rStyle w:val="Hyperlink"/>
            <w:rFonts w:ascii="Times New Roman" w:hAnsi="Times New Roman" w:cs="Times New Roman"/>
            <w:noProof/>
            <w:sz w:val="24"/>
            <w:szCs w:val="24"/>
          </w:rPr>
          <w:t>https://www.ilo.org/global/about-the-ilo/multimedia/maps-and-charts/enhanced/WCMS_650829/lang--en/index.htm</w:t>
        </w:r>
      </w:hyperlink>
    </w:p>
    <w:p>
      <w:pPr>
        <w:pStyle w:val="FootnoteText"/>
        <w:spacing w:before="120" w:after="120"/>
        <w:jc w:val="both"/>
        <w:rPr>
          <w:rFonts w:ascii="Times New Roman" w:hAnsi="Times New Roman" w:cs="Times New Roman"/>
          <w:noProof/>
          <w:sz w:val="24"/>
          <w:szCs w:val="24"/>
        </w:rPr>
      </w:pPr>
      <w:hyperlink r:id="rId100" w:history="1">
        <w:r>
          <w:rPr>
            <w:rStyle w:val="Hyperlink"/>
            <w:rFonts w:ascii="Times New Roman" w:hAnsi="Times New Roman" w:cs="Times New Roman"/>
            <w:noProof/>
            <w:sz w:val="24"/>
            <w:szCs w:val="24"/>
          </w:rPr>
          <w:t>https://ec.europa.eu/eurostat/web/products-datasets/-/SDG_05_20</w:t>
        </w:r>
      </w:hyperlink>
      <w:r>
        <w:rPr>
          <w:rFonts w:ascii="Times New Roman" w:hAnsi="Times New Roman" w:cs="Times New Roman"/>
          <w:noProof/>
          <w:sz w:val="24"/>
          <w:szCs w:val="24"/>
        </w:rPr>
        <w:t xml:space="preserve"> </w:t>
      </w:r>
    </w:p>
    <w:p>
      <w:pPr>
        <w:pStyle w:val="FootnoteText"/>
        <w:spacing w:before="120" w:after="120"/>
        <w:jc w:val="both"/>
        <w:rPr>
          <w:rFonts w:ascii="Times New Roman" w:hAnsi="Times New Roman" w:cs="Times New Roman"/>
          <w:noProof/>
          <w:sz w:val="24"/>
          <w:szCs w:val="24"/>
        </w:rPr>
      </w:pPr>
      <w:hyperlink r:id="rId101" w:anchor="gender-equality-strategy-2020-2025" w:history="1">
        <w:r>
          <w:rPr>
            <w:rStyle w:val="Hyperlink"/>
            <w:rFonts w:ascii="Times New Roman" w:hAnsi="Times New Roman" w:cs="Times New Roman"/>
            <w:noProof/>
            <w:sz w:val="24"/>
            <w:szCs w:val="24"/>
          </w:rPr>
          <w:t>https://ec.europa.eu/info/policies/justice-and-fundamental-rights/gender-equality/gender-equality-strategy_en#gender-equality-strategy-2020-2025</w:t>
        </w:r>
      </w:hyperlink>
      <w:r>
        <w:rPr>
          <w:rFonts w:ascii="Times New Roman" w:hAnsi="Times New Roman" w:cs="Times New Roman"/>
          <w:noProof/>
          <w:sz w:val="24"/>
          <w:szCs w:val="24"/>
        </w:rPr>
        <w:t xml:space="preserve">  </w:t>
      </w:r>
    </w:p>
    <w:p>
      <w:pPr>
        <w:pStyle w:val="FootnoteText"/>
        <w:spacing w:before="120" w:after="120"/>
        <w:jc w:val="both"/>
        <w:rPr>
          <w:rFonts w:ascii="Times New Roman" w:hAnsi="Times New Roman" w:cs="Times New Roman"/>
          <w:noProof/>
          <w:sz w:val="24"/>
          <w:szCs w:val="24"/>
        </w:rPr>
      </w:pPr>
      <w:hyperlink r:id="rId102" w:history="1">
        <w:r>
          <w:rPr>
            <w:rStyle w:val="Hyperlink"/>
            <w:rFonts w:ascii="Times New Roman" w:hAnsi="Times New Roman" w:cs="Times New Roman"/>
            <w:noProof/>
            <w:sz w:val="24"/>
            <w:szCs w:val="24"/>
          </w:rPr>
          <w:t>https://www.aauw.org/resources/article/black-women-and-the-pay-gap/</w:t>
        </w:r>
      </w:hyperlink>
    </w:p>
    <w:p>
      <w:pPr>
        <w:pStyle w:val="FootnoteText"/>
        <w:spacing w:before="120" w:after="120"/>
        <w:jc w:val="both"/>
        <w:rPr>
          <w:rFonts w:ascii="Times New Roman" w:hAnsi="Times New Roman" w:cs="Times New Roman"/>
          <w:noProof/>
          <w:sz w:val="24"/>
          <w:szCs w:val="24"/>
        </w:rPr>
      </w:pPr>
      <w:hyperlink r:id="rId103" w:history="1">
        <w:r>
          <w:rPr>
            <w:rStyle w:val="Hyperlink"/>
            <w:rFonts w:ascii="Times New Roman" w:hAnsi="Times New Roman" w:cs="Times New Roman"/>
            <w:noProof/>
            <w:sz w:val="24"/>
            <w:szCs w:val="24"/>
          </w:rPr>
          <w:t>https://www.payanalytics.com/faq</w:t>
        </w:r>
      </w:hyperlink>
    </w:p>
    <w:p>
      <w:pPr>
        <w:pStyle w:val="FootnoteText"/>
        <w:spacing w:before="120" w:after="120"/>
        <w:jc w:val="both"/>
        <w:rPr>
          <w:rStyle w:val="Hyperlink"/>
          <w:rFonts w:ascii="Times New Roman" w:hAnsi="Times New Roman" w:cs="Times New Roman"/>
          <w:noProof/>
          <w:sz w:val="24"/>
          <w:szCs w:val="24"/>
        </w:rPr>
      </w:pPr>
      <w:hyperlink r:id="rId104" w:history="1">
        <w:r>
          <w:rPr>
            <w:rStyle w:val="Hyperlink"/>
            <w:rFonts w:ascii="Times New Roman" w:hAnsi="Times New Roman" w:cs="Times New Roman"/>
            <w:noProof/>
            <w:sz w:val="24"/>
            <w:szCs w:val="24"/>
          </w:rPr>
          <w:t>https://gender-pay-gap.service.gov.uk</w:t>
        </w:r>
      </w:hyperlink>
    </w:p>
    <w:p>
      <w:pPr>
        <w:pStyle w:val="FootnoteText"/>
        <w:spacing w:before="120" w:after="120"/>
        <w:jc w:val="both"/>
        <w:rPr>
          <w:rFonts w:ascii="Times New Roman" w:hAnsi="Times New Roman" w:cs="Times New Roman"/>
          <w:noProof/>
          <w:sz w:val="24"/>
          <w:szCs w:val="24"/>
        </w:rPr>
      </w:pPr>
      <w:hyperlink r:id="rId105" w:history="1">
        <w:r>
          <w:rPr>
            <w:rStyle w:val="Hyperlink"/>
            <w:rFonts w:ascii="Times New Roman" w:hAnsi="Times New Roman" w:cs="Times New Roman"/>
            <w:noProof/>
            <w:sz w:val="24"/>
            <w:szCs w:val="24"/>
          </w:rPr>
          <w:t>http://www.bbc.com/news/av/magazine-41516920/the-skills-calculator-closing-the-gender-pay-gap</w:t>
        </w:r>
      </w:hyperlink>
      <w:r>
        <w:rPr>
          <w:rFonts w:ascii="Times New Roman" w:hAnsi="Times New Roman" w:cs="Times New Roman"/>
          <w:noProof/>
          <w:sz w:val="24"/>
          <w:szCs w:val="24"/>
        </w:rPr>
        <w:t xml:space="preserve"> </w:t>
      </w:r>
    </w:p>
    <w:p>
      <w:pPr>
        <w:rPr>
          <w:rFonts w:ascii="Times New Roman" w:hAnsi="Times New Roman" w:cs="Times New Roman"/>
          <w:noProof/>
          <w:sz w:val="24"/>
          <w:szCs w:val="24"/>
        </w:rPr>
      </w:pPr>
      <w:hyperlink r:id="rId106" w:history="1">
        <w:r>
          <w:rPr>
            <w:rStyle w:val="Hyperlink"/>
            <w:rFonts w:ascii="Times New Roman" w:hAnsi="Times New Roman" w:cs="Times New Roman"/>
            <w:noProof/>
            <w:sz w:val="24"/>
            <w:szCs w:val="24"/>
          </w:rPr>
          <w:t>https://web.stanford.edu/dept/radiology/cgi-bin/raddiversity/wp-content/uploads/2017/12/TheAbrasivenessTrap.pdf</w:t>
        </w:r>
      </w:hyperlink>
      <w:r>
        <w:rPr>
          <w:rFonts w:ascii="Times New Roman" w:hAnsi="Times New Roman" w:cs="Times New Roman"/>
          <w:noProof/>
          <w:sz w:val="24"/>
          <w:szCs w:val="24"/>
        </w:rPr>
        <w:t xml:space="preserve"> </w:t>
      </w:r>
      <w:r>
        <w:rPr>
          <w:rFonts w:ascii="Times New Roman" w:hAnsi="Times New Roman" w:cs="Times New Roman"/>
          <w:noProof/>
          <w:sz w:val="24"/>
          <w:szCs w:val="24"/>
        </w:rPr>
        <w:cr/>
      </w:r>
      <w:r>
        <w:rPr>
          <w:rFonts w:ascii="Times New Roman" w:hAnsi="Times New Roman" w:cs="Times New Roman"/>
          <w:noProof/>
          <w:sz w:val="24"/>
          <w:szCs w:val="24"/>
        </w:rPr>
        <w:br w:type="page"/>
      </w:r>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Case law of the European Court of Justice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8"/>
      </w:tblGrid>
      <w:tr>
        <w:tc>
          <w:tcPr>
            <w:tcW w:w="8618" w:type="dxa"/>
          </w:tcPr>
          <w:p>
            <w:pPr>
              <w:spacing w:before="120" w:line="276" w:lineRule="auto"/>
              <w:jc w:val="both"/>
              <w:rPr>
                <w:noProof/>
                <w:sz w:val="24"/>
                <w:szCs w:val="24"/>
                <w:lang w:val="fr-BE"/>
              </w:rPr>
            </w:pPr>
            <w:r>
              <w:rPr>
                <w:noProof/>
                <w:sz w:val="24"/>
                <w:szCs w:val="24"/>
                <w:lang w:val="fr-BE"/>
              </w:rPr>
              <w:t xml:space="preserve">CJEU, Case C-43/75 Gabrielle Defrenne v Société anonyme belge de navigation aérienne Sabena, ECR 1976:455. </w:t>
            </w:r>
          </w:p>
          <w:p>
            <w:pPr>
              <w:spacing w:before="120" w:line="276" w:lineRule="auto"/>
              <w:jc w:val="both"/>
              <w:rPr>
                <w:noProof/>
                <w:sz w:val="24"/>
                <w:szCs w:val="24"/>
                <w:lang w:val="de-DE"/>
              </w:rPr>
            </w:pPr>
            <w:r>
              <w:rPr>
                <w:noProof/>
                <w:sz w:val="24"/>
                <w:szCs w:val="24"/>
                <w:lang w:val="de-DE"/>
              </w:rPr>
              <w:t>CJEU, Case 50/96, Deutsche Telekom AG v Lilli Schröder, ECLI:EU:C:2000:72,</w:t>
            </w:r>
          </w:p>
          <w:p>
            <w:pPr>
              <w:spacing w:before="120" w:line="276" w:lineRule="auto"/>
              <w:jc w:val="both"/>
              <w:rPr>
                <w:noProof/>
                <w:sz w:val="24"/>
                <w:szCs w:val="24"/>
                <w:lang w:val="en-US"/>
              </w:rPr>
            </w:pPr>
            <w:r>
              <w:rPr>
                <w:noProof/>
                <w:sz w:val="24"/>
                <w:szCs w:val="24"/>
              </w:rPr>
              <w:t>CJEU, Case C-61/81 Commission of the European Communities v United Kingdom of Great Britain and Northern Ireland, ECR 1982:2601.</w:t>
            </w:r>
          </w:p>
          <w:p>
            <w:pPr>
              <w:spacing w:before="120" w:line="276" w:lineRule="auto"/>
              <w:jc w:val="both"/>
              <w:rPr>
                <w:noProof/>
                <w:sz w:val="24"/>
                <w:szCs w:val="24"/>
              </w:rPr>
            </w:pPr>
            <w:r>
              <w:rPr>
                <w:rFonts w:eastAsia="Calibri"/>
                <w:noProof/>
                <w:sz w:val="24"/>
                <w:szCs w:val="24"/>
              </w:rPr>
              <w:t>CJEU,</w:t>
            </w:r>
            <w:r>
              <w:rPr>
                <w:noProof/>
                <w:sz w:val="24"/>
                <w:szCs w:val="24"/>
              </w:rPr>
              <w:t xml:space="preserve"> Case C-109/88, Handels-og Kontorfunktionærernes Forbund I Danmark v Dansk Arbejdsgiverforening, acting on behalf of Danfoss, ECLI:EU:C:1989:383.</w:t>
            </w:r>
          </w:p>
        </w:tc>
      </w:tr>
      <w:tr>
        <w:tc>
          <w:tcPr>
            <w:tcW w:w="8618" w:type="dxa"/>
          </w:tcPr>
          <w:p>
            <w:pPr>
              <w:spacing w:before="120" w:line="276" w:lineRule="auto"/>
              <w:jc w:val="both"/>
              <w:rPr>
                <w:noProof/>
                <w:sz w:val="24"/>
                <w:szCs w:val="24"/>
                <w:lang w:val="de-DE"/>
              </w:rPr>
            </w:pPr>
            <w:r>
              <w:rPr>
                <w:noProof/>
                <w:sz w:val="24"/>
                <w:szCs w:val="24"/>
                <w:lang w:val="de-DE"/>
              </w:rPr>
              <w:t>CJEU, Case C-309/97 Angestelltenbetriebsrat der Wiener Gebietskrankenkasse, ECR 1999:241.</w:t>
            </w:r>
          </w:p>
          <w:p>
            <w:pPr>
              <w:spacing w:before="120" w:line="276" w:lineRule="auto"/>
              <w:jc w:val="both"/>
              <w:rPr>
                <w:noProof/>
                <w:sz w:val="24"/>
                <w:szCs w:val="24"/>
                <w:lang w:val="en-US"/>
              </w:rPr>
            </w:pPr>
            <w:r>
              <w:rPr>
                <w:noProof/>
                <w:sz w:val="24"/>
                <w:szCs w:val="24"/>
              </w:rPr>
              <w:t xml:space="preserve">CJEU, Case C-320/00 A.G. Lawrence and Others v Regent Office Care Ltd, Commercial Catering Group and Mitie Secure Services Ltd, ECR 2002 I:7325. </w:t>
            </w:r>
          </w:p>
        </w:tc>
      </w:tr>
      <w:tr>
        <w:tc>
          <w:tcPr>
            <w:tcW w:w="8618" w:type="dxa"/>
          </w:tcPr>
          <w:p>
            <w:pPr>
              <w:spacing w:before="120" w:line="276" w:lineRule="auto"/>
              <w:jc w:val="both"/>
              <w:rPr>
                <w:noProof/>
                <w:sz w:val="24"/>
                <w:szCs w:val="24"/>
              </w:rPr>
            </w:pPr>
            <w:r>
              <w:rPr>
                <w:noProof/>
                <w:sz w:val="24"/>
                <w:szCs w:val="24"/>
              </w:rPr>
              <w:t xml:space="preserve">CJEU, Case C-381/99 Brunnhofer, ECR 2001:358. </w:t>
            </w:r>
          </w:p>
          <w:p>
            <w:pPr>
              <w:spacing w:before="120" w:line="276" w:lineRule="auto"/>
              <w:jc w:val="both"/>
              <w:rPr>
                <w:noProof/>
                <w:sz w:val="24"/>
                <w:szCs w:val="24"/>
              </w:rPr>
            </w:pPr>
            <w:r>
              <w:rPr>
                <w:noProof/>
                <w:sz w:val="24"/>
                <w:szCs w:val="24"/>
              </w:rPr>
              <w:t xml:space="preserve">CJEU, Case C-400/93 Royal Copenhagen, ECR 1995:155. </w:t>
            </w:r>
          </w:p>
          <w:p>
            <w:pPr>
              <w:spacing w:before="120" w:line="276" w:lineRule="auto"/>
              <w:jc w:val="both"/>
              <w:rPr>
                <w:noProof/>
                <w:sz w:val="24"/>
                <w:szCs w:val="24"/>
                <w:lang w:val="pt-BR"/>
              </w:rPr>
            </w:pPr>
            <w:r>
              <w:rPr>
                <w:noProof/>
                <w:sz w:val="24"/>
                <w:szCs w:val="24"/>
                <w:lang w:val="pt-BR"/>
              </w:rPr>
              <w:t>CJEU, Case C-407/14, María Auxiliadora Arjona Camacho v Securitas Seguridad España SA, ECLI:EU:C:2015:831, para. 31.</w:t>
            </w:r>
          </w:p>
        </w:tc>
      </w:tr>
      <w:tr>
        <w:tc>
          <w:tcPr>
            <w:tcW w:w="8618" w:type="dxa"/>
          </w:tcPr>
          <w:p>
            <w:pPr>
              <w:spacing w:before="120" w:line="276" w:lineRule="auto"/>
              <w:rPr>
                <w:rFonts w:eastAsia="Calibri"/>
                <w:noProof/>
                <w:sz w:val="24"/>
                <w:szCs w:val="24"/>
              </w:rPr>
            </w:pPr>
          </w:p>
        </w:tc>
      </w:tr>
    </w:tbl>
    <w:p>
      <w:pPr>
        <w:jc w:val="both"/>
        <w:rPr>
          <w:rFonts w:ascii="Times New Roman" w:hAnsi="Times New Roman" w:cs="Times New Roman"/>
          <w:b/>
          <w:noProof/>
          <w:sz w:val="24"/>
          <w:szCs w:val="24"/>
          <w:u w:val="single"/>
        </w:rPr>
      </w:pPr>
    </w:p>
    <w:p>
      <w:pPr>
        <w:rPr>
          <w:rFonts w:ascii="Times New Roman" w:hAnsi="Times New Roman" w:cs="Times New Roman"/>
          <w:noProof/>
          <w:sz w:val="24"/>
          <w:szCs w:val="24"/>
        </w:rPr>
      </w:pPr>
      <w:r>
        <w:rPr>
          <w:rFonts w:ascii="Times New Roman" w:hAnsi="Times New Roman" w:cs="Times New Roman"/>
          <w:noProof/>
          <w:sz w:val="24"/>
          <w:szCs w:val="24"/>
        </w:rPr>
        <w:br w:type="page"/>
      </w:r>
    </w:p>
    <w:p>
      <w:pPr>
        <w:jc w:val="both"/>
        <w:rPr>
          <w:rFonts w:ascii="Times New Roman" w:hAnsi="Times New Roman" w:cs="Times New Roman"/>
          <w:noProof/>
          <w:sz w:val="24"/>
          <w:szCs w:val="24"/>
        </w:rPr>
      </w:pPr>
    </w:p>
    <w:p>
      <w:pPr>
        <w:pStyle w:val="Heading1"/>
        <w:tabs>
          <w:tab w:val="clear" w:pos="2640"/>
        </w:tabs>
        <w:ind w:hanging="2640"/>
        <w:jc w:val="center"/>
        <w:rPr>
          <w:noProof/>
        </w:rPr>
      </w:pPr>
      <w:bookmarkStart w:id="6911" w:name="_Toc47455492"/>
      <w:bookmarkStart w:id="6912" w:name="_Toc49527891"/>
      <w:bookmarkStart w:id="6913" w:name="_Toc49530013"/>
      <w:bookmarkStart w:id="6914" w:name="_Toc49530677"/>
      <w:bookmarkStart w:id="6915" w:name="_Toc49532627"/>
      <w:bookmarkStart w:id="6916" w:name="_Toc49695799"/>
      <w:bookmarkStart w:id="6917" w:name="_Toc49695976"/>
      <w:bookmarkStart w:id="6918" w:name="_Toc49805502"/>
      <w:bookmarkStart w:id="6919" w:name="_Toc49806214"/>
      <w:bookmarkStart w:id="6920" w:name="_Toc49877765"/>
      <w:bookmarkStart w:id="6921" w:name="_Toc49881183"/>
      <w:bookmarkStart w:id="6922" w:name="_Toc49884244"/>
      <w:bookmarkStart w:id="6923" w:name="_Toc49884320"/>
      <w:bookmarkStart w:id="6924" w:name="_Toc49893576"/>
      <w:bookmarkStart w:id="6925" w:name="_Toc49933964"/>
      <w:bookmarkStart w:id="6926" w:name="_Toc49937851"/>
      <w:bookmarkStart w:id="6927" w:name="_Toc49939247"/>
      <w:bookmarkStart w:id="6928" w:name="_Toc49942097"/>
      <w:bookmarkStart w:id="6929" w:name="_Toc49948565"/>
      <w:bookmarkStart w:id="6930" w:name="_Toc49953039"/>
      <w:bookmarkStart w:id="6931" w:name="_Toc49954344"/>
      <w:bookmarkStart w:id="6932" w:name="_Toc49954789"/>
      <w:bookmarkStart w:id="6933" w:name="_Toc49955218"/>
      <w:bookmarkStart w:id="6934" w:name="_Toc49955806"/>
      <w:bookmarkStart w:id="6935" w:name="_Toc49958306"/>
      <w:bookmarkStart w:id="6936" w:name="_Toc49958501"/>
      <w:bookmarkStart w:id="6937" w:name="_Toc49961993"/>
      <w:bookmarkStart w:id="6938" w:name="_Toc49963180"/>
      <w:bookmarkStart w:id="6939" w:name="_Toc53678222"/>
      <w:bookmarkStart w:id="6940" w:name="_Toc53678442"/>
      <w:bookmarkStart w:id="6941" w:name="_Toc53678764"/>
      <w:bookmarkStart w:id="6942" w:name="_Toc53680113"/>
      <w:bookmarkStart w:id="6943" w:name="_Toc54289128"/>
      <w:bookmarkStart w:id="6944" w:name="_Toc54290628"/>
      <w:bookmarkStart w:id="6945" w:name="_Toc54290997"/>
      <w:bookmarkStart w:id="6946" w:name="_Toc54292120"/>
      <w:bookmarkStart w:id="6947" w:name="_Toc54340679"/>
      <w:bookmarkStart w:id="6948" w:name="_Toc54345780"/>
      <w:bookmarkStart w:id="6949" w:name="_Toc54348793"/>
      <w:bookmarkStart w:id="6950" w:name="_Toc54355123"/>
      <w:bookmarkStart w:id="6951" w:name="_Toc54355176"/>
      <w:bookmarkStart w:id="6952" w:name="_Toc54355648"/>
      <w:bookmarkStart w:id="6953" w:name="_Toc54355796"/>
      <w:bookmarkStart w:id="6954" w:name="_Toc54356150"/>
      <w:bookmarkStart w:id="6955" w:name="_Toc54356701"/>
      <w:bookmarkStart w:id="6956" w:name="_Toc54357568"/>
      <w:bookmarkStart w:id="6957" w:name="_Toc54357665"/>
      <w:bookmarkStart w:id="6958" w:name="_Toc54364616"/>
      <w:bookmarkStart w:id="6959" w:name="_Toc54371224"/>
      <w:bookmarkStart w:id="6960" w:name="_Toc54372061"/>
      <w:bookmarkStart w:id="6961" w:name="_Toc54376668"/>
      <w:bookmarkStart w:id="6962" w:name="_Toc58767220"/>
      <w:bookmarkStart w:id="6963" w:name="_Toc58769523"/>
      <w:bookmarkStart w:id="6964" w:name="_Toc58863863"/>
      <w:bookmarkStart w:id="6965" w:name="_Toc58868890"/>
      <w:bookmarkStart w:id="6966" w:name="_Toc58870721"/>
      <w:bookmarkStart w:id="6967" w:name="_Toc58870959"/>
      <w:bookmarkStart w:id="6968" w:name="_Toc58871865"/>
      <w:bookmarkStart w:id="6969" w:name="_Toc58872080"/>
      <w:bookmarkStart w:id="6970" w:name="_Toc58922822"/>
      <w:bookmarkStart w:id="6971" w:name="_Toc58925410"/>
      <w:bookmarkStart w:id="6972" w:name="_Toc58928906"/>
      <w:bookmarkStart w:id="6973" w:name="_Toc58931277"/>
      <w:bookmarkStart w:id="6974" w:name="_Toc58931911"/>
      <w:bookmarkStart w:id="6975" w:name="_Toc58950515"/>
      <w:bookmarkStart w:id="6976" w:name="_Toc58956809"/>
      <w:bookmarkStart w:id="6977" w:name="_Toc58957972"/>
      <w:bookmarkStart w:id="6978" w:name="_Toc58962505"/>
      <w:bookmarkStart w:id="6979" w:name="_Toc59096538"/>
      <w:bookmarkStart w:id="6980" w:name="_Toc59103134"/>
      <w:bookmarkStart w:id="6981" w:name="_Toc59104985"/>
      <w:bookmarkStart w:id="6982" w:name="_Toc59119945"/>
      <w:bookmarkStart w:id="6983" w:name="_Toc59121209"/>
      <w:bookmarkStart w:id="6984" w:name="_Toc59121328"/>
      <w:bookmarkStart w:id="6985" w:name="_Toc59549381"/>
      <w:bookmarkStart w:id="6986" w:name="_Toc59642334"/>
      <w:r>
        <w:rPr>
          <w:noProof/>
        </w:rPr>
        <w:t>Annexes</w:t>
      </w:r>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p>
    <w:p>
      <w:pPr>
        <w:rPr>
          <w:noProof/>
        </w:rPr>
      </w:pPr>
    </w:p>
    <w:p>
      <w:pPr>
        <w:pStyle w:val="Heading2"/>
        <w:tabs>
          <w:tab w:val="clear" w:pos="3306"/>
        </w:tabs>
        <w:ind w:firstLine="0"/>
        <w:rPr>
          <w:noProof/>
          <w:szCs w:val="24"/>
        </w:rPr>
      </w:pPr>
      <w:r>
        <w:rPr>
          <w:noProof/>
          <w:szCs w:val="24"/>
        </w:rPr>
        <w:br w:type="page"/>
      </w:r>
    </w:p>
    <w:p>
      <w:pPr>
        <w:pStyle w:val="Heading2"/>
        <w:rPr>
          <w:noProof/>
        </w:rPr>
      </w:pPr>
      <w:bookmarkStart w:id="6987" w:name="_Toc47455493"/>
      <w:bookmarkStart w:id="6988" w:name="_Toc49527892"/>
      <w:bookmarkStart w:id="6989" w:name="_Toc49530014"/>
      <w:bookmarkStart w:id="6990" w:name="_Toc49530678"/>
      <w:bookmarkStart w:id="6991" w:name="_Toc49532628"/>
      <w:bookmarkStart w:id="6992" w:name="_Toc49695800"/>
      <w:bookmarkStart w:id="6993" w:name="_Toc49695977"/>
      <w:bookmarkStart w:id="6994" w:name="_Toc49805503"/>
      <w:bookmarkStart w:id="6995" w:name="_Toc49806215"/>
      <w:bookmarkStart w:id="6996" w:name="_Toc49877766"/>
      <w:bookmarkStart w:id="6997" w:name="_Toc49881184"/>
      <w:bookmarkStart w:id="6998" w:name="_Toc49884245"/>
      <w:bookmarkStart w:id="6999" w:name="_Toc49884321"/>
      <w:bookmarkStart w:id="7000" w:name="_Toc49893577"/>
      <w:bookmarkStart w:id="7001" w:name="_Toc49933965"/>
      <w:bookmarkStart w:id="7002" w:name="_Toc49937852"/>
      <w:bookmarkStart w:id="7003" w:name="_Toc49939248"/>
      <w:bookmarkStart w:id="7004" w:name="_Toc49942098"/>
      <w:bookmarkStart w:id="7005" w:name="_Toc49948566"/>
      <w:bookmarkStart w:id="7006" w:name="_Toc49953040"/>
      <w:bookmarkStart w:id="7007" w:name="_Toc49954345"/>
      <w:bookmarkStart w:id="7008" w:name="_Toc49954790"/>
      <w:bookmarkStart w:id="7009" w:name="_Toc49955219"/>
      <w:bookmarkStart w:id="7010" w:name="_Toc49955807"/>
      <w:bookmarkStart w:id="7011" w:name="_Toc49958307"/>
      <w:bookmarkStart w:id="7012" w:name="_Toc49958502"/>
      <w:bookmarkStart w:id="7013" w:name="_Toc49961994"/>
      <w:bookmarkStart w:id="7014" w:name="_Toc49963181"/>
      <w:bookmarkStart w:id="7015" w:name="_Toc53678223"/>
      <w:bookmarkStart w:id="7016" w:name="_Toc53678443"/>
      <w:bookmarkStart w:id="7017" w:name="_Toc53678765"/>
      <w:bookmarkStart w:id="7018" w:name="_Toc53680114"/>
      <w:bookmarkStart w:id="7019" w:name="_Toc54289129"/>
      <w:bookmarkStart w:id="7020" w:name="_Toc54290629"/>
      <w:bookmarkStart w:id="7021" w:name="_Toc54290998"/>
      <w:bookmarkStart w:id="7022" w:name="_Toc54292121"/>
      <w:bookmarkStart w:id="7023" w:name="_Toc54340680"/>
      <w:bookmarkStart w:id="7024" w:name="_Toc54345781"/>
      <w:bookmarkStart w:id="7025" w:name="_Toc54348794"/>
      <w:bookmarkStart w:id="7026" w:name="_Toc54355124"/>
      <w:bookmarkStart w:id="7027" w:name="_Toc54355177"/>
      <w:bookmarkStart w:id="7028" w:name="_Toc54355649"/>
      <w:bookmarkStart w:id="7029" w:name="_Toc54355797"/>
      <w:bookmarkStart w:id="7030" w:name="_Toc54356151"/>
      <w:bookmarkStart w:id="7031" w:name="_Toc54356702"/>
      <w:bookmarkStart w:id="7032" w:name="_Toc54357569"/>
      <w:bookmarkStart w:id="7033" w:name="_Toc54357666"/>
      <w:bookmarkStart w:id="7034" w:name="_Toc54364617"/>
      <w:bookmarkStart w:id="7035" w:name="_Toc54371225"/>
      <w:bookmarkStart w:id="7036" w:name="_Toc54372062"/>
      <w:bookmarkStart w:id="7037" w:name="_Toc54376669"/>
      <w:bookmarkStart w:id="7038" w:name="_Toc58767221"/>
      <w:bookmarkStart w:id="7039" w:name="_Toc58769524"/>
      <w:bookmarkStart w:id="7040" w:name="_Toc58863864"/>
      <w:bookmarkStart w:id="7041" w:name="_Toc58868891"/>
      <w:bookmarkStart w:id="7042" w:name="_Toc58870722"/>
      <w:bookmarkStart w:id="7043" w:name="_Toc58870960"/>
      <w:bookmarkStart w:id="7044" w:name="_Toc58871866"/>
      <w:bookmarkStart w:id="7045" w:name="_Toc58872081"/>
      <w:bookmarkStart w:id="7046" w:name="_Toc58922823"/>
      <w:bookmarkStart w:id="7047" w:name="_Toc58925411"/>
      <w:bookmarkStart w:id="7048" w:name="_Toc58928907"/>
      <w:bookmarkStart w:id="7049" w:name="_Toc58931278"/>
      <w:bookmarkStart w:id="7050" w:name="_Toc58931912"/>
      <w:bookmarkStart w:id="7051" w:name="_Toc58950516"/>
      <w:bookmarkStart w:id="7052" w:name="_Toc58956810"/>
      <w:bookmarkStart w:id="7053" w:name="_Toc58957973"/>
      <w:bookmarkStart w:id="7054" w:name="_Toc58962506"/>
      <w:bookmarkStart w:id="7055" w:name="_Toc59096539"/>
      <w:bookmarkStart w:id="7056" w:name="_Toc59103135"/>
      <w:bookmarkStart w:id="7057" w:name="_Toc59104986"/>
      <w:bookmarkStart w:id="7058" w:name="_Toc59119946"/>
      <w:bookmarkStart w:id="7059" w:name="_Toc59121210"/>
      <w:bookmarkStart w:id="7060" w:name="_Toc59121329"/>
      <w:bookmarkStart w:id="7061" w:name="_Toc59549382"/>
      <w:bookmarkStart w:id="7062" w:name="_Toc59642335"/>
      <w:r>
        <w:rPr>
          <w:noProof/>
        </w:rPr>
        <w:t>Annex 1: Procedural information</w:t>
      </w:r>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p>
    <w:p>
      <w:pPr>
        <w:pStyle w:val="Heading3"/>
        <w:numPr>
          <w:ilvl w:val="0"/>
          <w:numId w:val="29"/>
        </w:numPr>
        <w:ind w:left="709" w:hanging="283"/>
        <w:rPr>
          <w:rFonts w:eastAsiaTheme="minorEastAsia"/>
          <w:noProof/>
        </w:rPr>
      </w:pPr>
      <w:bookmarkStart w:id="7063" w:name="_Toc471997754"/>
      <w:bookmarkStart w:id="7064" w:name="_Toc47455494"/>
      <w:bookmarkStart w:id="7065" w:name="_Toc49527893"/>
      <w:bookmarkStart w:id="7066" w:name="_Toc49530015"/>
      <w:bookmarkStart w:id="7067" w:name="_Toc49530679"/>
      <w:bookmarkStart w:id="7068" w:name="_Toc49532629"/>
      <w:bookmarkStart w:id="7069" w:name="_Toc49695801"/>
      <w:bookmarkStart w:id="7070" w:name="_Toc49695978"/>
      <w:bookmarkStart w:id="7071" w:name="_Toc49805504"/>
      <w:r>
        <w:rPr>
          <w:noProof/>
        </w:rPr>
        <w:t>Lead DG, D</w:t>
      </w:r>
      <w:r>
        <w:rPr>
          <w:i w:val="0"/>
          <w:noProof/>
        </w:rPr>
        <w:t>ecide Planning/CWP references</w:t>
      </w:r>
      <w:bookmarkEnd w:id="7063"/>
      <w:bookmarkEnd w:id="7064"/>
      <w:bookmarkEnd w:id="7065"/>
      <w:bookmarkEnd w:id="7066"/>
      <w:bookmarkEnd w:id="7067"/>
      <w:bookmarkEnd w:id="7068"/>
      <w:bookmarkEnd w:id="7069"/>
      <w:bookmarkEnd w:id="7070"/>
      <w:bookmarkEnd w:id="7071"/>
    </w:p>
    <w:p>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This impact assessment and the related initiatives are under the responsibility of the Directorate-General for Justice and Consumers (JUST).</w:t>
      </w:r>
    </w:p>
    <w:p>
      <w:pPr>
        <w:spacing w:line="24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Agenda Planning Reference is PLAN/2019/5818.</w:t>
      </w:r>
    </w:p>
    <w:p>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project has been added to the 2020 European Commission work programme</w:t>
      </w:r>
      <w:r>
        <w:rPr>
          <w:rStyle w:val="FootnoteReference"/>
          <w:rFonts w:ascii="Times New Roman" w:eastAsia="Times New Roman" w:hAnsi="Times New Roman" w:cs="Times New Roman"/>
          <w:noProof/>
          <w:sz w:val="24"/>
          <w:szCs w:val="24"/>
        </w:rPr>
        <w:footnoteReference w:id="202"/>
      </w:r>
      <w:r>
        <w:rPr>
          <w:rFonts w:ascii="Times New Roman" w:eastAsia="Times New Roman" w:hAnsi="Times New Roman" w:cs="Times New Roman"/>
          <w:noProof/>
          <w:sz w:val="24"/>
          <w:szCs w:val="24"/>
        </w:rPr>
        <w:t xml:space="preserve"> under the section 'A new push for European democracy', following the non-legislative Gender Equality Strategy 2020-2025, as binding pay transparency measures (legislative, including impact assessment, Article 157 TFEU, Q4 2020). </w:t>
      </w:r>
    </w:p>
    <w:p>
      <w:pPr>
        <w:pStyle w:val="Heading3"/>
        <w:numPr>
          <w:ilvl w:val="0"/>
          <w:numId w:val="29"/>
        </w:numPr>
        <w:ind w:left="709" w:hanging="283"/>
        <w:rPr>
          <w:rFonts w:eastAsiaTheme="minorEastAsia"/>
          <w:noProof/>
        </w:rPr>
      </w:pPr>
      <w:bookmarkStart w:id="7072" w:name="_Toc45861140"/>
      <w:bookmarkStart w:id="7073" w:name="_Toc46354544"/>
      <w:bookmarkStart w:id="7074" w:name="_Toc46354595"/>
      <w:bookmarkStart w:id="7075" w:name="_Toc46362801"/>
      <w:bookmarkStart w:id="7076" w:name="_Toc471997755"/>
      <w:bookmarkStart w:id="7077" w:name="_Toc47455495"/>
      <w:bookmarkStart w:id="7078" w:name="_Toc49527894"/>
      <w:bookmarkStart w:id="7079" w:name="_Toc49530016"/>
      <w:bookmarkStart w:id="7080" w:name="_Toc49530680"/>
      <w:bookmarkStart w:id="7081" w:name="_Toc49532630"/>
      <w:bookmarkStart w:id="7082" w:name="_Toc49695802"/>
      <w:bookmarkStart w:id="7083" w:name="_Toc49695979"/>
      <w:bookmarkStart w:id="7084" w:name="_Toc49805505"/>
      <w:bookmarkEnd w:id="7072"/>
      <w:bookmarkEnd w:id="7073"/>
      <w:bookmarkEnd w:id="7074"/>
      <w:bookmarkEnd w:id="7075"/>
      <w:r>
        <w:rPr>
          <w:noProof/>
        </w:rPr>
        <w:t>Organisation and timing</w:t>
      </w:r>
      <w:bookmarkEnd w:id="7076"/>
      <w:bookmarkEnd w:id="7077"/>
      <w:bookmarkEnd w:id="7078"/>
      <w:bookmarkEnd w:id="7079"/>
      <w:bookmarkEnd w:id="7080"/>
      <w:bookmarkEnd w:id="7081"/>
      <w:bookmarkEnd w:id="7082"/>
      <w:bookmarkEnd w:id="7083"/>
      <w:bookmarkEnd w:id="7084"/>
    </w:p>
    <w:p>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Work on the preparation of this initiative started during the autumn 2019. The Inception Impact assessment consultation was carried out between 06 January 2020 - 03 February 2020. The impact assessment was prepared with the involvement of JUST C.3 (Data protection) as well as the following Services through the Inter-Service Steering Group (ISG), chaired by the Secretariat General: DG BUDG, DG CLIMA, DG CNET, DG COMM, DG DEFIS, DG EAC, DG ECFIN, EEAS, DG ENV, ESTAT, DG FISMA, DG GROW, DG HOME, DG MOVE, DG RTD, JRC.</w:t>
      </w:r>
    </w:p>
    <w:p>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Inter-Service Steering Group was set up in 2019. The first ISG meeting took place on 24 January 2020 and focused on a study to support an Impact Assessment of pay transparency measures, consultation strategy and on public consultation questionnaire. The following ISG meeting took place on 17 July. The interim report of the support study, the preliminary results aof the consultations and the outline of the Communication were discussed. Another meeting took place on 26 August to discuss a first draft of this IA. The last meeting took place on 11 November.</w:t>
      </w:r>
    </w:p>
    <w:p>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On each occasion, the members of the Steering Group were given the opportunity to provide comments orally and/or in writing on the draft versions of the documents presented.</w:t>
      </w:r>
    </w:p>
    <w:p>
      <w:pPr>
        <w:pStyle w:val="Heading3"/>
        <w:numPr>
          <w:ilvl w:val="0"/>
          <w:numId w:val="29"/>
        </w:numPr>
        <w:ind w:left="709" w:hanging="283"/>
        <w:rPr>
          <w:noProof/>
        </w:rPr>
      </w:pPr>
      <w:bookmarkStart w:id="7085" w:name="_Toc471997757"/>
      <w:bookmarkStart w:id="7086" w:name="_Toc47455496"/>
      <w:bookmarkStart w:id="7087" w:name="_Toc49527895"/>
      <w:bookmarkStart w:id="7088" w:name="_Toc49530017"/>
      <w:bookmarkStart w:id="7089" w:name="_Toc49530681"/>
      <w:bookmarkStart w:id="7090" w:name="_Toc49532631"/>
      <w:bookmarkStart w:id="7091" w:name="_Toc49695803"/>
      <w:bookmarkStart w:id="7092" w:name="_Toc49695980"/>
      <w:bookmarkStart w:id="7093" w:name="_Toc49805506"/>
      <w:r>
        <w:rPr>
          <w:noProof/>
        </w:rPr>
        <w:t>Consultation of the RSB</w:t>
      </w:r>
      <w:bookmarkEnd w:id="7085"/>
      <w:bookmarkEnd w:id="7086"/>
      <w:bookmarkEnd w:id="7087"/>
      <w:bookmarkEnd w:id="7088"/>
      <w:bookmarkEnd w:id="7089"/>
      <w:bookmarkEnd w:id="7090"/>
      <w:bookmarkEnd w:id="7091"/>
      <w:bookmarkEnd w:id="7092"/>
      <w:bookmarkEnd w:id="7093"/>
    </w:p>
    <w:p>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This version of the impact assessment was submitted to the RSB on 23 December 2020. It took into account comments received from the Board on 25 September and on 17 November 2020. A hearing with the Regulatory Scrutiny Board took place on 23 September 2020. An upstream meeting with the Regulatory Scrutiny Board took place on 5 May 2020.</w:t>
      </w:r>
    </w:p>
    <w:p>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4"/>
        </w:rPr>
        <w:t>The RSB comments were taken into account in the following way</w:t>
      </w:r>
      <w:r>
        <w:rPr>
          <w:rFonts w:ascii="Times New Roman" w:eastAsia="Times New Roman" w:hAnsi="Times New Roman" w:cs="Times New Roman"/>
          <w:noProof/>
          <w:sz w:val="24"/>
          <w:szCs w:val="24"/>
        </w:rPr>
        <w:t xml:space="preserve">: </w:t>
      </w:r>
    </w:p>
    <w:p>
      <w:pPr>
        <w:pStyle w:val="ListParagraph"/>
        <w:numPr>
          <w:ilvl w:val="0"/>
          <w:numId w:val="52"/>
        </w:numPr>
        <w:spacing w:line="240" w:lineRule="auto"/>
        <w:jc w:val="both"/>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3</w:t>
      </w:r>
      <w:r>
        <w:rPr>
          <w:rFonts w:ascii="Times New Roman" w:eastAsia="Times New Roman" w:hAnsi="Times New Roman" w:cs="Times New Roman"/>
          <w:b/>
          <w:noProof/>
          <w:sz w:val="24"/>
          <w:szCs w:val="24"/>
          <w:vertAlign w:val="superscript"/>
        </w:rPr>
        <w:t>rd</w:t>
      </w:r>
      <w:r>
        <w:rPr>
          <w:rFonts w:ascii="Times New Roman" w:eastAsia="Times New Roman" w:hAnsi="Times New Roman" w:cs="Times New Roman"/>
          <w:b/>
          <w:noProof/>
          <w:sz w:val="24"/>
          <w:szCs w:val="24"/>
        </w:rPr>
        <w:t xml:space="preserve"> RSB opinion:</w:t>
      </w:r>
    </w:p>
    <w:p>
      <w:pPr>
        <w:pStyle w:val="ListParagraph"/>
        <w:spacing w:line="240" w:lineRule="auto"/>
        <w:jc w:val="both"/>
        <w:rPr>
          <w:rFonts w:ascii="Times New Roman" w:eastAsia="Times New Roman" w:hAnsi="Times New Roman" w:cs="Times New Roman"/>
          <w:b/>
          <w:noProof/>
          <w:sz w:val="24"/>
          <w:szCs w:val="24"/>
        </w:rPr>
      </w:pPr>
    </w:p>
    <w:p>
      <w:pPr>
        <w:pStyle w:val="ListParagraph"/>
        <w:spacing w:line="240" w:lineRule="auto"/>
        <w:jc w:val="both"/>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General comments</w:t>
      </w:r>
    </w:p>
    <w:tbl>
      <w:tblPr>
        <w:tblStyle w:val="TableGrid"/>
        <w:tblW w:w="0" w:type="auto"/>
        <w:tblLook w:val="04A0" w:firstRow="1" w:lastRow="0" w:firstColumn="1" w:lastColumn="0" w:noHBand="0" w:noVBand="1"/>
      </w:tblPr>
      <w:tblGrid>
        <w:gridCol w:w="4304"/>
        <w:gridCol w:w="4304"/>
      </w:tblGrid>
      <w:tr>
        <w:tc>
          <w:tcPr>
            <w:tcW w:w="4304" w:type="dxa"/>
          </w:tcPr>
          <w:p>
            <w:pPr>
              <w:jc w:val="both"/>
              <w:rPr>
                <w:noProof/>
              </w:rPr>
            </w:pPr>
            <w:r>
              <w:rPr>
                <w:noProof/>
              </w:rPr>
              <w:t>(1) Some aspects of the policy options remain unclear (e.g. as regards their exact content, the interplay between the different measures and their practical implementation).</w:t>
            </w:r>
          </w:p>
        </w:tc>
        <w:tc>
          <w:tcPr>
            <w:tcW w:w="4304" w:type="dxa"/>
          </w:tcPr>
          <w:p>
            <w:pPr>
              <w:jc w:val="both"/>
              <w:rPr>
                <w:noProof/>
              </w:rPr>
            </w:pPr>
            <w:r>
              <w:rPr>
                <w:noProof/>
              </w:rPr>
              <w:t>Clarifications have been added in the description of the options (see below).</w:t>
            </w:r>
          </w:p>
        </w:tc>
      </w:tr>
      <w:tr>
        <w:tc>
          <w:tcPr>
            <w:tcW w:w="4304" w:type="dxa"/>
          </w:tcPr>
          <w:p>
            <w:pPr>
              <w:jc w:val="both"/>
              <w:rPr>
                <w:noProof/>
              </w:rPr>
            </w:pPr>
            <w:r>
              <w:rPr>
                <w:noProof/>
              </w:rPr>
              <w:t>(2) The report lacks an overview of the global costs and benefits of the preferred package. It does not sufficiently explain why this combination of measures is considered the most proportionate one.</w:t>
            </w:r>
          </w:p>
        </w:tc>
        <w:tc>
          <w:tcPr>
            <w:tcW w:w="4304" w:type="dxa"/>
          </w:tcPr>
          <w:p>
            <w:pPr>
              <w:jc w:val="both"/>
              <w:rPr>
                <w:noProof/>
              </w:rPr>
            </w:pPr>
            <w:r>
              <w:rPr>
                <w:noProof/>
              </w:rPr>
              <w:t>The presentation of costs and benefits and the analysis of proportionality have been revised (see below).</w:t>
            </w:r>
          </w:p>
        </w:tc>
      </w:tr>
    </w:tbl>
    <w:p>
      <w:pPr>
        <w:spacing w:line="240" w:lineRule="auto"/>
        <w:jc w:val="both"/>
        <w:rPr>
          <w:rFonts w:ascii="Times New Roman" w:eastAsia="Times New Roman" w:hAnsi="Times New Roman" w:cs="Times New Roman"/>
          <w:noProof/>
          <w:sz w:val="24"/>
          <w:szCs w:val="24"/>
        </w:rPr>
      </w:pPr>
    </w:p>
    <w:p>
      <w:pPr>
        <w:spacing w:line="240" w:lineRule="auto"/>
        <w:jc w:val="both"/>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Specific comments</w:t>
      </w:r>
    </w:p>
    <w:tbl>
      <w:tblPr>
        <w:tblStyle w:val="TableGrid"/>
        <w:tblW w:w="0" w:type="auto"/>
        <w:tblLook w:val="04A0" w:firstRow="1" w:lastRow="0" w:firstColumn="1" w:lastColumn="0" w:noHBand="0" w:noVBand="1"/>
      </w:tblPr>
      <w:tblGrid>
        <w:gridCol w:w="4304"/>
        <w:gridCol w:w="4304"/>
      </w:tblGrid>
      <w:tr>
        <w:tc>
          <w:tcPr>
            <w:tcW w:w="4304" w:type="dxa"/>
          </w:tcPr>
          <w:p>
            <w:pPr>
              <w:jc w:val="both"/>
              <w:rPr>
                <w:noProof/>
              </w:rPr>
            </w:pPr>
            <w:r>
              <w:rPr>
                <w:noProof/>
              </w:rPr>
              <w:t>(1) The report should further clarify the content of some of the options and how they would function in practice. For instance, it should better explain the complementarity or possible overlap between the proposed measure to provide individual workers with pay information and the more generalised obligation on pay reporting at company level. It should explain how a measure to report on pay differences, without differentiating between worker categories, would be able to reach the objectives. It should clarify the trigger and foreseen process for requiring companies to carry out a joint pay assessment under the preferred option, and what possibilities employers will have to contest. It should further specify how data protection would be ensured and by whom. The structure of the options would gain in clarity if it would address all objectives by combining the different options into alternative packages.</w:t>
            </w:r>
          </w:p>
        </w:tc>
        <w:tc>
          <w:tcPr>
            <w:tcW w:w="4304" w:type="dxa"/>
          </w:tcPr>
          <w:p>
            <w:pPr>
              <w:jc w:val="both"/>
              <w:rPr>
                <w:noProof/>
              </w:rPr>
            </w:pPr>
            <w:r>
              <w:rPr>
                <w:noProof/>
              </w:rPr>
              <w:t xml:space="preserve">The description of options and their impacts has been further clarified in the text. It now better specifies features, complementarities and interactions among different measures and their contribution to the objectives (chapter 6). The text clarifies how the joint pay assessment is triggered and what happens if the employer and worker representatives do not agree on the need to carry it out. It further clarifies how data protection would be ensured. In order to adopt a gradual approach, and therefore to target with more demanding measures only employers for which pay discrimination is suspected, the preferred option is necessarily the best combination of possible options. A full description of all other feasible combinations was not carried out to avoid unnecessary lengthy discussion.   </w:t>
            </w:r>
          </w:p>
          <w:p>
            <w:pPr>
              <w:jc w:val="both"/>
              <w:rPr>
                <w:noProof/>
              </w:rPr>
            </w:pPr>
          </w:p>
        </w:tc>
      </w:tr>
      <w:tr>
        <w:tc>
          <w:tcPr>
            <w:tcW w:w="4304" w:type="dxa"/>
          </w:tcPr>
          <w:p>
            <w:pPr>
              <w:jc w:val="both"/>
              <w:rPr>
                <w:noProof/>
              </w:rPr>
            </w:pPr>
            <w:r>
              <w:rPr>
                <w:noProof/>
              </w:rPr>
              <w:t>(2) The impact analysis should draw coherent conclusions as regards the effects of pay discrimination on companies’ competitiveness (e.g. likely competitive disadvantages versus productivity gains, talent retention or reputational benefits). The impact analysis of individual pay transparency measures (e.g. ban for employers to ask for previous wage) should better take into account that pay differences play a legitimate role in rewarding performance.The report should explain in more detail the assumptions behind the analysis of economic impacts (Euromod model) and the channels which lead to the expected impacts. It should explain how male wages, business profitability and (male and female) labour market participation would evolve. It should consider the impact of these changes on prices, thus on supply and demand.</w:t>
            </w:r>
          </w:p>
        </w:tc>
        <w:tc>
          <w:tcPr>
            <w:tcW w:w="4304" w:type="dxa"/>
          </w:tcPr>
          <w:p>
            <w:pPr>
              <w:jc w:val="both"/>
              <w:rPr>
                <w:noProof/>
              </w:rPr>
            </w:pPr>
            <w:r>
              <w:rPr>
                <w:noProof/>
              </w:rPr>
              <w:t>The presentation of the conclusions has been adapted and the effects on competitiveness clarified. It has been further clarified that the measures do not have in any way an effect on the possibility to reward performance. The presentation of the EUROMOD model and its assumptions and features has been expanded in the text. The text explains the analytical scope of this model. It also presents more references to studies on macroeconomic impact including on labour market participation (Chapter 7 and relevant annexes).</w:t>
            </w:r>
          </w:p>
        </w:tc>
      </w:tr>
      <w:tr>
        <w:tc>
          <w:tcPr>
            <w:tcW w:w="4304" w:type="dxa"/>
          </w:tcPr>
          <w:p>
            <w:pPr>
              <w:jc w:val="both"/>
              <w:rPr>
                <w:noProof/>
              </w:rPr>
            </w:pPr>
            <w:r>
              <w:rPr>
                <w:noProof/>
              </w:rPr>
              <w:t>(3) The assessment should be clearer on the costs and benefits of the preferred combination of measures and why it is judged to be the most proportionate. The report should provide a clear estimate of the total costs of the preferred package (in the main report and in the summary table in annex).</w:t>
            </w:r>
          </w:p>
        </w:tc>
        <w:tc>
          <w:tcPr>
            <w:tcW w:w="4304" w:type="dxa"/>
          </w:tcPr>
          <w:p>
            <w:pPr>
              <w:jc w:val="both"/>
              <w:rPr>
                <w:noProof/>
              </w:rPr>
            </w:pPr>
            <w:r>
              <w:rPr>
                <w:noProof/>
              </w:rPr>
              <w:t>The text of chapter 7 on impacts has been revised and its coherence with the summary table on costs and benefits in Annex 3 was ensured. A table regrouping costs and benefits of all options has been added to better illustrate the proportionality of the preferred package. The text on the prefered package was further clarified.</w:t>
            </w:r>
          </w:p>
        </w:tc>
      </w:tr>
      <w:tr>
        <w:trPr>
          <w:trHeight w:val="50"/>
        </w:trPr>
        <w:tc>
          <w:tcPr>
            <w:tcW w:w="4304" w:type="dxa"/>
          </w:tcPr>
          <w:p>
            <w:pPr>
              <w:jc w:val="both"/>
              <w:rPr>
                <w:noProof/>
              </w:rPr>
            </w:pPr>
            <w:r>
              <w:rPr>
                <w:noProof/>
              </w:rPr>
              <w:t>(4) The executive summary should be fully aligned with the revised impact assessment report.</w:t>
            </w:r>
          </w:p>
        </w:tc>
        <w:tc>
          <w:tcPr>
            <w:tcW w:w="4304" w:type="dxa"/>
          </w:tcPr>
          <w:p>
            <w:pPr>
              <w:jc w:val="both"/>
              <w:rPr>
                <w:noProof/>
              </w:rPr>
            </w:pPr>
            <w:r>
              <w:rPr>
                <w:noProof/>
              </w:rPr>
              <w:t>The executive summary is now fully aligned with the main text.</w:t>
            </w:r>
          </w:p>
        </w:tc>
      </w:tr>
    </w:tbl>
    <w:p>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 </w:t>
      </w:r>
    </w:p>
    <w:p>
      <w:pPr>
        <w:spacing w:line="240" w:lineRule="auto"/>
        <w:jc w:val="both"/>
        <w:rPr>
          <w:rFonts w:ascii="Times New Roman" w:eastAsia="Times New Roman" w:hAnsi="Times New Roman" w:cs="Times New Roman"/>
          <w:b/>
          <w:noProof/>
          <w:sz w:val="24"/>
          <w:szCs w:val="24"/>
        </w:rPr>
      </w:pPr>
    </w:p>
    <w:p>
      <w:pPr>
        <w:pStyle w:val="ListParagraph"/>
        <w:numPr>
          <w:ilvl w:val="0"/>
          <w:numId w:val="52"/>
        </w:numPr>
        <w:spacing w:line="240" w:lineRule="auto"/>
        <w:jc w:val="both"/>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2</w:t>
      </w:r>
      <w:r>
        <w:rPr>
          <w:rFonts w:ascii="Times New Roman" w:eastAsia="Times New Roman" w:hAnsi="Times New Roman" w:cs="Times New Roman"/>
          <w:b/>
          <w:noProof/>
          <w:sz w:val="24"/>
          <w:szCs w:val="24"/>
          <w:vertAlign w:val="superscript"/>
        </w:rPr>
        <w:t>nd</w:t>
      </w:r>
      <w:r>
        <w:rPr>
          <w:rFonts w:ascii="Times New Roman" w:eastAsia="Times New Roman" w:hAnsi="Times New Roman" w:cs="Times New Roman"/>
          <w:b/>
          <w:noProof/>
          <w:sz w:val="24"/>
          <w:szCs w:val="24"/>
        </w:rPr>
        <w:t xml:space="preserve"> RSB opinion:</w:t>
      </w:r>
    </w:p>
    <w:p>
      <w:pPr>
        <w:pStyle w:val="ListParagraph"/>
        <w:spacing w:line="240" w:lineRule="auto"/>
        <w:jc w:val="both"/>
        <w:rPr>
          <w:rFonts w:ascii="Times New Roman" w:eastAsia="Times New Roman" w:hAnsi="Times New Roman" w:cs="Times New Roman"/>
          <w:b/>
          <w:noProof/>
          <w:sz w:val="24"/>
          <w:szCs w:val="24"/>
        </w:rPr>
      </w:pPr>
    </w:p>
    <w:p>
      <w:pPr>
        <w:pStyle w:val="ListParagraph"/>
        <w:spacing w:line="240" w:lineRule="auto"/>
        <w:jc w:val="both"/>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General comments</w:t>
      </w:r>
    </w:p>
    <w:tbl>
      <w:tblPr>
        <w:tblStyle w:val="TableGrid"/>
        <w:tblW w:w="0" w:type="auto"/>
        <w:tblInd w:w="-5" w:type="dxa"/>
        <w:tblLook w:val="04A0" w:firstRow="1" w:lastRow="0" w:firstColumn="1" w:lastColumn="0" w:noHBand="0" w:noVBand="1"/>
      </w:tblPr>
      <w:tblGrid>
        <w:gridCol w:w="4395"/>
        <w:gridCol w:w="4218"/>
      </w:tblGrid>
      <w:tr>
        <w:tc>
          <w:tcPr>
            <w:tcW w:w="4395" w:type="dxa"/>
          </w:tcPr>
          <w:p>
            <w:pPr>
              <w:pStyle w:val="ListParagraph"/>
              <w:ind w:left="0"/>
              <w:jc w:val="both"/>
              <w:rPr>
                <w:noProof/>
              </w:rPr>
            </w:pPr>
            <w:r>
              <w:rPr>
                <w:noProof/>
              </w:rPr>
              <w:t>1) The report makes strong claims on pay discrimination, despite the limited evidence. It continues to rely on the gender pay gap indicator to show the existence of pay discrimination, to define the objectives of the initiative, and to measure the expected impacts of the policy options.</w:t>
            </w:r>
          </w:p>
        </w:tc>
        <w:tc>
          <w:tcPr>
            <w:tcW w:w="4218" w:type="dxa"/>
          </w:tcPr>
          <w:p>
            <w:pPr>
              <w:pStyle w:val="ListParagraph"/>
              <w:ind w:left="0"/>
              <w:jc w:val="both"/>
              <w:rPr>
                <w:noProof/>
              </w:rPr>
            </w:pPr>
            <w:r>
              <w:rPr>
                <w:noProof/>
              </w:rPr>
              <w:t>The problem is presented with more balanced language and necessary qualifiers were added when referring to the link between gender pay gap and pay discrimination. The report specifies that there is limited statistical evidence on the scale of pay discimination, though maintaining that there is sufficient circumstantial and qualitative evidence about its prevalence. The report clarifies that the lack of evidence is actually to a large extent due to the lack of pay transparency. The monitoring and evaluation section includes more coordinated efforts to collect evidence in cooperation with Member States based on the pay transparency created.</w:t>
            </w:r>
          </w:p>
          <w:p>
            <w:pPr>
              <w:pStyle w:val="ListParagraph"/>
              <w:ind w:left="0"/>
              <w:jc w:val="both"/>
              <w:rPr>
                <w:noProof/>
              </w:rPr>
            </w:pPr>
            <w:r>
              <w:rPr>
                <w:noProof/>
              </w:rPr>
              <w:t xml:space="preserve">The objectives are narrowed down to the problem of pay discrimination, without referring to the overall gender pay gap. </w:t>
            </w:r>
          </w:p>
          <w:p>
            <w:pPr>
              <w:pStyle w:val="ListParagraph"/>
              <w:ind w:left="0"/>
              <w:jc w:val="both"/>
              <w:rPr>
                <w:noProof/>
              </w:rPr>
            </w:pPr>
            <w:r>
              <w:rPr>
                <w:noProof/>
              </w:rPr>
              <w:t xml:space="preserve">The report acknowledges that while gender pay discrimination is only one element of the gender pay gap indicator and therefore its reduction may be expected to have an impact on the overall gender pay gap, the extent of this impact cannot be measured precisely. The report presents alternative hypothetical simulations of the impact of a reduction of the gender pay gap specifying that they are for illustrative purposes only.  </w:t>
            </w:r>
          </w:p>
          <w:p>
            <w:pPr>
              <w:pStyle w:val="ListParagraph"/>
              <w:ind w:left="0"/>
              <w:jc w:val="both"/>
              <w:rPr>
                <w:noProof/>
              </w:rPr>
            </w:pPr>
            <w:r>
              <w:rPr>
                <w:noProof/>
              </w:rPr>
              <w:t>The impact assessment added some possible solutions on how pay transparency will fill the gap in data in the future monitoring framework</w:t>
            </w:r>
          </w:p>
        </w:tc>
      </w:tr>
      <w:tr>
        <w:tc>
          <w:tcPr>
            <w:tcW w:w="4395" w:type="dxa"/>
          </w:tcPr>
          <w:p>
            <w:pPr>
              <w:pStyle w:val="ListParagraph"/>
              <w:ind w:left="0"/>
              <w:jc w:val="both"/>
              <w:rPr>
                <w:noProof/>
              </w:rPr>
            </w:pPr>
            <w:r>
              <w:rPr>
                <w:noProof/>
              </w:rPr>
              <w:t>2) The report does not demonstrate the proportionality of the preferred option, and the need for and suitability of all included measures.</w:t>
            </w:r>
          </w:p>
        </w:tc>
        <w:tc>
          <w:tcPr>
            <w:tcW w:w="4218" w:type="dxa"/>
          </w:tcPr>
          <w:p>
            <w:pPr>
              <w:pStyle w:val="ListParagraph"/>
              <w:ind w:left="0"/>
              <w:jc w:val="both"/>
              <w:rPr>
                <w:noProof/>
              </w:rPr>
            </w:pPr>
            <w:r>
              <w:rPr>
                <w:noProof/>
              </w:rPr>
              <w:t>The options were regrouped in a gradual way of ambition to better account for proportionality concerns. The need for and suitability of the various measures are explained in light of the specific objectives of the initiative. The complementarity of various options and of different measures within options has been clarified.</w:t>
            </w:r>
          </w:p>
          <w:p>
            <w:pPr>
              <w:pStyle w:val="ListParagraph"/>
              <w:ind w:left="0"/>
              <w:jc w:val="both"/>
              <w:rPr>
                <w:noProof/>
              </w:rPr>
            </w:pPr>
            <w:r>
              <w:rPr>
                <w:noProof/>
              </w:rPr>
              <w:t>A broader proportionality analysis is carried out, taking into account not only costs and benefits, but also proportionality in light of the lack of hard data on pay discrimination and the economic downturn as a result of the COVID-19 pandemic.</w:t>
            </w:r>
          </w:p>
        </w:tc>
      </w:tr>
    </w:tbl>
    <w:p>
      <w:pPr>
        <w:pStyle w:val="ListParagraph"/>
        <w:spacing w:line="240" w:lineRule="auto"/>
        <w:jc w:val="both"/>
        <w:rPr>
          <w:rFonts w:ascii="Times New Roman" w:eastAsia="Times New Roman" w:hAnsi="Times New Roman" w:cs="Times New Roman"/>
          <w:b/>
          <w:noProof/>
          <w:sz w:val="24"/>
          <w:szCs w:val="24"/>
        </w:rPr>
      </w:pPr>
    </w:p>
    <w:p>
      <w:pPr>
        <w:pStyle w:val="ListParagraph"/>
        <w:spacing w:line="240" w:lineRule="auto"/>
        <w:jc w:val="both"/>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Specific comments</w:t>
      </w:r>
    </w:p>
    <w:tbl>
      <w:tblPr>
        <w:tblStyle w:val="TableGrid"/>
        <w:tblW w:w="0" w:type="auto"/>
        <w:tblLook w:val="04A0" w:firstRow="1" w:lastRow="0" w:firstColumn="1" w:lastColumn="0" w:noHBand="0" w:noVBand="1"/>
      </w:tblPr>
      <w:tblGrid>
        <w:gridCol w:w="4304"/>
        <w:gridCol w:w="4304"/>
      </w:tblGrid>
      <w:tr>
        <w:tc>
          <w:tcPr>
            <w:tcW w:w="4304" w:type="dxa"/>
          </w:tcPr>
          <w:p>
            <w:pPr>
              <w:jc w:val="both"/>
              <w:rPr>
                <w:noProof/>
              </w:rPr>
            </w:pPr>
            <w:r>
              <w:rPr>
                <w:noProof/>
              </w:rPr>
              <w:t>1) The report should avoid making strong claims on pay discrimination unless they are supported by strong evidence. Where there is not strong evidence, the text should present the arguments using more balanced language. Given the number of sources, it would be helpful to specify which evidence is most robust and of direct relevance for this impact assessment.</w:t>
            </w:r>
          </w:p>
        </w:tc>
        <w:tc>
          <w:tcPr>
            <w:tcW w:w="4304" w:type="dxa"/>
          </w:tcPr>
          <w:p>
            <w:pPr>
              <w:autoSpaceDE w:val="0"/>
              <w:autoSpaceDN w:val="0"/>
              <w:adjustRightInd w:val="0"/>
              <w:jc w:val="both"/>
              <w:rPr>
                <w:noProof/>
              </w:rPr>
            </w:pPr>
            <w:r>
              <w:rPr>
                <w:noProof/>
              </w:rPr>
              <w:t>As mentioned above, language has been revised, with a narrower focus; the number of references was also reduced accordingly and limited to the most relevant.</w:t>
            </w:r>
          </w:p>
        </w:tc>
      </w:tr>
      <w:tr>
        <w:tc>
          <w:tcPr>
            <w:tcW w:w="4304" w:type="dxa"/>
          </w:tcPr>
          <w:p>
            <w:pPr>
              <w:jc w:val="both"/>
              <w:rPr>
                <w:noProof/>
              </w:rPr>
            </w:pPr>
            <w:r>
              <w:rPr>
                <w:noProof/>
              </w:rPr>
              <w:t>2) The report acknowledges that the gender pay gap is not a good yardstick for pay discrimination. Nevertheless, it relies on this indicator throughout the report. The report should review the references to gender pay gap. It should avoid defining objectives and measuring the impact of pay transparency measures in terms of the gender pay gap.</w:t>
            </w:r>
          </w:p>
        </w:tc>
        <w:tc>
          <w:tcPr>
            <w:tcW w:w="4304" w:type="dxa"/>
          </w:tcPr>
          <w:p>
            <w:pPr>
              <w:autoSpaceDE w:val="0"/>
              <w:autoSpaceDN w:val="0"/>
              <w:adjustRightInd w:val="0"/>
              <w:jc w:val="both"/>
              <w:rPr>
                <w:noProof/>
              </w:rPr>
            </w:pPr>
            <w:r>
              <w:rPr>
                <w:noProof/>
              </w:rPr>
              <w:t>As mentioned above, the objectives have been revised and the presentation of the impact on the adjusted gender pay gap is included for illustrative purposes only.</w:t>
            </w:r>
          </w:p>
        </w:tc>
      </w:tr>
      <w:tr>
        <w:tc>
          <w:tcPr>
            <w:tcW w:w="4304" w:type="dxa"/>
          </w:tcPr>
          <w:p>
            <w:pPr>
              <w:jc w:val="both"/>
              <w:rPr>
                <w:noProof/>
              </w:rPr>
            </w:pPr>
            <w:r>
              <w:rPr>
                <w:noProof/>
              </w:rPr>
              <w:t>3) Given the limited evidence on pay discrimination and the importance of such information for this policy area, the report should discuss possible solutions to solve the lack of data in the future monitoring framework.</w:t>
            </w:r>
          </w:p>
        </w:tc>
        <w:tc>
          <w:tcPr>
            <w:tcW w:w="4304" w:type="dxa"/>
          </w:tcPr>
          <w:p>
            <w:pPr>
              <w:autoSpaceDE w:val="0"/>
              <w:autoSpaceDN w:val="0"/>
              <w:adjustRightInd w:val="0"/>
              <w:jc w:val="both"/>
              <w:rPr>
                <w:noProof/>
              </w:rPr>
            </w:pPr>
            <w:r>
              <w:rPr>
                <w:noProof/>
              </w:rPr>
              <w:t>The monitoring framework now includes specific measures to improve the collection of both quantitative and qualitative data. It includes a feasibility study on the possibility to develop a more robust indicator of pay discrimination and various ways of gathering qualitative data, including through exchange of experience with the implementation in the context of the Advisory Committee on equal opportunities for women and men  (involving Member States, social partners and relevant NGOs).</w:t>
            </w:r>
          </w:p>
        </w:tc>
      </w:tr>
      <w:tr>
        <w:tc>
          <w:tcPr>
            <w:tcW w:w="4304" w:type="dxa"/>
          </w:tcPr>
          <w:p>
            <w:pPr>
              <w:jc w:val="both"/>
              <w:rPr>
                <w:noProof/>
              </w:rPr>
            </w:pPr>
            <w:r>
              <w:rPr>
                <w:noProof/>
              </w:rPr>
              <w:t>4) The report should discuss the feasibility of using the concept of ‘work of equal value’ in practice at large scale (not only in specific legal cases) and assess how this may affect the possibility to implement (and the success of) the measure to clarify legal concepts.</w:t>
            </w:r>
          </w:p>
        </w:tc>
        <w:tc>
          <w:tcPr>
            <w:tcW w:w="4304" w:type="dxa"/>
          </w:tcPr>
          <w:p>
            <w:pPr>
              <w:autoSpaceDE w:val="0"/>
              <w:autoSpaceDN w:val="0"/>
              <w:adjustRightInd w:val="0"/>
              <w:jc w:val="both"/>
              <w:rPr>
                <w:noProof/>
              </w:rPr>
            </w:pPr>
            <w:r>
              <w:rPr>
                <w:noProof/>
              </w:rPr>
              <w:t>The text of the impact assessment clarifies that while the concept is in place since the Treaty of Rome and general criteria for its application exist at EU level, in practice it must be applied at employer level with employer-specific criteria. The application of the concept will be improved by making the EU-level criteria more visible in the legislation and by and supporting tools and methodologies to be developed by MS.</w:t>
            </w:r>
          </w:p>
        </w:tc>
      </w:tr>
      <w:tr>
        <w:tc>
          <w:tcPr>
            <w:tcW w:w="4304" w:type="dxa"/>
          </w:tcPr>
          <w:p>
            <w:pPr>
              <w:jc w:val="both"/>
              <w:rPr>
                <w:noProof/>
              </w:rPr>
            </w:pPr>
            <w:r>
              <w:rPr>
                <w:noProof/>
              </w:rPr>
              <w:t>5) The report should justify why the option on ‘access to justice’ does not present alternative ways of addressing the relevant problem drivers.</w:t>
            </w:r>
          </w:p>
        </w:tc>
        <w:tc>
          <w:tcPr>
            <w:tcW w:w="4304" w:type="dxa"/>
          </w:tcPr>
          <w:p>
            <w:pPr>
              <w:autoSpaceDE w:val="0"/>
              <w:autoSpaceDN w:val="0"/>
              <w:adjustRightInd w:val="0"/>
              <w:jc w:val="both"/>
              <w:rPr>
                <w:noProof/>
              </w:rPr>
            </w:pPr>
            <w:r>
              <w:rPr>
                <w:noProof/>
              </w:rPr>
              <w:t>A number of alternative ways are added and discussed.</w:t>
            </w:r>
          </w:p>
        </w:tc>
      </w:tr>
      <w:tr>
        <w:tc>
          <w:tcPr>
            <w:tcW w:w="4304" w:type="dxa"/>
          </w:tcPr>
          <w:p>
            <w:pPr>
              <w:jc w:val="both"/>
              <w:rPr>
                <w:noProof/>
              </w:rPr>
            </w:pPr>
            <w:r>
              <w:rPr>
                <w:noProof/>
              </w:rPr>
              <w:t>6) For the legal option on pay transparency, the report should substantiate why all included measures are necessary and proportionate. For instance, what is the added value of an obligation to report on the gender pay gap, given that this is not a direct indicator for pay discrimination. Why is there a need for a measure on pay reporting if there is a requirement for joint pay assessments? What would an inclusion of equal pay matters in collective bargaining add to these measures? To what extent would gender-neutral job classification systems be a prerequisite (and thus an intrinsic part) of the other measures? How was the frequency of the different reporting requirements decided and why could it not be less often (e.g. some Member States are doing pay audits every four years)? On the basis of these clarifications, the report should consider presenting and assessing alternative groupings of these measures, representing different degrees of ambition.</w:t>
            </w:r>
          </w:p>
        </w:tc>
        <w:tc>
          <w:tcPr>
            <w:tcW w:w="4304" w:type="dxa"/>
          </w:tcPr>
          <w:p>
            <w:pPr>
              <w:autoSpaceDE w:val="0"/>
              <w:autoSpaceDN w:val="0"/>
              <w:adjustRightInd w:val="0"/>
              <w:jc w:val="both"/>
              <w:rPr>
                <w:noProof/>
              </w:rPr>
            </w:pPr>
            <w:r>
              <w:rPr>
                <w:noProof/>
              </w:rPr>
              <w:t>The measures are regrouped and presented by degree of ambition in under each option – see the explanation at the introduction of Section 6. The report explains the different degrees in pay reporting and why one would be more useful, but also more burdensome, than the other. It explains why the role of social partners is important in supporting implementation of the measures. It further explains that gender-neutral job classification systems are only a possible tool to facilitate the application of the concept of ‘equal value’; other methodologies may exist at national level and flexibility would be left to Member States in this respect. The report explains the choice for the frequency as regards the various obligations.</w:t>
            </w:r>
          </w:p>
        </w:tc>
      </w:tr>
      <w:tr>
        <w:tc>
          <w:tcPr>
            <w:tcW w:w="4304" w:type="dxa"/>
          </w:tcPr>
          <w:p>
            <w:pPr>
              <w:jc w:val="both"/>
              <w:rPr>
                <w:noProof/>
              </w:rPr>
            </w:pPr>
            <w:r>
              <w:rPr>
                <w:noProof/>
              </w:rPr>
              <w:t>7) The impact analysis of individual pay transparency measures should better take into  account that pay differences play a legitimate role in rewarding performance. The report should integrate possible negative effects into the comparison of measures. It should also complete the impact analysis of the measure to introduce gender-neutral job evaluation and classification systems. It should provide more detail on the causal links between pay transparency measures and the expected macroeconomic income growth</w:t>
            </w:r>
          </w:p>
        </w:tc>
        <w:tc>
          <w:tcPr>
            <w:tcW w:w="4304" w:type="dxa"/>
          </w:tcPr>
          <w:p>
            <w:pPr>
              <w:jc w:val="both"/>
              <w:rPr>
                <w:noProof/>
              </w:rPr>
            </w:pPr>
            <w:r>
              <w:rPr>
                <w:noProof/>
              </w:rPr>
              <w:t>The report clarifies that the proposed measures do not interfere with the possibility to reward performance (unless rewarding is based on gender-biased criteria).  Possible unintended effects of the measures have been included when relevant in the assessment of the various measures. The report clarifies that gender – neutral job evaluation and classification systems are a possible support tool to assess work of equal value, among other possible tools that may exist at national level. The illustration of the possible impacts of the preferred option details the link between pay transparency, wages and macroeconomic income growth</w:t>
            </w:r>
          </w:p>
        </w:tc>
      </w:tr>
      <w:tr>
        <w:tc>
          <w:tcPr>
            <w:tcW w:w="4304" w:type="dxa"/>
          </w:tcPr>
          <w:p>
            <w:pPr>
              <w:jc w:val="both"/>
              <w:rPr>
                <w:noProof/>
              </w:rPr>
            </w:pPr>
            <w:r>
              <w:rPr>
                <w:noProof/>
                <w:lang w:bidi="en-US"/>
              </w:rPr>
              <w:t xml:space="preserve">8) The report introduces exemptions for small companies. However, the report should explain how workers’ rights would be respected in exempted companies. </w:t>
            </w:r>
            <w:r>
              <w:rPr>
                <w:noProof/>
                <w:lang w:bidi="da-DK"/>
              </w:rPr>
              <w:t xml:space="preserve">This </w:t>
            </w:r>
            <w:r>
              <w:rPr>
                <w:noProof/>
                <w:lang w:bidi="en-US"/>
              </w:rPr>
              <w:t xml:space="preserve">is </w:t>
            </w:r>
            <w:r>
              <w:rPr>
                <w:noProof/>
                <w:lang w:bidi="da-DK"/>
              </w:rPr>
              <w:t xml:space="preserve">relevant </w:t>
            </w:r>
            <w:r>
              <w:rPr>
                <w:noProof/>
                <w:lang w:bidi="en-US"/>
              </w:rPr>
              <w:t>given the large share of workers that would not be covered by certain measures. The report should also provide more coherent justifications for the different SME exemptions.</w:t>
            </w:r>
          </w:p>
        </w:tc>
        <w:tc>
          <w:tcPr>
            <w:tcW w:w="4304" w:type="dxa"/>
          </w:tcPr>
          <w:p>
            <w:pPr>
              <w:autoSpaceDE w:val="0"/>
              <w:autoSpaceDN w:val="0"/>
              <w:adjustRightInd w:val="0"/>
              <w:jc w:val="both"/>
              <w:rPr>
                <w:noProof/>
              </w:rPr>
            </w:pPr>
            <w:r>
              <w:rPr>
                <w:noProof/>
                <w:lang w:bidi="en-US"/>
              </w:rPr>
              <w:t>The exemptions are tailored to the specific measures and their justification takes into account the varying elements that are relevant for each measure. The revised report explains these elements in more detail and why they are relevant for the different measures. The report further clarifies the trade off between any applicable thresholds and individual workers’ protection and how workers’ protection is ensured when certain measures do not apply to exempted companies. Such protection is ensured, in particular, through the combination of various pay transparency measures as well as reinforced access to justice (e.g. reversed burden of proof) and enforcement mechanisms.</w:t>
            </w:r>
          </w:p>
        </w:tc>
      </w:tr>
      <w:tr>
        <w:tc>
          <w:tcPr>
            <w:tcW w:w="4304" w:type="dxa"/>
          </w:tcPr>
          <w:p>
            <w:pPr>
              <w:jc w:val="both"/>
              <w:rPr>
                <w:noProof/>
              </w:rPr>
            </w:pPr>
            <w:r>
              <w:rPr>
                <w:noProof/>
                <w:lang w:bidi="en-US"/>
              </w:rPr>
              <w:t xml:space="preserve">9) The report should fully present the content of the options in the options description. It should not introduce further option characteristics - on, for example, SME exemptions - in the impact analysis. It should number </w:t>
            </w:r>
            <w:r>
              <w:rPr>
                <w:noProof/>
              </w:rPr>
              <w:t xml:space="preserve">the </w:t>
            </w:r>
            <w:r>
              <w:rPr>
                <w:noProof/>
                <w:lang w:bidi="en-US"/>
              </w:rPr>
              <w:t xml:space="preserve">measures consistently in </w:t>
            </w:r>
            <w:r>
              <w:rPr>
                <w:noProof/>
              </w:rPr>
              <w:t xml:space="preserve">the </w:t>
            </w:r>
            <w:r>
              <w:rPr>
                <w:noProof/>
                <w:lang w:bidi="en-US"/>
              </w:rPr>
              <w:t>options and impacts sections.</w:t>
            </w:r>
          </w:p>
        </w:tc>
        <w:tc>
          <w:tcPr>
            <w:tcW w:w="4304" w:type="dxa"/>
          </w:tcPr>
          <w:p>
            <w:pPr>
              <w:autoSpaceDE w:val="0"/>
              <w:autoSpaceDN w:val="0"/>
              <w:adjustRightInd w:val="0"/>
              <w:jc w:val="both"/>
              <w:rPr>
                <w:noProof/>
              </w:rPr>
            </w:pPr>
            <w:r>
              <w:rPr>
                <w:noProof/>
                <w:lang w:bidi="en-US"/>
              </w:rPr>
              <w:t>The options description has been extended with a more detailed description of the options and with the envisaged SME exemptions. The coherence of the text has been double-checked.</w:t>
            </w:r>
          </w:p>
        </w:tc>
      </w:tr>
    </w:tbl>
    <w:p>
      <w:pPr>
        <w:spacing w:line="240" w:lineRule="auto"/>
        <w:jc w:val="both"/>
        <w:rPr>
          <w:rFonts w:ascii="Times New Roman" w:hAnsi="Times New Roman" w:cs="Times New Roman"/>
          <w:b/>
          <w:i/>
          <w:noProof/>
          <w:sz w:val="24"/>
          <w:szCs w:val="24"/>
          <w:lang w:bidi="en-US"/>
        </w:rPr>
      </w:pPr>
    </w:p>
    <w:p>
      <w:pPr>
        <w:autoSpaceDE w:val="0"/>
        <w:autoSpaceDN w:val="0"/>
        <w:adjustRightInd w:val="0"/>
        <w:spacing w:after="0" w:line="240" w:lineRule="auto"/>
        <w:ind w:left="284"/>
        <w:jc w:val="both"/>
        <w:rPr>
          <w:rFonts w:ascii="Times New Roman" w:hAnsi="Times New Roman" w:cs="Times New Roman"/>
          <w:noProof/>
          <w:sz w:val="24"/>
          <w:szCs w:val="24"/>
        </w:rPr>
      </w:pPr>
    </w:p>
    <w:p>
      <w:pPr>
        <w:pStyle w:val="ListParagraph"/>
        <w:numPr>
          <w:ilvl w:val="0"/>
          <w:numId w:val="52"/>
        </w:numPr>
        <w:autoSpaceDE w:val="0"/>
        <w:autoSpaceDN w:val="0"/>
        <w:adjustRightInd w:val="0"/>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1</w:t>
      </w:r>
      <w:r>
        <w:rPr>
          <w:rFonts w:ascii="Times New Roman" w:hAnsi="Times New Roman" w:cs="Times New Roman"/>
          <w:b/>
          <w:noProof/>
          <w:sz w:val="24"/>
          <w:szCs w:val="24"/>
          <w:vertAlign w:val="superscript"/>
        </w:rPr>
        <w:t>st</w:t>
      </w:r>
      <w:r>
        <w:rPr>
          <w:rFonts w:ascii="Times New Roman" w:hAnsi="Times New Roman" w:cs="Times New Roman"/>
          <w:b/>
          <w:noProof/>
          <w:sz w:val="24"/>
          <w:szCs w:val="24"/>
        </w:rPr>
        <w:t xml:space="preserve"> RSB opinion:</w:t>
      </w:r>
    </w:p>
    <w:p>
      <w:pPr>
        <w:autoSpaceDE w:val="0"/>
        <w:autoSpaceDN w:val="0"/>
        <w:adjustRightInd w:val="0"/>
        <w:spacing w:after="0" w:line="240" w:lineRule="auto"/>
        <w:ind w:left="284"/>
        <w:jc w:val="both"/>
        <w:rPr>
          <w:rFonts w:ascii="Times New Roman" w:hAnsi="Times New Roman"/>
          <w:b/>
          <w:noProof/>
          <w:sz w:val="24"/>
        </w:rPr>
      </w:pPr>
      <w:r>
        <w:rPr>
          <w:rFonts w:ascii="Times New Roman" w:hAnsi="Times New Roman" w:cs="Times New Roman"/>
          <w:b/>
          <w:noProof/>
          <w:sz w:val="24"/>
          <w:szCs w:val="24"/>
        </w:rPr>
        <w:t>General comments</w:t>
      </w:r>
    </w:p>
    <w:tbl>
      <w:tblPr>
        <w:tblStyle w:val="TableGrid"/>
        <w:tblW w:w="0" w:type="auto"/>
        <w:tblInd w:w="284" w:type="dxa"/>
        <w:tblLook w:val="04A0" w:firstRow="1" w:lastRow="0" w:firstColumn="1" w:lastColumn="0" w:noHBand="0" w:noVBand="1"/>
      </w:tblPr>
      <w:tblGrid>
        <w:gridCol w:w="4274"/>
        <w:gridCol w:w="4276"/>
      </w:tblGrid>
      <w:tr>
        <w:tc>
          <w:tcPr>
            <w:tcW w:w="4304" w:type="dxa"/>
          </w:tcPr>
          <w:p>
            <w:pPr>
              <w:pStyle w:val="ListParagraph"/>
              <w:numPr>
                <w:ilvl w:val="0"/>
                <w:numId w:val="53"/>
              </w:numPr>
              <w:autoSpaceDE w:val="0"/>
              <w:autoSpaceDN w:val="0"/>
              <w:adjustRightInd w:val="0"/>
              <w:jc w:val="both"/>
              <w:rPr>
                <w:noProof/>
              </w:rPr>
            </w:pPr>
            <w:r>
              <w:rPr>
                <w:noProof/>
              </w:rPr>
              <w:t>The report does not provide sufficient evidence of the problem it aims to fix. It does not explain clearly the links between the problems, the objectives and the measures.</w:t>
            </w:r>
          </w:p>
        </w:tc>
        <w:tc>
          <w:tcPr>
            <w:tcW w:w="4304" w:type="dxa"/>
          </w:tcPr>
          <w:p>
            <w:pPr>
              <w:autoSpaceDE w:val="0"/>
              <w:autoSpaceDN w:val="0"/>
              <w:adjustRightInd w:val="0"/>
              <w:jc w:val="both"/>
              <w:rPr>
                <w:noProof/>
              </w:rPr>
            </w:pPr>
            <w:r>
              <w:rPr>
                <w:noProof/>
              </w:rPr>
              <w:t>The updated report provides more explicit evidence of pay discrimination and combines empirical analysis, data from surveys, links to sources of information and evidence as well as an overview of legal cases. The explanation on the lack of measurement of the extent of pay discrimination has been incorporated within the section on the problem definition.</w:t>
            </w:r>
          </w:p>
          <w:p>
            <w:pPr>
              <w:autoSpaceDE w:val="0"/>
              <w:autoSpaceDN w:val="0"/>
              <w:adjustRightInd w:val="0"/>
              <w:jc w:val="both"/>
              <w:rPr>
                <w:noProof/>
              </w:rPr>
            </w:pPr>
            <w:r>
              <w:rPr>
                <w:noProof/>
              </w:rPr>
              <w:t>The report clarifies the link between problem, objectives and measures. It underlines the need for more pay transparency to let discriminatory pay practices , as well as bias in pay setting and valuation fully emerge.</w:t>
            </w:r>
          </w:p>
        </w:tc>
      </w:tr>
      <w:tr>
        <w:tc>
          <w:tcPr>
            <w:tcW w:w="4304" w:type="dxa"/>
          </w:tcPr>
          <w:p>
            <w:pPr>
              <w:pStyle w:val="ListParagraph"/>
              <w:numPr>
                <w:ilvl w:val="0"/>
                <w:numId w:val="53"/>
              </w:numPr>
              <w:autoSpaceDE w:val="0"/>
              <w:autoSpaceDN w:val="0"/>
              <w:adjustRightInd w:val="0"/>
              <w:jc w:val="both"/>
              <w:rPr>
                <w:noProof/>
              </w:rPr>
            </w:pPr>
            <w:r>
              <w:rPr>
                <w:noProof/>
              </w:rPr>
              <w:t>The difference between the main policy options is unclear and some possible options are not analysed. The report does not explain how the specific measures of the options were selected.</w:t>
            </w:r>
          </w:p>
        </w:tc>
        <w:tc>
          <w:tcPr>
            <w:tcW w:w="4304" w:type="dxa"/>
          </w:tcPr>
          <w:p>
            <w:pPr>
              <w:autoSpaceDE w:val="0"/>
              <w:autoSpaceDN w:val="0"/>
              <w:adjustRightInd w:val="0"/>
              <w:jc w:val="both"/>
              <w:rPr>
                <w:noProof/>
              </w:rPr>
            </w:pPr>
            <w:r>
              <w:rPr>
                <w:noProof/>
              </w:rPr>
              <w:t xml:space="preserve">The presentation of options has been significantly redrafted. The report explains the choice of pay transparency options, its link with the existing 2014 Pay transparency recommendation as well as opinions of stakeholders expressed during the consultation process. </w:t>
            </w:r>
          </w:p>
          <w:p>
            <w:pPr>
              <w:autoSpaceDE w:val="0"/>
              <w:autoSpaceDN w:val="0"/>
              <w:adjustRightInd w:val="0"/>
              <w:jc w:val="both"/>
              <w:rPr>
                <w:noProof/>
              </w:rPr>
            </w:pPr>
            <w:r>
              <w:rPr>
                <w:noProof/>
              </w:rPr>
              <w:t>The report clarifies the need to minimise the administrative burden by aligning pay transparency measures to employers with a certain number of workers. It further clarifies the complementarity of the measures ensuring their effectiveness and avoiding overlap.</w:t>
            </w:r>
          </w:p>
        </w:tc>
      </w:tr>
      <w:tr>
        <w:tc>
          <w:tcPr>
            <w:tcW w:w="4304" w:type="dxa"/>
          </w:tcPr>
          <w:p>
            <w:pPr>
              <w:pStyle w:val="ListParagraph"/>
              <w:numPr>
                <w:ilvl w:val="0"/>
                <w:numId w:val="53"/>
              </w:numPr>
              <w:autoSpaceDE w:val="0"/>
              <w:autoSpaceDN w:val="0"/>
              <w:adjustRightInd w:val="0"/>
              <w:jc w:val="both"/>
              <w:rPr>
                <w:noProof/>
              </w:rPr>
            </w:pPr>
            <w:r>
              <w:rPr>
                <w:noProof/>
              </w:rPr>
              <w:t>The analysis of potential impacts is incomplete. The report deals with a few expected impacts only. The analysis relies on experts’ views and does not sufficiently consider stakeholders’ views.</w:t>
            </w:r>
          </w:p>
        </w:tc>
        <w:tc>
          <w:tcPr>
            <w:tcW w:w="4304" w:type="dxa"/>
          </w:tcPr>
          <w:p>
            <w:pPr>
              <w:autoSpaceDE w:val="0"/>
              <w:autoSpaceDN w:val="0"/>
              <w:adjustRightInd w:val="0"/>
              <w:jc w:val="both"/>
              <w:rPr>
                <w:noProof/>
              </w:rPr>
            </w:pPr>
            <w:r>
              <w:rPr>
                <w:noProof/>
              </w:rPr>
              <w:t>The report highlights stakeholders’ views alongside the views of experts consulted for the study and covers their main concerns related to data protection, administrative burden, and social partners’ autonomy.</w:t>
            </w:r>
          </w:p>
          <w:p>
            <w:pPr>
              <w:autoSpaceDE w:val="0"/>
              <w:autoSpaceDN w:val="0"/>
              <w:adjustRightInd w:val="0"/>
              <w:jc w:val="both"/>
              <w:rPr>
                <w:noProof/>
              </w:rPr>
            </w:pPr>
            <w:r>
              <w:rPr>
                <w:noProof/>
              </w:rPr>
              <w:t>The calculation of the potential costs for employers has been developed and additional calculations of impacts have been included, together with literature findings about the impact of the various measures.</w:t>
            </w:r>
          </w:p>
        </w:tc>
      </w:tr>
    </w:tbl>
    <w:p>
      <w:pPr>
        <w:autoSpaceDE w:val="0"/>
        <w:autoSpaceDN w:val="0"/>
        <w:adjustRightInd w:val="0"/>
        <w:spacing w:after="0" w:line="240" w:lineRule="auto"/>
        <w:ind w:left="284"/>
        <w:jc w:val="both"/>
        <w:rPr>
          <w:rFonts w:ascii="Times New Roman" w:hAnsi="Times New Roman" w:cs="Times New Roman"/>
          <w:noProof/>
          <w:sz w:val="24"/>
          <w:szCs w:val="24"/>
        </w:rPr>
      </w:pPr>
    </w:p>
    <w:p>
      <w:pPr>
        <w:autoSpaceDE w:val="0"/>
        <w:autoSpaceDN w:val="0"/>
        <w:adjustRightInd w:val="0"/>
        <w:spacing w:after="0" w:line="240" w:lineRule="auto"/>
        <w:ind w:left="284"/>
        <w:jc w:val="both"/>
        <w:rPr>
          <w:rFonts w:ascii="Times New Roman" w:hAnsi="Times New Roman" w:cs="Times New Roman"/>
          <w:b/>
          <w:noProof/>
          <w:sz w:val="24"/>
          <w:szCs w:val="24"/>
        </w:rPr>
      </w:pPr>
      <w:r>
        <w:rPr>
          <w:rFonts w:ascii="Times New Roman" w:hAnsi="Times New Roman" w:cs="Times New Roman"/>
          <w:b/>
          <w:noProof/>
          <w:sz w:val="24"/>
          <w:szCs w:val="24"/>
        </w:rPr>
        <w:t>Specific comments</w:t>
      </w:r>
    </w:p>
    <w:tbl>
      <w:tblPr>
        <w:tblStyle w:val="TableGrid"/>
        <w:tblW w:w="0" w:type="auto"/>
        <w:tblInd w:w="284" w:type="dxa"/>
        <w:tblLook w:val="04A0" w:firstRow="1" w:lastRow="0" w:firstColumn="1" w:lastColumn="0" w:noHBand="0" w:noVBand="1"/>
      </w:tblPr>
      <w:tblGrid>
        <w:gridCol w:w="4275"/>
        <w:gridCol w:w="4275"/>
      </w:tblGrid>
      <w:tr>
        <w:tc>
          <w:tcPr>
            <w:tcW w:w="4304" w:type="dxa"/>
          </w:tcPr>
          <w:p>
            <w:pPr>
              <w:autoSpaceDE w:val="0"/>
              <w:autoSpaceDN w:val="0"/>
              <w:adjustRightInd w:val="0"/>
              <w:jc w:val="both"/>
              <w:rPr>
                <w:noProof/>
              </w:rPr>
            </w:pPr>
            <w:r>
              <w:rPr>
                <w:noProof/>
              </w:rPr>
              <w:t>1) The report needs to be clearer about the evidence of pay discrimination and its limitations. It should explain to what extent the gender pay gap provides an indication of pay discrimination and use these different concepts coherently throughout the report. It should be explicit about the extent to which pay differences can be decomposed into discriminatory and non-discriminatory determinants. The problem description should be clear to what extent observed pay discrimination concerns not being paid equally for the same job or work of women and men not being valued equally.</w:t>
            </w:r>
          </w:p>
        </w:tc>
        <w:tc>
          <w:tcPr>
            <w:tcW w:w="4304" w:type="dxa"/>
          </w:tcPr>
          <w:p>
            <w:pPr>
              <w:autoSpaceDE w:val="0"/>
              <w:autoSpaceDN w:val="0"/>
              <w:adjustRightInd w:val="0"/>
              <w:jc w:val="both"/>
              <w:rPr>
                <w:noProof/>
              </w:rPr>
            </w:pPr>
            <w:r>
              <w:rPr>
                <w:noProof/>
              </w:rPr>
              <w:t>The updated report provides more explicit evidence of pay discrimination combining empirical analysis, data from surveys, links to sources of information and evidence as well as an overview of legal cases, though acknowledging the limitations of the evidence. The explanation of the extent to which pay differences can be decomposed into discriminatory and non-discriminatory determinants has been further clarified and incorporated within the section on the ‘size of the problem’. More clarification has been added on detailed analysis of the pay gap at national and at sector level.</w:t>
            </w:r>
          </w:p>
        </w:tc>
      </w:tr>
      <w:tr>
        <w:tc>
          <w:tcPr>
            <w:tcW w:w="4304" w:type="dxa"/>
          </w:tcPr>
          <w:p>
            <w:pPr>
              <w:autoSpaceDE w:val="0"/>
              <w:autoSpaceDN w:val="0"/>
              <w:adjustRightInd w:val="0"/>
              <w:jc w:val="both"/>
              <w:rPr>
                <w:noProof/>
              </w:rPr>
            </w:pPr>
            <w:r>
              <w:rPr>
                <w:noProof/>
              </w:rPr>
              <w:t>2) The report should analyse whether the problems are linked to the policy or legal framework, to its poor implementation, or to other factors.</w:t>
            </w:r>
          </w:p>
        </w:tc>
        <w:tc>
          <w:tcPr>
            <w:tcW w:w="4304" w:type="dxa"/>
          </w:tcPr>
          <w:p>
            <w:pPr>
              <w:autoSpaceDE w:val="0"/>
              <w:autoSpaceDN w:val="0"/>
              <w:adjustRightInd w:val="0"/>
              <w:jc w:val="both"/>
              <w:rPr>
                <w:noProof/>
              </w:rPr>
            </w:pPr>
            <w:r>
              <w:rPr>
                <w:noProof/>
              </w:rPr>
              <w:t>The report addresses these issues under the section ‘what are the problem drivers’. The description of the key drivers of the problem was further clarified namely: i) a market failure linked to asymmetries of information on pay and persisting bias in pay; ii) a regulatory failure linked to lack of legal clarity and difficulty to apply key legal concepts and lack of access to justice for potential victims.</w:t>
            </w:r>
          </w:p>
        </w:tc>
      </w:tr>
      <w:tr>
        <w:tc>
          <w:tcPr>
            <w:tcW w:w="4304" w:type="dxa"/>
          </w:tcPr>
          <w:p>
            <w:pPr>
              <w:autoSpaceDE w:val="0"/>
              <w:autoSpaceDN w:val="0"/>
              <w:adjustRightInd w:val="0"/>
              <w:jc w:val="both"/>
              <w:rPr>
                <w:noProof/>
              </w:rPr>
            </w:pPr>
            <w:r>
              <w:rPr>
                <w:noProof/>
              </w:rPr>
              <w:t>3) With a view to designing well targeted measures, the report should include an analysis of where pay discrimination takes place. It should analyse whether pay discrimination is more widespread in certain sectors, occupations, types of companies, countries, etc., or affects certain groups of workers more than others (e.g. age, type of contract, etc.). To the extent possible, this analysis should be quantitative.</w:t>
            </w:r>
          </w:p>
        </w:tc>
        <w:tc>
          <w:tcPr>
            <w:tcW w:w="4304" w:type="dxa"/>
          </w:tcPr>
          <w:p>
            <w:pPr>
              <w:autoSpaceDE w:val="0"/>
              <w:autoSpaceDN w:val="0"/>
              <w:adjustRightInd w:val="0"/>
              <w:jc w:val="both"/>
              <w:rPr>
                <w:noProof/>
              </w:rPr>
            </w:pPr>
            <w:r>
              <w:rPr>
                <w:noProof/>
              </w:rPr>
              <w:t>The report acknowledges limitations in regard to the quantification of pay discrimination. It highlights the need to collect data at employer level in order to detect discrimination as the available aggregate data do not have the necessary granularity to do that. Still, statistical analysis presented in the IA provides sufficient indications on where pay gap can be influenced by biased decisions, e.g.: part-time workers, managers, occupations within sectors, fringe benefits – that should be verified at employer level. Similarly, the report clarifies that only employer level data can determine whether pay discrimination affects more certain groups of workers than others (e.g. by type of contract, by age).</w:t>
            </w:r>
          </w:p>
        </w:tc>
      </w:tr>
      <w:tr>
        <w:tc>
          <w:tcPr>
            <w:tcW w:w="4304" w:type="dxa"/>
          </w:tcPr>
          <w:p>
            <w:pPr>
              <w:autoSpaceDE w:val="0"/>
              <w:autoSpaceDN w:val="0"/>
              <w:adjustRightInd w:val="0"/>
              <w:jc w:val="both"/>
              <w:rPr>
                <w:noProof/>
              </w:rPr>
            </w:pPr>
            <w:r>
              <w:rPr>
                <w:noProof/>
              </w:rPr>
              <w:t>4) The report should consider using a more selective use of sources, focusing on those that are most relevant. More careful consideration should be given to whether the conclusions of studies in particular countries can be generalised to the EU. If evidence is not available or is incomplete, the report should acknowledge this clearly.</w:t>
            </w:r>
          </w:p>
        </w:tc>
        <w:tc>
          <w:tcPr>
            <w:tcW w:w="4304" w:type="dxa"/>
          </w:tcPr>
          <w:p>
            <w:pPr>
              <w:autoSpaceDE w:val="0"/>
              <w:autoSpaceDN w:val="0"/>
              <w:adjustRightInd w:val="0"/>
              <w:jc w:val="both"/>
              <w:rPr>
                <w:noProof/>
              </w:rPr>
            </w:pPr>
            <w:r>
              <w:rPr>
                <w:noProof/>
              </w:rPr>
              <w:t>The updated report addresses these concerns: sources were dropped, replaced or presented in more selective manner.</w:t>
            </w:r>
          </w:p>
        </w:tc>
      </w:tr>
      <w:tr>
        <w:tc>
          <w:tcPr>
            <w:tcW w:w="4304" w:type="dxa"/>
          </w:tcPr>
          <w:p>
            <w:pPr>
              <w:autoSpaceDE w:val="0"/>
              <w:autoSpaceDN w:val="0"/>
              <w:adjustRightInd w:val="0"/>
              <w:jc w:val="both"/>
              <w:rPr>
                <w:noProof/>
              </w:rPr>
            </w:pPr>
            <w:r>
              <w:rPr>
                <w:noProof/>
              </w:rPr>
              <w:t>5) The report should better explain the intervention logic, linking the measures to the problems and the objectives. The report should present a more analytical description of the links between pay transparency, pay discrimination and their consequences on the labour market, competition and productivity. It should show to what extent measures taken by individual Member States have resulted in a reduction in pay discrimination. It should indicate whether measures were implemented at the employer, sector or national level.</w:t>
            </w:r>
          </w:p>
        </w:tc>
        <w:tc>
          <w:tcPr>
            <w:tcW w:w="4304" w:type="dxa"/>
          </w:tcPr>
          <w:p>
            <w:pPr>
              <w:autoSpaceDE w:val="0"/>
              <w:autoSpaceDN w:val="0"/>
              <w:adjustRightInd w:val="0"/>
              <w:jc w:val="both"/>
              <w:rPr>
                <w:noProof/>
              </w:rPr>
            </w:pPr>
            <w:r>
              <w:rPr>
                <w:noProof/>
              </w:rPr>
              <w:t xml:space="preserve">The narrative of the report is now better aligned to the revised intervention logic. The report explains the expected positive effect of pay transparency measures established at EU level which allow a more efficient operation of the labour market and enhanced competitiveness in the internal market. It also emphasizes that the intervention respects different models of labour markets, different levels of social partners’ participation in the area of wage setting as well as the autonomy of social partners. </w:t>
            </w:r>
          </w:p>
          <w:p>
            <w:pPr>
              <w:autoSpaceDE w:val="0"/>
              <w:autoSpaceDN w:val="0"/>
              <w:adjustRightInd w:val="0"/>
              <w:jc w:val="both"/>
              <w:rPr>
                <w:noProof/>
              </w:rPr>
            </w:pPr>
            <w:r>
              <w:rPr>
                <w:noProof/>
              </w:rPr>
              <w:t xml:space="preserve">The report refers to the findings of the evaluation which could not find evidence of significant impact of pay transparency measures on pay discrimination, mostly because, as mentioned pay discrimination cannot be quantified. </w:t>
            </w:r>
          </w:p>
          <w:p>
            <w:pPr>
              <w:autoSpaceDE w:val="0"/>
              <w:autoSpaceDN w:val="0"/>
              <w:adjustRightInd w:val="0"/>
              <w:jc w:val="both"/>
              <w:rPr>
                <w:noProof/>
              </w:rPr>
            </w:pPr>
            <w:r>
              <w:rPr>
                <w:noProof/>
              </w:rPr>
              <w:t>Additional hypothetical calculations using the EUROMOD model were added illustrating the effect of a GPG reduction on income ditrbiution, poverty rates and public budgets.</w:t>
            </w:r>
          </w:p>
        </w:tc>
      </w:tr>
      <w:tr>
        <w:tc>
          <w:tcPr>
            <w:tcW w:w="4304" w:type="dxa"/>
          </w:tcPr>
          <w:p>
            <w:pPr>
              <w:autoSpaceDE w:val="0"/>
              <w:autoSpaceDN w:val="0"/>
              <w:adjustRightInd w:val="0"/>
              <w:jc w:val="both"/>
              <w:rPr>
                <w:noProof/>
              </w:rPr>
            </w:pPr>
            <w:r>
              <w:rPr>
                <w:noProof/>
              </w:rPr>
              <w:t>6) The report should further elaborate on how the situation would evolve under the existing framework, without further action. It could discuss future trends in wage setting and how they may affect pay discrimination. It should reflect on the likely impact of the COVID-19 pandemic on developments in pay discrimination.</w:t>
            </w:r>
          </w:p>
        </w:tc>
        <w:tc>
          <w:tcPr>
            <w:tcW w:w="4304" w:type="dxa"/>
          </w:tcPr>
          <w:p>
            <w:pPr>
              <w:autoSpaceDE w:val="0"/>
              <w:autoSpaceDN w:val="0"/>
              <w:adjustRightInd w:val="0"/>
              <w:jc w:val="both"/>
              <w:rPr>
                <w:noProof/>
              </w:rPr>
            </w:pPr>
            <w:r>
              <w:rPr>
                <w:noProof/>
              </w:rPr>
              <w:t>These considerations have been included in the section on ‘How will the problem evolve’.</w:t>
            </w:r>
          </w:p>
        </w:tc>
      </w:tr>
      <w:tr>
        <w:tc>
          <w:tcPr>
            <w:tcW w:w="4304" w:type="dxa"/>
          </w:tcPr>
          <w:p>
            <w:pPr>
              <w:autoSpaceDE w:val="0"/>
              <w:autoSpaceDN w:val="0"/>
              <w:adjustRightInd w:val="0"/>
              <w:jc w:val="both"/>
              <w:rPr>
                <w:noProof/>
              </w:rPr>
            </w:pPr>
            <w:r>
              <w:rPr>
                <w:noProof/>
              </w:rPr>
              <w:t>7) The report should better justify the choice and design of the policy options. It should explain why other possible options were not considered, such as a non-legislative approach of issuing specific recommendations to Member States, or an option with a less comprehensive coverage of pay transparency measures. It should indicate which measures are alternatives and which ones are complementary. It should better justify the inclusion of an obligation to report on the gender pay gap, as it is not part of the identified problem.</w:t>
            </w:r>
          </w:p>
        </w:tc>
        <w:tc>
          <w:tcPr>
            <w:tcW w:w="4304" w:type="dxa"/>
          </w:tcPr>
          <w:p>
            <w:pPr>
              <w:autoSpaceDE w:val="0"/>
              <w:autoSpaceDN w:val="0"/>
              <w:adjustRightInd w:val="0"/>
              <w:jc w:val="both"/>
              <w:rPr>
                <w:noProof/>
              </w:rPr>
            </w:pPr>
            <w:r>
              <w:rPr>
                <w:noProof/>
              </w:rPr>
              <w:t>The choice of options and description of the discarded options has been substantially revised. The non-legislative approach of issuing specific recommendations to Member States is included in the baseline from which the options are assessed. The complementarity links between measures have been highlighted. The report clarifies in particular the peer pressure and policy oriented role of pay reporting of the gender pay gap at employer level.</w:t>
            </w:r>
          </w:p>
        </w:tc>
      </w:tr>
      <w:tr>
        <w:tc>
          <w:tcPr>
            <w:tcW w:w="4304" w:type="dxa"/>
          </w:tcPr>
          <w:p>
            <w:pPr>
              <w:autoSpaceDE w:val="0"/>
              <w:autoSpaceDN w:val="0"/>
              <w:adjustRightInd w:val="0"/>
              <w:jc w:val="both"/>
              <w:rPr>
                <w:noProof/>
              </w:rPr>
            </w:pPr>
            <w:r>
              <w:rPr>
                <w:noProof/>
              </w:rPr>
              <w:t>8) The report should explain how the specific pay transparency measures in the two retained options were selected. It should clarify the difference between the two and whether one option is more ambitious than the other.</w:t>
            </w:r>
          </w:p>
        </w:tc>
        <w:tc>
          <w:tcPr>
            <w:tcW w:w="4304" w:type="dxa"/>
          </w:tcPr>
          <w:p>
            <w:pPr>
              <w:autoSpaceDE w:val="0"/>
              <w:autoSpaceDN w:val="0"/>
              <w:adjustRightInd w:val="0"/>
              <w:jc w:val="both"/>
              <w:rPr>
                <w:noProof/>
              </w:rPr>
            </w:pPr>
            <w:r>
              <w:rPr>
                <w:noProof/>
              </w:rPr>
              <w:t>The definition of the options has been expanded. The report explains the choice of pay transparency options, its link with the existing 2014 Pay transparency recommendation as well opinions of stakeholders expressed during consultation process. It explains the need to minimise the administrative burden by limiting more stringent pay transparency measures only to employers where potential problems have been flagged, aligning pay transparency measures to employers with a certain number of workers. It explains the complementary nature of the measures, ensuring their effectiveness while avoiding the overlap.</w:t>
            </w:r>
          </w:p>
        </w:tc>
      </w:tr>
      <w:tr>
        <w:tc>
          <w:tcPr>
            <w:tcW w:w="4304" w:type="dxa"/>
          </w:tcPr>
          <w:p>
            <w:pPr>
              <w:autoSpaceDE w:val="0"/>
              <w:autoSpaceDN w:val="0"/>
              <w:adjustRightInd w:val="0"/>
              <w:jc w:val="both"/>
              <w:rPr>
                <w:noProof/>
              </w:rPr>
            </w:pPr>
            <w:r>
              <w:rPr>
                <w:noProof/>
              </w:rPr>
              <w:t>9) The report should discuss how the different parameters were decided, e.g. thresholds for exemptions or frequency of reporting or assessments. It should analyse for each measure why it does not take into account the size of the employer (based on turnover) for setting thresholds. The report should discuss the legal feasibility of the measures.</w:t>
            </w:r>
          </w:p>
        </w:tc>
        <w:tc>
          <w:tcPr>
            <w:tcW w:w="4304" w:type="dxa"/>
          </w:tcPr>
          <w:p>
            <w:pPr>
              <w:autoSpaceDE w:val="0"/>
              <w:autoSpaceDN w:val="0"/>
              <w:adjustRightInd w:val="0"/>
              <w:jc w:val="both"/>
              <w:rPr>
                <w:noProof/>
              </w:rPr>
            </w:pPr>
            <w:r>
              <w:rPr>
                <w:noProof/>
              </w:rPr>
              <w:t>This has been incorporated to the report. The thresholds applied to tailor the design of the measures are linked only to the number of employees and not turnover or annual balance sheet because the scope of the proposed Directive is worker–oriented. Therefore, it focusses on the enforcement of an individual fundamental right, and it uses statistical methods for which only staff headcount is relevant for its implementation. Moreover, the reference to headcount simplifies the implementation by avoiding the complexity and administrative burden in verifying the compliance criteria by Member States.</w:t>
            </w:r>
          </w:p>
        </w:tc>
      </w:tr>
      <w:tr>
        <w:tc>
          <w:tcPr>
            <w:tcW w:w="4304" w:type="dxa"/>
          </w:tcPr>
          <w:p>
            <w:pPr>
              <w:autoSpaceDE w:val="0"/>
              <w:autoSpaceDN w:val="0"/>
              <w:adjustRightInd w:val="0"/>
              <w:jc w:val="both"/>
              <w:rPr>
                <w:noProof/>
              </w:rPr>
            </w:pPr>
            <w:r>
              <w:rPr>
                <w:noProof/>
              </w:rPr>
              <w:t>10) The report should clarify whether soft measures are discarded or whether they complement the preferred policy option. In this case, the report should analyse the likely impact of such measures in combination with the binding measures of the main options.</w:t>
            </w:r>
          </w:p>
        </w:tc>
        <w:tc>
          <w:tcPr>
            <w:tcW w:w="4304" w:type="dxa"/>
          </w:tcPr>
          <w:p>
            <w:pPr>
              <w:autoSpaceDE w:val="0"/>
              <w:autoSpaceDN w:val="0"/>
              <w:adjustRightInd w:val="0"/>
              <w:jc w:val="both"/>
              <w:rPr>
                <w:noProof/>
              </w:rPr>
            </w:pPr>
            <w:r>
              <w:rPr>
                <w:noProof/>
              </w:rPr>
              <w:t>An option related to non-binding measures (Council Recommendation) is included as discarded option at early stage. Soft and non-legislative measures under the remit of the Commission have been included more clearly in the baseline (as foreseen in the Gender Equality Strategy 2020-2025) as such measures on their own would not achieve the objectives of the initiative.</w:t>
            </w:r>
          </w:p>
        </w:tc>
      </w:tr>
      <w:tr>
        <w:tc>
          <w:tcPr>
            <w:tcW w:w="4304" w:type="dxa"/>
          </w:tcPr>
          <w:p>
            <w:pPr>
              <w:autoSpaceDE w:val="0"/>
              <w:autoSpaceDN w:val="0"/>
              <w:adjustRightInd w:val="0"/>
              <w:jc w:val="both"/>
              <w:rPr>
                <w:noProof/>
              </w:rPr>
            </w:pPr>
            <w:r>
              <w:rPr>
                <w:noProof/>
              </w:rPr>
              <w:t>11) The report should provide a comprehensive analysis of potential impacts, including possible unintended impacts. It should substantiate the expectation that pay transparency not only reduces pay discrimination but also has wage equalising effects. It should provide total cost estimates for the whole EU, at least for those measures that entail significant obligations for business.</w:t>
            </w:r>
          </w:p>
        </w:tc>
        <w:tc>
          <w:tcPr>
            <w:tcW w:w="4304" w:type="dxa"/>
          </w:tcPr>
          <w:p>
            <w:pPr>
              <w:autoSpaceDE w:val="0"/>
              <w:autoSpaceDN w:val="0"/>
              <w:adjustRightInd w:val="0"/>
              <w:jc w:val="both"/>
              <w:rPr>
                <w:noProof/>
              </w:rPr>
            </w:pPr>
            <w:r>
              <w:rPr>
                <w:noProof/>
              </w:rPr>
              <w:t>A qualitative assessment of possible unintended effects has been included in the report and discussed for each option. Updated estimates of the costs for employers (for the EU, by MS, by size of employer and as average cost for employer by size) have been provided.</w:t>
            </w:r>
          </w:p>
        </w:tc>
      </w:tr>
      <w:tr>
        <w:tc>
          <w:tcPr>
            <w:tcW w:w="4304" w:type="dxa"/>
          </w:tcPr>
          <w:p>
            <w:pPr>
              <w:autoSpaceDE w:val="0"/>
              <w:autoSpaceDN w:val="0"/>
              <w:adjustRightInd w:val="0"/>
              <w:jc w:val="both"/>
              <w:rPr>
                <w:noProof/>
              </w:rPr>
            </w:pPr>
            <w:r>
              <w:rPr>
                <w:noProof/>
              </w:rPr>
              <w:t>12) The report should better justify the selection of the preferred option. It should build on an improved impact analysis and better balance experts’ views with evidence and stakeholders’ views. The analysis should cover the main stakeholder concerns (e.g. on data protection, reward of high performers, etc.) and explain how each of these are addressed in the options.</w:t>
            </w:r>
          </w:p>
        </w:tc>
        <w:tc>
          <w:tcPr>
            <w:tcW w:w="4304" w:type="dxa"/>
          </w:tcPr>
          <w:p>
            <w:pPr>
              <w:autoSpaceDE w:val="0"/>
              <w:autoSpaceDN w:val="0"/>
              <w:adjustRightInd w:val="0"/>
              <w:jc w:val="both"/>
              <w:rPr>
                <w:noProof/>
              </w:rPr>
            </w:pPr>
            <w:r>
              <w:rPr>
                <w:noProof/>
              </w:rPr>
              <w:t>The updated report highlights stakeholders’ views alongside the views of experts. Their main concerns, related to data protection, administrative burden, and social partners’ autonomy, have been incorporated in the impact analysis. The comparison between options has been developed.</w:t>
            </w:r>
          </w:p>
        </w:tc>
      </w:tr>
      <w:tr>
        <w:tc>
          <w:tcPr>
            <w:tcW w:w="4304" w:type="dxa"/>
          </w:tcPr>
          <w:p>
            <w:pPr>
              <w:autoSpaceDE w:val="0"/>
              <w:autoSpaceDN w:val="0"/>
              <w:adjustRightInd w:val="0"/>
              <w:jc w:val="both"/>
              <w:rPr>
                <w:noProof/>
              </w:rPr>
            </w:pPr>
            <w:r>
              <w:rPr>
                <w:noProof/>
              </w:rPr>
              <w:t>13) The report should better justify the exemptions of small companies from certain obligations. To this end, the report should show the magnitude of the problem in small vs. big companies, possibly differentiating by sector and country (problem definition). It should discuss whether these exemptions will have an impact on the effectiveness of the initiative.</w:t>
            </w:r>
          </w:p>
        </w:tc>
        <w:tc>
          <w:tcPr>
            <w:tcW w:w="4304" w:type="dxa"/>
          </w:tcPr>
          <w:p>
            <w:pPr>
              <w:autoSpaceDE w:val="0"/>
              <w:autoSpaceDN w:val="0"/>
              <w:adjustRightInd w:val="0"/>
              <w:jc w:val="both"/>
              <w:rPr>
                <w:noProof/>
              </w:rPr>
            </w:pPr>
            <w:r>
              <w:rPr>
                <w:noProof/>
              </w:rPr>
              <w:t xml:space="preserve">The updated report clarifies the justification of the exemptions for small employers from measures such as the automatic right to information, pay reporting and joint pay assessment. To counter-balance the exemptions, measures are complementary and an enhanced access to justice and enforcement is considered. For instance, would the employer not reply to the worker’s request for information, this would trigger a presumption of gender pay discrimination and the burden to prove that this is not the case would automatically shift to the employer. </w:t>
            </w:r>
          </w:p>
          <w:p>
            <w:pPr>
              <w:autoSpaceDE w:val="0"/>
              <w:autoSpaceDN w:val="0"/>
              <w:adjustRightInd w:val="0"/>
              <w:jc w:val="both"/>
              <w:rPr>
                <w:noProof/>
              </w:rPr>
            </w:pPr>
            <w:r>
              <w:rPr>
                <w:noProof/>
              </w:rPr>
              <w:t>Assessing the magnitude of the problem in small vs. big employers is not possible as the available data do not have the necessary granularity to reach conclusions whether pay discrimination is more widespread in certain sectors, occupations, or types of companies.</w:t>
            </w:r>
          </w:p>
        </w:tc>
      </w:tr>
    </w:tbl>
    <w:p>
      <w:pPr>
        <w:autoSpaceDE w:val="0"/>
        <w:autoSpaceDN w:val="0"/>
        <w:adjustRightInd w:val="0"/>
        <w:spacing w:after="0" w:line="240" w:lineRule="auto"/>
        <w:ind w:left="284"/>
        <w:jc w:val="both"/>
        <w:rPr>
          <w:rFonts w:ascii="Times New Roman" w:hAnsi="Times New Roman" w:cs="Times New Roman"/>
          <w:noProof/>
          <w:sz w:val="24"/>
          <w:szCs w:val="24"/>
        </w:rPr>
      </w:pPr>
    </w:p>
    <w:p>
      <w:pPr>
        <w:autoSpaceDE w:val="0"/>
        <w:autoSpaceDN w:val="0"/>
        <w:adjustRightInd w:val="0"/>
        <w:spacing w:after="0" w:line="240" w:lineRule="auto"/>
        <w:ind w:left="284"/>
        <w:jc w:val="both"/>
        <w:rPr>
          <w:rFonts w:ascii="Times New Roman" w:hAnsi="Times New Roman" w:cs="Times New Roman"/>
          <w:noProof/>
          <w:sz w:val="24"/>
          <w:szCs w:val="24"/>
        </w:rPr>
      </w:pPr>
    </w:p>
    <w:p>
      <w:pPr>
        <w:pStyle w:val="Bodytext50"/>
        <w:shd w:val="clear" w:color="auto" w:fill="auto"/>
        <w:spacing w:before="0"/>
        <w:ind w:firstLine="0"/>
        <w:rPr>
          <w:noProof/>
        </w:rPr>
      </w:pPr>
    </w:p>
    <w:p>
      <w:pPr>
        <w:pStyle w:val="Heading3"/>
        <w:numPr>
          <w:ilvl w:val="0"/>
          <w:numId w:val="29"/>
        </w:numPr>
        <w:ind w:left="709" w:hanging="283"/>
        <w:rPr>
          <w:rFonts w:eastAsiaTheme="minorEastAsia"/>
          <w:noProof/>
        </w:rPr>
      </w:pPr>
      <w:bookmarkStart w:id="7094" w:name="_Toc471997758"/>
      <w:bookmarkStart w:id="7095" w:name="_Toc47455497"/>
      <w:bookmarkStart w:id="7096" w:name="_Toc49527896"/>
      <w:bookmarkStart w:id="7097" w:name="_Toc49530018"/>
      <w:bookmarkStart w:id="7098" w:name="_Toc49530682"/>
      <w:bookmarkStart w:id="7099" w:name="_Toc49532632"/>
      <w:bookmarkStart w:id="7100" w:name="_Toc49695804"/>
      <w:bookmarkStart w:id="7101" w:name="_Toc49695981"/>
      <w:bookmarkStart w:id="7102" w:name="_Toc49805507"/>
      <w:r>
        <w:rPr>
          <w:noProof/>
        </w:rPr>
        <w:t>Evidence, sources and quality</w:t>
      </w:r>
      <w:bookmarkEnd w:id="7094"/>
      <w:bookmarkEnd w:id="7095"/>
      <w:bookmarkEnd w:id="7096"/>
      <w:bookmarkEnd w:id="7097"/>
      <w:bookmarkEnd w:id="7098"/>
      <w:bookmarkEnd w:id="7099"/>
      <w:bookmarkEnd w:id="7100"/>
      <w:bookmarkEnd w:id="7101"/>
      <w:bookmarkEnd w:id="7102"/>
    </w:p>
    <w:p>
      <w:pPr>
        <w:keepNext/>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DG JUST commissioned a number of studies in support of this Initiative, namely a dedicated support study used as main source for this Impact Assessment; a revised and expanded version of the Eurofound study on costs and benefits of existing pay transparency systems; a behavioural experiment and a literature review of behavioural economics carried by JRC(See </w:t>
      </w:r>
      <w:r>
        <w:rPr>
          <w:rFonts w:ascii="Times New Roman" w:eastAsia="Times New Roman" w:hAnsi="Times New Roman" w:cs="Times New Roman"/>
          <w:i/>
          <w:noProof/>
          <w:sz w:val="24"/>
          <w:szCs w:val="24"/>
        </w:rPr>
        <w:t>Annex 5, section 5</w:t>
      </w:r>
      <w:r>
        <w:rPr>
          <w:rFonts w:ascii="Times New Roman" w:eastAsia="Times New Roman" w:hAnsi="Times New Roman" w:cs="Times New Roman"/>
          <w:noProof/>
          <w:sz w:val="24"/>
          <w:szCs w:val="24"/>
        </w:rPr>
        <w:t xml:space="preserve">); additional material on administrative data sources and a simulation with the EUROMOD model of the impacts of a reduction of the GPG also by JRC; a review on the number of case law by the Legal Network/equality bodies. </w:t>
      </w:r>
    </w:p>
    <w:p>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Commission consulted widely and received input from various sources for this impact assessment work.The consultation strategy included:</w:t>
      </w:r>
    </w:p>
    <w:p>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Consultation of high-level representatives of Member States in the High-Level Group on Gender Mainstreaming, on 29 January 2020 and 15 September 2020.</w:t>
      </w:r>
    </w:p>
    <w:p>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Targeted consultation of Member States through a separate specific questionnaire issued in March 2020.</w:t>
      </w:r>
    </w:p>
    <w:p>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Targeted consultation of social partners organised on the basis of a separate specific questionnaire issued in March 2020 (and a mini-survey for companies) and followed by a dedicated consultation hearing of social partners run by DG JUST and DG EMPL in June 2020.</w:t>
      </w:r>
    </w:p>
    <w:p>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 public consultation launched in March 2020, opened for 12 weeks. The consultation covers general awareness, experience and knowledge of citizens and stakeholders regarding pay transparency issues as well as views on the possible specific measures.</w:t>
      </w:r>
    </w:p>
    <w:p>
      <w:pPr>
        <w:spacing w:line="240" w:lineRule="auto"/>
        <w:jc w:val="both"/>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24"/>
        </w:rPr>
        <w:t>Relevant previous consultation activities:</w:t>
      </w:r>
    </w:p>
    <w:p>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In 2019, the Commission already carried out a number of consultation activities around the equal pay principle. This process started as part of the evaluation</w:t>
      </w:r>
      <w:r>
        <w:rPr>
          <w:rStyle w:val="FootnoteReference"/>
          <w:rFonts w:ascii="Times New Roman" w:eastAsia="Times New Roman" w:hAnsi="Times New Roman" w:cs="Times New Roman"/>
          <w:noProof/>
          <w:sz w:val="24"/>
          <w:szCs w:val="24"/>
        </w:rPr>
        <w:footnoteReference w:id="203"/>
      </w:r>
      <w:r>
        <w:rPr>
          <w:rFonts w:ascii="Times New Roman" w:eastAsia="Times New Roman" w:hAnsi="Times New Roman" w:cs="Times New Roman"/>
          <w:noProof/>
          <w:sz w:val="24"/>
          <w:szCs w:val="24"/>
        </w:rPr>
        <w:t xml:space="preserve"> of the relevant provisions in Directive 2006/54/EC implementing the Treaty principle on 'equal pay for equal work or work of equal value' (and in the 2014 Commission Recommendation on strengthening the principle of equal pay between women and men through transparency). It was also embedded in the preparatory work on the future EU Strategy on gender equality and related consultation. In particular:</w:t>
      </w:r>
    </w:p>
    <w:p>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From 11 January 2019 to 5 April 2019, a public consultation</w:t>
      </w:r>
      <w:r>
        <w:rPr>
          <w:rStyle w:val="FootnoteReference"/>
          <w:rFonts w:ascii="Times New Roman" w:eastAsia="Times New Roman" w:hAnsi="Times New Roman" w:cs="Times New Roman"/>
          <w:noProof/>
          <w:sz w:val="24"/>
          <w:szCs w:val="24"/>
        </w:rPr>
        <w:footnoteReference w:id="204"/>
      </w:r>
      <w:r>
        <w:rPr>
          <w:rFonts w:ascii="Times New Roman" w:eastAsia="Times New Roman" w:hAnsi="Times New Roman" w:cs="Times New Roman"/>
          <w:noProof/>
          <w:sz w:val="24"/>
          <w:szCs w:val="24"/>
        </w:rPr>
        <w:t xml:space="preserve"> was carried out for the Evaluation of the relevant provisions in Recast Directive implementing the Treaty principle on ‘equal pay for equal work or work of equal value’. Among others, the consultation's objective was to collect information, views and experiences on problems appearing from gaps and weaknesses of existing pay transparency measures at national and EU level. Furthermore, it sought evidence on the extent to which the 2014 Pay Transparency Recommendation had helped to reinforce the implementation of equal pay principle enshrined in Article 157 TFEU and Recast Directive. The respondents took the opportunity to share their views regarding forward-looking questions on relevant aspects of the transparency initiative including on the need for some further EU-level action on measures to address sex-based pay discrimination.</w:t>
      </w:r>
    </w:p>
    <w:p>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Evaluation process also included a targeted consultation survey and semi-structured interviews with representatives of national equality bodies, competent public authorities, trade unions, employers’ representatives, labour inspectorates, NGOs and experts. The Evaluation resulted in an online discussion with selected experts from different Member States.</w:t>
      </w:r>
    </w:p>
    <w:p>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On 2019 International Women's Day, a public consultation</w:t>
      </w:r>
      <w:r>
        <w:rPr>
          <w:rStyle w:val="FootnoteReference"/>
          <w:rFonts w:ascii="Times New Roman" w:eastAsia="Times New Roman" w:hAnsi="Times New Roman" w:cs="Times New Roman"/>
          <w:noProof/>
          <w:sz w:val="24"/>
          <w:szCs w:val="24"/>
        </w:rPr>
        <w:footnoteReference w:id="205"/>
      </w:r>
      <w:r>
        <w:rPr>
          <w:rFonts w:ascii="Times New Roman" w:eastAsia="Times New Roman" w:hAnsi="Times New Roman" w:cs="Times New Roman"/>
          <w:noProof/>
          <w:sz w:val="24"/>
          <w:szCs w:val="24"/>
        </w:rPr>
        <w:t xml:space="preserve"> on the state of gender equality in the EU at present as well as about priorities for the future was launched in order to prepare the next Commission's gender equality policy framework. More than 1300 replies were gathered from a broad range of stakeholders, including academic/research institutions, business associations, company/business organisations, consumer organisations, EU citizens, non-EU citizens, non-governmental organisations (NGOs), public authorities, trade unions and others. They showed considerable public interest in introducing measures to further support the principle of ‘equal pay for equal work or work of equal value’, such as pay transparency.</w:t>
      </w:r>
      <w:r>
        <w:rPr>
          <w:rStyle w:val="FootnoteReference"/>
          <w:rFonts w:ascii="Times New Roman" w:eastAsia="Times New Roman" w:hAnsi="Times New Roman" w:cs="Times New Roman"/>
          <w:noProof/>
          <w:sz w:val="24"/>
          <w:szCs w:val="24"/>
        </w:rPr>
        <w:footnoteReference w:id="206"/>
      </w:r>
    </w:p>
    <w:p>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 consultation of the High Level Group on Gender Mainstreaming and the Advisory Committee for Equal Opportunities for women and men took place through dedicated meetings in 2019.</w:t>
      </w:r>
    </w:p>
    <w:p>
      <w:pPr>
        <w:spacing w:line="240" w:lineRule="auto"/>
        <w:jc w:val="both"/>
        <w:rPr>
          <w:rStyle w:val="Hyperlink"/>
          <w:rFonts w:ascii="Times New Roman" w:eastAsia="Times New Roman" w:hAnsi="Times New Roman" w:cs="Times New Roman"/>
          <w:noProof/>
          <w:color w:val="0000FF"/>
          <w:sz w:val="24"/>
          <w:szCs w:val="24"/>
          <w:vertAlign w:val="superscript"/>
        </w:rPr>
      </w:pPr>
      <w:r>
        <w:rPr>
          <w:rFonts w:ascii="Times New Roman" w:eastAsia="Times New Roman" w:hAnsi="Times New Roman" w:cs="Times New Roman"/>
          <w:noProof/>
          <w:sz w:val="24"/>
          <w:szCs w:val="24"/>
        </w:rPr>
        <w:t>A dialogue between the European Commission and the social partners took place in May 2019 during a thematic seminar on the role, costs and benefits of pay transparency initiatives.</w:t>
      </w:r>
      <w:r>
        <w:rPr>
          <w:rStyle w:val="FootnoteReference"/>
          <w:rFonts w:ascii="Times New Roman" w:eastAsia="Times New Roman" w:hAnsi="Times New Roman" w:cs="Times New Roman"/>
          <w:noProof/>
          <w:sz w:val="24"/>
          <w:szCs w:val="24"/>
        </w:rPr>
        <w:footnoteReference w:id="207"/>
      </w:r>
      <w:r>
        <w:rPr>
          <w:noProof/>
        </w:rPr>
        <w:t xml:space="preserve"> </w:t>
      </w:r>
    </w:p>
    <w:p>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Eurofound has compiled information on the ‘costs of pay transparency measures’ that focuses on EU countries that have already implemented pay transparency measures affecting employer level.</w:t>
      </w:r>
      <w:r>
        <w:rPr>
          <w:rStyle w:val="FootnoteReference"/>
          <w:rFonts w:ascii="Times New Roman" w:eastAsia="Times New Roman" w:hAnsi="Times New Roman" w:cs="Times New Roman"/>
          <w:noProof/>
          <w:sz w:val="24"/>
          <w:szCs w:val="24"/>
        </w:rPr>
        <w:footnoteReference w:id="208"/>
      </w:r>
      <w:r>
        <w:rPr>
          <w:rFonts w:ascii="Times New Roman" w:eastAsia="Times New Roman" w:hAnsi="Times New Roman" w:cs="Times New Roman"/>
          <w:noProof/>
          <w:sz w:val="24"/>
          <w:szCs w:val="24"/>
        </w:rPr>
        <w:t xml:space="preserve"> A small set of interviews (44 in total) was conducted with companies for each Member State present in the survey. </w:t>
      </w:r>
    </w:p>
    <w:p>
      <w:pPr>
        <w:rPr>
          <w:rFonts w:ascii="Times New Roman" w:eastAsia="Times New Roman" w:hAnsi="Times New Roman" w:cs="Times New Roman"/>
          <w:noProof/>
          <w:sz w:val="24"/>
          <w:szCs w:val="24"/>
        </w:rPr>
      </w:pPr>
      <w:r>
        <w:rPr>
          <w:rFonts w:ascii="Times New Roman" w:hAnsi="Times New Roman" w:cs="Times New Roman"/>
          <w:noProof/>
          <w:sz w:val="24"/>
          <w:szCs w:val="24"/>
        </w:rPr>
        <w:br w:type="page"/>
      </w:r>
    </w:p>
    <w:p>
      <w:pPr>
        <w:pStyle w:val="Heading2"/>
        <w:rPr>
          <w:noProof/>
        </w:rPr>
      </w:pPr>
      <w:bookmarkStart w:id="7103" w:name="_Toc47455498"/>
      <w:bookmarkStart w:id="7104" w:name="_Toc49527897"/>
      <w:bookmarkStart w:id="7105" w:name="_Toc49530019"/>
      <w:bookmarkStart w:id="7106" w:name="_Toc49530683"/>
      <w:bookmarkStart w:id="7107" w:name="_Toc49532633"/>
      <w:bookmarkStart w:id="7108" w:name="_Toc49695805"/>
      <w:bookmarkStart w:id="7109" w:name="_Toc49695982"/>
      <w:bookmarkStart w:id="7110" w:name="_Toc49805508"/>
      <w:bookmarkStart w:id="7111" w:name="_Toc49806216"/>
      <w:bookmarkStart w:id="7112" w:name="_Toc49877767"/>
      <w:bookmarkStart w:id="7113" w:name="_Toc49881185"/>
      <w:bookmarkStart w:id="7114" w:name="_Toc49884246"/>
      <w:bookmarkStart w:id="7115" w:name="_Toc49884322"/>
      <w:bookmarkStart w:id="7116" w:name="_Toc49893578"/>
      <w:bookmarkStart w:id="7117" w:name="_Toc49933966"/>
      <w:bookmarkStart w:id="7118" w:name="_Toc49937853"/>
      <w:bookmarkStart w:id="7119" w:name="_Toc49939046"/>
      <w:bookmarkStart w:id="7120" w:name="_Toc49939249"/>
      <w:bookmarkStart w:id="7121" w:name="_Toc49942099"/>
      <w:bookmarkStart w:id="7122" w:name="_Toc49948567"/>
      <w:bookmarkStart w:id="7123" w:name="_Toc49953041"/>
      <w:bookmarkStart w:id="7124" w:name="_Toc49954346"/>
      <w:bookmarkStart w:id="7125" w:name="_Toc49954791"/>
      <w:bookmarkStart w:id="7126" w:name="_Toc49955220"/>
      <w:bookmarkStart w:id="7127" w:name="_Toc49955808"/>
      <w:bookmarkStart w:id="7128" w:name="_Toc49958308"/>
      <w:bookmarkStart w:id="7129" w:name="_Toc49958503"/>
      <w:bookmarkStart w:id="7130" w:name="_Toc49961995"/>
      <w:bookmarkStart w:id="7131" w:name="_Toc49963182"/>
      <w:bookmarkStart w:id="7132" w:name="_Toc53678224"/>
      <w:bookmarkStart w:id="7133" w:name="_Toc53678444"/>
      <w:bookmarkStart w:id="7134" w:name="_Toc53678766"/>
      <w:bookmarkStart w:id="7135" w:name="_Toc53680115"/>
      <w:bookmarkStart w:id="7136" w:name="_Toc54289130"/>
      <w:bookmarkStart w:id="7137" w:name="_Toc54290630"/>
      <w:bookmarkStart w:id="7138" w:name="_Toc54290999"/>
      <w:bookmarkStart w:id="7139" w:name="_Toc54292122"/>
      <w:bookmarkStart w:id="7140" w:name="_Toc54340681"/>
      <w:bookmarkStart w:id="7141" w:name="_Toc54345782"/>
      <w:bookmarkStart w:id="7142" w:name="_Toc54348795"/>
      <w:bookmarkStart w:id="7143" w:name="_Toc54355125"/>
      <w:bookmarkStart w:id="7144" w:name="_Toc54355178"/>
      <w:bookmarkStart w:id="7145" w:name="_Toc54355650"/>
      <w:bookmarkStart w:id="7146" w:name="_Toc54355798"/>
      <w:bookmarkStart w:id="7147" w:name="_Toc54356152"/>
      <w:bookmarkStart w:id="7148" w:name="_Toc54356703"/>
      <w:bookmarkStart w:id="7149" w:name="_Toc54357570"/>
      <w:bookmarkStart w:id="7150" w:name="_Toc54357667"/>
      <w:bookmarkStart w:id="7151" w:name="_Toc54364618"/>
      <w:bookmarkStart w:id="7152" w:name="_Toc54371226"/>
      <w:bookmarkStart w:id="7153" w:name="_Toc54372063"/>
      <w:bookmarkStart w:id="7154" w:name="_Toc54376670"/>
      <w:bookmarkStart w:id="7155" w:name="_Toc58767222"/>
      <w:bookmarkStart w:id="7156" w:name="_Toc58769525"/>
      <w:bookmarkStart w:id="7157" w:name="_Toc58863865"/>
      <w:bookmarkStart w:id="7158" w:name="_Toc58868892"/>
      <w:bookmarkStart w:id="7159" w:name="_Toc58870723"/>
      <w:bookmarkStart w:id="7160" w:name="_Toc58870961"/>
      <w:bookmarkStart w:id="7161" w:name="_Toc58871867"/>
      <w:bookmarkStart w:id="7162" w:name="_Toc58872082"/>
      <w:bookmarkStart w:id="7163" w:name="_Toc58922824"/>
      <w:bookmarkStart w:id="7164" w:name="_Toc58925412"/>
      <w:bookmarkStart w:id="7165" w:name="_Toc58928908"/>
      <w:bookmarkStart w:id="7166" w:name="_Toc58950517"/>
      <w:bookmarkStart w:id="7167" w:name="_Toc58956811"/>
      <w:bookmarkStart w:id="7168" w:name="_Toc58957974"/>
      <w:bookmarkStart w:id="7169" w:name="_Toc58962507"/>
      <w:bookmarkStart w:id="7170" w:name="_Toc59096540"/>
      <w:bookmarkStart w:id="7171" w:name="_Toc59103136"/>
      <w:bookmarkStart w:id="7172" w:name="_Toc59104987"/>
      <w:bookmarkStart w:id="7173" w:name="_Toc59119947"/>
      <w:bookmarkStart w:id="7174" w:name="_Toc59121211"/>
      <w:bookmarkStart w:id="7175" w:name="_Toc59121330"/>
      <w:bookmarkStart w:id="7176" w:name="_Toc59549383"/>
      <w:bookmarkStart w:id="7177" w:name="_Toc59642336"/>
      <w:bookmarkStart w:id="7178" w:name="_Toc58931279"/>
      <w:bookmarkStart w:id="7179" w:name="_Toc58931913"/>
      <w:r>
        <w:rPr>
          <w:noProof/>
        </w:rPr>
        <w:t>Annex 2: Stakeholder consultation</w:t>
      </w:r>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p>
    <w:bookmarkEnd w:id="7178"/>
    <w:bookmarkEnd w:id="7179"/>
    <w:p>
      <w:pPr>
        <w:pStyle w:val="Heading3"/>
        <w:numPr>
          <w:ilvl w:val="0"/>
          <w:numId w:val="54"/>
        </w:numPr>
        <w:ind w:left="567" w:hanging="425"/>
        <w:rPr>
          <w:b/>
          <w:noProof/>
          <w:szCs w:val="24"/>
        </w:rPr>
      </w:pPr>
      <w:r>
        <w:rPr>
          <w:noProof/>
        </w:rPr>
        <w:t>Consultation Strategy</w:t>
      </w:r>
      <w:r>
        <w:rPr>
          <w:b/>
          <w:noProof/>
          <w:szCs w:val="24"/>
        </w:rPr>
        <w:t xml:space="preserve"> </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 xml:space="preserve">The objective of the consultation was to secure stakeholder inputs in relation to the proposed legislative initiative on strengthening the principle of equal pay between women and men through pay transparency. The stakeholders identified for the consultation were: the general public; and, specifically, the Member States; the social partners; and individual employers. </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 xml:space="preserve">An online Open Public Consultation was targeted at the general public, over the period of 5 March 2020 to 28 May 2020. The questionnaire was available in electronic format only, and the official languages of the European Union (EU) were used, for answers and replies. The questionnaire included open-ended and closed questions. Some respondents sent individually formulated contributions by email. </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 xml:space="preserve">Three targeted surveys were implemented to complement the Open Public Consultation. They addressed the Member States, the social partners, and individual employers. The engagement with the social partners was further complemented with 8 interviews with European level social partner organisations, 4 employers’ organisations and 4 trade union organisations. Information gathered during interviews are integrated here in social partners' sections. Finally, a dedicated consultation hearing was held in June 2020 with the participation of 25 employers and 25 trade unions’ representatives. The Commission also received 7 position papers afterwards. </w:t>
      </w:r>
      <w:r>
        <w:rPr>
          <w:rFonts w:ascii="Times New Roman" w:eastAsia="Times New Roman" w:hAnsi="Times New Roman" w:cs="Times New Roman"/>
          <w:noProof/>
          <w:sz w:val="24"/>
          <w:szCs w:val="24"/>
        </w:rPr>
        <w:t>The Commission’s consultation with European, national and local social partner o</w:t>
      </w:r>
      <w:r>
        <w:rPr>
          <w:rFonts w:ascii="Times New Roman" w:eastAsia="Times" w:hAnsi="Times New Roman" w:cs="Times New Roman"/>
          <w:noProof/>
          <w:sz w:val="24"/>
          <w:szCs w:val="24"/>
        </w:rPr>
        <w:t xml:space="preserve">rganisations </w:t>
      </w:r>
      <w:r>
        <w:rPr>
          <w:rFonts w:ascii="Times New Roman" w:hAnsi="Times New Roman" w:cs="Times New Roman"/>
          <w:noProof/>
          <w:sz w:val="24"/>
          <w:szCs w:val="24"/>
        </w:rPr>
        <w:t xml:space="preserve">in March 2020 on binding pay transparency measures resulted in </w:t>
      </w:r>
      <w:r>
        <w:rPr>
          <w:rFonts w:ascii="Times New Roman" w:eastAsia="Times" w:hAnsi="Times New Roman" w:cs="Times New Roman"/>
          <w:noProof/>
          <w:sz w:val="24"/>
          <w:szCs w:val="24"/>
        </w:rPr>
        <w:t>mixed feedback on the need for the adoption of a legally binding measure on pay transparency.</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 xml:space="preserve">The four surveys investigated views on the relevance, effectiveness, efficiency, coherence, and EU added value of pay transparency measures. Information on the general state of play in relation to national measures and legislation on pay transparency was gathered from the Member States and the social partners. Information about attitudes and experiences in relation to pay discrimination was gathered from the general public, social partners and individual employers. Information on the level of pay transparency in organisations was gathered from individual employers. Looking to the future, information on the effectiveness and impact of possible EU initiatives on binding pay transparency measures was gathered from the general public, the Member States, and the social partners. </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Diverse information channels were used to maximise responses to the consultation, with information disseminated to: permanent representations (social attachés and counsellors) via the Council Secretariat; members of the High-Level Group for Gender Mainstreaming and of the Advisory Committee for Gender Equality; 87 social partners’ organisations; the European Network of legal experts in Gender Equality and Non-Discrimination, the European network of equality bodies (EQUINET); members of the EU Platform of Diversity Charters; the European Economic and Social Committee(EESC); experts of the Scientific Analysis and Advise on Gender Equality in the EU (SAAGE) network; and members of the European Women on Boards (EWoB) network.</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Information on the Open Public Consultation was posted on the Facebook and Twitter accounts of the Directorate-General for Justice and Consumers, and the public consultation was referenced in a video disseminated on these accounts. Specific information was sent to individual journalists.</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Six Member States, either in addition to the questionnaire or as an alternative, submitted position papers to clarify their views, and a number of international organisations and civil society organisations provided position papers.</w:t>
      </w:r>
    </w:p>
    <w:p>
      <w:pPr>
        <w:pStyle w:val="Heading3"/>
        <w:numPr>
          <w:ilvl w:val="0"/>
          <w:numId w:val="54"/>
        </w:numPr>
        <w:ind w:left="567" w:hanging="425"/>
        <w:rPr>
          <w:b/>
          <w:noProof/>
          <w:szCs w:val="24"/>
        </w:rPr>
      </w:pPr>
      <w:r>
        <w:rPr>
          <w:noProof/>
        </w:rPr>
        <w:t>Stakeholder Participation</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All identified stakeholder groups were reached: general public; Member States; social partners; and individual employers.</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The Online Public Consultation</w:t>
      </w:r>
      <w:r>
        <w:rPr>
          <w:rFonts w:ascii="Times New Roman" w:eastAsia="Times New Roman" w:hAnsi="Times New Roman" w:cs="Times New Roman"/>
          <w:b/>
          <w:bCs/>
          <w:noProof/>
          <w:sz w:val="24"/>
          <w:szCs w:val="24"/>
          <w:lang w:eastAsia="fr-FR"/>
        </w:rPr>
        <w:t xml:space="preserve"> </w:t>
      </w:r>
      <w:r>
        <w:rPr>
          <w:rFonts w:ascii="Times New Roman" w:eastAsia="Times New Roman" w:hAnsi="Times New Roman" w:cs="Times New Roman"/>
          <w:noProof/>
          <w:sz w:val="24"/>
          <w:szCs w:val="24"/>
          <w:lang w:eastAsia="fr-FR"/>
        </w:rPr>
        <w:t>received 560 responses. 51.3% of respondents were women, 21.4% were men, 0.5% were ‘Other’, and 26.8% did not identify. The geographical distribution of responses was somewhat unbalanced: 39.3% of respondents were from Spain, with Germany following at a distance with 11.4% of respondents, and Italy with 9.5% of respondents. 4.8% of respondents were from Belgium, 4.1% from France, 3.6% from Poland, and 3.4% from the Netherlands.</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Different types of respondents are evident: 67.1% of the responses were filed by EU individual citizens, 3.2% by non-EU citizens; 9% of respondents identified themselves as being from company/business associations; 7% as being from non-governmental organisations; 5.5% as being from trade unions; 3.8% as being from public institutions; and 2.5% as being from academic/research bodies.</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 xml:space="preserve">The targeted survey of </w:t>
      </w:r>
      <w:r>
        <w:rPr>
          <w:rFonts w:ascii="Times New Roman" w:eastAsia="Times New Roman" w:hAnsi="Times New Roman" w:cs="Times New Roman"/>
          <w:b/>
          <w:bCs/>
          <w:noProof/>
          <w:sz w:val="24"/>
          <w:szCs w:val="24"/>
          <w:lang w:eastAsia="fr-FR"/>
        </w:rPr>
        <w:t>Member States’ authorities</w:t>
      </w:r>
      <w:r>
        <w:rPr>
          <w:rFonts w:ascii="Times New Roman" w:eastAsia="Times New Roman" w:hAnsi="Times New Roman" w:cs="Times New Roman"/>
          <w:noProof/>
          <w:sz w:val="24"/>
          <w:szCs w:val="24"/>
          <w:lang w:eastAsia="fr-FR"/>
        </w:rPr>
        <w:t xml:space="preserve"> received 20 responses, from 17 Member States: Austria, Czechia (2), Denmark, France, Germany, Hungary, Ireland, Italy, Latvia (2), Lithuania, Malta, The Netherlands, Portugal, Romania, Slovenia, Spain (2), and Sweden. The authorities from Croatia, Estonia, France, The Netherlands, Portugal, and Sweden submitted off-line responses as an alternative or in addition to on-line responses. No responses were received from Belgium, Bulgaria, Cyprus, Finland, Greece, Luxembourg, Poland and Slovakia.</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 xml:space="preserve">The targeted survey of </w:t>
      </w:r>
      <w:r>
        <w:rPr>
          <w:rFonts w:ascii="Times New Roman" w:eastAsia="Times New Roman" w:hAnsi="Times New Roman" w:cs="Times New Roman"/>
          <w:b/>
          <w:bCs/>
          <w:noProof/>
          <w:sz w:val="24"/>
          <w:szCs w:val="24"/>
          <w:lang w:eastAsia="fr-FR"/>
        </w:rPr>
        <w:t>social partners</w:t>
      </w:r>
      <w:r>
        <w:rPr>
          <w:rFonts w:ascii="Times New Roman" w:eastAsia="Times New Roman" w:hAnsi="Times New Roman" w:cs="Times New Roman"/>
          <w:noProof/>
          <w:sz w:val="24"/>
          <w:szCs w:val="24"/>
          <w:lang w:eastAsia="fr-FR"/>
        </w:rPr>
        <w:t xml:space="preserve"> received 80 on-line responses and 4 off-line responses. 41.3% of the respondents were employer associations, and 58.7% were trade unions. The majority of respondents, in both cases, operate at Member State level (63.6% of employers’ organisations and 78.7% of trade unions). Nearly 50% of responses came from five Member States: Germany (26.3%); Finland (7.5%); Belgium Czechia and Italy (5% each).  </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 xml:space="preserve">The targeted survey of </w:t>
      </w:r>
      <w:r>
        <w:rPr>
          <w:rFonts w:ascii="Times New Roman" w:eastAsia="Times New Roman" w:hAnsi="Times New Roman" w:cs="Times New Roman"/>
          <w:b/>
          <w:bCs/>
          <w:noProof/>
          <w:sz w:val="24"/>
          <w:szCs w:val="24"/>
          <w:lang w:eastAsia="fr-FR"/>
        </w:rPr>
        <w:t>individual employers</w:t>
      </w:r>
      <w:r>
        <w:rPr>
          <w:rFonts w:ascii="Times New Roman" w:eastAsia="Times New Roman" w:hAnsi="Times New Roman" w:cs="Times New Roman"/>
          <w:noProof/>
          <w:sz w:val="24"/>
          <w:szCs w:val="24"/>
          <w:lang w:eastAsia="fr-FR"/>
        </w:rPr>
        <w:t xml:space="preserve"> received 24 responses. Nine of these respondents operate in all Member States, 9 respondents operate only in one Member State, and 6 respondents operate in several Member States. 12.5% of respondents are associated with the manufacturing sector(s). 21% have between 50 and 249 employees, while 79% have at least 250 employees. </w:t>
      </w:r>
    </w:p>
    <w:p>
      <w:pPr>
        <w:pStyle w:val="Heading3"/>
        <w:numPr>
          <w:ilvl w:val="0"/>
          <w:numId w:val="54"/>
        </w:numPr>
        <w:ind w:left="567" w:hanging="425"/>
        <w:rPr>
          <w:b/>
          <w:noProof/>
          <w:szCs w:val="24"/>
        </w:rPr>
      </w:pPr>
      <w:r>
        <w:rPr>
          <w:noProof/>
        </w:rPr>
        <w:t>Analytical</w:t>
      </w:r>
      <w:r>
        <w:rPr>
          <w:b/>
          <w:bCs/>
          <w:noProof/>
          <w:szCs w:val="24"/>
          <w:lang w:eastAsia="fr-FR"/>
        </w:rPr>
        <w:t xml:space="preserve"> </w:t>
      </w:r>
      <w:r>
        <w:rPr>
          <w:noProof/>
        </w:rPr>
        <w:t>Methodology</w:t>
      </w:r>
      <w:r>
        <w:rPr>
          <w:b/>
          <w:bCs/>
          <w:noProof/>
          <w:szCs w:val="24"/>
          <w:lang w:eastAsia="fr-FR"/>
        </w:rPr>
        <w:t xml:space="preserve"> </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The preparation of the dataset involved the creation of four Excel databases to analyse the replies. The Excel files were imported in the Statistical Package for Social Science (SPSS) and elaborated using this professional statistical tool, which enabled checking for coherence and completeness, and control for duplications.</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Five-point Likert scales on attitudes and expectations of respondents regarding impacts and effectiveness were systematically recoded in three-point Likert scales in the quantitative analysis, as responses were somewhat dispersed across modalities. All questions were analysed, highlighting, as relevant, differences between sub-groups. Differences had to be interpreted as they could be attributed to group distribution or to the natural variance in responses. Where statistically significant, the disaggregation by sub-groups was reported.</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Inductive coding was used to derive themes from the answers in the qualitative analysis. This was conducted on qualitative information included in the questionnaires, on documentation received from stakeholders and Member States, on the analysis of documents received from the European Commission and on qualitative interviews. Clusters of the most recurrent type of answers served as a starting point for the analysis. Additionally, particular answers, albeit not recurrent, were included if considered particularly original and relevant by the experts involved. Essential messages were identified through a distillation of the responses.</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Each questionnaire had a similar initial section of information on the respondent, while the questions in the other sections differed according to the respondents targeted. Responses were analysed, grouped by the themes they refer to, with: presentation of results (frequency and breakdown of responses); quantitative analysis for closed questions; and qualitative analysis for open-ended questions.</w:t>
      </w:r>
    </w:p>
    <w:p>
      <w:pPr>
        <w:pStyle w:val="Heading3"/>
        <w:numPr>
          <w:ilvl w:val="0"/>
          <w:numId w:val="54"/>
        </w:numPr>
        <w:ind w:left="567" w:hanging="425"/>
        <w:rPr>
          <w:b/>
          <w:noProof/>
          <w:szCs w:val="24"/>
        </w:rPr>
      </w:pPr>
      <w:r>
        <w:rPr>
          <w:noProof/>
        </w:rPr>
        <w:t>Results</w:t>
      </w:r>
      <w:r>
        <w:rPr>
          <w:b/>
          <w:noProof/>
          <w:szCs w:val="24"/>
        </w:rPr>
        <w:t xml:space="preserve"> </w:t>
      </w:r>
    </w:p>
    <w:p>
      <w:pPr>
        <w:rPr>
          <w:rFonts w:ascii="Times New Roman" w:hAnsi="Times New Roman" w:cs="Times New Roman"/>
          <w:b/>
          <w:noProof/>
          <w:sz w:val="24"/>
          <w:szCs w:val="24"/>
          <w:u w:val="single"/>
        </w:rPr>
      </w:pPr>
      <w:r>
        <w:rPr>
          <w:rFonts w:ascii="Times New Roman" w:hAnsi="Times New Roman" w:cs="Times New Roman"/>
          <w:b/>
          <w:noProof/>
          <w:sz w:val="24"/>
          <w:szCs w:val="24"/>
          <w:u w:val="single"/>
        </w:rPr>
        <w:t xml:space="preserve">Public Consultation </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b/>
          <w:i/>
          <w:noProof/>
          <w:sz w:val="24"/>
          <w:szCs w:val="24"/>
          <w:lang w:eastAsia="fr-FR"/>
        </w:rPr>
        <w:t>The State of Play</w:t>
      </w:r>
      <w:r>
        <w:rPr>
          <w:rFonts w:ascii="Times New Roman" w:eastAsia="Times New Roman" w:hAnsi="Times New Roman" w:cs="Times New Roman"/>
          <w:noProof/>
          <w:sz w:val="24"/>
          <w:szCs w:val="24"/>
          <w:lang w:eastAsia="fr-FR"/>
        </w:rPr>
        <w:t xml:space="preserve"> </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 xml:space="preserve">The gender pay gap is viewed as being particularly at issue in the private sector, in: micro (72%), small (71%), medium-sized (70%), and larger (61%) enterprises. Nevertheless 39% of respondents viewed it as being at issue in the public sector. 49% of respondents felt women and men have equal pay for the same work or for work of equal value in the organisation where they worked, however 39% felt that this was not the case. </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 xml:space="preserve">Costs of litigation were identified as a relevant enforcement issue by respondents in relation to pay discrimination. A very large majority of respondents (92%) considered the provision of support to individual workers to be important in order to lower these costs and enable legal action in pay discrimination cases to be undertaken. </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b/>
          <w:bCs/>
          <w:i/>
          <w:iCs/>
          <w:noProof/>
          <w:sz w:val="24"/>
          <w:szCs w:val="24"/>
          <w:lang w:eastAsia="fr-FR"/>
        </w:rPr>
        <w:t>Future Measures</w:t>
      </w:r>
      <w:r>
        <w:rPr>
          <w:rFonts w:ascii="Times New Roman" w:eastAsia="Times New Roman" w:hAnsi="Times New Roman" w:cs="Times New Roman"/>
          <w:noProof/>
          <w:sz w:val="24"/>
          <w:szCs w:val="24"/>
          <w:lang w:eastAsia="fr-FR"/>
        </w:rPr>
        <w:t xml:space="preserve"> </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 xml:space="preserve">The four measures presented, of the type not focused on strengthening victim rights, pay transparency measures, were each viewed as being effective by significant majorities of respondents: obligation to include equal pay matters in collective bargaining (81%); gender-neutral job evaluation and classification systems (80%); employers and employees’ representatives analysing pay levels and gender pay gaps in regular pay audits (79%); and regular employer reports on pay levels and gender pay gaps (78%). </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 xml:space="preserve">In respect of the different types of respondents, this consensus was shared to a high level by individual EU citizens and non-EU citizens, and by respondents from trade unions, academic/research bodies, and public institutions. Agreement was at a lower level among respondents from company/business associations. Nonetheless, the numbers of this type of respondent that agreed with the effectiveness of the individual measures stood at between 40% and 50%. </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In identifying the possible impacts of these pay transparency measures: 90% agreed they would raise awareness about equal pay issues; 88% they should be part of wider equal pay policies; 86% they would reduce pay discrimination; 77% they would have a positive impact on employees' motivation and productivity; and 72% they would improve the work climate. The same pattern of consensus is evident in this across the different type of respondents as for the effectiveness of prospective pay transparency measures, with low levels of agreement among respondents from company/business associations.</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Respondents from company/business associations were more likely to agree that such measures might make it difficult to reward high-performing employees (78%), they limit employers’ discretion (76%), and they create a significant additional burden (74%). There was a low level of agreement from the other types of respondents that such impacts would result.</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 xml:space="preserve">The four measures presented, of the type focused on strengthening victim rights, enforcement measures, were each viewed as being effective by significant majorities of respondents: employees have a right to access information on pay levels and gender pay gaps (84%); effective and proportionate penalties for companies and compensation for victims of discrimination (80%); reinforced mandate of labour inspectorates to intervene in support of victims (77%); and strong mandate of equality bodies to intervene in support of victims (76%). </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The same pattern is evident in this consensus across the different type of respondents as with the first type of prospective pay transparency measures, with lower levels of agreement from respondents from company/business associations, where agreement ranged from 28% to 40%.</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In identifying the possible impacts of these pay transparency measures: 91% agreed they would help enforce the right to equal pay; 88% they would be a powerful tool for equality bodies/labour inspectorates/social partners to support employees in defending this right; and 85% they would encourage employers to better implement the principle of equal pay. The same pattern of consensus across the different types of respondent is evident as for the first type of pay transparency measures, with respondents from company/business associations expressing lower levels of agreement.</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There was significant consensus among respondents in their agreement on the effectiveness of the different modalities presented for implementation: the right to access information; job evaluation and classification systems; pay audits; and pay reporting. The only modalities that had low level of agreement related to sharing of information with employee on request (right of access to information, pay audits, pay reporting) and gender equality labelling (job evaluation and classification systems). In all instances, agreement from respondents from company/business associations was significantly lower than the overall consensus. In general, the measures were considered as suitable for all sizes of organisations, except pay audits which few respondents considered suitable for micro and small enterprises.</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An analysis as to whether significant differences could be observed in individual citizens’ response patterns across the EU Member States found only minor cross-country differences in the response behaviour of individuals.</w:t>
      </w:r>
    </w:p>
    <w:p>
      <w:pPr>
        <w:rPr>
          <w:rFonts w:ascii="Times New Roman" w:hAnsi="Times New Roman" w:cs="Times New Roman"/>
          <w:b/>
          <w:noProof/>
          <w:sz w:val="24"/>
          <w:szCs w:val="24"/>
          <w:u w:val="single"/>
        </w:rPr>
      </w:pPr>
      <w:r>
        <w:rPr>
          <w:rFonts w:ascii="Times New Roman" w:hAnsi="Times New Roman" w:cs="Times New Roman"/>
          <w:b/>
          <w:noProof/>
          <w:sz w:val="24"/>
          <w:szCs w:val="24"/>
          <w:u w:val="single"/>
        </w:rPr>
        <w:t xml:space="preserve"> EU Member States </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b/>
          <w:i/>
          <w:noProof/>
          <w:sz w:val="24"/>
          <w:szCs w:val="24"/>
          <w:lang w:eastAsia="fr-FR"/>
        </w:rPr>
        <w:t>The State of Play</w:t>
      </w:r>
      <w:r>
        <w:rPr>
          <w:rFonts w:ascii="Times New Roman" w:eastAsia="Times New Roman" w:hAnsi="Times New Roman" w:cs="Times New Roman"/>
          <w:noProof/>
          <w:sz w:val="24"/>
          <w:szCs w:val="24"/>
          <w:lang w:eastAsia="fr-FR"/>
        </w:rPr>
        <w:t xml:space="preserve"> </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 xml:space="preserve">Responses from the Member States in relation to the current situation were highly differentiated, reflecting different contexts across the Member States. Only 4 Member State respondents reported that current legislation was influenced by the EU 2014 recommendation. Six respondents reported that pay transparency measures had not been introduced due to the low priority for this issue on the policy agenda. Few respondents reported on the number of court cases on equal pay in the past year. However, most respondents did not think the number of cases was a valid indicator of the relevance of the gender pay gap issue. Some respondents noted that not all cases of discrimination end up in court, due to barriers of access to justice, and lack of information among employees. </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b/>
          <w:bCs/>
          <w:i/>
          <w:iCs/>
          <w:noProof/>
          <w:sz w:val="24"/>
          <w:szCs w:val="24"/>
          <w:lang w:eastAsia="fr-FR"/>
        </w:rPr>
        <w:t>Future Measures</w:t>
      </w:r>
      <w:r>
        <w:rPr>
          <w:rFonts w:ascii="Times New Roman" w:eastAsia="Times New Roman" w:hAnsi="Times New Roman" w:cs="Times New Roman"/>
          <w:noProof/>
          <w:sz w:val="24"/>
          <w:szCs w:val="24"/>
          <w:lang w:eastAsia="fr-FR"/>
        </w:rPr>
        <w:t xml:space="preserve"> </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 xml:space="preserve">Members State respondents reflected some consensus in their agreement with the following options: employer reports regularly on pay level and gender pay gaps (82%); employees have a right to access information on pay levels and gender pay gaps (59%); employers who advertise a job vacancy to include information about expected salary or salary range (53%). The least favoured option was: forbidding confidentiality clauses on disclosing individual pay (35%). </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 xml:space="preserve">There was some consensus among Member State respondents on the roles of equality bodies/labour inspectorates in supervising equal pay measures as being to: impose fines for non-compliance (75%); initiate equal pay cases on behalf of individuals (55%); represent victims in legal proceedings (50%); and pursue collective equal pay claims (45%). </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 xml:space="preserve">In relation to the role of other national actors in implementing pay transparency measures there was significant consensus in agreement that organisations have a role in reporting on pay gaps (70%). There was some consensus in agreement that labour inspectorates have a role in performing automated checks on pay gaps based on employment, tax or social security registers (55%); and that employers’ organisations have a role in compiling pay statistics (50%). Only 25% agreed that statistical offices have a role in compiling pay reports; and 20% that equality bodies have a role in performing automated checks on pay gaps based on employment, tax or social security registers </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 xml:space="preserve">In identifying the possible impacts of these pay transparency measures, there was significant consensus among Member State respondents: 100% agreed they would help enforce the right to equal pay; 90% they would contribute to raising awareness on equal pay issues; 90% they would reduce pay discrimination; 85% they would improve the work climate; 85% they are a powerful tool for equality bodies/labour inspectorates/social partners; 80% they would have a positive impact on employees' motivation and productivity; and 80% they would encourage employers to take action to better implement the principle of equal pay. </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 xml:space="preserve">There was a low level of agreement that such measures: create additional administrative burden on organisations (50%); limit employers’ discretion (35%); and need to be tailored to size of organisation (40%). Only 25% agreed that such measures should be part of wider equal pay policies. </w:t>
      </w:r>
    </w:p>
    <w:p>
      <w:pPr>
        <w:rPr>
          <w:rFonts w:ascii="Times New Roman" w:hAnsi="Times New Roman" w:cs="Times New Roman"/>
          <w:b/>
          <w:noProof/>
          <w:sz w:val="24"/>
          <w:szCs w:val="24"/>
          <w:u w:val="single"/>
        </w:rPr>
      </w:pPr>
      <w:r>
        <w:rPr>
          <w:rFonts w:ascii="Times New Roman" w:hAnsi="Times New Roman" w:cs="Times New Roman"/>
          <w:b/>
          <w:noProof/>
          <w:sz w:val="24"/>
          <w:szCs w:val="24"/>
          <w:u w:val="single"/>
        </w:rPr>
        <w:t xml:space="preserve">Social Partners </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b/>
          <w:i/>
          <w:noProof/>
          <w:sz w:val="24"/>
          <w:szCs w:val="24"/>
          <w:lang w:eastAsia="fr-FR"/>
        </w:rPr>
        <w:t>The State of Play</w:t>
      </w:r>
      <w:r>
        <w:rPr>
          <w:rFonts w:ascii="Times New Roman" w:eastAsia="Times New Roman" w:hAnsi="Times New Roman" w:cs="Times New Roman"/>
          <w:noProof/>
          <w:sz w:val="24"/>
          <w:szCs w:val="24"/>
          <w:lang w:eastAsia="fr-FR"/>
        </w:rPr>
        <w:t xml:space="preserve"> </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 xml:space="preserve">The social partner survey points up different perspectives held by and experiences of trade unions and employer associations. Trade union respondents were more likely than employer associations to identify that gender pay discrimination is an issue and that pay discrimination legislation is difficult to use. Some trade union respondents noted the different levels of protection and of implementation of EU requirements on this issue across the Member States. These results were also confirmed by interviewes. </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Most employer association respondents (81%) believe that there is a conflict between General Data Protection Regulation (GDPR) and possible pay transparency measures, while most trade unions believe there is not (57%). Most trade unions reported being often solicited by members in relation to gender equal pay (75%), while most employers had not often been solicited (79%). The comments received during the hearing as well as the analysis of the position papers received after the hearing confirm these different perspectives.</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b/>
          <w:bCs/>
          <w:i/>
          <w:iCs/>
          <w:noProof/>
          <w:sz w:val="24"/>
          <w:szCs w:val="24"/>
          <w:lang w:eastAsia="fr-FR"/>
        </w:rPr>
        <w:t>Future Measures</w:t>
      </w:r>
      <w:r>
        <w:rPr>
          <w:rFonts w:ascii="Times New Roman" w:eastAsia="Times New Roman" w:hAnsi="Times New Roman" w:cs="Times New Roman"/>
          <w:noProof/>
          <w:sz w:val="24"/>
          <w:szCs w:val="24"/>
          <w:lang w:eastAsia="fr-FR"/>
        </w:rPr>
        <w:t xml:space="preserve"> </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 xml:space="preserve">Five legislative options at EU level were presented. The most preferred option for employer association respondents was for the inclusion of expected salary in job postings (41%), which was supported by 78% of trade unions. The most preferred option for trade unions was for regular pay audits (96%), which was supported by 24% of employer associations. A similar pattern is evident across the other options: regular employer reports (29% for employer associations vs 89% for trade unions); employee right to access information (18% vs 89% respectively); and forbid confidentiality clauses (18% vs 76% respectively). </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 xml:space="preserve">Five options for binding pay transparency measures involving direct social partner participation were presented. Trade unions were significantly supportive of all options, bar certification related to job evaluation systems (47%, which compares to 21% employer associations) and self-regulatory measures linked to pay reporting (32%, which compares to 39% employer associations). The most preferred option for trade unions was for an equal pay plan (98%), which was chosen by 42% of employer associations, also their most preferred option. None of the measures were considered effective by a majority of employer associations. </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 xml:space="preserve">In relation to standardised solutions, employer associations identified employers’ organisations compiling pay statistics for their members as the preferred option (42%), while this was the least favoured option for trade unions (87%). The most favoured options for trade unions was for the state to provide IT tools to organisations (87%); social partners to agree on/develop standardised tools (85%); and the labour inspectorate/equality body to conduct automated checks based on tax, social security or employment registers (79%). </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 xml:space="preserve">When it comes to assessment of impact, a large majority of employer association respondents agree that pay transparency measures: create additional administrative burden on organisations (91%); limit employers’ discretion (82%); need to be tailored to size of organisation (82%); and might make it difficult to reward highly performing employees (79%). This assessment finds low levels of support among trade unions. 100% of trade union respondents agree that pay transparency measures: are a powerful tool for equality bodies/labour inspectorates/social partners; contribute to raising awareness on equal pay issues; and help in enforcing the right to equal pay. These impacts find low support among employer associations. 98% of trade unions agree that such measures should be part of wider equal pay policy, a view shared by 52% of employer associations. </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 xml:space="preserve">In relation to raising awareness about equal pay legal provisions both trade union (96%) and employer association (82%) respondents felt awareness campaigns were the most effective. Employer associations felt an information webpage and online guidebooks would be effective (64%) as their next preferred option. Trade union felt training and guidance on pay reporting and auditing would be effective (96%) as their next preferred option. </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 xml:space="preserve">Difficulties in implementation of pay transparency emerged in the existing experiences in Member States led to a request for the Commission to develop a definition of work of equal value in this new initiative on pay transparency. </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 xml:space="preserve">As regards other obstacles in implementation, trade unions agree that measures should be applicable in all sectors with no exceptions or adaptation, as the ultimate goal is to go beyond gender segregation of labour and value female-dominated sectors more, as they are usually less attractive because of lower salaries and career opportunities. Within the group of employers’ organisations a resistance to have a uniform measure emerged. Additionally they mention the positive role that collective bargaining may have towards closing the gap. Social partners agree on opposing an initiative dictating on the content of collective bargaining. </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 xml:space="preserve">In regard to the protection of privacy and the right to access salary information, the majority acknowledge that privacy can be protected with an accurate anonymisation of all pay data disclosed to employees. So this cannot be an obstacle to implementing a measure. </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 xml:space="preserve">Finally as far as the added value of a European Union initiative employers' organisations argue that salaries are exclusively a national competence while trade unions mostly call for strong initiative from the Commission stating clear obligations can have the necessary impact to help reduce the gender pay gap in Europe. They argue that a measure protecting female workers and working to eliminate long-standing discrimination is long overdue, and to take advantage of this moment of change related to the COVID-19 crisis to build a more inclusive labour market. </w:t>
      </w:r>
    </w:p>
    <w:p>
      <w:pPr>
        <w:rPr>
          <w:rFonts w:ascii="Times New Roman" w:hAnsi="Times New Roman" w:cs="Times New Roman"/>
          <w:b/>
          <w:noProof/>
          <w:sz w:val="24"/>
          <w:szCs w:val="24"/>
          <w:u w:val="single"/>
        </w:rPr>
      </w:pPr>
      <w:r>
        <w:rPr>
          <w:rFonts w:ascii="Times New Roman" w:hAnsi="Times New Roman" w:cs="Times New Roman"/>
          <w:b/>
          <w:noProof/>
          <w:sz w:val="24"/>
          <w:szCs w:val="24"/>
          <w:u w:val="single"/>
        </w:rPr>
        <w:t xml:space="preserve">Individual Employers </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b/>
          <w:i/>
          <w:noProof/>
          <w:sz w:val="24"/>
          <w:szCs w:val="24"/>
          <w:lang w:eastAsia="fr-FR"/>
        </w:rPr>
        <w:t>The State of Play</w:t>
      </w:r>
      <w:r>
        <w:rPr>
          <w:rFonts w:ascii="Times New Roman" w:eastAsia="Times New Roman" w:hAnsi="Times New Roman" w:cs="Times New Roman"/>
          <w:noProof/>
          <w:sz w:val="24"/>
          <w:szCs w:val="24"/>
          <w:lang w:eastAsia="fr-FR"/>
        </w:rPr>
        <w:t xml:space="preserve"> </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Five respondents (21%) identify that gender pay discrimination may be an issue in their organisation, all of which were companies with at least 250 employees. These 5 respondents reported some improvements in internal policy of their organisation in the last five years.</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 xml:space="preserve">13 respondents (54%) reported that their organisation had carried out at least one gender pay gap analysis. 10 of these respondents had at least 250 employees and 3 had between 50 and 249 employees. </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 xml:space="preserve">All respondents reported on the pay information they make available. The level of pay transparency varies according to what part of salary is included. </w:t>
      </w:r>
    </w:p>
    <w:p>
      <w:pPr>
        <w:numPr>
          <w:ilvl w:val="0"/>
          <w:numId w:val="11"/>
        </w:num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 xml:space="preserve">9 respondents provide a salary range at the point of hiring and information on average basic salary by category or position to employees, and 3 to employee representatives, without request. </w:t>
      </w:r>
    </w:p>
    <w:p>
      <w:pPr>
        <w:numPr>
          <w:ilvl w:val="0"/>
          <w:numId w:val="11"/>
        </w:num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 xml:space="preserve">6 respondents provide information on average variable pay components in cash by category of employee or position to employees, and 4 to employee representatives, without request. 7 respondents have this information available on request. </w:t>
      </w:r>
    </w:p>
    <w:p>
      <w:pPr>
        <w:numPr>
          <w:ilvl w:val="0"/>
          <w:numId w:val="11"/>
        </w:num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 xml:space="preserve">4 respondents provide information on average variable pay components in kind by category of employee or position to employees, and 2 to employee representatives, without request. 13 respondents have this information available on request. </w:t>
      </w:r>
    </w:p>
    <w:p>
      <w:pPr>
        <w:numPr>
          <w:ilvl w:val="0"/>
          <w:numId w:val="11"/>
        </w:num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 xml:space="preserve">8 respondents provide information on pay raises by category or position to employees, and 3 to employees’ representatives, without request. 8 respondents have this information available on request. </w:t>
      </w:r>
    </w:p>
    <w:p>
      <w:pPr>
        <w:numPr>
          <w:ilvl w:val="0"/>
          <w:numId w:val="11"/>
        </w:num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 xml:space="preserve">11 respondents (46%) reported an estimation of annual costs of this pay reporting: 7 respondents costed it as less than EUR 1,000, 3 between EUR 1,000 and EUR 6,000, and 1 above EUR 10,000. </w:t>
      </w:r>
    </w:p>
    <w:p>
      <w:pPr>
        <w:keepNext/>
        <w:rPr>
          <w:rFonts w:ascii="Times New Roman" w:hAnsi="Times New Roman" w:cs="Times New Roman"/>
          <w:b/>
          <w:noProof/>
          <w:sz w:val="24"/>
          <w:szCs w:val="24"/>
          <w:u w:val="single"/>
        </w:rPr>
      </w:pPr>
      <w:r>
        <w:rPr>
          <w:rFonts w:ascii="Times New Roman" w:hAnsi="Times New Roman" w:cs="Times New Roman"/>
          <w:b/>
          <w:noProof/>
          <w:sz w:val="24"/>
          <w:szCs w:val="24"/>
          <w:u w:val="single"/>
        </w:rPr>
        <w:t xml:space="preserve">Further Contributions: International Organisations </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b/>
          <w:i/>
          <w:noProof/>
          <w:sz w:val="24"/>
          <w:szCs w:val="24"/>
          <w:lang w:eastAsia="fr-FR"/>
        </w:rPr>
        <w:t xml:space="preserve">State of Play </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 xml:space="preserve">The United Nations Entity for Gender Equality and the Empowerment of Women (UN Women) identified a set of initiatives it regards as good practice that it has collected from G7 and EU-based companies that have taken steps to address the gender pay gap, including, in particular, pay transparency measures. These include measures such as job evaluation systems, pay gap assessments and reports, annual assessment of pay equity and gender balance in company leadership, development and use of a pay assessment tool, and steps to ensure pay inequities in the labour market are not imported into an organisation. </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b/>
          <w:bCs/>
          <w:i/>
          <w:iCs/>
          <w:noProof/>
          <w:sz w:val="24"/>
          <w:szCs w:val="24"/>
          <w:lang w:eastAsia="fr-FR"/>
        </w:rPr>
        <w:t>Future Measures</w:t>
      </w:r>
      <w:r>
        <w:rPr>
          <w:rFonts w:ascii="Times New Roman" w:eastAsia="Times New Roman" w:hAnsi="Times New Roman" w:cs="Times New Roman"/>
          <w:noProof/>
          <w:sz w:val="24"/>
          <w:szCs w:val="24"/>
          <w:lang w:eastAsia="fr-FR"/>
        </w:rPr>
        <w:t xml:space="preserve"> </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 xml:space="preserve">The International Labour Office (ILO) highlighted limitations of pay transparency measures that only target large enterprises, as this results in a limited number of workers being covered. It pointed out that legislation on pay transparency should be part of an ecosystem with proactive legislation addressing a range of interconnected issues including: increasing the prevalence of women in leadership; incentivising women to shift to higher-paid jobs; tackling violence and harassment; and redistributing unpaid care work, through improving care and family policies and services. </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 xml:space="preserve">The ILO emphasised the importance of direct access to information on pay differentials as a means of: ensuring transparency; monitoring the pay gap; and as a basis for remedial action, including through the development of an equal pay plan. It highlighted pay audits as a platform for change in helping to expose pay differentials and reveal the need for structural change in the workplace. It noted that pay audits may be too aggregate to provide sufficient transparency, and the importance of involving trade unions or employee representatives in the process and making the results publicly available. It pointed to a value in: providing practical supports to assist companies to implement measures; making company action plans public; involving employers’ and workers’ organisations throughout the process; recognising the effective contribution to be made by collective bargaining; and strengthening complaint mechanisms. </w:t>
      </w:r>
    </w:p>
    <w:p>
      <w:pPr>
        <w:rPr>
          <w:rFonts w:ascii="Times New Roman" w:hAnsi="Times New Roman" w:cs="Times New Roman"/>
          <w:b/>
          <w:noProof/>
          <w:sz w:val="24"/>
          <w:szCs w:val="24"/>
          <w:u w:val="single"/>
        </w:rPr>
      </w:pPr>
      <w:r>
        <w:rPr>
          <w:rFonts w:ascii="Times New Roman" w:hAnsi="Times New Roman" w:cs="Times New Roman"/>
          <w:b/>
          <w:noProof/>
          <w:sz w:val="24"/>
          <w:szCs w:val="24"/>
          <w:u w:val="single"/>
        </w:rPr>
        <w:t xml:space="preserve">Further Contributions: Civil Society Organisations </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b/>
          <w:i/>
          <w:noProof/>
          <w:sz w:val="24"/>
          <w:szCs w:val="24"/>
          <w:lang w:eastAsia="fr-FR"/>
        </w:rPr>
        <w:t>State of Play</w:t>
      </w:r>
      <w:r>
        <w:rPr>
          <w:rFonts w:ascii="Times New Roman" w:eastAsia="Times New Roman" w:hAnsi="Times New Roman" w:cs="Times New Roman"/>
          <w:noProof/>
          <w:sz w:val="24"/>
          <w:szCs w:val="24"/>
          <w:lang w:eastAsia="fr-FR"/>
        </w:rPr>
        <w:t xml:space="preserve"> </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 xml:space="preserve">The European Women’s Lobby stressed that the concept of work of ‘equal value’ remains challenging. Criteria have not been provided in law to determine the meaning for work of ‘equal value’. This could usefully be a focus for a Europe wide study and would need to be addressed in pay transparency legislation. Make Mothers Matter identify the problematic of ineffective implementation and enforcement of equal pay legislation and identify the issue of definition of ‘pay’ and of ‘work of equal value’ as part of the reason for this. </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b/>
          <w:bCs/>
          <w:i/>
          <w:iCs/>
          <w:noProof/>
          <w:sz w:val="24"/>
          <w:szCs w:val="24"/>
          <w:lang w:eastAsia="fr-FR"/>
        </w:rPr>
        <w:t>Future Measures</w:t>
      </w:r>
      <w:r>
        <w:rPr>
          <w:rFonts w:ascii="Times New Roman" w:eastAsia="Times New Roman" w:hAnsi="Times New Roman" w:cs="Times New Roman"/>
          <w:noProof/>
          <w:sz w:val="24"/>
          <w:szCs w:val="24"/>
          <w:lang w:eastAsia="fr-FR"/>
        </w:rPr>
        <w:t xml:space="preserve"> </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 xml:space="preserve">The European Women’s Lobby (EWL) pointed to the need to introduce mandatory pay audits in all companies, regardless of size. Smaller companies could be supported with technical assistance and financial support as necessary. It expressed confidence that GDPR would not be an obstacle to accessing information to ensure pay transparency. It emphasised the need for a focus on recruitment practices and non-discriminatory recruitment policies. </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 xml:space="preserve">The Business &amp; Professional Women organisation emphasised the need to support companies with up to 500 employees with training and financial and human resources, to create a culture of reporting and auditing on gender issues in the workplace. Training on methodologies should be compulsory in this area for employer associations and trade unions. </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 xml:space="preserve">Make Mothers Matter underlined that more detailed reporting measures, along with a consistently applied enforcement system, is advisable. </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 xml:space="preserve">Confederation of Family Organisations in the European Union (COFACE) emphasised that pay transparency measures need to include reference to the EU legislative framework in the area of work and family in order to guarantee that all workers have the same rights. There is a need to take action on the causes of the gender pay gap, including unequal sharing of care duties, unequal take-up of parental leaves, and lack of affordable childcare. </w:t>
      </w:r>
    </w:p>
    <w:p>
      <w:pPr>
        <w:pStyle w:val="Heading3"/>
        <w:numPr>
          <w:ilvl w:val="0"/>
          <w:numId w:val="54"/>
        </w:numPr>
        <w:ind w:left="567" w:hanging="425"/>
        <w:rPr>
          <w:b/>
          <w:noProof/>
          <w:szCs w:val="24"/>
        </w:rPr>
      </w:pPr>
      <w:r>
        <w:rPr>
          <w:noProof/>
        </w:rPr>
        <w:t>Way Forward</w:t>
      </w:r>
      <w:r>
        <w:rPr>
          <w:b/>
          <w:noProof/>
          <w:szCs w:val="24"/>
        </w:rPr>
        <w:t xml:space="preserve"> </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 xml:space="preserve">A public appetite for tackling this issue can be identified from the consultation. It clearly identifies that an issue of fundamental rights is at stake, pay discrimination. Not all EU citizens enjoy this right fully. While a strong consensus is evidenced for action and for particular types of action, there is no full consensus on this. Respondents from companies/business associations generally did not share the same high level of consensus. </w:t>
      </w:r>
    </w:p>
    <w:p>
      <w:p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 xml:space="preserve">There are options which reach some level of consensus. These include: the obligation to adopt an equal pay plan at organisational level; employers’ requirement to report regularly on pay levels and gender pay gaps; employees’ right to access information on pay levels and gender pay gaps; and for employers and employees representatives to analyse information about pay levels and gender pay gaps. At the same time, the level of overall consensus evident behind the full range of proposals put forward in the consultation suggests that there is room for some further ambition in responding definitively to this issue that to-date has proven so resistant to change. </w:t>
      </w:r>
    </w:p>
    <w:p>
      <w:pPr>
        <w:rPr>
          <w:rFonts w:ascii="Segoe UI" w:hAnsi="Segoe UI" w:cs="Segoe UI"/>
          <w:noProof/>
          <w:sz w:val="18"/>
          <w:szCs w:val="18"/>
          <w:lang w:eastAsia="fr-FR"/>
        </w:rPr>
        <w:sectPr>
          <w:headerReference w:type="even" r:id="rId107"/>
          <w:headerReference w:type="default" r:id="rId108"/>
          <w:footerReference w:type="even" r:id="rId109"/>
          <w:footerReference w:type="default" r:id="rId110"/>
          <w:headerReference w:type="first" r:id="rId111"/>
          <w:footerReference w:type="first" r:id="rId112"/>
          <w:pgSz w:w="11906" w:h="16838"/>
          <w:pgMar w:top="1020" w:right="1701" w:bottom="1020" w:left="1587" w:header="601" w:footer="1077" w:gutter="0"/>
          <w:cols w:space="720"/>
          <w:titlePg/>
        </w:sectPr>
      </w:pPr>
      <w:r>
        <w:rPr>
          <w:rFonts w:ascii="Segoe UI" w:hAnsi="Segoe UI" w:cs="Segoe UI"/>
          <w:noProof/>
          <w:sz w:val="18"/>
          <w:szCs w:val="18"/>
          <w:lang w:eastAsia="fr-FR"/>
        </w:rPr>
        <w:br w:type="page"/>
      </w:r>
    </w:p>
    <w:p>
      <w:pPr>
        <w:pStyle w:val="Heading2"/>
        <w:tabs>
          <w:tab w:val="clear" w:pos="3306"/>
        </w:tabs>
        <w:ind w:left="0" w:firstLine="0"/>
        <w:rPr>
          <w:noProof/>
        </w:rPr>
      </w:pPr>
      <w:bookmarkStart w:id="7180" w:name="_Toc47455499"/>
      <w:bookmarkStart w:id="7181" w:name="_Toc49884247"/>
      <w:bookmarkStart w:id="7182" w:name="_Toc49884323"/>
      <w:bookmarkStart w:id="7183" w:name="_Toc49527898"/>
      <w:bookmarkStart w:id="7184" w:name="_Toc49530020"/>
      <w:bookmarkStart w:id="7185" w:name="_Toc49530684"/>
      <w:bookmarkStart w:id="7186" w:name="_Toc49532634"/>
      <w:bookmarkStart w:id="7187" w:name="_Toc49695806"/>
      <w:bookmarkStart w:id="7188" w:name="_Toc49695983"/>
      <w:bookmarkStart w:id="7189" w:name="_Toc49805509"/>
      <w:bookmarkStart w:id="7190" w:name="_Toc49877768"/>
      <w:bookmarkStart w:id="7191" w:name="_Toc49881186"/>
      <w:bookmarkStart w:id="7192" w:name="_Toc49893579"/>
      <w:bookmarkStart w:id="7193" w:name="_Toc49933967"/>
      <w:bookmarkStart w:id="7194" w:name="_Toc49937854"/>
      <w:bookmarkStart w:id="7195" w:name="_Toc49939047"/>
      <w:bookmarkStart w:id="7196" w:name="_Toc49939250"/>
      <w:bookmarkStart w:id="7197" w:name="_Toc49942100"/>
      <w:bookmarkStart w:id="7198" w:name="_Toc49948568"/>
      <w:bookmarkStart w:id="7199" w:name="_Toc49953042"/>
      <w:bookmarkStart w:id="7200" w:name="_Toc49954347"/>
      <w:bookmarkStart w:id="7201" w:name="_Toc49954792"/>
      <w:bookmarkStart w:id="7202" w:name="_Toc49955221"/>
      <w:bookmarkStart w:id="7203" w:name="_Toc49955809"/>
      <w:bookmarkStart w:id="7204" w:name="_Toc49958309"/>
      <w:bookmarkStart w:id="7205" w:name="_Toc49958504"/>
      <w:bookmarkStart w:id="7206" w:name="_Toc49961996"/>
      <w:bookmarkStart w:id="7207" w:name="_Toc49963183"/>
      <w:bookmarkStart w:id="7208" w:name="_Toc53678225"/>
      <w:bookmarkStart w:id="7209" w:name="_Toc53678445"/>
      <w:bookmarkStart w:id="7210" w:name="_Toc53678767"/>
      <w:bookmarkStart w:id="7211" w:name="_Toc53680116"/>
      <w:bookmarkStart w:id="7212" w:name="_Toc54289131"/>
      <w:bookmarkStart w:id="7213" w:name="_Toc54290631"/>
      <w:bookmarkStart w:id="7214" w:name="_Toc54291000"/>
      <w:bookmarkStart w:id="7215" w:name="_Toc54292123"/>
      <w:bookmarkStart w:id="7216" w:name="_Toc54340682"/>
      <w:bookmarkStart w:id="7217" w:name="_Toc54345783"/>
      <w:bookmarkStart w:id="7218" w:name="_Toc54348796"/>
      <w:bookmarkStart w:id="7219" w:name="_Toc54355126"/>
      <w:bookmarkStart w:id="7220" w:name="_Toc54355179"/>
      <w:bookmarkStart w:id="7221" w:name="_Toc54355651"/>
      <w:bookmarkStart w:id="7222" w:name="_Toc54355799"/>
      <w:bookmarkStart w:id="7223" w:name="_Toc54356153"/>
      <w:bookmarkStart w:id="7224" w:name="_Toc54356704"/>
      <w:bookmarkStart w:id="7225" w:name="_Toc54357571"/>
      <w:bookmarkStart w:id="7226" w:name="_Toc54357668"/>
      <w:bookmarkStart w:id="7227" w:name="_Toc54364619"/>
      <w:bookmarkStart w:id="7228" w:name="_Toc54371227"/>
      <w:bookmarkStart w:id="7229" w:name="_Toc54372064"/>
      <w:bookmarkStart w:id="7230" w:name="_Toc54376671"/>
      <w:bookmarkStart w:id="7231" w:name="_Toc58767223"/>
      <w:bookmarkStart w:id="7232" w:name="_Toc58769526"/>
      <w:bookmarkStart w:id="7233" w:name="_Toc58863866"/>
      <w:bookmarkStart w:id="7234" w:name="_Toc58868893"/>
      <w:bookmarkStart w:id="7235" w:name="_Toc58870724"/>
      <w:bookmarkStart w:id="7236" w:name="_Toc58870962"/>
      <w:bookmarkStart w:id="7237" w:name="_Toc58871868"/>
      <w:bookmarkStart w:id="7238" w:name="_Toc58872083"/>
      <w:bookmarkStart w:id="7239" w:name="_Toc58922825"/>
      <w:bookmarkStart w:id="7240" w:name="_Toc58925413"/>
      <w:bookmarkStart w:id="7241" w:name="_Toc58928909"/>
      <w:bookmarkStart w:id="7242" w:name="_Toc58931280"/>
      <w:bookmarkStart w:id="7243" w:name="_Toc58931914"/>
      <w:bookmarkStart w:id="7244" w:name="_Toc58950518"/>
      <w:bookmarkStart w:id="7245" w:name="_Toc58956812"/>
      <w:bookmarkStart w:id="7246" w:name="_Toc58957975"/>
      <w:bookmarkStart w:id="7247" w:name="_Toc58962508"/>
      <w:bookmarkStart w:id="7248" w:name="_Toc59096541"/>
      <w:bookmarkStart w:id="7249" w:name="_Toc59103137"/>
      <w:bookmarkStart w:id="7250" w:name="_Toc59104988"/>
      <w:bookmarkStart w:id="7251" w:name="_Toc59119948"/>
      <w:bookmarkStart w:id="7252" w:name="_Toc59121212"/>
      <w:bookmarkStart w:id="7253" w:name="_Toc59121331"/>
      <w:bookmarkStart w:id="7254" w:name="_Toc59549384"/>
      <w:bookmarkStart w:id="7255" w:name="_Toc59642337"/>
      <w:r>
        <w:rPr>
          <w:noProof/>
        </w:rPr>
        <w:t>Annex 3: Who is affected and how?</w:t>
      </w:r>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p>
    <w:p>
      <w:pPr>
        <w:pStyle w:val="Heading3"/>
        <w:numPr>
          <w:ilvl w:val="0"/>
          <w:numId w:val="55"/>
        </w:numPr>
        <w:ind w:left="426" w:hanging="426"/>
        <w:rPr>
          <w:noProof/>
        </w:rPr>
      </w:pPr>
      <w:bookmarkStart w:id="7256" w:name="_Toc47455500"/>
      <w:bookmarkStart w:id="7257" w:name="_Toc49527899"/>
      <w:bookmarkStart w:id="7258" w:name="_Toc49530021"/>
      <w:bookmarkStart w:id="7259" w:name="_Toc49530685"/>
      <w:bookmarkStart w:id="7260" w:name="_Toc49532635"/>
      <w:bookmarkStart w:id="7261" w:name="_Toc49695807"/>
      <w:bookmarkStart w:id="7262" w:name="_Toc49695984"/>
      <w:bookmarkStart w:id="7263" w:name="_Toc49805510"/>
      <w:r>
        <w:rPr>
          <w:noProof/>
        </w:rPr>
        <w:t>Practical implications of the initiative</w:t>
      </w:r>
      <w:bookmarkEnd w:id="7256"/>
      <w:bookmarkEnd w:id="7257"/>
      <w:bookmarkEnd w:id="7258"/>
      <w:bookmarkEnd w:id="7259"/>
      <w:bookmarkEnd w:id="7260"/>
      <w:bookmarkEnd w:id="7261"/>
      <w:bookmarkEnd w:id="7262"/>
      <w:bookmarkEnd w:id="7263"/>
    </w:p>
    <w:p>
      <w:pPr>
        <w:jc w:val="both"/>
        <w:rPr>
          <w:b/>
          <w:noProof/>
          <w:color w:val="000000"/>
          <w:sz w:val="18"/>
        </w:rPr>
      </w:pPr>
      <w:r>
        <w:rPr>
          <w:rFonts w:ascii="Times New Roman" w:hAnsi="Times New Roman" w:cs="Times New Roman"/>
          <w:noProof/>
          <w:sz w:val="24"/>
          <w:szCs w:val="24"/>
        </w:rPr>
        <w:t>The Initiatives has potential implications for national administration, social partners, companies and all workers. Direct costs are mostly on the employer, but in large part non recurrent.</w:t>
      </w:r>
    </w:p>
    <w:p>
      <w:pPr>
        <w:jc w:val="both"/>
        <w:rPr>
          <w:rFonts w:ascii="Times New Roman" w:hAnsi="Times New Roman" w:cs="Times New Roman"/>
          <w:noProof/>
          <w:sz w:val="24"/>
          <w:szCs w:val="24"/>
        </w:rPr>
      </w:pPr>
      <w:bookmarkStart w:id="7264" w:name="_Toc49697280"/>
      <w:bookmarkStart w:id="7265" w:name="_Toc54290632"/>
      <w:bookmarkStart w:id="7266" w:name="_Toc54291001"/>
      <w:bookmarkStart w:id="7267" w:name="_Toc54292124"/>
      <w:bookmarkStart w:id="7268" w:name="_Toc54340683"/>
      <w:bookmarkStart w:id="7269" w:name="_Toc54345784"/>
      <w:bookmarkStart w:id="7270" w:name="_Toc54347343"/>
      <w:r>
        <w:rPr>
          <w:rFonts w:ascii="Times New Roman" w:hAnsi="Times New Roman" w:cs="Times New Roman"/>
          <w:noProof/>
          <w:sz w:val="24"/>
          <w:szCs w:val="24"/>
        </w:rPr>
        <w:t xml:space="preserve">Table 1 summarises the main aspects of legislative options on pay transparency (see next page). </w:t>
      </w:r>
    </w:p>
    <w:p>
      <w:pPr>
        <w:rPr>
          <w:rFonts w:ascii="Times New Roman" w:hAnsi="Times New Roman" w:cs="Times New Roman"/>
          <w:noProof/>
          <w:sz w:val="24"/>
          <w:szCs w:val="24"/>
        </w:rPr>
        <w:sectPr>
          <w:headerReference w:type="even" r:id="rId113"/>
          <w:headerReference w:type="default" r:id="rId114"/>
          <w:footerReference w:type="even" r:id="rId115"/>
          <w:footerReference w:type="default" r:id="rId116"/>
          <w:headerReference w:type="first" r:id="rId117"/>
          <w:footerReference w:type="first" r:id="rId118"/>
          <w:pgSz w:w="11906" w:h="16838"/>
          <w:pgMar w:top="1020" w:right="3259" w:bottom="1020" w:left="1587" w:header="601" w:footer="1077" w:gutter="0"/>
          <w:cols w:space="720"/>
          <w:titlePg/>
          <w:docGrid w:linePitch="299"/>
        </w:sectPr>
      </w:pPr>
    </w:p>
    <w:p>
      <w:pPr>
        <w:spacing w:after="0" w:line="240" w:lineRule="auto"/>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Table 1 – Summary of coverage, support by stakeholders, costs and main impacts of main pay transparency measures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
        <w:gridCol w:w="1176"/>
        <w:gridCol w:w="1532"/>
        <w:gridCol w:w="1559"/>
        <w:gridCol w:w="1843"/>
        <w:gridCol w:w="1816"/>
        <w:gridCol w:w="1131"/>
        <w:gridCol w:w="1083"/>
        <w:gridCol w:w="963"/>
        <w:gridCol w:w="1957"/>
      </w:tblGrid>
      <w:tr>
        <w:trPr>
          <w:trHeight w:val="274"/>
        </w:trPr>
        <w:tc>
          <w:tcPr>
            <w:tcW w:w="1115" w:type="dxa"/>
            <w:shd w:val="clear" w:color="auto" w:fill="auto"/>
            <w:vAlign w:val="bottom"/>
            <w:hideMark/>
          </w:tcPr>
          <w:p>
            <w:pPr>
              <w:spacing w:after="0" w:line="240" w:lineRule="auto"/>
              <w:rPr>
                <w:rFonts w:ascii="Times New Roman" w:eastAsia="Times New Roman" w:hAnsi="Times New Roman" w:cs="Times New Roman"/>
                <w:b/>
                <w:bCs/>
                <w:noProof/>
                <w:color w:val="000000"/>
                <w:sz w:val="16"/>
                <w:szCs w:val="16"/>
                <w:lang w:eastAsia="en-GB"/>
              </w:rPr>
            </w:pPr>
            <w:r>
              <w:rPr>
                <w:rFonts w:ascii="Times New Roman" w:eastAsia="Times New Roman" w:hAnsi="Times New Roman" w:cs="Times New Roman"/>
                <w:b/>
                <w:bCs/>
                <w:noProof/>
                <w:color w:val="000000"/>
                <w:sz w:val="16"/>
                <w:szCs w:val="16"/>
                <w:lang w:eastAsia="en-GB"/>
              </w:rPr>
              <w:t> </w:t>
            </w:r>
          </w:p>
        </w:tc>
        <w:tc>
          <w:tcPr>
            <w:tcW w:w="6110" w:type="dxa"/>
            <w:gridSpan w:val="4"/>
            <w:shd w:val="clear" w:color="auto" w:fill="auto"/>
            <w:vAlign w:val="bottom"/>
            <w:hideMark/>
          </w:tcPr>
          <w:p>
            <w:pPr>
              <w:spacing w:after="0" w:line="240" w:lineRule="auto"/>
              <w:jc w:val="center"/>
              <w:rPr>
                <w:rFonts w:ascii="Times New Roman" w:eastAsia="Times New Roman" w:hAnsi="Times New Roman" w:cs="Times New Roman"/>
                <w:b/>
                <w:bCs/>
                <w:noProof/>
                <w:color w:val="000000"/>
                <w:sz w:val="16"/>
                <w:szCs w:val="16"/>
                <w:lang w:eastAsia="en-GB"/>
              </w:rPr>
            </w:pPr>
            <w:r>
              <w:rPr>
                <w:rFonts w:ascii="Times New Roman" w:eastAsia="Times New Roman" w:hAnsi="Times New Roman" w:cs="Times New Roman"/>
                <w:b/>
                <w:bCs/>
                <w:noProof/>
                <w:color w:val="000000"/>
                <w:sz w:val="16"/>
                <w:szCs w:val="16"/>
                <w:lang w:eastAsia="en-GB"/>
              </w:rPr>
              <w:t>Preferred option</w:t>
            </w:r>
          </w:p>
        </w:tc>
        <w:tc>
          <w:tcPr>
            <w:tcW w:w="6950" w:type="dxa"/>
            <w:gridSpan w:val="5"/>
            <w:shd w:val="clear" w:color="auto" w:fill="auto"/>
            <w:vAlign w:val="bottom"/>
            <w:hideMark/>
          </w:tcPr>
          <w:p>
            <w:pPr>
              <w:spacing w:after="0" w:line="240" w:lineRule="auto"/>
              <w:jc w:val="center"/>
              <w:rPr>
                <w:rFonts w:ascii="Times New Roman" w:eastAsia="Times New Roman" w:hAnsi="Times New Roman" w:cs="Times New Roman"/>
                <w:b/>
                <w:bCs/>
                <w:noProof/>
                <w:color w:val="000000"/>
                <w:sz w:val="16"/>
                <w:szCs w:val="16"/>
                <w:lang w:eastAsia="en-GB"/>
              </w:rPr>
            </w:pPr>
            <w:r>
              <w:rPr>
                <w:rFonts w:ascii="Times New Roman" w:eastAsia="Times New Roman" w:hAnsi="Times New Roman" w:cs="Times New Roman"/>
                <w:b/>
                <w:bCs/>
                <w:noProof/>
                <w:color w:val="000000"/>
                <w:sz w:val="16"/>
                <w:szCs w:val="16"/>
                <w:lang w:eastAsia="en-GB"/>
              </w:rPr>
              <w:t>Other options</w:t>
            </w:r>
          </w:p>
        </w:tc>
      </w:tr>
      <w:tr>
        <w:trPr>
          <w:trHeight w:val="275"/>
        </w:trPr>
        <w:tc>
          <w:tcPr>
            <w:tcW w:w="1115" w:type="dxa"/>
            <w:shd w:val="clear" w:color="auto" w:fill="auto"/>
            <w:vAlign w:val="center"/>
            <w:hideMark/>
          </w:tcPr>
          <w:p>
            <w:pPr>
              <w:spacing w:after="0" w:line="240" w:lineRule="auto"/>
              <w:rPr>
                <w:rFonts w:ascii="Times New Roman" w:eastAsia="Times New Roman" w:hAnsi="Times New Roman" w:cs="Times New Roman"/>
                <w:b/>
                <w:bCs/>
                <w:noProof/>
                <w:color w:val="000000"/>
                <w:sz w:val="16"/>
                <w:szCs w:val="16"/>
                <w:lang w:eastAsia="en-GB"/>
              </w:rPr>
            </w:pPr>
            <w:r>
              <w:rPr>
                <w:rFonts w:ascii="Times New Roman" w:eastAsia="Times New Roman" w:hAnsi="Times New Roman" w:cs="Times New Roman"/>
                <w:b/>
                <w:bCs/>
                <w:noProof/>
                <w:color w:val="000000"/>
                <w:sz w:val="16"/>
                <w:szCs w:val="16"/>
                <w:lang w:eastAsia="en-GB"/>
              </w:rPr>
              <w:t> </w:t>
            </w:r>
          </w:p>
        </w:tc>
        <w:tc>
          <w:tcPr>
            <w:tcW w:w="1176" w:type="dxa"/>
            <w:shd w:val="clear" w:color="auto" w:fill="auto"/>
            <w:vAlign w:val="center"/>
            <w:hideMark/>
          </w:tcPr>
          <w:p>
            <w:pPr>
              <w:spacing w:after="0" w:line="240" w:lineRule="auto"/>
              <w:jc w:val="center"/>
              <w:rPr>
                <w:rFonts w:ascii="Times New Roman" w:eastAsia="Times New Roman" w:hAnsi="Times New Roman" w:cs="Times New Roman"/>
                <w:b/>
                <w:bCs/>
                <w:noProof/>
                <w:color w:val="000000"/>
                <w:sz w:val="16"/>
                <w:szCs w:val="16"/>
                <w:lang w:eastAsia="en-GB"/>
              </w:rPr>
            </w:pPr>
            <w:r>
              <w:rPr>
                <w:rFonts w:ascii="Times New Roman" w:eastAsia="Times New Roman" w:hAnsi="Times New Roman" w:cs="Times New Roman"/>
                <w:b/>
                <w:bCs/>
                <w:noProof/>
                <w:color w:val="000000"/>
                <w:sz w:val="16"/>
                <w:szCs w:val="16"/>
                <w:lang w:eastAsia="en-GB"/>
              </w:rPr>
              <w:t>Option1A-1/1B-1</w:t>
            </w:r>
          </w:p>
        </w:tc>
        <w:tc>
          <w:tcPr>
            <w:tcW w:w="1532" w:type="dxa"/>
            <w:shd w:val="clear" w:color="auto" w:fill="auto"/>
            <w:vAlign w:val="center"/>
            <w:hideMark/>
          </w:tcPr>
          <w:p>
            <w:pPr>
              <w:spacing w:after="0" w:line="240" w:lineRule="auto"/>
              <w:jc w:val="center"/>
              <w:rPr>
                <w:rFonts w:ascii="Times New Roman" w:eastAsia="Times New Roman" w:hAnsi="Times New Roman" w:cs="Times New Roman"/>
                <w:b/>
                <w:bCs/>
                <w:noProof/>
                <w:color w:val="000000"/>
                <w:sz w:val="16"/>
                <w:szCs w:val="16"/>
                <w:lang w:eastAsia="en-GB"/>
              </w:rPr>
            </w:pPr>
            <w:r>
              <w:rPr>
                <w:rFonts w:ascii="Times New Roman" w:eastAsia="Times New Roman" w:hAnsi="Times New Roman" w:cs="Times New Roman"/>
                <w:b/>
                <w:bCs/>
                <w:noProof/>
                <w:color w:val="000000"/>
                <w:sz w:val="16"/>
                <w:szCs w:val="16"/>
                <w:lang w:eastAsia="en-GB"/>
              </w:rPr>
              <w:t>Option 1B-2</w:t>
            </w:r>
          </w:p>
        </w:tc>
        <w:tc>
          <w:tcPr>
            <w:tcW w:w="1559" w:type="dxa"/>
            <w:shd w:val="clear" w:color="auto" w:fill="auto"/>
            <w:vAlign w:val="center"/>
            <w:hideMark/>
          </w:tcPr>
          <w:p>
            <w:pPr>
              <w:spacing w:after="0" w:line="240" w:lineRule="auto"/>
              <w:jc w:val="center"/>
              <w:rPr>
                <w:rFonts w:ascii="Times New Roman" w:eastAsia="Times New Roman" w:hAnsi="Times New Roman" w:cs="Times New Roman"/>
                <w:b/>
                <w:bCs/>
                <w:noProof/>
                <w:color w:val="000000"/>
                <w:sz w:val="16"/>
                <w:szCs w:val="16"/>
                <w:lang w:eastAsia="en-GB"/>
              </w:rPr>
            </w:pPr>
            <w:r>
              <w:rPr>
                <w:rFonts w:ascii="Times New Roman" w:eastAsia="Times New Roman" w:hAnsi="Times New Roman" w:cs="Times New Roman"/>
                <w:b/>
                <w:bCs/>
                <w:noProof/>
                <w:color w:val="000000"/>
                <w:sz w:val="16"/>
                <w:szCs w:val="16"/>
                <w:lang w:eastAsia="en-GB"/>
              </w:rPr>
              <w:t>Option 2D-1</w:t>
            </w:r>
          </w:p>
        </w:tc>
        <w:tc>
          <w:tcPr>
            <w:tcW w:w="1843" w:type="dxa"/>
            <w:shd w:val="clear" w:color="auto" w:fill="auto"/>
            <w:vAlign w:val="center"/>
            <w:hideMark/>
          </w:tcPr>
          <w:p>
            <w:pPr>
              <w:spacing w:after="0" w:line="240" w:lineRule="auto"/>
              <w:jc w:val="center"/>
              <w:rPr>
                <w:rFonts w:ascii="Times New Roman" w:eastAsia="Times New Roman" w:hAnsi="Times New Roman" w:cs="Times New Roman"/>
                <w:b/>
                <w:bCs/>
                <w:noProof/>
                <w:color w:val="000000"/>
                <w:sz w:val="16"/>
                <w:szCs w:val="16"/>
                <w:lang w:eastAsia="en-GB"/>
              </w:rPr>
            </w:pPr>
            <w:r>
              <w:rPr>
                <w:rFonts w:ascii="Times New Roman" w:eastAsia="Times New Roman" w:hAnsi="Times New Roman" w:cs="Times New Roman"/>
                <w:b/>
                <w:bCs/>
                <w:noProof/>
                <w:color w:val="000000"/>
                <w:sz w:val="16"/>
                <w:szCs w:val="16"/>
                <w:lang w:eastAsia="en-GB"/>
              </w:rPr>
              <w:t>Option 2D-2</w:t>
            </w:r>
          </w:p>
        </w:tc>
        <w:tc>
          <w:tcPr>
            <w:tcW w:w="1816" w:type="dxa"/>
            <w:shd w:val="clear" w:color="auto" w:fill="auto"/>
            <w:vAlign w:val="center"/>
            <w:hideMark/>
          </w:tcPr>
          <w:p>
            <w:pPr>
              <w:spacing w:after="0" w:line="240" w:lineRule="auto"/>
              <w:jc w:val="center"/>
              <w:rPr>
                <w:rFonts w:ascii="Times New Roman" w:eastAsia="Times New Roman" w:hAnsi="Times New Roman" w:cs="Times New Roman"/>
                <w:b/>
                <w:bCs/>
                <w:noProof/>
                <w:color w:val="000000"/>
                <w:sz w:val="16"/>
                <w:szCs w:val="16"/>
                <w:lang w:eastAsia="en-GB"/>
              </w:rPr>
            </w:pPr>
            <w:r>
              <w:rPr>
                <w:rFonts w:ascii="Times New Roman" w:eastAsia="Times New Roman" w:hAnsi="Times New Roman" w:cs="Times New Roman"/>
                <w:b/>
                <w:bCs/>
                <w:noProof/>
                <w:color w:val="000000"/>
                <w:sz w:val="16"/>
                <w:szCs w:val="16"/>
                <w:lang w:eastAsia="en-GB"/>
              </w:rPr>
              <w:t>Option 1A-2</w:t>
            </w:r>
          </w:p>
        </w:tc>
        <w:tc>
          <w:tcPr>
            <w:tcW w:w="1131" w:type="dxa"/>
            <w:shd w:val="clear" w:color="auto" w:fill="auto"/>
            <w:vAlign w:val="center"/>
            <w:hideMark/>
          </w:tcPr>
          <w:p>
            <w:pPr>
              <w:spacing w:after="0" w:line="240" w:lineRule="auto"/>
              <w:jc w:val="center"/>
              <w:rPr>
                <w:rFonts w:ascii="Times New Roman" w:eastAsia="Times New Roman" w:hAnsi="Times New Roman" w:cs="Times New Roman"/>
                <w:b/>
                <w:bCs/>
                <w:noProof/>
                <w:color w:val="000000"/>
                <w:sz w:val="16"/>
                <w:szCs w:val="16"/>
                <w:lang w:eastAsia="en-GB"/>
              </w:rPr>
            </w:pPr>
            <w:r>
              <w:rPr>
                <w:rFonts w:ascii="Times New Roman" w:eastAsia="Times New Roman" w:hAnsi="Times New Roman" w:cs="Times New Roman"/>
                <w:b/>
                <w:bCs/>
                <w:noProof/>
                <w:color w:val="000000"/>
                <w:sz w:val="16"/>
                <w:szCs w:val="16"/>
                <w:lang w:eastAsia="en-GB"/>
              </w:rPr>
              <w:t>Option 2A</w:t>
            </w:r>
          </w:p>
        </w:tc>
        <w:tc>
          <w:tcPr>
            <w:tcW w:w="1083" w:type="dxa"/>
            <w:shd w:val="clear" w:color="auto" w:fill="auto"/>
            <w:vAlign w:val="center"/>
            <w:hideMark/>
          </w:tcPr>
          <w:p>
            <w:pPr>
              <w:spacing w:after="0" w:line="240" w:lineRule="auto"/>
              <w:jc w:val="center"/>
              <w:rPr>
                <w:rFonts w:ascii="Times New Roman" w:eastAsia="Times New Roman" w:hAnsi="Times New Roman" w:cs="Times New Roman"/>
                <w:b/>
                <w:bCs/>
                <w:noProof/>
                <w:color w:val="000000"/>
                <w:sz w:val="16"/>
                <w:szCs w:val="16"/>
                <w:lang w:eastAsia="en-GB"/>
              </w:rPr>
            </w:pPr>
            <w:r>
              <w:rPr>
                <w:rFonts w:ascii="Times New Roman" w:eastAsia="Times New Roman" w:hAnsi="Times New Roman" w:cs="Times New Roman"/>
                <w:b/>
                <w:bCs/>
                <w:noProof/>
                <w:color w:val="000000"/>
                <w:sz w:val="16"/>
                <w:szCs w:val="16"/>
                <w:lang w:eastAsia="en-GB"/>
              </w:rPr>
              <w:t>Option 2B</w:t>
            </w:r>
          </w:p>
        </w:tc>
        <w:tc>
          <w:tcPr>
            <w:tcW w:w="963" w:type="dxa"/>
            <w:shd w:val="clear" w:color="auto" w:fill="auto"/>
            <w:vAlign w:val="center"/>
            <w:hideMark/>
          </w:tcPr>
          <w:p>
            <w:pPr>
              <w:spacing w:after="0" w:line="240" w:lineRule="auto"/>
              <w:jc w:val="center"/>
              <w:rPr>
                <w:rFonts w:ascii="Times New Roman" w:eastAsia="Times New Roman" w:hAnsi="Times New Roman" w:cs="Times New Roman"/>
                <w:b/>
                <w:bCs/>
                <w:noProof/>
                <w:color w:val="000000"/>
                <w:sz w:val="16"/>
                <w:szCs w:val="16"/>
                <w:lang w:eastAsia="en-GB"/>
              </w:rPr>
            </w:pPr>
            <w:r>
              <w:rPr>
                <w:rFonts w:ascii="Times New Roman" w:eastAsia="Times New Roman" w:hAnsi="Times New Roman" w:cs="Times New Roman"/>
                <w:b/>
                <w:bCs/>
                <w:noProof/>
                <w:color w:val="000000"/>
                <w:sz w:val="16"/>
                <w:szCs w:val="16"/>
                <w:lang w:eastAsia="en-GB"/>
              </w:rPr>
              <w:t>Option 2C-1</w:t>
            </w:r>
          </w:p>
        </w:tc>
        <w:tc>
          <w:tcPr>
            <w:tcW w:w="1957" w:type="dxa"/>
            <w:shd w:val="clear" w:color="auto" w:fill="auto"/>
            <w:vAlign w:val="center"/>
            <w:hideMark/>
          </w:tcPr>
          <w:p>
            <w:pPr>
              <w:spacing w:after="0" w:line="240" w:lineRule="auto"/>
              <w:jc w:val="center"/>
              <w:rPr>
                <w:rFonts w:ascii="Times New Roman" w:eastAsia="Times New Roman" w:hAnsi="Times New Roman" w:cs="Times New Roman"/>
                <w:b/>
                <w:bCs/>
                <w:noProof/>
                <w:color w:val="000000"/>
                <w:sz w:val="16"/>
                <w:szCs w:val="16"/>
                <w:lang w:eastAsia="en-GB"/>
              </w:rPr>
            </w:pPr>
            <w:r>
              <w:rPr>
                <w:rFonts w:ascii="Times New Roman" w:eastAsia="Times New Roman" w:hAnsi="Times New Roman" w:cs="Times New Roman"/>
                <w:b/>
                <w:bCs/>
                <w:noProof/>
                <w:color w:val="000000"/>
                <w:sz w:val="16"/>
                <w:szCs w:val="16"/>
                <w:lang w:eastAsia="en-GB"/>
              </w:rPr>
              <w:t>Option 2C-2</w:t>
            </w:r>
          </w:p>
        </w:tc>
      </w:tr>
      <w:tr>
        <w:tc>
          <w:tcPr>
            <w:tcW w:w="1115" w:type="dxa"/>
            <w:shd w:val="clear" w:color="auto" w:fill="auto"/>
            <w:vAlign w:val="center"/>
            <w:hideMark/>
          </w:tcPr>
          <w:p>
            <w:pPr>
              <w:spacing w:after="0" w:line="240" w:lineRule="auto"/>
              <w:rPr>
                <w:rFonts w:ascii="Times New Roman" w:eastAsia="Times New Roman" w:hAnsi="Times New Roman" w:cs="Times New Roman"/>
                <w:b/>
                <w:bCs/>
                <w:noProof/>
                <w:color w:val="000000"/>
                <w:sz w:val="16"/>
                <w:szCs w:val="16"/>
                <w:lang w:eastAsia="en-GB"/>
              </w:rPr>
            </w:pPr>
            <w:r>
              <w:rPr>
                <w:rFonts w:ascii="Times New Roman" w:eastAsia="Times New Roman" w:hAnsi="Times New Roman" w:cs="Times New Roman"/>
                <w:b/>
                <w:bCs/>
                <w:noProof/>
                <w:color w:val="000000"/>
                <w:sz w:val="16"/>
                <w:szCs w:val="16"/>
                <w:lang w:eastAsia="en-GB"/>
              </w:rPr>
              <w:t>Measure</w:t>
            </w:r>
          </w:p>
        </w:tc>
        <w:tc>
          <w:tcPr>
            <w:tcW w:w="1176" w:type="dxa"/>
            <w:shd w:val="clear" w:color="auto" w:fill="auto"/>
            <w:vAlign w:val="center"/>
            <w:hideMark/>
          </w:tcPr>
          <w:p>
            <w:pPr>
              <w:spacing w:after="0" w:line="240" w:lineRule="auto"/>
              <w:jc w:val="center"/>
              <w:rPr>
                <w:rFonts w:ascii="Times New Roman" w:eastAsia="Times New Roman" w:hAnsi="Times New Roman" w:cs="Times New Roman"/>
                <w:b/>
                <w:bCs/>
                <w:noProof/>
                <w:color w:val="000000"/>
                <w:sz w:val="16"/>
                <w:szCs w:val="16"/>
                <w:lang w:eastAsia="en-GB"/>
              </w:rPr>
            </w:pPr>
            <w:r>
              <w:rPr>
                <w:rFonts w:ascii="Times New Roman" w:eastAsia="Times New Roman" w:hAnsi="Times New Roman" w:cs="Times New Roman"/>
                <w:b/>
                <w:bCs/>
                <w:noProof/>
                <w:color w:val="000000"/>
                <w:sz w:val="16"/>
                <w:szCs w:val="16"/>
                <w:lang w:eastAsia="en-GB"/>
              </w:rPr>
              <w:t>Transparency of salary information prior to employment</w:t>
            </w:r>
          </w:p>
        </w:tc>
        <w:tc>
          <w:tcPr>
            <w:tcW w:w="1532" w:type="dxa"/>
            <w:shd w:val="clear" w:color="auto" w:fill="auto"/>
            <w:vAlign w:val="center"/>
            <w:hideMark/>
          </w:tcPr>
          <w:p>
            <w:pPr>
              <w:spacing w:after="0" w:line="240" w:lineRule="auto"/>
              <w:jc w:val="center"/>
              <w:rPr>
                <w:rFonts w:ascii="Times New Roman" w:eastAsia="Times New Roman" w:hAnsi="Times New Roman" w:cs="Times New Roman"/>
                <w:b/>
                <w:bCs/>
                <w:noProof/>
                <w:color w:val="000000"/>
                <w:sz w:val="16"/>
                <w:szCs w:val="16"/>
                <w:lang w:eastAsia="en-GB"/>
              </w:rPr>
            </w:pPr>
            <w:r>
              <w:rPr>
                <w:rFonts w:ascii="Times New Roman" w:eastAsia="Times New Roman" w:hAnsi="Times New Roman" w:cs="Times New Roman"/>
                <w:b/>
                <w:bCs/>
                <w:noProof/>
                <w:color w:val="000000"/>
                <w:sz w:val="16"/>
                <w:szCs w:val="16"/>
                <w:lang w:eastAsia="en-GB"/>
              </w:rPr>
              <w:t xml:space="preserve">Right of workers to receive individual information on pay compared to their category </w:t>
            </w:r>
            <w:r>
              <w:rPr>
                <w:rFonts w:ascii="Times New Roman" w:eastAsia="Times New Roman" w:hAnsi="Times New Roman" w:cs="Times New Roman"/>
                <w:b/>
                <w:bCs/>
                <w:i/>
                <w:iCs/>
                <w:noProof/>
                <w:color w:val="000000"/>
                <w:sz w:val="16"/>
                <w:szCs w:val="16"/>
                <w:lang w:eastAsia="en-GB"/>
              </w:rPr>
              <w:t>upon request</w:t>
            </w:r>
          </w:p>
        </w:tc>
        <w:tc>
          <w:tcPr>
            <w:tcW w:w="1559" w:type="dxa"/>
            <w:shd w:val="clear" w:color="auto" w:fill="auto"/>
            <w:vAlign w:val="center"/>
            <w:hideMark/>
          </w:tcPr>
          <w:p>
            <w:pPr>
              <w:spacing w:after="0" w:line="240" w:lineRule="auto"/>
              <w:jc w:val="center"/>
              <w:rPr>
                <w:rFonts w:ascii="Times New Roman" w:eastAsia="Times New Roman" w:hAnsi="Times New Roman" w:cs="Times New Roman"/>
                <w:b/>
                <w:bCs/>
                <w:noProof/>
                <w:color w:val="000000"/>
                <w:sz w:val="16"/>
                <w:szCs w:val="16"/>
                <w:lang w:eastAsia="en-GB"/>
              </w:rPr>
            </w:pPr>
            <w:r>
              <w:rPr>
                <w:rFonts w:ascii="Times New Roman" w:eastAsia="Times New Roman" w:hAnsi="Times New Roman" w:cs="Times New Roman"/>
                <w:b/>
                <w:bCs/>
                <w:noProof/>
                <w:color w:val="000000"/>
                <w:sz w:val="16"/>
                <w:szCs w:val="16"/>
                <w:lang w:eastAsia="en-GB"/>
              </w:rPr>
              <w:t xml:space="preserve">Employer obligation to report on average differences in pay between female and male workers </w:t>
            </w:r>
            <w:r>
              <w:rPr>
                <w:rFonts w:ascii="Times New Roman" w:eastAsia="Times New Roman" w:hAnsi="Times New Roman" w:cs="Times New Roman"/>
                <w:b/>
                <w:bCs/>
                <w:i/>
                <w:iCs/>
                <w:noProof/>
                <w:color w:val="000000"/>
                <w:sz w:val="16"/>
                <w:szCs w:val="16"/>
                <w:lang w:eastAsia="en-GB"/>
              </w:rPr>
              <w:t>by worker category</w:t>
            </w:r>
          </w:p>
        </w:tc>
        <w:tc>
          <w:tcPr>
            <w:tcW w:w="1843" w:type="dxa"/>
            <w:shd w:val="clear" w:color="auto" w:fill="auto"/>
            <w:vAlign w:val="center"/>
            <w:hideMark/>
          </w:tcPr>
          <w:p>
            <w:pPr>
              <w:spacing w:after="0" w:line="240" w:lineRule="auto"/>
              <w:jc w:val="center"/>
              <w:rPr>
                <w:rFonts w:ascii="Times New Roman" w:eastAsia="Times New Roman" w:hAnsi="Times New Roman" w:cs="Times New Roman"/>
                <w:b/>
                <w:bCs/>
                <w:noProof/>
                <w:color w:val="000000"/>
                <w:sz w:val="16"/>
                <w:szCs w:val="16"/>
                <w:lang w:eastAsia="en-GB"/>
              </w:rPr>
            </w:pPr>
            <w:r>
              <w:rPr>
                <w:rFonts w:ascii="Times New Roman" w:eastAsia="Times New Roman" w:hAnsi="Times New Roman" w:cs="Times New Roman"/>
                <w:b/>
                <w:bCs/>
                <w:noProof/>
                <w:color w:val="000000"/>
                <w:sz w:val="16"/>
                <w:szCs w:val="16"/>
                <w:lang w:eastAsia="en-GB"/>
              </w:rPr>
              <w:t xml:space="preserve">Employer obligation to carry out a joint pay assessment </w:t>
            </w:r>
            <w:r>
              <w:rPr>
                <w:rFonts w:ascii="Times New Roman" w:eastAsia="Times New Roman" w:hAnsi="Times New Roman" w:cs="Times New Roman"/>
                <w:b/>
                <w:bCs/>
                <w:i/>
                <w:iCs/>
                <w:noProof/>
                <w:color w:val="000000"/>
                <w:sz w:val="16"/>
                <w:szCs w:val="16"/>
                <w:lang w:eastAsia="en-GB"/>
              </w:rPr>
              <w:t>if pay reports show pay differences which cannot be justified by objective, gender-neutral factors</w:t>
            </w:r>
          </w:p>
        </w:tc>
        <w:tc>
          <w:tcPr>
            <w:tcW w:w="1816" w:type="dxa"/>
            <w:shd w:val="clear" w:color="auto" w:fill="auto"/>
            <w:vAlign w:val="center"/>
            <w:hideMark/>
          </w:tcPr>
          <w:p>
            <w:pPr>
              <w:spacing w:after="0" w:line="240" w:lineRule="auto"/>
              <w:jc w:val="center"/>
              <w:rPr>
                <w:rFonts w:ascii="Times New Roman" w:eastAsia="Times New Roman" w:hAnsi="Times New Roman" w:cs="Times New Roman"/>
                <w:b/>
                <w:bCs/>
                <w:noProof/>
                <w:color w:val="000000"/>
                <w:sz w:val="16"/>
                <w:szCs w:val="16"/>
                <w:lang w:eastAsia="en-GB"/>
              </w:rPr>
            </w:pPr>
            <w:r>
              <w:rPr>
                <w:rFonts w:ascii="Times New Roman" w:eastAsia="Times New Roman" w:hAnsi="Times New Roman" w:cs="Times New Roman"/>
                <w:b/>
                <w:bCs/>
                <w:noProof/>
                <w:color w:val="000000"/>
                <w:sz w:val="16"/>
                <w:szCs w:val="16"/>
                <w:lang w:eastAsia="en-GB"/>
              </w:rPr>
              <w:t>Employers’ obligation to provide all workers with individual information on pay compared to their category</w:t>
            </w:r>
          </w:p>
        </w:tc>
        <w:tc>
          <w:tcPr>
            <w:tcW w:w="1131" w:type="dxa"/>
            <w:shd w:val="clear" w:color="auto" w:fill="auto"/>
            <w:vAlign w:val="center"/>
            <w:hideMark/>
          </w:tcPr>
          <w:p>
            <w:pPr>
              <w:spacing w:after="0" w:line="240" w:lineRule="auto"/>
              <w:jc w:val="center"/>
              <w:rPr>
                <w:rFonts w:ascii="Times New Roman" w:eastAsia="Times New Roman" w:hAnsi="Times New Roman" w:cs="Times New Roman"/>
                <w:b/>
                <w:bCs/>
                <w:noProof/>
                <w:color w:val="000000"/>
                <w:sz w:val="16"/>
                <w:szCs w:val="16"/>
                <w:lang w:eastAsia="en-GB"/>
              </w:rPr>
            </w:pPr>
            <w:r>
              <w:rPr>
                <w:rFonts w:ascii="Times New Roman" w:eastAsia="Times New Roman" w:hAnsi="Times New Roman" w:cs="Times New Roman"/>
                <w:b/>
                <w:bCs/>
                <w:noProof/>
                <w:color w:val="000000"/>
                <w:sz w:val="16"/>
                <w:szCs w:val="16"/>
                <w:lang w:eastAsia="en-GB"/>
              </w:rPr>
              <w:t>Equal pay certification</w:t>
            </w:r>
          </w:p>
        </w:tc>
        <w:tc>
          <w:tcPr>
            <w:tcW w:w="1083" w:type="dxa"/>
            <w:shd w:val="clear" w:color="auto" w:fill="auto"/>
            <w:vAlign w:val="center"/>
            <w:hideMark/>
          </w:tcPr>
          <w:p>
            <w:pPr>
              <w:spacing w:after="0" w:line="240" w:lineRule="auto"/>
              <w:jc w:val="center"/>
              <w:rPr>
                <w:rFonts w:ascii="Times New Roman" w:eastAsia="Times New Roman" w:hAnsi="Times New Roman" w:cs="Times New Roman"/>
                <w:b/>
                <w:bCs/>
                <w:noProof/>
                <w:color w:val="000000"/>
                <w:sz w:val="16"/>
                <w:szCs w:val="16"/>
                <w:lang w:eastAsia="en-GB"/>
              </w:rPr>
            </w:pPr>
            <w:r>
              <w:rPr>
                <w:rFonts w:ascii="Times New Roman" w:eastAsia="Times New Roman" w:hAnsi="Times New Roman" w:cs="Times New Roman"/>
                <w:b/>
                <w:bCs/>
                <w:noProof/>
                <w:color w:val="000000"/>
                <w:sz w:val="16"/>
                <w:szCs w:val="16"/>
                <w:lang w:eastAsia="en-GB"/>
              </w:rPr>
              <w:t>Joint pay assessment</w:t>
            </w:r>
          </w:p>
        </w:tc>
        <w:tc>
          <w:tcPr>
            <w:tcW w:w="963" w:type="dxa"/>
            <w:shd w:val="clear" w:color="auto" w:fill="auto"/>
            <w:vAlign w:val="center"/>
            <w:hideMark/>
          </w:tcPr>
          <w:p>
            <w:pPr>
              <w:spacing w:after="0" w:line="240" w:lineRule="auto"/>
              <w:jc w:val="center"/>
              <w:rPr>
                <w:rFonts w:ascii="Times New Roman" w:eastAsia="Times New Roman" w:hAnsi="Times New Roman" w:cs="Times New Roman"/>
                <w:b/>
                <w:bCs/>
                <w:noProof/>
                <w:color w:val="000000"/>
                <w:sz w:val="16"/>
                <w:szCs w:val="16"/>
                <w:lang w:eastAsia="en-GB"/>
              </w:rPr>
            </w:pPr>
            <w:r>
              <w:rPr>
                <w:rFonts w:ascii="Times New Roman" w:eastAsia="Times New Roman" w:hAnsi="Times New Roman" w:cs="Times New Roman"/>
                <w:b/>
                <w:bCs/>
                <w:noProof/>
                <w:color w:val="000000"/>
                <w:sz w:val="16"/>
                <w:szCs w:val="16"/>
                <w:lang w:eastAsia="en-GB"/>
              </w:rPr>
              <w:t>Employer obligation to carry out a joint pay assessment</w:t>
            </w:r>
          </w:p>
        </w:tc>
        <w:tc>
          <w:tcPr>
            <w:tcW w:w="1957" w:type="dxa"/>
            <w:shd w:val="clear" w:color="auto" w:fill="auto"/>
            <w:vAlign w:val="center"/>
            <w:hideMark/>
          </w:tcPr>
          <w:p>
            <w:pPr>
              <w:spacing w:after="0" w:line="240" w:lineRule="auto"/>
              <w:jc w:val="center"/>
              <w:rPr>
                <w:rFonts w:ascii="Times New Roman" w:eastAsia="Times New Roman" w:hAnsi="Times New Roman" w:cs="Times New Roman"/>
                <w:b/>
                <w:bCs/>
                <w:noProof/>
                <w:color w:val="000000"/>
                <w:sz w:val="16"/>
                <w:szCs w:val="16"/>
                <w:lang w:eastAsia="en-GB"/>
              </w:rPr>
            </w:pPr>
            <w:r>
              <w:rPr>
                <w:rFonts w:ascii="Times New Roman" w:eastAsia="Times New Roman" w:hAnsi="Times New Roman" w:cs="Times New Roman"/>
                <w:b/>
                <w:bCs/>
                <w:noProof/>
                <w:color w:val="000000"/>
                <w:sz w:val="16"/>
                <w:szCs w:val="16"/>
                <w:lang w:eastAsia="en-GB"/>
              </w:rPr>
              <w:t>Employer obligation to report on average differences in pay between female and male workers</w:t>
            </w:r>
          </w:p>
        </w:tc>
      </w:tr>
      <w:tr>
        <w:trPr>
          <w:trHeight w:val="333"/>
        </w:trPr>
        <w:tc>
          <w:tcPr>
            <w:tcW w:w="1115" w:type="dxa"/>
            <w:shd w:val="clear" w:color="auto" w:fill="auto"/>
            <w:vAlign w:val="center"/>
            <w:hideMark/>
          </w:tcPr>
          <w:p>
            <w:pPr>
              <w:spacing w:after="0" w:line="240" w:lineRule="auto"/>
              <w:rPr>
                <w:rFonts w:ascii="Times New Roman" w:eastAsia="Times New Roman" w:hAnsi="Times New Roman" w:cs="Times New Roman"/>
                <w:b/>
                <w:bCs/>
                <w:noProof/>
                <w:color w:val="000000"/>
                <w:sz w:val="16"/>
                <w:szCs w:val="16"/>
                <w:lang w:eastAsia="en-GB"/>
              </w:rPr>
            </w:pPr>
            <w:r>
              <w:rPr>
                <w:rFonts w:ascii="Times New Roman" w:eastAsia="Times New Roman" w:hAnsi="Times New Roman" w:cs="Times New Roman"/>
                <w:b/>
                <w:bCs/>
                <w:noProof/>
                <w:color w:val="000000"/>
                <w:sz w:val="16"/>
                <w:szCs w:val="16"/>
                <w:lang w:eastAsia="en-GB"/>
              </w:rPr>
              <w:t>Scope</w:t>
            </w:r>
          </w:p>
        </w:tc>
        <w:tc>
          <w:tcPr>
            <w:tcW w:w="1176" w:type="dxa"/>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All EU companies</w:t>
            </w:r>
          </w:p>
        </w:tc>
        <w:tc>
          <w:tcPr>
            <w:tcW w:w="1532" w:type="dxa"/>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All EU companies</w:t>
            </w:r>
          </w:p>
        </w:tc>
        <w:tc>
          <w:tcPr>
            <w:tcW w:w="1559" w:type="dxa"/>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250+ workers</w:t>
            </w:r>
          </w:p>
        </w:tc>
        <w:tc>
          <w:tcPr>
            <w:tcW w:w="1843" w:type="dxa"/>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250+ workers</w:t>
            </w:r>
          </w:p>
        </w:tc>
        <w:tc>
          <w:tcPr>
            <w:tcW w:w="1816" w:type="dxa"/>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50+ workers</w:t>
            </w:r>
          </w:p>
        </w:tc>
        <w:tc>
          <w:tcPr>
            <w:tcW w:w="1131" w:type="dxa"/>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50+ workers</w:t>
            </w:r>
          </w:p>
        </w:tc>
        <w:tc>
          <w:tcPr>
            <w:tcW w:w="1083" w:type="dxa"/>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50+ workers</w:t>
            </w:r>
          </w:p>
        </w:tc>
        <w:tc>
          <w:tcPr>
            <w:tcW w:w="963" w:type="dxa"/>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250+ workers</w:t>
            </w:r>
          </w:p>
        </w:tc>
        <w:tc>
          <w:tcPr>
            <w:tcW w:w="1957" w:type="dxa"/>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50+ workers</w:t>
            </w:r>
          </w:p>
        </w:tc>
      </w:tr>
      <w:tr>
        <w:trPr>
          <w:trHeight w:val="333"/>
        </w:trPr>
        <w:tc>
          <w:tcPr>
            <w:tcW w:w="1115" w:type="dxa"/>
            <w:shd w:val="clear" w:color="auto" w:fill="auto"/>
            <w:vAlign w:val="center"/>
          </w:tcPr>
          <w:p>
            <w:pPr>
              <w:spacing w:after="0" w:line="240" w:lineRule="auto"/>
              <w:rPr>
                <w:rFonts w:ascii="Times New Roman" w:eastAsia="Times New Roman" w:hAnsi="Times New Roman" w:cs="Times New Roman"/>
                <w:b/>
                <w:bCs/>
                <w:noProof/>
                <w:color w:val="000000"/>
                <w:sz w:val="16"/>
                <w:szCs w:val="16"/>
                <w:lang w:eastAsia="en-GB"/>
              </w:rPr>
            </w:pPr>
            <w:r>
              <w:rPr>
                <w:rFonts w:ascii="Times New Roman" w:eastAsia="Times New Roman" w:hAnsi="Times New Roman" w:cs="Times New Roman"/>
                <w:b/>
                <w:bCs/>
                <w:noProof/>
                <w:color w:val="000000"/>
                <w:sz w:val="16"/>
                <w:szCs w:val="16"/>
                <w:lang w:eastAsia="en-GB"/>
              </w:rPr>
              <w:t>Overall support from consultations</w:t>
            </w:r>
          </w:p>
        </w:tc>
        <w:tc>
          <w:tcPr>
            <w:tcW w:w="1176" w:type="dxa"/>
            <w:shd w:val="clear" w:color="auto" w:fill="auto"/>
            <w:vAlign w:val="center"/>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Unions 78%</w:t>
            </w:r>
          </w:p>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Business 41%</w:t>
            </w:r>
          </w:p>
        </w:tc>
        <w:tc>
          <w:tcPr>
            <w:tcW w:w="1532" w:type="dxa"/>
            <w:shd w:val="clear" w:color="auto" w:fill="auto"/>
            <w:vAlign w:val="center"/>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EU citizens 88%</w:t>
            </w:r>
          </w:p>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Unions 89%</w:t>
            </w:r>
          </w:p>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Business 18%</w:t>
            </w:r>
          </w:p>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Member States 59%</w:t>
            </w:r>
          </w:p>
        </w:tc>
        <w:tc>
          <w:tcPr>
            <w:tcW w:w="1559" w:type="dxa"/>
            <w:shd w:val="clear" w:color="auto" w:fill="auto"/>
            <w:vAlign w:val="center"/>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EU citizens 78%</w:t>
            </w:r>
          </w:p>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Business 20%</w:t>
            </w:r>
          </w:p>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Member States 82%</w:t>
            </w:r>
          </w:p>
        </w:tc>
        <w:tc>
          <w:tcPr>
            <w:tcW w:w="1843" w:type="dxa"/>
            <w:shd w:val="clear" w:color="auto" w:fill="auto"/>
            <w:vAlign w:val="center"/>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Unions 95,6%</w:t>
            </w:r>
          </w:p>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 xml:space="preserve"> Business 23,5%</w:t>
            </w:r>
          </w:p>
        </w:tc>
        <w:tc>
          <w:tcPr>
            <w:tcW w:w="1816" w:type="dxa"/>
            <w:shd w:val="clear" w:color="auto" w:fill="auto"/>
            <w:vAlign w:val="center"/>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EU citizens 88%</w:t>
            </w:r>
          </w:p>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Unions 89%</w:t>
            </w:r>
          </w:p>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Business 18%</w:t>
            </w:r>
          </w:p>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Member States 59%</w:t>
            </w:r>
          </w:p>
        </w:tc>
        <w:tc>
          <w:tcPr>
            <w:tcW w:w="1131" w:type="dxa"/>
            <w:shd w:val="clear" w:color="auto" w:fill="auto"/>
            <w:vAlign w:val="center"/>
          </w:tcPr>
          <w:p>
            <w:pPr>
              <w:spacing w:after="0" w:line="240" w:lineRule="auto"/>
              <w:jc w:val="center"/>
              <w:rPr>
                <w:rFonts w:ascii="Times New Roman" w:eastAsia="Times New Roman" w:hAnsi="Times New Roman" w:cs="Times New Roman"/>
                <w:noProof/>
                <w:color w:val="000000"/>
                <w:sz w:val="16"/>
                <w:szCs w:val="16"/>
                <w:lang w:eastAsia="en-GB"/>
              </w:rPr>
            </w:pPr>
          </w:p>
        </w:tc>
        <w:tc>
          <w:tcPr>
            <w:tcW w:w="1083" w:type="dxa"/>
            <w:shd w:val="clear" w:color="auto" w:fill="auto"/>
            <w:vAlign w:val="center"/>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Unions 95,6%</w:t>
            </w:r>
          </w:p>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Business 23,5%</w:t>
            </w:r>
          </w:p>
        </w:tc>
        <w:tc>
          <w:tcPr>
            <w:tcW w:w="963" w:type="dxa"/>
            <w:shd w:val="clear" w:color="auto" w:fill="auto"/>
            <w:vAlign w:val="center"/>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Unions 95,6%</w:t>
            </w:r>
          </w:p>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Business 23,5%</w:t>
            </w:r>
          </w:p>
        </w:tc>
        <w:tc>
          <w:tcPr>
            <w:tcW w:w="1957" w:type="dxa"/>
            <w:shd w:val="clear" w:color="auto" w:fill="auto"/>
            <w:vAlign w:val="center"/>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EU citizens 78%</w:t>
            </w:r>
          </w:p>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Business 20%</w:t>
            </w:r>
          </w:p>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Member States 82%</w:t>
            </w:r>
          </w:p>
        </w:tc>
      </w:tr>
      <w:tr>
        <w:tc>
          <w:tcPr>
            <w:tcW w:w="1115" w:type="dxa"/>
            <w:shd w:val="clear" w:color="auto" w:fill="auto"/>
            <w:vAlign w:val="center"/>
            <w:hideMark/>
          </w:tcPr>
          <w:p>
            <w:pPr>
              <w:spacing w:after="0" w:line="240" w:lineRule="auto"/>
              <w:rPr>
                <w:rFonts w:ascii="Times New Roman" w:eastAsia="Times New Roman" w:hAnsi="Times New Roman" w:cs="Times New Roman"/>
                <w:b/>
                <w:bCs/>
                <w:noProof/>
                <w:color w:val="000000"/>
                <w:sz w:val="16"/>
                <w:szCs w:val="16"/>
                <w:lang w:eastAsia="en-GB"/>
              </w:rPr>
            </w:pPr>
            <w:r>
              <w:rPr>
                <w:rFonts w:ascii="Times New Roman" w:eastAsia="Times New Roman" w:hAnsi="Times New Roman" w:cs="Times New Roman"/>
                <w:b/>
                <w:bCs/>
                <w:noProof/>
                <w:color w:val="000000"/>
                <w:sz w:val="16"/>
                <w:szCs w:val="16"/>
                <w:lang w:eastAsia="en-GB"/>
              </w:rPr>
              <w:t>Nbr and % of companies impacted</w:t>
            </w:r>
          </w:p>
        </w:tc>
        <w:tc>
          <w:tcPr>
            <w:tcW w:w="1176" w:type="dxa"/>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20 million (100%)</w:t>
            </w:r>
          </w:p>
        </w:tc>
        <w:tc>
          <w:tcPr>
            <w:tcW w:w="1532" w:type="dxa"/>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20 million (100%)</w:t>
            </w:r>
          </w:p>
        </w:tc>
        <w:tc>
          <w:tcPr>
            <w:tcW w:w="1559" w:type="dxa"/>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 xml:space="preserve">41 thousand </w:t>
            </w:r>
          </w:p>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(0,2%)</w:t>
            </w:r>
          </w:p>
        </w:tc>
        <w:tc>
          <w:tcPr>
            <w:tcW w:w="1843" w:type="dxa"/>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Depend on number of employers subject to pay assessment</w:t>
            </w:r>
          </w:p>
        </w:tc>
        <w:tc>
          <w:tcPr>
            <w:tcW w:w="1816" w:type="dxa"/>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 xml:space="preserve">249 thousand </w:t>
            </w:r>
          </w:p>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(1,1%)</w:t>
            </w:r>
          </w:p>
        </w:tc>
        <w:tc>
          <w:tcPr>
            <w:tcW w:w="1131" w:type="dxa"/>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249 thousand (1,1%)</w:t>
            </w:r>
          </w:p>
        </w:tc>
        <w:tc>
          <w:tcPr>
            <w:tcW w:w="1083" w:type="dxa"/>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249 thousand (1,1%)</w:t>
            </w:r>
          </w:p>
        </w:tc>
        <w:tc>
          <w:tcPr>
            <w:tcW w:w="963" w:type="dxa"/>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41 thousand (0,2%)</w:t>
            </w:r>
          </w:p>
        </w:tc>
        <w:tc>
          <w:tcPr>
            <w:tcW w:w="1957" w:type="dxa"/>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249 thousand (1,1%)</w:t>
            </w:r>
          </w:p>
        </w:tc>
      </w:tr>
      <w:tr>
        <w:tc>
          <w:tcPr>
            <w:tcW w:w="1115" w:type="dxa"/>
            <w:shd w:val="clear" w:color="auto" w:fill="auto"/>
            <w:vAlign w:val="center"/>
            <w:hideMark/>
          </w:tcPr>
          <w:p>
            <w:pPr>
              <w:spacing w:after="0" w:line="240" w:lineRule="auto"/>
              <w:rPr>
                <w:rFonts w:ascii="Times New Roman" w:eastAsia="Times New Roman" w:hAnsi="Times New Roman" w:cs="Times New Roman"/>
                <w:b/>
                <w:bCs/>
                <w:noProof/>
                <w:color w:val="000000"/>
                <w:sz w:val="16"/>
                <w:szCs w:val="16"/>
                <w:lang w:eastAsia="en-GB"/>
              </w:rPr>
            </w:pPr>
            <w:r>
              <w:rPr>
                <w:rFonts w:ascii="Times New Roman" w:eastAsia="Times New Roman" w:hAnsi="Times New Roman" w:cs="Times New Roman"/>
                <w:b/>
                <w:bCs/>
                <w:noProof/>
                <w:color w:val="000000"/>
                <w:sz w:val="16"/>
                <w:szCs w:val="16"/>
                <w:lang w:eastAsia="en-GB"/>
              </w:rPr>
              <w:t>% of workers impacted</w:t>
            </w:r>
          </w:p>
        </w:tc>
        <w:tc>
          <w:tcPr>
            <w:tcW w:w="1176" w:type="dxa"/>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100%</w:t>
            </w:r>
          </w:p>
        </w:tc>
        <w:tc>
          <w:tcPr>
            <w:tcW w:w="1532" w:type="dxa"/>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100%</w:t>
            </w:r>
          </w:p>
        </w:tc>
        <w:tc>
          <w:tcPr>
            <w:tcW w:w="1559" w:type="dxa"/>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33%</w:t>
            </w:r>
          </w:p>
        </w:tc>
        <w:tc>
          <w:tcPr>
            <w:tcW w:w="1843" w:type="dxa"/>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Depend on number of employers subject to pay assessment</w:t>
            </w:r>
          </w:p>
        </w:tc>
        <w:tc>
          <w:tcPr>
            <w:tcW w:w="1816" w:type="dxa"/>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50%</w:t>
            </w:r>
          </w:p>
        </w:tc>
        <w:tc>
          <w:tcPr>
            <w:tcW w:w="1131" w:type="dxa"/>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50%</w:t>
            </w:r>
          </w:p>
        </w:tc>
        <w:tc>
          <w:tcPr>
            <w:tcW w:w="1083" w:type="dxa"/>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50%</w:t>
            </w:r>
          </w:p>
        </w:tc>
        <w:tc>
          <w:tcPr>
            <w:tcW w:w="963" w:type="dxa"/>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33%</w:t>
            </w:r>
          </w:p>
        </w:tc>
        <w:tc>
          <w:tcPr>
            <w:tcW w:w="1957" w:type="dxa"/>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50%</w:t>
            </w:r>
          </w:p>
        </w:tc>
      </w:tr>
      <w:tr>
        <w:tc>
          <w:tcPr>
            <w:tcW w:w="1115" w:type="dxa"/>
            <w:shd w:val="clear" w:color="auto" w:fill="auto"/>
            <w:vAlign w:val="center"/>
            <w:hideMark/>
          </w:tcPr>
          <w:p>
            <w:pPr>
              <w:spacing w:after="0" w:line="240" w:lineRule="auto"/>
              <w:rPr>
                <w:rFonts w:ascii="Times New Roman" w:eastAsia="Times New Roman" w:hAnsi="Times New Roman" w:cs="Times New Roman"/>
                <w:b/>
                <w:bCs/>
                <w:noProof/>
                <w:color w:val="000000"/>
                <w:sz w:val="16"/>
                <w:szCs w:val="16"/>
                <w:lang w:eastAsia="en-GB"/>
              </w:rPr>
            </w:pPr>
            <w:r>
              <w:rPr>
                <w:rFonts w:ascii="Times New Roman" w:eastAsia="Times New Roman" w:hAnsi="Times New Roman" w:cs="Times New Roman"/>
                <w:b/>
                <w:bCs/>
                <w:noProof/>
                <w:color w:val="000000"/>
                <w:sz w:val="16"/>
                <w:szCs w:val="16"/>
                <w:lang w:eastAsia="en-GB"/>
              </w:rPr>
              <w:t>Cost per employer</w:t>
            </w:r>
          </w:p>
        </w:tc>
        <w:tc>
          <w:tcPr>
            <w:tcW w:w="1176" w:type="dxa"/>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Nihil</w:t>
            </w:r>
          </w:p>
        </w:tc>
        <w:tc>
          <w:tcPr>
            <w:tcW w:w="1532" w:type="dxa"/>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Depend on number of requests (20EUR/request)</w:t>
            </w:r>
          </w:p>
        </w:tc>
        <w:tc>
          <w:tcPr>
            <w:tcW w:w="1559" w:type="dxa"/>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min.379-508 EUR; max.721-890EUR the first year (costs would decrease the following years)</w:t>
            </w:r>
          </w:p>
        </w:tc>
        <w:tc>
          <w:tcPr>
            <w:tcW w:w="1843" w:type="dxa"/>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min.1,180-1,724EUR; max.1,911-2,266EUR</w:t>
            </w:r>
          </w:p>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for the first year (costs might decrease or not be necessary in the following years)</w:t>
            </w:r>
          </w:p>
        </w:tc>
        <w:tc>
          <w:tcPr>
            <w:tcW w:w="1816" w:type="dxa"/>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val="fr-BE" w:eastAsia="en-GB"/>
              </w:rPr>
            </w:pPr>
            <w:r>
              <w:rPr>
                <w:rFonts w:ascii="Times New Roman" w:eastAsia="Times New Roman" w:hAnsi="Times New Roman" w:cs="Times New Roman"/>
                <w:noProof/>
                <w:color w:val="000000"/>
                <w:sz w:val="16"/>
                <w:szCs w:val="16"/>
                <w:lang w:val="fr-BE" w:eastAsia="en-GB"/>
              </w:rPr>
              <w:t>Communication costs: min. 32-135 EUR; max. 53-262 EUR;</w:t>
            </w:r>
          </w:p>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 xml:space="preserve">possible additional cost for grouping workers : 217-1080 EUR </w:t>
            </w:r>
          </w:p>
        </w:tc>
        <w:tc>
          <w:tcPr>
            <w:tcW w:w="1131" w:type="dxa"/>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min. 5,791-13,136 EUR; max. 8,301-24,512 EUR</w:t>
            </w:r>
          </w:p>
        </w:tc>
        <w:tc>
          <w:tcPr>
            <w:tcW w:w="1083" w:type="dxa"/>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Average 1,800-2,500 EUR</w:t>
            </w:r>
          </w:p>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for the first year (lower for subsequent assessments).</w:t>
            </w:r>
          </w:p>
        </w:tc>
        <w:tc>
          <w:tcPr>
            <w:tcW w:w="963" w:type="dxa"/>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Average 1,829-2,175 EUR</w:t>
            </w:r>
          </w:p>
        </w:tc>
        <w:tc>
          <w:tcPr>
            <w:tcW w:w="1957" w:type="dxa"/>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315-500 EUR</w:t>
            </w:r>
          </w:p>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yearly (100 EUR in the following years)</w:t>
            </w:r>
          </w:p>
        </w:tc>
      </w:tr>
      <w:tr>
        <w:tc>
          <w:tcPr>
            <w:tcW w:w="1115" w:type="dxa"/>
            <w:shd w:val="clear" w:color="auto" w:fill="auto"/>
            <w:vAlign w:val="center"/>
            <w:hideMark/>
          </w:tcPr>
          <w:p>
            <w:pPr>
              <w:spacing w:after="0" w:line="240" w:lineRule="auto"/>
              <w:rPr>
                <w:rFonts w:ascii="Times New Roman" w:eastAsia="Times New Roman" w:hAnsi="Times New Roman" w:cs="Times New Roman"/>
                <w:b/>
                <w:bCs/>
                <w:noProof/>
                <w:color w:val="000000"/>
                <w:sz w:val="16"/>
                <w:szCs w:val="16"/>
                <w:lang w:eastAsia="en-GB"/>
              </w:rPr>
            </w:pPr>
            <w:r>
              <w:rPr>
                <w:rFonts w:ascii="Times New Roman" w:eastAsia="Times New Roman" w:hAnsi="Times New Roman" w:cs="Times New Roman"/>
                <w:b/>
                <w:bCs/>
                <w:noProof/>
                <w:color w:val="000000"/>
                <w:sz w:val="16"/>
                <w:szCs w:val="16"/>
                <w:lang w:eastAsia="en-GB"/>
              </w:rPr>
              <w:t>Cost per MS</w:t>
            </w:r>
          </w:p>
        </w:tc>
        <w:tc>
          <w:tcPr>
            <w:tcW w:w="1176" w:type="dxa"/>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Nihil</w:t>
            </w:r>
          </w:p>
        </w:tc>
        <w:tc>
          <w:tcPr>
            <w:tcW w:w="1532" w:type="dxa"/>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negligible</w:t>
            </w:r>
          </w:p>
        </w:tc>
        <w:tc>
          <w:tcPr>
            <w:tcW w:w="1559" w:type="dxa"/>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400,000 EUR (82,000 EUR annual)</w:t>
            </w:r>
          </w:p>
        </w:tc>
        <w:tc>
          <w:tcPr>
            <w:tcW w:w="1843" w:type="dxa"/>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negligible</w:t>
            </w:r>
          </w:p>
        </w:tc>
        <w:tc>
          <w:tcPr>
            <w:tcW w:w="1816" w:type="dxa"/>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negligible</w:t>
            </w:r>
          </w:p>
        </w:tc>
        <w:tc>
          <w:tcPr>
            <w:tcW w:w="1131" w:type="dxa"/>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One-off 590,000 EUR (min. 50,000 EUR annual)</w:t>
            </w:r>
          </w:p>
        </w:tc>
        <w:tc>
          <w:tcPr>
            <w:tcW w:w="1083" w:type="dxa"/>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negligible</w:t>
            </w:r>
          </w:p>
        </w:tc>
        <w:tc>
          <w:tcPr>
            <w:tcW w:w="963" w:type="dxa"/>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negligible</w:t>
            </w:r>
          </w:p>
        </w:tc>
        <w:tc>
          <w:tcPr>
            <w:tcW w:w="1957" w:type="dxa"/>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400,000 EUR (82,000 EUR annual)</w:t>
            </w:r>
          </w:p>
        </w:tc>
      </w:tr>
      <w:tr>
        <w:tc>
          <w:tcPr>
            <w:tcW w:w="1115" w:type="dxa"/>
            <w:shd w:val="clear" w:color="auto" w:fill="auto"/>
            <w:vAlign w:val="center"/>
            <w:hideMark/>
          </w:tcPr>
          <w:p>
            <w:pPr>
              <w:spacing w:after="0" w:line="240" w:lineRule="auto"/>
              <w:rPr>
                <w:rFonts w:ascii="Times New Roman" w:eastAsia="Times New Roman" w:hAnsi="Times New Roman" w:cs="Times New Roman"/>
                <w:b/>
                <w:noProof/>
                <w:color w:val="000000"/>
                <w:sz w:val="16"/>
                <w:szCs w:val="16"/>
                <w:lang w:eastAsia="en-GB"/>
              </w:rPr>
            </w:pPr>
            <w:r>
              <w:rPr>
                <w:rFonts w:ascii="Times New Roman" w:eastAsia="Times New Roman" w:hAnsi="Times New Roman" w:cs="Times New Roman"/>
                <w:b/>
                <w:noProof/>
                <w:color w:val="000000"/>
                <w:sz w:val="16"/>
                <w:szCs w:val="16"/>
                <w:lang w:eastAsia="en-GB"/>
              </w:rPr>
              <w:t>Total Cost EU27</w:t>
            </w:r>
          </w:p>
        </w:tc>
        <w:tc>
          <w:tcPr>
            <w:tcW w:w="1176" w:type="dxa"/>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Nihil</w:t>
            </w:r>
          </w:p>
        </w:tc>
        <w:tc>
          <w:tcPr>
            <w:tcW w:w="1532" w:type="dxa"/>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Depend on number of requests</w:t>
            </w:r>
          </w:p>
        </w:tc>
        <w:tc>
          <w:tcPr>
            <w:tcW w:w="1559" w:type="dxa"/>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26-50 million EUR for employers and 10 million EUR for MS</w:t>
            </w:r>
          </w:p>
        </w:tc>
        <w:tc>
          <w:tcPr>
            <w:tcW w:w="1843" w:type="dxa"/>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Depend on number of employers subject to pay assessment</w:t>
            </w:r>
          </w:p>
        </w:tc>
        <w:tc>
          <w:tcPr>
            <w:tcW w:w="1816" w:type="dxa"/>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70-137 million EUR</w:t>
            </w:r>
          </w:p>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(+possible costs for grouping workers)</w:t>
            </w:r>
          </w:p>
        </w:tc>
        <w:tc>
          <w:tcPr>
            <w:tcW w:w="1131" w:type="dxa"/>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 xml:space="preserve">2.2-3.4 billion EUR </w:t>
            </w:r>
          </w:p>
        </w:tc>
        <w:tc>
          <w:tcPr>
            <w:tcW w:w="1083" w:type="dxa"/>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636-932 million EUR</w:t>
            </w:r>
          </w:p>
        </w:tc>
        <w:tc>
          <w:tcPr>
            <w:tcW w:w="963" w:type="dxa"/>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90-125 million EUR</w:t>
            </w:r>
          </w:p>
        </w:tc>
        <w:tc>
          <w:tcPr>
            <w:tcW w:w="1957" w:type="dxa"/>
            <w:shd w:val="clear" w:color="auto" w:fill="auto"/>
            <w:vAlign w:val="center"/>
            <w:hideMark/>
          </w:tcPr>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131-214 million EUR</w:t>
            </w:r>
          </w:p>
          <w:p>
            <w:pPr>
              <w:spacing w:after="0" w:line="240" w:lineRule="auto"/>
              <w:jc w:val="center"/>
              <w:rPr>
                <w:rFonts w:ascii="Times New Roman" w:eastAsia="Times New Roman" w:hAnsi="Times New Roman" w:cs="Times New Roman"/>
                <w:noProof/>
                <w:color w:val="000000"/>
                <w:sz w:val="16"/>
                <w:szCs w:val="16"/>
                <w:lang w:eastAsia="en-GB"/>
              </w:rPr>
            </w:pPr>
            <w:r>
              <w:rPr>
                <w:rFonts w:ascii="Times New Roman" w:eastAsia="Times New Roman" w:hAnsi="Times New Roman" w:cs="Times New Roman"/>
                <w:noProof/>
                <w:color w:val="000000"/>
                <w:sz w:val="16"/>
                <w:szCs w:val="16"/>
                <w:lang w:eastAsia="en-GB"/>
              </w:rPr>
              <w:t>for the first year (This decreases in the following years to between 20 and 36 million)</w:t>
            </w:r>
          </w:p>
        </w:tc>
      </w:tr>
    </w:tbl>
    <w:p>
      <w:pPr>
        <w:spacing w:after="0" w:line="240" w:lineRule="auto"/>
        <w:rPr>
          <w:rFonts w:ascii="Times New Roman" w:hAnsi="Times New Roman" w:cs="Times New Roman"/>
          <w:noProof/>
          <w:sz w:val="24"/>
          <w:szCs w:val="24"/>
        </w:rPr>
        <w:sectPr>
          <w:headerReference w:type="even" r:id="rId119"/>
          <w:headerReference w:type="default" r:id="rId120"/>
          <w:footerReference w:type="even" r:id="rId121"/>
          <w:footerReference w:type="default" r:id="rId122"/>
          <w:headerReference w:type="first" r:id="rId123"/>
          <w:footerReference w:type="first" r:id="rId124"/>
          <w:pgSz w:w="16838" w:h="11906" w:orient="landscape"/>
          <w:pgMar w:top="1587" w:right="1020" w:bottom="1701" w:left="1020" w:header="601" w:footer="1077" w:gutter="0"/>
          <w:cols w:space="720"/>
          <w:titlePg/>
          <w:docGrid w:linePitch="299"/>
        </w:sectPr>
      </w:pPr>
    </w:p>
    <w:p>
      <w:pPr>
        <w:pStyle w:val="Heading3"/>
        <w:numPr>
          <w:ilvl w:val="0"/>
          <w:numId w:val="55"/>
        </w:numPr>
        <w:ind w:left="426" w:hanging="426"/>
        <w:rPr>
          <w:i w:val="0"/>
          <w:noProof/>
        </w:rPr>
      </w:pPr>
      <w:r>
        <w:rPr>
          <w:noProof/>
        </w:rPr>
        <w:t>Summary of costs and benefits</w:t>
      </w:r>
      <w:bookmarkEnd w:id="7264"/>
      <w:bookmarkEnd w:id="7265"/>
      <w:bookmarkEnd w:id="7266"/>
      <w:bookmarkEnd w:id="7267"/>
      <w:bookmarkEnd w:id="7268"/>
      <w:bookmarkEnd w:id="7269"/>
      <w:bookmarkEnd w:id="7270"/>
    </w:p>
    <w:tbl>
      <w:tblPr>
        <w:tblStyle w:val="CV12"/>
        <w:tblW w:w="9375" w:type="dxa"/>
        <w:tblInd w:w="-45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552"/>
        <w:gridCol w:w="3562"/>
        <w:gridCol w:w="3261"/>
      </w:tblGrid>
      <w:tr>
        <w:tc>
          <w:tcPr>
            <w:tcW w:w="9375" w:type="dxa"/>
            <w:gridSpan w:val="3"/>
            <w:tcBorders>
              <w:top w:val="double" w:sz="4" w:space="0" w:color="auto"/>
              <w:bottom w:val="single" w:sz="4" w:space="0" w:color="auto"/>
            </w:tcBorders>
            <w:shd w:val="clear" w:color="auto" w:fill="C6D9F1" w:themeFill="text2" w:themeFillTint="33"/>
          </w:tcPr>
          <w:p>
            <w:pPr>
              <w:tabs>
                <w:tab w:val="num" w:pos="425"/>
              </w:tabs>
              <w:jc w:val="center"/>
              <w:rPr>
                <w:b/>
                <w:i/>
                <w:noProof/>
                <w:sz w:val="24"/>
                <w:szCs w:val="24"/>
              </w:rPr>
            </w:pPr>
            <w:r>
              <w:rPr>
                <w:b/>
                <w:bCs/>
                <w:i/>
                <w:iCs/>
                <w:noProof/>
                <w:sz w:val="24"/>
                <w:szCs w:val="24"/>
              </w:rPr>
              <w:t>I. Overview of Benefits (total for all provisions) – Preferred Option</w:t>
            </w:r>
          </w:p>
        </w:tc>
      </w:tr>
      <w:tr>
        <w:tc>
          <w:tcPr>
            <w:tcW w:w="2552" w:type="dxa"/>
            <w:tcBorders>
              <w:top w:val="single" w:sz="4" w:space="0" w:color="auto"/>
            </w:tcBorders>
            <w:shd w:val="clear" w:color="auto" w:fill="C6D9F1" w:themeFill="text2" w:themeFillTint="33"/>
          </w:tcPr>
          <w:p>
            <w:pPr>
              <w:tabs>
                <w:tab w:val="num" w:pos="425"/>
              </w:tabs>
              <w:jc w:val="center"/>
              <w:rPr>
                <w:b/>
                <w:i/>
                <w:noProof/>
                <w:sz w:val="22"/>
                <w:szCs w:val="22"/>
              </w:rPr>
            </w:pPr>
            <w:r>
              <w:rPr>
                <w:b/>
                <w:bCs/>
                <w:i/>
                <w:iCs/>
                <w:noProof/>
                <w:szCs w:val="22"/>
              </w:rPr>
              <w:t>Description</w:t>
            </w:r>
          </w:p>
        </w:tc>
        <w:tc>
          <w:tcPr>
            <w:tcW w:w="3562" w:type="dxa"/>
            <w:tcBorders>
              <w:top w:val="single" w:sz="4" w:space="0" w:color="auto"/>
            </w:tcBorders>
            <w:shd w:val="clear" w:color="auto" w:fill="C6D9F1" w:themeFill="text2" w:themeFillTint="33"/>
          </w:tcPr>
          <w:p>
            <w:pPr>
              <w:tabs>
                <w:tab w:val="num" w:pos="425"/>
              </w:tabs>
              <w:jc w:val="center"/>
              <w:rPr>
                <w:b/>
                <w:i/>
                <w:noProof/>
                <w:sz w:val="22"/>
                <w:szCs w:val="22"/>
              </w:rPr>
            </w:pPr>
            <w:r>
              <w:rPr>
                <w:b/>
                <w:bCs/>
                <w:i/>
                <w:iCs/>
                <w:noProof/>
                <w:szCs w:val="22"/>
              </w:rPr>
              <w:t>Amount</w:t>
            </w:r>
          </w:p>
        </w:tc>
        <w:tc>
          <w:tcPr>
            <w:tcW w:w="3261" w:type="dxa"/>
            <w:tcBorders>
              <w:top w:val="single" w:sz="4" w:space="0" w:color="auto"/>
            </w:tcBorders>
            <w:shd w:val="clear" w:color="auto" w:fill="C6D9F1" w:themeFill="text2" w:themeFillTint="33"/>
            <w:tcMar>
              <w:top w:w="57" w:type="dxa"/>
              <w:left w:w="57" w:type="dxa"/>
              <w:bottom w:w="57" w:type="dxa"/>
              <w:right w:w="57" w:type="dxa"/>
            </w:tcMar>
          </w:tcPr>
          <w:p>
            <w:pPr>
              <w:tabs>
                <w:tab w:val="num" w:pos="425"/>
              </w:tabs>
              <w:jc w:val="center"/>
              <w:rPr>
                <w:b/>
                <w:i/>
                <w:noProof/>
                <w:sz w:val="22"/>
                <w:szCs w:val="22"/>
              </w:rPr>
            </w:pPr>
            <w:r>
              <w:rPr>
                <w:b/>
                <w:bCs/>
                <w:i/>
                <w:iCs/>
                <w:noProof/>
                <w:szCs w:val="22"/>
              </w:rPr>
              <w:t>Comments</w:t>
            </w:r>
          </w:p>
        </w:tc>
      </w:tr>
      <w:tr>
        <w:tc>
          <w:tcPr>
            <w:tcW w:w="9375" w:type="dxa"/>
            <w:gridSpan w:val="3"/>
            <w:tcBorders>
              <w:top w:val="double" w:sz="4" w:space="0" w:color="auto"/>
            </w:tcBorders>
            <w:shd w:val="clear" w:color="auto" w:fill="F2F2F2" w:themeFill="background1" w:themeFillShade="F2"/>
          </w:tcPr>
          <w:p>
            <w:pPr>
              <w:tabs>
                <w:tab w:val="num" w:pos="425"/>
              </w:tabs>
              <w:jc w:val="center"/>
              <w:rPr>
                <w:b/>
                <w:i/>
                <w:noProof/>
                <w:sz w:val="22"/>
                <w:szCs w:val="22"/>
              </w:rPr>
            </w:pPr>
            <w:r>
              <w:rPr>
                <w:b/>
                <w:bCs/>
                <w:i/>
                <w:iCs/>
                <w:noProof/>
                <w:szCs w:val="22"/>
              </w:rPr>
              <w:t>Direct benefits</w:t>
            </w:r>
          </w:p>
        </w:tc>
      </w:tr>
      <w:tr>
        <w:trPr>
          <w:trHeight w:val="786"/>
        </w:trPr>
        <w:tc>
          <w:tcPr>
            <w:tcW w:w="2552" w:type="dxa"/>
            <w:tcBorders>
              <w:top w:val="double" w:sz="4" w:space="0" w:color="auto"/>
            </w:tcBorders>
          </w:tcPr>
          <w:p>
            <w:pPr>
              <w:tabs>
                <w:tab w:val="num" w:pos="425"/>
              </w:tabs>
              <w:jc w:val="both"/>
              <w:rPr>
                <w:noProof/>
                <w:sz w:val="22"/>
                <w:szCs w:val="22"/>
              </w:rPr>
            </w:pPr>
            <w:r>
              <w:rPr>
                <w:noProof/>
                <w:sz w:val="22"/>
                <w:szCs w:val="22"/>
              </w:rPr>
              <w:t>Promote employee efficiency</w:t>
            </w:r>
          </w:p>
        </w:tc>
        <w:tc>
          <w:tcPr>
            <w:tcW w:w="3562" w:type="dxa"/>
            <w:tcBorders>
              <w:top w:val="double" w:sz="4" w:space="0" w:color="auto"/>
            </w:tcBorders>
            <w:tcMar>
              <w:top w:w="57" w:type="dxa"/>
              <w:left w:w="57" w:type="dxa"/>
              <w:bottom w:w="57" w:type="dxa"/>
              <w:right w:w="57" w:type="dxa"/>
            </w:tcMar>
          </w:tcPr>
          <w:p>
            <w:pPr>
              <w:tabs>
                <w:tab w:val="num" w:pos="425"/>
              </w:tabs>
              <w:jc w:val="both"/>
              <w:rPr>
                <w:noProof/>
                <w:sz w:val="22"/>
                <w:szCs w:val="22"/>
              </w:rPr>
            </w:pPr>
            <w:r>
              <w:rPr>
                <w:noProof/>
                <w:sz w:val="22"/>
                <w:szCs w:val="22"/>
              </w:rPr>
              <w:t>Concerns victims of gender pay discrimination/undervaluation by gender</w:t>
            </w:r>
          </w:p>
        </w:tc>
        <w:tc>
          <w:tcPr>
            <w:tcW w:w="3261" w:type="dxa"/>
            <w:tcBorders>
              <w:top w:val="double" w:sz="4" w:space="0" w:color="auto"/>
            </w:tcBorders>
            <w:tcMar>
              <w:top w:w="57" w:type="dxa"/>
              <w:left w:w="57" w:type="dxa"/>
              <w:bottom w:w="57" w:type="dxa"/>
              <w:right w:w="57" w:type="dxa"/>
            </w:tcMar>
          </w:tcPr>
          <w:p>
            <w:pPr>
              <w:tabs>
                <w:tab w:val="num" w:pos="425"/>
              </w:tabs>
              <w:jc w:val="both"/>
              <w:rPr>
                <w:noProof/>
                <w:sz w:val="22"/>
                <w:szCs w:val="22"/>
              </w:rPr>
            </w:pPr>
            <w:r>
              <w:rPr>
                <w:noProof/>
              </w:rPr>
              <w:t>Not possible to quantify.</w:t>
            </w:r>
          </w:p>
        </w:tc>
      </w:tr>
      <w:tr>
        <w:tc>
          <w:tcPr>
            <w:tcW w:w="2552" w:type="dxa"/>
            <w:tcBorders>
              <w:top w:val="double" w:sz="4" w:space="0" w:color="auto"/>
            </w:tcBorders>
          </w:tcPr>
          <w:p>
            <w:pPr>
              <w:tabs>
                <w:tab w:val="num" w:pos="425"/>
              </w:tabs>
              <w:jc w:val="both"/>
              <w:rPr>
                <w:noProof/>
                <w:sz w:val="22"/>
                <w:szCs w:val="22"/>
              </w:rPr>
            </w:pPr>
            <w:r>
              <w:rPr>
                <w:noProof/>
                <w:sz w:val="22"/>
                <w:szCs w:val="22"/>
              </w:rPr>
              <w:t>Help firms present better image</w:t>
            </w:r>
          </w:p>
        </w:tc>
        <w:tc>
          <w:tcPr>
            <w:tcW w:w="3562" w:type="dxa"/>
            <w:tcBorders>
              <w:top w:val="double" w:sz="4" w:space="0" w:color="auto"/>
            </w:tcBorders>
            <w:tcMar>
              <w:top w:w="57" w:type="dxa"/>
              <w:left w:w="57" w:type="dxa"/>
              <w:bottom w:w="57" w:type="dxa"/>
              <w:right w:w="57" w:type="dxa"/>
            </w:tcMar>
          </w:tcPr>
          <w:p>
            <w:pPr>
              <w:tabs>
                <w:tab w:val="num" w:pos="425"/>
              </w:tabs>
              <w:jc w:val="both"/>
              <w:rPr>
                <w:noProof/>
                <w:sz w:val="22"/>
                <w:szCs w:val="22"/>
              </w:rPr>
            </w:pPr>
            <w:r>
              <w:rPr>
                <w:noProof/>
                <w:sz w:val="22"/>
                <w:szCs w:val="22"/>
              </w:rPr>
              <w:t>Potentially all employers appling the mesaure</w:t>
            </w:r>
          </w:p>
        </w:tc>
        <w:tc>
          <w:tcPr>
            <w:tcW w:w="3261" w:type="dxa"/>
            <w:tcBorders>
              <w:top w:val="double" w:sz="4" w:space="0" w:color="auto"/>
            </w:tcBorders>
            <w:tcMar>
              <w:top w:w="57" w:type="dxa"/>
              <w:left w:w="57" w:type="dxa"/>
              <w:bottom w:w="57" w:type="dxa"/>
              <w:right w:w="57" w:type="dxa"/>
            </w:tcMar>
          </w:tcPr>
          <w:p>
            <w:pPr>
              <w:tabs>
                <w:tab w:val="num" w:pos="425"/>
              </w:tabs>
              <w:jc w:val="both"/>
              <w:rPr>
                <w:noProof/>
                <w:sz w:val="22"/>
                <w:szCs w:val="22"/>
              </w:rPr>
            </w:pPr>
            <w:r>
              <w:rPr>
                <w:noProof/>
              </w:rPr>
              <w:t>Not possible to quantify.</w:t>
            </w:r>
          </w:p>
        </w:tc>
      </w:tr>
      <w:tr>
        <w:tc>
          <w:tcPr>
            <w:tcW w:w="2552" w:type="dxa"/>
            <w:tcBorders>
              <w:top w:val="double" w:sz="4" w:space="0" w:color="auto"/>
            </w:tcBorders>
          </w:tcPr>
          <w:p>
            <w:pPr>
              <w:tabs>
                <w:tab w:val="num" w:pos="425"/>
              </w:tabs>
              <w:jc w:val="both"/>
              <w:rPr>
                <w:noProof/>
                <w:sz w:val="22"/>
                <w:szCs w:val="22"/>
              </w:rPr>
            </w:pPr>
            <w:r>
              <w:rPr>
                <w:noProof/>
                <w:sz w:val="22"/>
                <w:szCs w:val="22"/>
              </w:rPr>
              <w:t>Motivate lower paid groups</w:t>
            </w:r>
          </w:p>
        </w:tc>
        <w:tc>
          <w:tcPr>
            <w:tcW w:w="3562" w:type="dxa"/>
            <w:tcBorders>
              <w:top w:val="double" w:sz="4" w:space="0" w:color="auto"/>
            </w:tcBorders>
            <w:tcMar>
              <w:top w:w="57" w:type="dxa"/>
              <w:left w:w="57" w:type="dxa"/>
              <w:bottom w:w="57" w:type="dxa"/>
              <w:right w:w="57" w:type="dxa"/>
            </w:tcMar>
          </w:tcPr>
          <w:p>
            <w:pPr>
              <w:tabs>
                <w:tab w:val="num" w:pos="425"/>
              </w:tabs>
              <w:jc w:val="both"/>
              <w:rPr>
                <w:noProof/>
                <w:sz w:val="22"/>
                <w:szCs w:val="22"/>
              </w:rPr>
            </w:pPr>
            <w:r>
              <w:rPr>
                <w:noProof/>
                <w:sz w:val="22"/>
                <w:szCs w:val="22"/>
              </w:rPr>
              <w:t>Concerns victims of gender pay discrimination/undervaluation by gender – depends on specific workplace situation</w:t>
            </w:r>
          </w:p>
        </w:tc>
        <w:tc>
          <w:tcPr>
            <w:tcW w:w="3261" w:type="dxa"/>
            <w:tcBorders>
              <w:top w:val="double" w:sz="4" w:space="0" w:color="auto"/>
            </w:tcBorders>
            <w:tcMar>
              <w:top w:w="57" w:type="dxa"/>
              <w:left w:w="57" w:type="dxa"/>
              <w:bottom w:w="57" w:type="dxa"/>
              <w:right w:w="57" w:type="dxa"/>
            </w:tcMar>
          </w:tcPr>
          <w:p>
            <w:pPr>
              <w:tabs>
                <w:tab w:val="num" w:pos="425"/>
              </w:tabs>
              <w:jc w:val="both"/>
              <w:rPr>
                <w:noProof/>
                <w:sz w:val="22"/>
                <w:szCs w:val="22"/>
              </w:rPr>
            </w:pPr>
            <w:r>
              <w:rPr>
                <w:noProof/>
              </w:rPr>
              <w:t>Not possible to quantify.</w:t>
            </w:r>
          </w:p>
        </w:tc>
      </w:tr>
      <w:tr>
        <w:tc>
          <w:tcPr>
            <w:tcW w:w="2552" w:type="dxa"/>
            <w:tcBorders>
              <w:top w:val="double" w:sz="4" w:space="0" w:color="auto"/>
            </w:tcBorders>
          </w:tcPr>
          <w:p>
            <w:pPr>
              <w:tabs>
                <w:tab w:val="num" w:pos="425"/>
              </w:tabs>
              <w:jc w:val="both"/>
              <w:rPr>
                <w:noProof/>
                <w:sz w:val="22"/>
                <w:szCs w:val="22"/>
              </w:rPr>
            </w:pPr>
            <w:r>
              <w:rPr>
                <w:noProof/>
                <w:sz w:val="22"/>
                <w:szCs w:val="22"/>
              </w:rPr>
              <w:t>Awareness raising</w:t>
            </w:r>
          </w:p>
        </w:tc>
        <w:tc>
          <w:tcPr>
            <w:tcW w:w="3562" w:type="dxa"/>
            <w:tcBorders>
              <w:top w:val="double" w:sz="4" w:space="0" w:color="auto"/>
            </w:tcBorders>
            <w:tcMar>
              <w:top w:w="57" w:type="dxa"/>
              <w:left w:w="57" w:type="dxa"/>
              <w:bottom w:w="57" w:type="dxa"/>
              <w:right w:w="57" w:type="dxa"/>
            </w:tcMar>
          </w:tcPr>
          <w:p>
            <w:pPr>
              <w:tabs>
                <w:tab w:val="num" w:pos="425"/>
              </w:tabs>
              <w:jc w:val="both"/>
              <w:rPr>
                <w:noProof/>
                <w:sz w:val="22"/>
                <w:szCs w:val="22"/>
              </w:rPr>
            </w:pPr>
            <w:r>
              <w:rPr>
                <w:noProof/>
                <w:sz w:val="22"/>
                <w:szCs w:val="22"/>
              </w:rPr>
              <w:t>All workers</w:t>
            </w:r>
          </w:p>
        </w:tc>
        <w:tc>
          <w:tcPr>
            <w:tcW w:w="3261" w:type="dxa"/>
            <w:tcBorders>
              <w:top w:val="double" w:sz="4" w:space="0" w:color="auto"/>
            </w:tcBorders>
            <w:tcMar>
              <w:top w:w="57" w:type="dxa"/>
              <w:left w:w="57" w:type="dxa"/>
              <w:bottom w:w="57" w:type="dxa"/>
              <w:right w:w="57" w:type="dxa"/>
            </w:tcMar>
          </w:tcPr>
          <w:p>
            <w:pPr>
              <w:tabs>
                <w:tab w:val="num" w:pos="425"/>
              </w:tabs>
              <w:jc w:val="both"/>
              <w:rPr>
                <w:noProof/>
                <w:sz w:val="22"/>
                <w:szCs w:val="22"/>
              </w:rPr>
            </w:pPr>
            <w:r>
              <w:rPr>
                <w:noProof/>
              </w:rPr>
              <w:t>Not possible to quantify.</w:t>
            </w:r>
          </w:p>
        </w:tc>
      </w:tr>
      <w:tr>
        <w:tc>
          <w:tcPr>
            <w:tcW w:w="2552" w:type="dxa"/>
            <w:tcBorders>
              <w:bottom w:val="double" w:sz="4" w:space="0" w:color="auto"/>
            </w:tcBorders>
          </w:tcPr>
          <w:p>
            <w:pPr>
              <w:tabs>
                <w:tab w:val="num" w:pos="425"/>
              </w:tabs>
              <w:jc w:val="both"/>
              <w:rPr>
                <w:noProof/>
                <w:sz w:val="22"/>
                <w:szCs w:val="22"/>
              </w:rPr>
            </w:pPr>
            <w:r>
              <w:rPr>
                <w:noProof/>
                <w:sz w:val="22"/>
                <w:szCs w:val="22"/>
              </w:rPr>
              <w:t>Facilitation aimed at uniform application of key concepts</w:t>
            </w:r>
          </w:p>
        </w:tc>
        <w:tc>
          <w:tcPr>
            <w:tcW w:w="3562" w:type="dxa"/>
            <w:tcBorders>
              <w:bottom w:val="double" w:sz="4" w:space="0" w:color="auto"/>
            </w:tcBorders>
            <w:tcMar>
              <w:top w:w="57" w:type="dxa"/>
              <w:left w:w="57" w:type="dxa"/>
              <w:bottom w:w="57" w:type="dxa"/>
              <w:right w:w="57" w:type="dxa"/>
            </w:tcMar>
          </w:tcPr>
          <w:p>
            <w:pPr>
              <w:tabs>
                <w:tab w:val="num" w:pos="425"/>
              </w:tabs>
              <w:jc w:val="both"/>
              <w:rPr>
                <w:noProof/>
                <w:sz w:val="22"/>
                <w:szCs w:val="22"/>
              </w:rPr>
            </w:pPr>
            <w:r>
              <w:rPr>
                <w:noProof/>
                <w:sz w:val="22"/>
                <w:szCs w:val="22"/>
              </w:rPr>
              <w:t>All workers benefit from knowing that their rights are better protected – potential victims benefit more; Employers redress the bias in pay structures and valuation</w:t>
            </w:r>
          </w:p>
        </w:tc>
        <w:tc>
          <w:tcPr>
            <w:tcW w:w="3261" w:type="dxa"/>
            <w:tcBorders>
              <w:bottom w:val="double" w:sz="4" w:space="0" w:color="auto"/>
            </w:tcBorders>
            <w:tcMar>
              <w:top w:w="57" w:type="dxa"/>
              <w:left w:w="57" w:type="dxa"/>
              <w:bottom w:w="57" w:type="dxa"/>
              <w:right w:w="57" w:type="dxa"/>
            </w:tcMar>
          </w:tcPr>
          <w:p>
            <w:pPr>
              <w:tabs>
                <w:tab w:val="num" w:pos="425"/>
              </w:tabs>
              <w:jc w:val="both"/>
              <w:rPr>
                <w:noProof/>
                <w:sz w:val="22"/>
                <w:szCs w:val="22"/>
              </w:rPr>
            </w:pPr>
            <w:r>
              <w:rPr>
                <w:noProof/>
              </w:rPr>
              <w:t>Not possible to quantify.</w:t>
            </w:r>
          </w:p>
        </w:tc>
      </w:tr>
      <w:tr>
        <w:tc>
          <w:tcPr>
            <w:tcW w:w="2552" w:type="dxa"/>
            <w:tcBorders>
              <w:bottom w:val="double" w:sz="4" w:space="0" w:color="auto"/>
            </w:tcBorders>
          </w:tcPr>
          <w:p>
            <w:pPr>
              <w:tabs>
                <w:tab w:val="num" w:pos="425"/>
              </w:tabs>
              <w:jc w:val="both"/>
              <w:rPr>
                <w:noProof/>
                <w:sz w:val="22"/>
                <w:szCs w:val="22"/>
              </w:rPr>
            </w:pPr>
            <w:r>
              <w:rPr>
                <w:noProof/>
                <w:sz w:val="22"/>
                <w:szCs w:val="22"/>
              </w:rPr>
              <w:t>Procedural improvement</w:t>
            </w:r>
          </w:p>
        </w:tc>
        <w:tc>
          <w:tcPr>
            <w:tcW w:w="3562" w:type="dxa"/>
            <w:tcBorders>
              <w:bottom w:val="double" w:sz="4" w:space="0" w:color="auto"/>
            </w:tcBorders>
            <w:tcMar>
              <w:top w:w="57" w:type="dxa"/>
              <w:left w:w="57" w:type="dxa"/>
              <w:bottom w:w="57" w:type="dxa"/>
              <w:right w:w="57" w:type="dxa"/>
            </w:tcMar>
          </w:tcPr>
          <w:p>
            <w:pPr>
              <w:tabs>
                <w:tab w:val="num" w:pos="425"/>
              </w:tabs>
              <w:jc w:val="both"/>
              <w:rPr>
                <w:noProof/>
                <w:sz w:val="22"/>
                <w:szCs w:val="22"/>
              </w:rPr>
            </w:pPr>
            <w:r>
              <w:rPr>
                <w:noProof/>
                <w:sz w:val="22"/>
                <w:szCs w:val="22"/>
              </w:rPr>
              <w:t>Potentially all workers</w:t>
            </w:r>
          </w:p>
        </w:tc>
        <w:tc>
          <w:tcPr>
            <w:tcW w:w="3261" w:type="dxa"/>
            <w:tcBorders>
              <w:bottom w:val="double" w:sz="4" w:space="0" w:color="auto"/>
            </w:tcBorders>
            <w:tcMar>
              <w:top w:w="57" w:type="dxa"/>
              <w:left w:w="57" w:type="dxa"/>
              <w:bottom w:w="57" w:type="dxa"/>
              <w:right w:w="57" w:type="dxa"/>
            </w:tcMar>
          </w:tcPr>
          <w:p>
            <w:pPr>
              <w:tabs>
                <w:tab w:val="num" w:pos="425"/>
              </w:tabs>
              <w:jc w:val="both"/>
              <w:rPr>
                <w:noProof/>
                <w:sz w:val="22"/>
                <w:szCs w:val="22"/>
              </w:rPr>
            </w:pPr>
            <w:r>
              <w:rPr>
                <w:noProof/>
              </w:rPr>
              <w:t>Not possible to quantify.</w:t>
            </w:r>
          </w:p>
        </w:tc>
      </w:tr>
      <w:tr>
        <w:tc>
          <w:tcPr>
            <w:tcW w:w="2552" w:type="dxa"/>
            <w:tcBorders>
              <w:bottom w:val="double" w:sz="4" w:space="0" w:color="auto"/>
            </w:tcBorders>
          </w:tcPr>
          <w:p>
            <w:pPr>
              <w:tabs>
                <w:tab w:val="num" w:pos="425"/>
              </w:tabs>
              <w:jc w:val="both"/>
              <w:rPr>
                <w:noProof/>
                <w:sz w:val="22"/>
                <w:szCs w:val="22"/>
              </w:rPr>
            </w:pPr>
            <w:r>
              <w:rPr>
                <w:noProof/>
                <w:sz w:val="22"/>
                <w:szCs w:val="22"/>
              </w:rPr>
              <w:t>Strenghtened remedies</w:t>
            </w:r>
          </w:p>
        </w:tc>
        <w:tc>
          <w:tcPr>
            <w:tcW w:w="3562" w:type="dxa"/>
            <w:tcBorders>
              <w:bottom w:val="double" w:sz="4" w:space="0" w:color="auto"/>
            </w:tcBorders>
            <w:tcMar>
              <w:top w:w="57" w:type="dxa"/>
              <w:left w:w="57" w:type="dxa"/>
              <w:bottom w:w="57" w:type="dxa"/>
              <w:right w:w="57" w:type="dxa"/>
            </w:tcMar>
          </w:tcPr>
          <w:p>
            <w:pPr>
              <w:tabs>
                <w:tab w:val="num" w:pos="425"/>
              </w:tabs>
              <w:jc w:val="both"/>
              <w:rPr>
                <w:noProof/>
                <w:sz w:val="22"/>
                <w:szCs w:val="22"/>
              </w:rPr>
            </w:pPr>
            <w:r>
              <w:rPr>
                <w:noProof/>
                <w:sz w:val="22"/>
                <w:szCs w:val="22"/>
              </w:rPr>
              <w:t>Potentially all workers</w:t>
            </w:r>
          </w:p>
        </w:tc>
        <w:tc>
          <w:tcPr>
            <w:tcW w:w="3261" w:type="dxa"/>
            <w:tcBorders>
              <w:bottom w:val="double" w:sz="4" w:space="0" w:color="auto"/>
            </w:tcBorders>
            <w:tcMar>
              <w:top w:w="57" w:type="dxa"/>
              <w:left w:w="57" w:type="dxa"/>
              <w:bottom w:w="57" w:type="dxa"/>
              <w:right w:w="57" w:type="dxa"/>
            </w:tcMar>
          </w:tcPr>
          <w:p>
            <w:pPr>
              <w:tabs>
                <w:tab w:val="num" w:pos="425"/>
              </w:tabs>
              <w:jc w:val="both"/>
              <w:rPr>
                <w:noProof/>
                <w:sz w:val="22"/>
                <w:szCs w:val="22"/>
              </w:rPr>
            </w:pPr>
            <w:r>
              <w:rPr>
                <w:noProof/>
              </w:rPr>
              <w:t>Not possible to quantify.</w:t>
            </w:r>
          </w:p>
        </w:tc>
      </w:tr>
      <w:tr>
        <w:tc>
          <w:tcPr>
            <w:tcW w:w="9375" w:type="dxa"/>
            <w:gridSpan w:val="3"/>
            <w:shd w:val="clear" w:color="auto" w:fill="F2F2F2" w:themeFill="background1" w:themeFillShade="F2"/>
          </w:tcPr>
          <w:p>
            <w:pPr>
              <w:tabs>
                <w:tab w:val="num" w:pos="425"/>
              </w:tabs>
              <w:jc w:val="center"/>
              <w:rPr>
                <w:b/>
                <w:i/>
                <w:noProof/>
                <w:sz w:val="24"/>
                <w:szCs w:val="24"/>
              </w:rPr>
            </w:pPr>
            <w:r>
              <w:rPr>
                <w:b/>
                <w:bCs/>
                <w:i/>
                <w:iCs/>
                <w:noProof/>
                <w:szCs w:val="22"/>
              </w:rPr>
              <w:t>Indirect benefits</w:t>
            </w:r>
          </w:p>
        </w:tc>
      </w:tr>
      <w:tr>
        <w:tc>
          <w:tcPr>
            <w:tcW w:w="2552" w:type="dxa"/>
            <w:tcBorders>
              <w:top w:val="double" w:sz="4" w:space="0" w:color="auto"/>
            </w:tcBorders>
          </w:tcPr>
          <w:p>
            <w:pPr>
              <w:tabs>
                <w:tab w:val="num" w:pos="425"/>
              </w:tabs>
              <w:jc w:val="both"/>
              <w:rPr>
                <w:noProof/>
                <w:sz w:val="22"/>
                <w:szCs w:val="22"/>
              </w:rPr>
            </w:pPr>
            <w:r>
              <w:rPr>
                <w:noProof/>
                <w:sz w:val="22"/>
                <w:szCs w:val="22"/>
              </w:rPr>
              <w:t>Promote employee efficiency</w:t>
            </w:r>
          </w:p>
        </w:tc>
        <w:tc>
          <w:tcPr>
            <w:tcW w:w="3562" w:type="dxa"/>
            <w:tcBorders>
              <w:top w:val="double" w:sz="4" w:space="0" w:color="auto"/>
            </w:tcBorders>
            <w:tcMar>
              <w:top w:w="57" w:type="dxa"/>
              <w:left w:w="57" w:type="dxa"/>
              <w:bottom w:w="57" w:type="dxa"/>
              <w:right w:w="57" w:type="dxa"/>
            </w:tcMar>
          </w:tcPr>
          <w:p>
            <w:pPr>
              <w:tabs>
                <w:tab w:val="num" w:pos="425"/>
              </w:tabs>
              <w:jc w:val="both"/>
              <w:rPr>
                <w:noProof/>
                <w:sz w:val="22"/>
                <w:szCs w:val="22"/>
              </w:rPr>
            </w:pPr>
            <w:r>
              <w:rPr>
                <w:noProof/>
                <w:sz w:val="22"/>
                <w:szCs w:val="22"/>
              </w:rPr>
              <w:t>Potentially for all workers but real extent depends on specific situation in the workplace</w:t>
            </w:r>
          </w:p>
        </w:tc>
        <w:tc>
          <w:tcPr>
            <w:tcW w:w="3261" w:type="dxa"/>
            <w:tcBorders>
              <w:top w:val="double" w:sz="4" w:space="0" w:color="auto"/>
            </w:tcBorders>
            <w:tcMar>
              <w:top w:w="57" w:type="dxa"/>
              <w:left w:w="57" w:type="dxa"/>
              <w:bottom w:w="57" w:type="dxa"/>
              <w:right w:w="57" w:type="dxa"/>
            </w:tcMar>
          </w:tcPr>
          <w:p>
            <w:pPr>
              <w:tabs>
                <w:tab w:val="num" w:pos="425"/>
              </w:tabs>
              <w:jc w:val="both"/>
              <w:rPr>
                <w:noProof/>
                <w:sz w:val="22"/>
                <w:szCs w:val="22"/>
              </w:rPr>
            </w:pPr>
            <w:r>
              <w:rPr>
                <w:noProof/>
              </w:rPr>
              <w:t>Not possible to quantify.</w:t>
            </w:r>
          </w:p>
        </w:tc>
      </w:tr>
      <w:tr>
        <w:tc>
          <w:tcPr>
            <w:tcW w:w="2552" w:type="dxa"/>
            <w:tcBorders>
              <w:top w:val="double" w:sz="4" w:space="0" w:color="auto"/>
            </w:tcBorders>
          </w:tcPr>
          <w:p>
            <w:pPr>
              <w:tabs>
                <w:tab w:val="num" w:pos="425"/>
              </w:tabs>
              <w:jc w:val="both"/>
              <w:rPr>
                <w:noProof/>
                <w:sz w:val="22"/>
                <w:szCs w:val="22"/>
              </w:rPr>
            </w:pPr>
            <w:r>
              <w:rPr>
                <w:noProof/>
                <w:sz w:val="22"/>
                <w:szCs w:val="22"/>
              </w:rPr>
              <w:t>Decreasing overall gender pay gap</w:t>
            </w:r>
          </w:p>
        </w:tc>
        <w:tc>
          <w:tcPr>
            <w:tcW w:w="3562" w:type="dxa"/>
            <w:tcBorders>
              <w:top w:val="double" w:sz="4" w:space="0" w:color="auto"/>
            </w:tcBorders>
            <w:tcMar>
              <w:top w:w="57" w:type="dxa"/>
              <w:left w:w="57" w:type="dxa"/>
              <w:bottom w:w="57" w:type="dxa"/>
              <w:right w:w="57" w:type="dxa"/>
            </w:tcMar>
          </w:tcPr>
          <w:p>
            <w:pPr>
              <w:tabs>
                <w:tab w:val="num" w:pos="425"/>
              </w:tabs>
              <w:jc w:val="both"/>
              <w:rPr>
                <w:noProof/>
                <w:sz w:val="22"/>
                <w:szCs w:val="22"/>
              </w:rPr>
            </w:pPr>
            <w:r>
              <w:rPr>
                <w:noProof/>
                <w:sz w:val="22"/>
                <w:szCs w:val="22"/>
              </w:rPr>
              <w:t xml:space="preserve">A potential reduction of 3 p.p. of the </w:t>
            </w:r>
            <w:r>
              <w:rPr>
                <w:noProof/>
                <w:sz w:val="22"/>
                <w:szCs w:val="22"/>
                <w:u w:val="single"/>
              </w:rPr>
              <w:t>unexplained</w:t>
            </w:r>
            <w:r>
              <w:rPr>
                <w:noProof/>
                <w:sz w:val="22"/>
                <w:szCs w:val="22"/>
              </w:rPr>
              <w:t xml:space="preserve"> GPG has been taken as reasonable estimate </w:t>
            </w:r>
          </w:p>
        </w:tc>
        <w:tc>
          <w:tcPr>
            <w:tcW w:w="3261" w:type="dxa"/>
            <w:tcBorders>
              <w:top w:val="double" w:sz="4" w:space="0" w:color="auto"/>
            </w:tcBorders>
            <w:tcMar>
              <w:top w:w="57" w:type="dxa"/>
              <w:left w:w="57" w:type="dxa"/>
              <w:bottom w:w="57" w:type="dxa"/>
              <w:right w:w="57" w:type="dxa"/>
            </w:tcMar>
          </w:tcPr>
          <w:p>
            <w:pPr>
              <w:tabs>
                <w:tab w:val="num" w:pos="425"/>
              </w:tabs>
              <w:jc w:val="both"/>
              <w:rPr>
                <w:noProof/>
                <w:sz w:val="22"/>
                <w:szCs w:val="22"/>
              </w:rPr>
            </w:pPr>
            <w:r>
              <w:rPr>
                <w:noProof/>
                <w:sz w:val="22"/>
                <w:szCs w:val="22"/>
              </w:rPr>
              <w:t xml:space="preserve">Lacking precise information on the extent of pay discrimiantion the potential impact of the measure is difficult to assess </w:t>
            </w:r>
          </w:p>
        </w:tc>
      </w:tr>
      <w:tr>
        <w:tc>
          <w:tcPr>
            <w:tcW w:w="2552" w:type="dxa"/>
          </w:tcPr>
          <w:p>
            <w:pPr>
              <w:tabs>
                <w:tab w:val="num" w:pos="425"/>
              </w:tabs>
              <w:jc w:val="both"/>
              <w:rPr>
                <w:noProof/>
                <w:sz w:val="22"/>
                <w:szCs w:val="22"/>
              </w:rPr>
            </w:pPr>
            <w:r>
              <w:rPr>
                <w:noProof/>
                <w:sz w:val="22"/>
                <w:szCs w:val="22"/>
              </w:rPr>
              <w:t>Behavioural change</w:t>
            </w:r>
          </w:p>
        </w:tc>
        <w:tc>
          <w:tcPr>
            <w:tcW w:w="3562" w:type="dxa"/>
            <w:tcMar>
              <w:top w:w="57" w:type="dxa"/>
              <w:left w:w="57" w:type="dxa"/>
              <w:bottom w:w="57" w:type="dxa"/>
              <w:right w:w="57" w:type="dxa"/>
            </w:tcMar>
          </w:tcPr>
          <w:p>
            <w:pPr>
              <w:tabs>
                <w:tab w:val="num" w:pos="425"/>
              </w:tabs>
              <w:jc w:val="both"/>
              <w:rPr>
                <w:noProof/>
                <w:sz w:val="22"/>
                <w:szCs w:val="22"/>
              </w:rPr>
            </w:pPr>
          </w:p>
        </w:tc>
        <w:tc>
          <w:tcPr>
            <w:tcW w:w="3261" w:type="dxa"/>
            <w:tcMar>
              <w:top w:w="57" w:type="dxa"/>
              <w:left w:w="57" w:type="dxa"/>
              <w:bottom w:w="57" w:type="dxa"/>
              <w:right w:w="57" w:type="dxa"/>
            </w:tcMar>
          </w:tcPr>
          <w:p>
            <w:pPr>
              <w:tabs>
                <w:tab w:val="num" w:pos="425"/>
              </w:tabs>
              <w:jc w:val="both"/>
              <w:rPr>
                <w:noProof/>
                <w:sz w:val="22"/>
                <w:szCs w:val="22"/>
              </w:rPr>
            </w:pPr>
            <w:r>
              <w:rPr>
                <w:noProof/>
                <w:sz w:val="22"/>
                <w:szCs w:val="22"/>
              </w:rPr>
              <w:t>Not possible to quantify.</w:t>
            </w:r>
          </w:p>
        </w:tc>
      </w:tr>
      <w:tr>
        <w:tc>
          <w:tcPr>
            <w:tcW w:w="2552" w:type="dxa"/>
          </w:tcPr>
          <w:p>
            <w:pPr>
              <w:tabs>
                <w:tab w:val="num" w:pos="425"/>
              </w:tabs>
              <w:jc w:val="both"/>
              <w:rPr>
                <w:noProof/>
                <w:sz w:val="22"/>
                <w:szCs w:val="22"/>
              </w:rPr>
            </w:pPr>
            <w:r>
              <w:rPr>
                <w:noProof/>
                <w:sz w:val="22"/>
                <w:szCs w:val="22"/>
                <w:shd w:val="clear" w:color="auto" w:fill="FFFFFF" w:themeFill="background1"/>
                <w:lang w:val="en-US"/>
              </w:rPr>
              <w:t>Decrease in the at-risk-of-poverty rate</w:t>
            </w:r>
          </w:p>
        </w:tc>
        <w:tc>
          <w:tcPr>
            <w:tcW w:w="3562" w:type="dxa"/>
            <w:tcMar>
              <w:top w:w="57" w:type="dxa"/>
              <w:left w:w="57" w:type="dxa"/>
              <w:bottom w:w="57" w:type="dxa"/>
              <w:right w:w="57" w:type="dxa"/>
            </w:tcMar>
          </w:tcPr>
          <w:p>
            <w:pPr>
              <w:tabs>
                <w:tab w:val="num" w:pos="425"/>
              </w:tabs>
              <w:jc w:val="both"/>
              <w:rPr>
                <w:noProof/>
                <w:sz w:val="22"/>
                <w:szCs w:val="22"/>
              </w:rPr>
            </w:pPr>
            <w:r>
              <w:rPr>
                <w:noProof/>
                <w:sz w:val="22"/>
                <w:szCs w:val="22"/>
              </w:rPr>
              <w:t>This is a likely impact of a potential increase of previously discriminatory low salaries</w:t>
            </w:r>
          </w:p>
        </w:tc>
        <w:tc>
          <w:tcPr>
            <w:tcW w:w="3261" w:type="dxa"/>
            <w:tcMar>
              <w:top w:w="57" w:type="dxa"/>
              <w:left w:w="57" w:type="dxa"/>
              <w:bottom w:w="57" w:type="dxa"/>
              <w:right w:w="57" w:type="dxa"/>
            </w:tcMar>
          </w:tcPr>
          <w:p>
            <w:pPr>
              <w:tabs>
                <w:tab w:val="num" w:pos="425"/>
              </w:tabs>
              <w:jc w:val="both"/>
              <w:rPr>
                <w:noProof/>
                <w:sz w:val="22"/>
                <w:szCs w:val="22"/>
              </w:rPr>
            </w:pPr>
            <w:r>
              <w:rPr>
                <w:noProof/>
                <w:sz w:val="22"/>
                <w:szCs w:val="22"/>
                <w:lang w:val="en-US"/>
              </w:rPr>
              <w:t>From the initial 16.3% on average in the EU27 to around 14.6%, with important heterogeneities across countries and by household types</w:t>
            </w:r>
          </w:p>
        </w:tc>
      </w:tr>
    </w:tbl>
    <w:p>
      <w:pPr>
        <w:ind w:left="-426" w:right="-313"/>
        <w:jc w:val="both"/>
        <w:rPr>
          <w:rFonts w:ascii="Times New Roman" w:hAnsi="Times New Roman" w:cs="Times New Roman"/>
          <w:i/>
          <w:noProof/>
          <w:sz w:val="20"/>
          <w:szCs w:val="20"/>
        </w:rPr>
      </w:pPr>
      <w:r>
        <w:rPr>
          <w:rFonts w:ascii="Times New Roman" w:hAnsi="Times New Roman" w:cs="Times New Roman"/>
          <w:i/>
          <w:iCs/>
          <w:noProof/>
          <w:sz w:val="20"/>
          <w:szCs w:val="20"/>
        </w:rPr>
        <w:t xml:space="preserve">(1) Estimates are relative to the baseline for the preferred option as a whole (i.e. the impact of individual actions/obligations of the </w:t>
      </w:r>
      <w:r>
        <w:rPr>
          <w:rFonts w:ascii="Times New Roman" w:hAnsi="Times New Roman" w:cs="Times New Roman"/>
          <w:i/>
          <w:iCs/>
          <w:noProof/>
          <w:sz w:val="20"/>
          <w:szCs w:val="20"/>
          <w:u w:val="single"/>
        </w:rPr>
        <w:t>preferred</w:t>
      </w:r>
      <w:r>
        <w:rPr>
          <w:rFonts w:ascii="Times New Roman" w:hAnsi="Times New Roman" w:cs="Times New Roman"/>
          <w:i/>
          <w:iCs/>
          <w:noProof/>
          <w:sz w:val="20"/>
          <w:szCs w:val="20"/>
        </w:rPr>
        <w:t xml:space="preserve"> option are aggregated together); (2) Please indicate which stakeholder group is the main recipient of the benefit in the comment section.</w:t>
      </w:r>
    </w:p>
    <w:p>
      <w:pPr>
        <w:rPr>
          <w:rFonts w:ascii="Times New Roman" w:hAnsi="Times New Roman" w:cs="Times New Roman"/>
          <w:noProof/>
          <w:sz w:val="24"/>
          <w:szCs w:val="24"/>
        </w:rPr>
      </w:pPr>
    </w:p>
    <w:tbl>
      <w:tblPr>
        <w:tblStyle w:val="CV11"/>
        <w:tblW w:w="10134" w:type="dxa"/>
        <w:tblInd w:w="-51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488"/>
        <w:gridCol w:w="992"/>
        <w:gridCol w:w="992"/>
        <w:gridCol w:w="1134"/>
        <w:gridCol w:w="1701"/>
        <w:gridCol w:w="1418"/>
        <w:gridCol w:w="1134"/>
        <w:gridCol w:w="1275"/>
      </w:tblGrid>
      <w:tr>
        <w:tc>
          <w:tcPr>
            <w:tcW w:w="10134" w:type="dxa"/>
            <w:gridSpan w:val="8"/>
            <w:shd w:val="clear" w:color="auto" w:fill="C6D9F1" w:themeFill="text2" w:themeFillTint="33"/>
            <w:tcMar>
              <w:top w:w="57" w:type="dxa"/>
              <w:left w:w="57" w:type="dxa"/>
              <w:bottom w:w="57" w:type="dxa"/>
              <w:right w:w="57" w:type="dxa"/>
            </w:tcMar>
          </w:tcPr>
          <w:p>
            <w:pPr>
              <w:tabs>
                <w:tab w:val="num" w:pos="425"/>
              </w:tabs>
              <w:jc w:val="center"/>
              <w:rPr>
                <w:b/>
                <w:i/>
                <w:noProof/>
                <w:sz w:val="24"/>
                <w:szCs w:val="24"/>
              </w:rPr>
            </w:pPr>
            <w:r>
              <w:rPr>
                <w:b/>
                <w:bCs/>
                <w:i/>
                <w:iCs/>
                <w:noProof/>
                <w:sz w:val="24"/>
                <w:szCs w:val="24"/>
              </w:rPr>
              <w:t>II. Overview of costs – Preferred option</w:t>
            </w:r>
          </w:p>
        </w:tc>
      </w:tr>
      <w:tr>
        <w:tc>
          <w:tcPr>
            <w:tcW w:w="2480" w:type="dxa"/>
            <w:gridSpan w:val="2"/>
            <w:vMerge w:val="restart"/>
            <w:tcBorders>
              <w:top w:val="double" w:sz="4" w:space="0" w:color="auto"/>
              <w:right w:val="double" w:sz="4" w:space="0" w:color="auto"/>
              <w:tl2br w:val="double" w:sz="4" w:space="0" w:color="auto"/>
            </w:tcBorders>
            <w:tcMar>
              <w:top w:w="57" w:type="dxa"/>
              <w:left w:w="57" w:type="dxa"/>
              <w:bottom w:w="57" w:type="dxa"/>
              <w:right w:w="57" w:type="dxa"/>
            </w:tcMar>
          </w:tcPr>
          <w:p>
            <w:pPr>
              <w:tabs>
                <w:tab w:val="num" w:pos="425"/>
              </w:tabs>
              <w:rPr>
                <w:noProof/>
                <w:sz w:val="24"/>
                <w:szCs w:val="24"/>
              </w:rPr>
            </w:pPr>
          </w:p>
        </w:tc>
        <w:tc>
          <w:tcPr>
            <w:tcW w:w="2126" w:type="dxa"/>
            <w:gridSpan w:val="2"/>
            <w:tcBorders>
              <w:left w:val="double" w:sz="4" w:space="0" w:color="auto"/>
            </w:tcBorders>
            <w:shd w:val="clear" w:color="auto" w:fill="8DB3E2" w:themeFill="text2" w:themeFillTint="66"/>
            <w:tcMar>
              <w:top w:w="57" w:type="dxa"/>
              <w:left w:w="57" w:type="dxa"/>
              <w:bottom w:w="57" w:type="dxa"/>
              <w:right w:w="57" w:type="dxa"/>
            </w:tcMar>
          </w:tcPr>
          <w:p>
            <w:pPr>
              <w:tabs>
                <w:tab w:val="num" w:pos="425"/>
              </w:tabs>
              <w:jc w:val="center"/>
              <w:rPr>
                <w:noProof/>
                <w:sz w:val="22"/>
                <w:szCs w:val="22"/>
              </w:rPr>
            </w:pPr>
            <w:r>
              <w:rPr>
                <w:noProof/>
                <w:sz w:val="22"/>
                <w:szCs w:val="22"/>
              </w:rPr>
              <w:t xml:space="preserve">Citizens/Consumers </w:t>
            </w:r>
          </w:p>
        </w:tc>
        <w:tc>
          <w:tcPr>
            <w:tcW w:w="3119" w:type="dxa"/>
            <w:gridSpan w:val="2"/>
            <w:shd w:val="clear" w:color="auto" w:fill="8DB3E2" w:themeFill="text2" w:themeFillTint="66"/>
            <w:tcMar>
              <w:top w:w="57" w:type="dxa"/>
              <w:left w:w="57" w:type="dxa"/>
              <w:bottom w:w="57" w:type="dxa"/>
              <w:right w:w="57" w:type="dxa"/>
            </w:tcMar>
          </w:tcPr>
          <w:p>
            <w:pPr>
              <w:tabs>
                <w:tab w:val="num" w:pos="425"/>
              </w:tabs>
              <w:jc w:val="center"/>
              <w:rPr>
                <w:noProof/>
                <w:sz w:val="22"/>
                <w:szCs w:val="22"/>
              </w:rPr>
            </w:pPr>
            <w:r>
              <w:rPr>
                <w:noProof/>
                <w:sz w:val="22"/>
                <w:szCs w:val="22"/>
              </w:rPr>
              <w:t>Businesses</w:t>
            </w:r>
          </w:p>
        </w:tc>
        <w:tc>
          <w:tcPr>
            <w:tcW w:w="2409" w:type="dxa"/>
            <w:gridSpan w:val="2"/>
            <w:shd w:val="clear" w:color="auto" w:fill="8DB3E2" w:themeFill="text2" w:themeFillTint="66"/>
            <w:tcMar>
              <w:top w:w="57" w:type="dxa"/>
              <w:left w:w="57" w:type="dxa"/>
              <w:bottom w:w="57" w:type="dxa"/>
              <w:right w:w="57" w:type="dxa"/>
            </w:tcMar>
          </w:tcPr>
          <w:p>
            <w:pPr>
              <w:tabs>
                <w:tab w:val="num" w:pos="425"/>
              </w:tabs>
              <w:jc w:val="center"/>
              <w:rPr>
                <w:noProof/>
                <w:sz w:val="22"/>
                <w:szCs w:val="22"/>
              </w:rPr>
            </w:pPr>
            <w:r>
              <w:rPr>
                <w:noProof/>
                <w:sz w:val="22"/>
                <w:szCs w:val="22"/>
              </w:rPr>
              <w:t>Administrations</w:t>
            </w:r>
          </w:p>
        </w:tc>
      </w:tr>
      <w:tr>
        <w:tc>
          <w:tcPr>
            <w:tcW w:w="2480" w:type="dxa"/>
            <w:gridSpan w:val="2"/>
            <w:vMerge/>
            <w:tcBorders>
              <w:bottom w:val="double" w:sz="4" w:space="0" w:color="auto"/>
              <w:right w:val="double" w:sz="4" w:space="0" w:color="auto"/>
              <w:tl2br w:val="double" w:sz="4" w:space="0" w:color="auto"/>
            </w:tcBorders>
            <w:tcMar>
              <w:top w:w="57" w:type="dxa"/>
              <w:left w:w="57" w:type="dxa"/>
              <w:bottom w:w="57" w:type="dxa"/>
              <w:right w:w="57" w:type="dxa"/>
            </w:tcMar>
          </w:tcPr>
          <w:p>
            <w:pPr>
              <w:tabs>
                <w:tab w:val="num" w:pos="425"/>
              </w:tabs>
              <w:jc w:val="center"/>
              <w:rPr>
                <w:noProof/>
                <w:sz w:val="24"/>
                <w:szCs w:val="24"/>
              </w:rPr>
            </w:pPr>
          </w:p>
        </w:tc>
        <w:tc>
          <w:tcPr>
            <w:tcW w:w="992" w:type="dxa"/>
            <w:tcBorders>
              <w:left w:val="double" w:sz="4" w:space="0" w:color="auto"/>
              <w:bottom w:val="double" w:sz="4" w:space="0" w:color="auto"/>
            </w:tcBorders>
            <w:shd w:val="clear" w:color="auto" w:fill="8DB3E2" w:themeFill="text2" w:themeFillTint="66"/>
            <w:tcMar>
              <w:top w:w="57" w:type="dxa"/>
              <w:left w:w="57" w:type="dxa"/>
              <w:bottom w:w="57" w:type="dxa"/>
              <w:right w:w="57" w:type="dxa"/>
            </w:tcMar>
          </w:tcPr>
          <w:p>
            <w:pPr>
              <w:tabs>
                <w:tab w:val="num" w:pos="425"/>
              </w:tabs>
              <w:jc w:val="center"/>
              <w:rPr>
                <w:noProof/>
                <w:sz w:val="22"/>
                <w:szCs w:val="22"/>
              </w:rPr>
            </w:pPr>
            <w:r>
              <w:rPr>
                <w:noProof/>
                <w:sz w:val="22"/>
                <w:szCs w:val="22"/>
              </w:rPr>
              <w:t>One-off</w:t>
            </w:r>
          </w:p>
        </w:tc>
        <w:tc>
          <w:tcPr>
            <w:tcW w:w="1134" w:type="dxa"/>
            <w:tcBorders>
              <w:bottom w:val="double" w:sz="4" w:space="0" w:color="auto"/>
            </w:tcBorders>
            <w:shd w:val="clear" w:color="auto" w:fill="8DB3E2" w:themeFill="text2" w:themeFillTint="66"/>
            <w:tcMar>
              <w:top w:w="57" w:type="dxa"/>
              <w:left w:w="57" w:type="dxa"/>
              <w:bottom w:w="57" w:type="dxa"/>
              <w:right w:w="57" w:type="dxa"/>
            </w:tcMar>
          </w:tcPr>
          <w:p>
            <w:pPr>
              <w:tabs>
                <w:tab w:val="num" w:pos="425"/>
              </w:tabs>
              <w:jc w:val="center"/>
              <w:rPr>
                <w:noProof/>
                <w:sz w:val="22"/>
                <w:szCs w:val="22"/>
              </w:rPr>
            </w:pPr>
            <w:r>
              <w:rPr>
                <w:noProof/>
                <w:sz w:val="22"/>
                <w:szCs w:val="22"/>
              </w:rPr>
              <w:t>Recurrent</w:t>
            </w:r>
          </w:p>
        </w:tc>
        <w:tc>
          <w:tcPr>
            <w:tcW w:w="1701" w:type="dxa"/>
            <w:tcBorders>
              <w:bottom w:val="double" w:sz="4" w:space="0" w:color="auto"/>
            </w:tcBorders>
            <w:shd w:val="clear" w:color="auto" w:fill="8DB3E2" w:themeFill="text2" w:themeFillTint="66"/>
            <w:tcMar>
              <w:top w:w="57" w:type="dxa"/>
              <w:left w:w="57" w:type="dxa"/>
              <w:bottom w:w="57" w:type="dxa"/>
              <w:right w:w="57" w:type="dxa"/>
            </w:tcMar>
          </w:tcPr>
          <w:p>
            <w:pPr>
              <w:tabs>
                <w:tab w:val="num" w:pos="425"/>
              </w:tabs>
              <w:jc w:val="center"/>
              <w:rPr>
                <w:noProof/>
                <w:sz w:val="22"/>
                <w:szCs w:val="22"/>
              </w:rPr>
            </w:pPr>
            <w:r>
              <w:rPr>
                <w:noProof/>
                <w:sz w:val="22"/>
                <w:szCs w:val="22"/>
              </w:rPr>
              <w:t>One-off</w:t>
            </w:r>
          </w:p>
        </w:tc>
        <w:tc>
          <w:tcPr>
            <w:tcW w:w="1418" w:type="dxa"/>
            <w:tcBorders>
              <w:bottom w:val="double" w:sz="4" w:space="0" w:color="auto"/>
            </w:tcBorders>
            <w:shd w:val="clear" w:color="auto" w:fill="8DB3E2" w:themeFill="text2" w:themeFillTint="66"/>
            <w:tcMar>
              <w:top w:w="57" w:type="dxa"/>
              <w:left w:w="57" w:type="dxa"/>
              <w:bottom w:w="57" w:type="dxa"/>
              <w:right w:w="57" w:type="dxa"/>
            </w:tcMar>
          </w:tcPr>
          <w:p>
            <w:pPr>
              <w:tabs>
                <w:tab w:val="num" w:pos="425"/>
              </w:tabs>
              <w:jc w:val="center"/>
              <w:rPr>
                <w:noProof/>
                <w:sz w:val="22"/>
                <w:szCs w:val="22"/>
              </w:rPr>
            </w:pPr>
            <w:r>
              <w:rPr>
                <w:noProof/>
                <w:sz w:val="22"/>
                <w:szCs w:val="22"/>
              </w:rPr>
              <w:t>Recurrent</w:t>
            </w:r>
          </w:p>
        </w:tc>
        <w:tc>
          <w:tcPr>
            <w:tcW w:w="1134" w:type="dxa"/>
            <w:tcBorders>
              <w:bottom w:val="double" w:sz="4" w:space="0" w:color="auto"/>
            </w:tcBorders>
            <w:shd w:val="clear" w:color="auto" w:fill="8DB3E2" w:themeFill="text2" w:themeFillTint="66"/>
            <w:tcMar>
              <w:top w:w="57" w:type="dxa"/>
              <w:left w:w="57" w:type="dxa"/>
              <w:bottom w:w="57" w:type="dxa"/>
              <w:right w:w="57" w:type="dxa"/>
            </w:tcMar>
          </w:tcPr>
          <w:p>
            <w:pPr>
              <w:tabs>
                <w:tab w:val="num" w:pos="425"/>
              </w:tabs>
              <w:jc w:val="center"/>
              <w:rPr>
                <w:noProof/>
                <w:sz w:val="22"/>
                <w:szCs w:val="22"/>
              </w:rPr>
            </w:pPr>
            <w:r>
              <w:rPr>
                <w:noProof/>
                <w:sz w:val="22"/>
                <w:szCs w:val="22"/>
              </w:rPr>
              <w:t>One-off</w:t>
            </w:r>
          </w:p>
        </w:tc>
        <w:tc>
          <w:tcPr>
            <w:tcW w:w="1275" w:type="dxa"/>
            <w:tcBorders>
              <w:bottom w:val="double" w:sz="4" w:space="0" w:color="auto"/>
            </w:tcBorders>
            <w:shd w:val="clear" w:color="auto" w:fill="8DB3E2" w:themeFill="text2" w:themeFillTint="66"/>
            <w:tcMar>
              <w:top w:w="57" w:type="dxa"/>
              <w:left w:w="57" w:type="dxa"/>
              <w:bottom w:w="57" w:type="dxa"/>
              <w:right w:w="57" w:type="dxa"/>
            </w:tcMar>
          </w:tcPr>
          <w:p>
            <w:pPr>
              <w:tabs>
                <w:tab w:val="num" w:pos="425"/>
              </w:tabs>
              <w:jc w:val="center"/>
              <w:rPr>
                <w:noProof/>
                <w:sz w:val="22"/>
                <w:szCs w:val="22"/>
              </w:rPr>
            </w:pPr>
            <w:r>
              <w:rPr>
                <w:noProof/>
                <w:sz w:val="22"/>
                <w:szCs w:val="22"/>
              </w:rPr>
              <w:t>Recurrent</w:t>
            </w:r>
          </w:p>
        </w:tc>
      </w:tr>
      <w:tr>
        <w:trPr>
          <w:trHeight w:val="307"/>
        </w:trPr>
        <w:tc>
          <w:tcPr>
            <w:tcW w:w="1488" w:type="dxa"/>
            <w:vMerge w:val="restart"/>
            <w:shd w:val="clear" w:color="auto" w:fill="C6D9F1" w:themeFill="text2" w:themeFillTint="33"/>
            <w:tcMar>
              <w:top w:w="57" w:type="dxa"/>
              <w:left w:w="57" w:type="dxa"/>
              <w:bottom w:w="57" w:type="dxa"/>
              <w:right w:w="57" w:type="dxa"/>
            </w:tcMar>
            <w:vAlign w:val="center"/>
          </w:tcPr>
          <w:p>
            <w:pPr>
              <w:tabs>
                <w:tab w:val="num" w:pos="425"/>
              </w:tabs>
              <w:rPr>
                <w:b/>
                <w:noProof/>
              </w:rPr>
            </w:pPr>
            <w:r>
              <w:rPr>
                <w:b/>
                <w:bCs/>
                <w:noProof/>
                <w:szCs w:val="22"/>
              </w:rPr>
              <w:t xml:space="preserve">Information prior to employment </w:t>
            </w:r>
          </w:p>
          <w:p>
            <w:pPr>
              <w:tabs>
                <w:tab w:val="num" w:pos="425"/>
              </w:tabs>
              <w:rPr>
                <w:b/>
                <w:noProof/>
              </w:rPr>
            </w:pPr>
            <w:r>
              <w:rPr>
                <w:b/>
                <w:bCs/>
                <w:noProof/>
                <w:szCs w:val="22"/>
              </w:rPr>
              <w:t>____</w:t>
            </w:r>
          </w:p>
          <w:p>
            <w:pPr>
              <w:tabs>
                <w:tab w:val="num" w:pos="425"/>
              </w:tabs>
              <w:rPr>
                <w:b/>
                <w:noProof/>
                <w:szCs w:val="24"/>
              </w:rPr>
            </w:pPr>
          </w:p>
          <w:p>
            <w:pPr>
              <w:tabs>
                <w:tab w:val="num" w:pos="425"/>
              </w:tabs>
              <w:rPr>
                <w:b/>
                <w:noProof/>
              </w:rPr>
            </w:pPr>
            <w:r>
              <w:rPr>
                <w:b/>
                <w:bCs/>
                <w:noProof/>
                <w:szCs w:val="22"/>
              </w:rPr>
              <w:t xml:space="preserve">right to receive information on pay upon request for all workers </w:t>
            </w:r>
          </w:p>
          <w:p>
            <w:pPr>
              <w:tabs>
                <w:tab w:val="num" w:pos="425"/>
              </w:tabs>
              <w:rPr>
                <w:noProof/>
                <w:szCs w:val="24"/>
              </w:rPr>
            </w:pPr>
            <w:r>
              <w:rPr>
                <w:b/>
                <w:bCs/>
                <w:noProof/>
                <w:szCs w:val="22"/>
              </w:rPr>
              <w:t>(Sub-option 1B)</w:t>
            </w:r>
          </w:p>
        </w:tc>
        <w:tc>
          <w:tcPr>
            <w:tcW w:w="992" w:type="dxa"/>
            <w:tcBorders>
              <w:right w:val="double" w:sz="4" w:space="0" w:color="auto"/>
            </w:tcBorders>
            <w:shd w:val="clear" w:color="auto" w:fill="8DB3E2" w:themeFill="text2" w:themeFillTint="66"/>
            <w:tcMar>
              <w:top w:w="57" w:type="dxa"/>
              <w:left w:w="57" w:type="dxa"/>
              <w:bottom w:w="57" w:type="dxa"/>
              <w:right w:w="57" w:type="dxa"/>
            </w:tcMar>
            <w:vAlign w:val="center"/>
          </w:tcPr>
          <w:p>
            <w:pPr>
              <w:tabs>
                <w:tab w:val="num" w:pos="425"/>
              </w:tabs>
              <w:rPr>
                <w:noProof/>
              </w:rPr>
            </w:pPr>
            <w:r>
              <w:rPr>
                <w:noProof/>
              </w:rPr>
              <w:t>Direct costs</w:t>
            </w:r>
          </w:p>
        </w:tc>
        <w:tc>
          <w:tcPr>
            <w:tcW w:w="992" w:type="dxa"/>
            <w:tcBorders>
              <w:left w:val="double" w:sz="4" w:space="0" w:color="auto"/>
            </w:tcBorders>
            <w:tcMar>
              <w:top w:w="57" w:type="dxa"/>
              <w:left w:w="57" w:type="dxa"/>
              <w:bottom w:w="57" w:type="dxa"/>
              <w:right w:w="57" w:type="dxa"/>
            </w:tcMar>
          </w:tcPr>
          <w:p>
            <w:pPr>
              <w:tabs>
                <w:tab w:val="num" w:pos="425"/>
              </w:tabs>
              <w:jc w:val="center"/>
              <w:rPr>
                <w:noProof/>
              </w:rPr>
            </w:pPr>
            <w:r>
              <w:rPr>
                <w:noProof/>
              </w:rPr>
              <w:t>negligible</w:t>
            </w:r>
          </w:p>
        </w:tc>
        <w:tc>
          <w:tcPr>
            <w:tcW w:w="1134" w:type="dxa"/>
            <w:tcMar>
              <w:top w:w="57" w:type="dxa"/>
              <w:left w:w="57" w:type="dxa"/>
              <w:bottom w:w="57" w:type="dxa"/>
              <w:right w:w="57" w:type="dxa"/>
            </w:tcMar>
          </w:tcPr>
          <w:p>
            <w:pPr>
              <w:tabs>
                <w:tab w:val="num" w:pos="425"/>
              </w:tabs>
              <w:jc w:val="center"/>
              <w:rPr>
                <w:noProof/>
              </w:rPr>
            </w:pPr>
            <w:r>
              <w:rPr>
                <w:noProof/>
              </w:rPr>
              <w:t>negligible</w:t>
            </w:r>
          </w:p>
        </w:tc>
        <w:tc>
          <w:tcPr>
            <w:tcW w:w="1701" w:type="dxa"/>
            <w:tcMar>
              <w:top w:w="57" w:type="dxa"/>
              <w:left w:w="57" w:type="dxa"/>
              <w:bottom w:w="57" w:type="dxa"/>
              <w:right w:w="57" w:type="dxa"/>
            </w:tcMar>
          </w:tcPr>
          <w:p>
            <w:pPr>
              <w:tabs>
                <w:tab w:val="num" w:pos="425"/>
              </w:tabs>
              <w:jc w:val="center"/>
              <w:rPr>
                <w:noProof/>
              </w:rPr>
            </w:pPr>
            <w:r>
              <w:rPr>
                <w:noProof/>
              </w:rPr>
              <w:t>Negligible</w:t>
            </w:r>
          </w:p>
          <w:p>
            <w:pPr>
              <w:tabs>
                <w:tab w:val="num" w:pos="425"/>
              </w:tabs>
              <w:jc w:val="center"/>
              <w:rPr>
                <w:noProof/>
              </w:rPr>
            </w:pPr>
            <w:r>
              <w:rPr>
                <w:noProof/>
              </w:rPr>
              <w:t>____</w:t>
            </w:r>
          </w:p>
          <w:p>
            <w:pPr>
              <w:tabs>
                <w:tab w:val="num" w:pos="425"/>
              </w:tabs>
              <w:jc w:val="center"/>
              <w:rPr>
                <w:noProof/>
              </w:rPr>
            </w:pPr>
          </w:p>
          <w:p>
            <w:pPr>
              <w:tabs>
                <w:tab w:val="num" w:pos="425"/>
              </w:tabs>
              <w:jc w:val="center"/>
              <w:rPr>
                <w:noProof/>
              </w:rPr>
            </w:pPr>
            <w:r>
              <w:rPr>
                <w:noProof/>
              </w:rPr>
              <w:t>Overall: not possible to quantify (depends on the number of requests from employees)</w:t>
            </w:r>
          </w:p>
          <w:p>
            <w:pPr>
              <w:tabs>
                <w:tab w:val="num" w:pos="425"/>
              </w:tabs>
              <w:jc w:val="center"/>
              <w:rPr>
                <w:noProof/>
              </w:rPr>
            </w:pPr>
          </w:p>
          <w:p>
            <w:pPr>
              <w:tabs>
                <w:tab w:val="num" w:pos="425"/>
              </w:tabs>
              <w:jc w:val="center"/>
              <w:rPr>
                <w:noProof/>
              </w:rPr>
            </w:pPr>
            <w:r>
              <w:rPr>
                <w:noProof/>
              </w:rPr>
              <w:t>For employers 250+: negligible (partly covered under measure 2D below).</w:t>
            </w:r>
          </w:p>
          <w:p>
            <w:pPr>
              <w:tabs>
                <w:tab w:val="num" w:pos="425"/>
              </w:tabs>
              <w:jc w:val="center"/>
              <w:rPr>
                <w:noProof/>
              </w:rPr>
            </w:pPr>
          </w:p>
          <w:p>
            <w:pPr>
              <w:tabs>
                <w:tab w:val="num" w:pos="425"/>
              </w:tabs>
              <w:jc w:val="center"/>
              <w:rPr>
                <w:noProof/>
              </w:rPr>
            </w:pPr>
            <w:r>
              <w:rPr>
                <w:noProof/>
              </w:rPr>
              <w:t>The cost of a single request was estimated at 20 EUR</w:t>
            </w:r>
          </w:p>
        </w:tc>
        <w:tc>
          <w:tcPr>
            <w:tcW w:w="1418" w:type="dxa"/>
            <w:tcMar>
              <w:top w:w="57" w:type="dxa"/>
              <w:left w:w="57" w:type="dxa"/>
              <w:bottom w:w="57" w:type="dxa"/>
              <w:right w:w="57" w:type="dxa"/>
            </w:tcMar>
          </w:tcPr>
          <w:p>
            <w:pPr>
              <w:tabs>
                <w:tab w:val="num" w:pos="425"/>
              </w:tabs>
              <w:jc w:val="center"/>
              <w:rPr>
                <w:noProof/>
              </w:rPr>
            </w:pPr>
            <w:r>
              <w:rPr>
                <w:noProof/>
              </w:rPr>
              <w:t>Negligible</w:t>
            </w:r>
          </w:p>
          <w:p>
            <w:pPr>
              <w:tabs>
                <w:tab w:val="num" w:pos="425"/>
              </w:tabs>
              <w:jc w:val="center"/>
              <w:rPr>
                <w:noProof/>
              </w:rPr>
            </w:pPr>
            <w:r>
              <w:rPr>
                <w:noProof/>
              </w:rPr>
              <w:t xml:space="preserve">____ </w:t>
            </w:r>
          </w:p>
          <w:p>
            <w:pPr>
              <w:tabs>
                <w:tab w:val="num" w:pos="425"/>
              </w:tabs>
              <w:jc w:val="center"/>
              <w:rPr>
                <w:noProof/>
              </w:rPr>
            </w:pPr>
          </w:p>
          <w:p>
            <w:pPr>
              <w:tabs>
                <w:tab w:val="num" w:pos="425"/>
              </w:tabs>
              <w:jc w:val="center"/>
              <w:rPr>
                <w:noProof/>
              </w:rPr>
            </w:pPr>
            <w:r>
              <w:rPr>
                <w:noProof/>
              </w:rPr>
              <w:t>Not possible to quantify (depends on the number of requests from employees)</w:t>
            </w:r>
          </w:p>
          <w:p>
            <w:pPr>
              <w:tabs>
                <w:tab w:val="num" w:pos="425"/>
              </w:tabs>
              <w:jc w:val="center"/>
              <w:rPr>
                <w:noProof/>
              </w:rPr>
            </w:pPr>
          </w:p>
        </w:tc>
        <w:tc>
          <w:tcPr>
            <w:tcW w:w="1134" w:type="dxa"/>
            <w:tcMar>
              <w:top w:w="57" w:type="dxa"/>
              <w:left w:w="57" w:type="dxa"/>
              <w:bottom w:w="57" w:type="dxa"/>
              <w:right w:w="57" w:type="dxa"/>
            </w:tcMar>
          </w:tcPr>
          <w:p>
            <w:pPr>
              <w:tabs>
                <w:tab w:val="num" w:pos="425"/>
              </w:tabs>
              <w:jc w:val="center"/>
              <w:rPr>
                <w:noProof/>
              </w:rPr>
            </w:pPr>
            <w:r>
              <w:rPr>
                <w:noProof/>
              </w:rPr>
              <w:t>n.a.</w:t>
            </w:r>
          </w:p>
          <w:p>
            <w:pPr>
              <w:tabs>
                <w:tab w:val="num" w:pos="425"/>
              </w:tabs>
              <w:jc w:val="center"/>
              <w:rPr>
                <w:noProof/>
              </w:rPr>
            </w:pPr>
            <w:r>
              <w:rPr>
                <w:noProof/>
              </w:rPr>
              <w:t>____</w:t>
            </w:r>
          </w:p>
          <w:p>
            <w:pPr>
              <w:tabs>
                <w:tab w:val="num" w:pos="425"/>
              </w:tabs>
              <w:jc w:val="center"/>
              <w:rPr>
                <w:noProof/>
              </w:rPr>
            </w:pPr>
          </w:p>
          <w:p>
            <w:pPr>
              <w:tabs>
                <w:tab w:val="num" w:pos="425"/>
              </w:tabs>
              <w:jc w:val="center"/>
              <w:rPr>
                <w:noProof/>
              </w:rPr>
            </w:pPr>
            <w:r>
              <w:rPr>
                <w:noProof/>
              </w:rPr>
              <w:t>negligible</w:t>
            </w:r>
          </w:p>
        </w:tc>
        <w:tc>
          <w:tcPr>
            <w:tcW w:w="1275" w:type="dxa"/>
            <w:tcMar>
              <w:top w:w="57" w:type="dxa"/>
              <w:left w:w="57" w:type="dxa"/>
              <w:bottom w:w="57" w:type="dxa"/>
              <w:right w:w="57" w:type="dxa"/>
            </w:tcMar>
          </w:tcPr>
          <w:p>
            <w:pPr>
              <w:tabs>
                <w:tab w:val="num" w:pos="425"/>
              </w:tabs>
              <w:jc w:val="center"/>
              <w:rPr>
                <w:noProof/>
              </w:rPr>
            </w:pPr>
            <w:r>
              <w:rPr>
                <w:noProof/>
              </w:rPr>
              <w:t>n.a.</w:t>
            </w:r>
          </w:p>
          <w:p>
            <w:pPr>
              <w:tabs>
                <w:tab w:val="num" w:pos="425"/>
              </w:tabs>
              <w:jc w:val="center"/>
              <w:rPr>
                <w:noProof/>
              </w:rPr>
            </w:pPr>
            <w:r>
              <w:rPr>
                <w:noProof/>
              </w:rPr>
              <w:t>____</w:t>
            </w:r>
          </w:p>
          <w:p>
            <w:pPr>
              <w:tabs>
                <w:tab w:val="num" w:pos="425"/>
              </w:tabs>
              <w:jc w:val="center"/>
              <w:rPr>
                <w:noProof/>
              </w:rPr>
            </w:pPr>
          </w:p>
          <w:p>
            <w:pPr>
              <w:tabs>
                <w:tab w:val="num" w:pos="425"/>
              </w:tabs>
              <w:jc w:val="center"/>
              <w:rPr>
                <w:noProof/>
              </w:rPr>
            </w:pPr>
            <w:r>
              <w:rPr>
                <w:noProof/>
              </w:rPr>
              <w:t>negligible</w:t>
            </w:r>
          </w:p>
        </w:tc>
      </w:tr>
      <w:tr>
        <w:tc>
          <w:tcPr>
            <w:tcW w:w="1488" w:type="dxa"/>
            <w:vMerge/>
            <w:shd w:val="clear" w:color="auto" w:fill="C6D9F1" w:themeFill="text2" w:themeFillTint="33"/>
            <w:tcMar>
              <w:top w:w="57" w:type="dxa"/>
              <w:left w:w="57" w:type="dxa"/>
              <w:bottom w:w="57" w:type="dxa"/>
              <w:right w:w="57" w:type="dxa"/>
            </w:tcMar>
          </w:tcPr>
          <w:p>
            <w:pPr>
              <w:tabs>
                <w:tab w:val="num" w:pos="425"/>
              </w:tabs>
              <w:rPr>
                <w:noProof/>
                <w:szCs w:val="24"/>
              </w:rPr>
            </w:pPr>
          </w:p>
        </w:tc>
        <w:tc>
          <w:tcPr>
            <w:tcW w:w="992" w:type="dxa"/>
            <w:tcBorders>
              <w:right w:val="double" w:sz="4" w:space="0" w:color="auto"/>
            </w:tcBorders>
            <w:shd w:val="clear" w:color="auto" w:fill="8DB3E2" w:themeFill="text2" w:themeFillTint="66"/>
            <w:tcMar>
              <w:top w:w="57" w:type="dxa"/>
              <w:left w:w="57" w:type="dxa"/>
              <w:bottom w:w="57" w:type="dxa"/>
              <w:right w:w="57" w:type="dxa"/>
            </w:tcMar>
          </w:tcPr>
          <w:p>
            <w:pPr>
              <w:tabs>
                <w:tab w:val="num" w:pos="425"/>
              </w:tabs>
              <w:rPr>
                <w:noProof/>
              </w:rPr>
            </w:pPr>
            <w:r>
              <w:rPr>
                <w:noProof/>
              </w:rPr>
              <w:t>Indirect costs</w:t>
            </w:r>
          </w:p>
        </w:tc>
        <w:tc>
          <w:tcPr>
            <w:tcW w:w="992" w:type="dxa"/>
            <w:tcBorders>
              <w:left w:val="double" w:sz="4" w:space="0" w:color="auto"/>
            </w:tcBorders>
            <w:tcMar>
              <w:top w:w="57" w:type="dxa"/>
              <w:left w:w="57" w:type="dxa"/>
              <w:bottom w:w="57" w:type="dxa"/>
              <w:right w:w="57" w:type="dxa"/>
            </w:tcMar>
          </w:tcPr>
          <w:p>
            <w:pPr>
              <w:tabs>
                <w:tab w:val="num" w:pos="425"/>
              </w:tabs>
              <w:jc w:val="center"/>
              <w:rPr>
                <w:noProof/>
              </w:rPr>
            </w:pPr>
            <w:r>
              <w:rPr>
                <w:noProof/>
              </w:rPr>
              <w:t>n.a./ negligible</w:t>
            </w:r>
          </w:p>
        </w:tc>
        <w:tc>
          <w:tcPr>
            <w:tcW w:w="1134" w:type="dxa"/>
            <w:tcMar>
              <w:top w:w="57" w:type="dxa"/>
              <w:left w:w="57" w:type="dxa"/>
              <w:bottom w:w="57" w:type="dxa"/>
              <w:right w:w="57" w:type="dxa"/>
            </w:tcMar>
          </w:tcPr>
          <w:p>
            <w:pPr>
              <w:tabs>
                <w:tab w:val="num" w:pos="425"/>
              </w:tabs>
              <w:jc w:val="center"/>
              <w:rPr>
                <w:noProof/>
              </w:rPr>
            </w:pPr>
            <w:r>
              <w:rPr>
                <w:noProof/>
              </w:rPr>
              <w:t>n.a./</w:t>
            </w:r>
          </w:p>
          <w:p>
            <w:pPr>
              <w:tabs>
                <w:tab w:val="num" w:pos="425"/>
              </w:tabs>
              <w:jc w:val="center"/>
              <w:rPr>
                <w:noProof/>
              </w:rPr>
            </w:pPr>
            <w:r>
              <w:rPr>
                <w:noProof/>
              </w:rPr>
              <w:t>negligible</w:t>
            </w:r>
          </w:p>
        </w:tc>
        <w:tc>
          <w:tcPr>
            <w:tcW w:w="1701" w:type="dxa"/>
            <w:tcMar>
              <w:top w:w="57" w:type="dxa"/>
              <w:left w:w="57" w:type="dxa"/>
              <w:bottom w:w="57" w:type="dxa"/>
              <w:right w:w="57" w:type="dxa"/>
            </w:tcMar>
          </w:tcPr>
          <w:p>
            <w:pPr>
              <w:tabs>
                <w:tab w:val="num" w:pos="425"/>
              </w:tabs>
              <w:jc w:val="center"/>
              <w:rPr>
                <w:noProof/>
              </w:rPr>
            </w:pPr>
            <w:r>
              <w:rPr>
                <w:noProof/>
              </w:rPr>
              <w:t>n.a./</w:t>
            </w:r>
          </w:p>
          <w:p>
            <w:pPr>
              <w:tabs>
                <w:tab w:val="num" w:pos="425"/>
              </w:tabs>
              <w:jc w:val="center"/>
              <w:rPr>
                <w:noProof/>
              </w:rPr>
            </w:pPr>
            <w:r>
              <w:rPr>
                <w:noProof/>
              </w:rPr>
              <w:t>negligible</w:t>
            </w:r>
          </w:p>
        </w:tc>
        <w:tc>
          <w:tcPr>
            <w:tcW w:w="1418" w:type="dxa"/>
            <w:tcMar>
              <w:top w:w="57" w:type="dxa"/>
              <w:left w:w="57" w:type="dxa"/>
              <w:bottom w:w="57" w:type="dxa"/>
              <w:right w:w="57" w:type="dxa"/>
            </w:tcMar>
          </w:tcPr>
          <w:p>
            <w:pPr>
              <w:tabs>
                <w:tab w:val="num" w:pos="425"/>
              </w:tabs>
              <w:jc w:val="center"/>
              <w:rPr>
                <w:noProof/>
              </w:rPr>
            </w:pPr>
            <w:r>
              <w:rPr>
                <w:noProof/>
              </w:rPr>
              <w:t>n.a./</w:t>
            </w:r>
          </w:p>
          <w:p>
            <w:pPr>
              <w:tabs>
                <w:tab w:val="num" w:pos="425"/>
              </w:tabs>
              <w:jc w:val="center"/>
              <w:rPr>
                <w:noProof/>
              </w:rPr>
            </w:pPr>
            <w:r>
              <w:rPr>
                <w:noProof/>
              </w:rPr>
              <w:t>negligible</w:t>
            </w:r>
          </w:p>
        </w:tc>
        <w:tc>
          <w:tcPr>
            <w:tcW w:w="1134" w:type="dxa"/>
            <w:tcMar>
              <w:top w:w="57" w:type="dxa"/>
              <w:left w:w="57" w:type="dxa"/>
              <w:bottom w:w="57" w:type="dxa"/>
              <w:right w:w="57" w:type="dxa"/>
            </w:tcMar>
          </w:tcPr>
          <w:p>
            <w:pPr>
              <w:tabs>
                <w:tab w:val="num" w:pos="425"/>
              </w:tabs>
              <w:jc w:val="center"/>
              <w:rPr>
                <w:noProof/>
              </w:rPr>
            </w:pPr>
            <w:r>
              <w:rPr>
                <w:noProof/>
              </w:rPr>
              <w:t>n.a./</w:t>
            </w:r>
          </w:p>
          <w:p>
            <w:pPr>
              <w:tabs>
                <w:tab w:val="num" w:pos="425"/>
              </w:tabs>
              <w:jc w:val="center"/>
              <w:rPr>
                <w:noProof/>
              </w:rPr>
            </w:pPr>
            <w:r>
              <w:rPr>
                <w:noProof/>
              </w:rPr>
              <w:t>negligible</w:t>
            </w:r>
          </w:p>
        </w:tc>
        <w:tc>
          <w:tcPr>
            <w:tcW w:w="1275" w:type="dxa"/>
            <w:tcMar>
              <w:top w:w="57" w:type="dxa"/>
              <w:left w:w="57" w:type="dxa"/>
              <w:bottom w:w="57" w:type="dxa"/>
              <w:right w:w="57" w:type="dxa"/>
            </w:tcMar>
          </w:tcPr>
          <w:p>
            <w:pPr>
              <w:tabs>
                <w:tab w:val="num" w:pos="425"/>
              </w:tabs>
              <w:jc w:val="center"/>
              <w:rPr>
                <w:noProof/>
              </w:rPr>
            </w:pPr>
            <w:r>
              <w:rPr>
                <w:noProof/>
              </w:rPr>
              <w:t>n.a/</w:t>
            </w:r>
          </w:p>
          <w:p>
            <w:pPr>
              <w:tabs>
                <w:tab w:val="num" w:pos="425"/>
              </w:tabs>
              <w:jc w:val="center"/>
              <w:rPr>
                <w:noProof/>
              </w:rPr>
            </w:pPr>
            <w:r>
              <w:rPr>
                <w:noProof/>
              </w:rPr>
              <w:t>negligible</w:t>
            </w:r>
          </w:p>
        </w:tc>
      </w:tr>
      <w:tr>
        <w:tc>
          <w:tcPr>
            <w:tcW w:w="1488" w:type="dxa"/>
            <w:vMerge w:val="restart"/>
            <w:tcBorders>
              <w:top w:val="double" w:sz="4" w:space="0" w:color="auto"/>
            </w:tcBorders>
            <w:shd w:val="clear" w:color="auto" w:fill="C6D9F1" w:themeFill="text2" w:themeFillTint="33"/>
            <w:tcMar>
              <w:top w:w="57" w:type="dxa"/>
              <w:left w:w="57" w:type="dxa"/>
              <w:bottom w:w="57" w:type="dxa"/>
              <w:right w:w="57" w:type="dxa"/>
            </w:tcMar>
          </w:tcPr>
          <w:p>
            <w:pPr>
              <w:tabs>
                <w:tab w:val="num" w:pos="425"/>
              </w:tabs>
              <w:rPr>
                <w:b/>
                <w:noProof/>
              </w:rPr>
            </w:pPr>
            <w:r>
              <w:rPr>
                <w:b/>
                <w:bCs/>
                <w:noProof/>
                <w:szCs w:val="22"/>
              </w:rPr>
              <w:t xml:space="preserve">Strengthened Pay reporting for 250+ </w:t>
            </w:r>
          </w:p>
          <w:p>
            <w:pPr>
              <w:tabs>
                <w:tab w:val="num" w:pos="425"/>
              </w:tabs>
              <w:rPr>
                <w:b/>
                <w:noProof/>
              </w:rPr>
            </w:pPr>
            <w:r>
              <w:rPr>
                <w:b/>
                <w:bCs/>
                <w:noProof/>
                <w:szCs w:val="22"/>
              </w:rPr>
              <w:t>(Sub-option 2D)</w:t>
            </w:r>
          </w:p>
        </w:tc>
        <w:tc>
          <w:tcPr>
            <w:tcW w:w="992" w:type="dxa"/>
            <w:tcBorders>
              <w:top w:val="double" w:sz="4" w:space="0" w:color="auto"/>
              <w:right w:val="double" w:sz="4" w:space="0" w:color="auto"/>
            </w:tcBorders>
            <w:shd w:val="clear" w:color="auto" w:fill="8DB3E2" w:themeFill="text2" w:themeFillTint="66"/>
            <w:tcMar>
              <w:top w:w="57" w:type="dxa"/>
              <w:left w:w="57" w:type="dxa"/>
              <w:bottom w:w="57" w:type="dxa"/>
              <w:right w:w="57" w:type="dxa"/>
            </w:tcMar>
            <w:vAlign w:val="center"/>
          </w:tcPr>
          <w:p>
            <w:pPr>
              <w:tabs>
                <w:tab w:val="num" w:pos="425"/>
              </w:tabs>
              <w:rPr>
                <w:noProof/>
              </w:rPr>
            </w:pPr>
            <w:r>
              <w:rPr>
                <w:noProof/>
              </w:rPr>
              <w:t>Direct costs</w:t>
            </w:r>
          </w:p>
        </w:tc>
        <w:tc>
          <w:tcPr>
            <w:tcW w:w="992" w:type="dxa"/>
            <w:tcBorders>
              <w:top w:val="double" w:sz="4" w:space="0" w:color="auto"/>
              <w:left w:val="double" w:sz="4" w:space="0" w:color="auto"/>
            </w:tcBorders>
            <w:tcMar>
              <w:top w:w="57" w:type="dxa"/>
              <w:left w:w="57" w:type="dxa"/>
              <w:bottom w:w="57" w:type="dxa"/>
              <w:right w:w="57" w:type="dxa"/>
            </w:tcMar>
          </w:tcPr>
          <w:p>
            <w:pPr>
              <w:tabs>
                <w:tab w:val="num" w:pos="425"/>
              </w:tabs>
              <w:jc w:val="center"/>
              <w:rPr>
                <w:noProof/>
              </w:rPr>
            </w:pPr>
            <w:r>
              <w:rPr>
                <w:noProof/>
              </w:rPr>
              <w:t>n.a./ negligible</w:t>
            </w:r>
          </w:p>
        </w:tc>
        <w:tc>
          <w:tcPr>
            <w:tcW w:w="1134" w:type="dxa"/>
            <w:tcBorders>
              <w:top w:val="double" w:sz="4" w:space="0" w:color="auto"/>
            </w:tcBorders>
            <w:tcMar>
              <w:top w:w="57" w:type="dxa"/>
              <w:left w:w="57" w:type="dxa"/>
              <w:bottom w:w="57" w:type="dxa"/>
              <w:right w:w="57" w:type="dxa"/>
            </w:tcMar>
          </w:tcPr>
          <w:p>
            <w:pPr>
              <w:tabs>
                <w:tab w:val="num" w:pos="425"/>
              </w:tabs>
              <w:jc w:val="center"/>
              <w:rPr>
                <w:noProof/>
              </w:rPr>
            </w:pPr>
            <w:r>
              <w:rPr>
                <w:noProof/>
              </w:rPr>
              <w:t>n.a./</w:t>
            </w:r>
          </w:p>
          <w:p>
            <w:pPr>
              <w:tabs>
                <w:tab w:val="num" w:pos="425"/>
              </w:tabs>
              <w:jc w:val="center"/>
              <w:rPr>
                <w:noProof/>
              </w:rPr>
            </w:pPr>
            <w:r>
              <w:rPr>
                <w:noProof/>
              </w:rPr>
              <w:t>negligible</w:t>
            </w:r>
          </w:p>
        </w:tc>
        <w:tc>
          <w:tcPr>
            <w:tcW w:w="1701" w:type="dxa"/>
            <w:tcBorders>
              <w:top w:val="double" w:sz="4" w:space="0" w:color="auto"/>
            </w:tcBorders>
            <w:tcMar>
              <w:top w:w="57" w:type="dxa"/>
              <w:left w:w="57" w:type="dxa"/>
              <w:bottom w:w="57" w:type="dxa"/>
              <w:right w:w="57" w:type="dxa"/>
            </w:tcMar>
          </w:tcPr>
          <w:p>
            <w:pPr>
              <w:tabs>
                <w:tab w:val="num" w:pos="425"/>
              </w:tabs>
              <w:jc w:val="center"/>
              <w:rPr>
                <w:noProof/>
              </w:rPr>
            </w:pPr>
            <w:r>
              <w:rPr>
                <w:noProof/>
              </w:rPr>
              <w:t>Overall: 26 - 50 million EUR</w:t>
            </w:r>
          </w:p>
          <w:p>
            <w:pPr>
              <w:tabs>
                <w:tab w:val="num" w:pos="425"/>
              </w:tabs>
              <w:jc w:val="center"/>
              <w:rPr>
                <w:noProof/>
              </w:rPr>
            </w:pPr>
          </w:p>
          <w:p>
            <w:pPr>
              <w:tabs>
                <w:tab w:val="num" w:pos="425"/>
              </w:tabs>
              <w:jc w:val="center"/>
              <w:rPr>
                <w:noProof/>
              </w:rPr>
            </w:pPr>
            <w:r>
              <w:rPr>
                <w:noProof/>
              </w:rPr>
              <w:t>Per employer: between min. 379-508 and max; 721-890 EUR depending on the size</w:t>
            </w:r>
          </w:p>
        </w:tc>
        <w:tc>
          <w:tcPr>
            <w:tcW w:w="1418" w:type="dxa"/>
            <w:tcBorders>
              <w:top w:val="double" w:sz="4" w:space="0" w:color="auto"/>
            </w:tcBorders>
            <w:tcMar>
              <w:top w:w="57" w:type="dxa"/>
              <w:left w:w="57" w:type="dxa"/>
              <w:bottom w:w="57" w:type="dxa"/>
              <w:right w:w="57" w:type="dxa"/>
            </w:tcMar>
          </w:tcPr>
          <w:p>
            <w:pPr>
              <w:tabs>
                <w:tab w:val="num" w:pos="425"/>
              </w:tabs>
              <w:jc w:val="center"/>
              <w:rPr>
                <w:noProof/>
              </w:rPr>
            </w:pPr>
            <w:r>
              <w:rPr>
                <w:noProof/>
              </w:rPr>
              <w:t>Expected to decrease in any subsequent exercises</w:t>
            </w:r>
          </w:p>
        </w:tc>
        <w:tc>
          <w:tcPr>
            <w:tcW w:w="1134" w:type="dxa"/>
            <w:tcBorders>
              <w:top w:val="double" w:sz="4" w:space="0" w:color="auto"/>
            </w:tcBorders>
            <w:tcMar>
              <w:top w:w="57" w:type="dxa"/>
              <w:left w:w="57" w:type="dxa"/>
              <w:bottom w:w="57" w:type="dxa"/>
              <w:right w:w="57" w:type="dxa"/>
            </w:tcMar>
          </w:tcPr>
          <w:p>
            <w:pPr>
              <w:tabs>
                <w:tab w:val="num" w:pos="425"/>
              </w:tabs>
              <w:jc w:val="center"/>
              <w:rPr>
                <w:noProof/>
              </w:rPr>
            </w:pPr>
            <w:r>
              <w:rPr>
                <w:noProof/>
              </w:rPr>
              <w:t>400,000</w:t>
            </w:r>
          </w:p>
          <w:p>
            <w:pPr>
              <w:tabs>
                <w:tab w:val="num" w:pos="425"/>
              </w:tabs>
              <w:jc w:val="center"/>
              <w:rPr>
                <w:noProof/>
              </w:rPr>
            </w:pPr>
            <w:r>
              <w:rPr>
                <w:noProof/>
              </w:rPr>
              <w:t>EUR</w:t>
            </w:r>
          </w:p>
        </w:tc>
        <w:tc>
          <w:tcPr>
            <w:tcW w:w="1275" w:type="dxa"/>
            <w:tcBorders>
              <w:top w:val="double" w:sz="4" w:space="0" w:color="auto"/>
            </w:tcBorders>
            <w:tcMar>
              <w:top w:w="57" w:type="dxa"/>
              <w:left w:w="57" w:type="dxa"/>
              <w:bottom w:w="57" w:type="dxa"/>
              <w:right w:w="57" w:type="dxa"/>
            </w:tcMar>
          </w:tcPr>
          <w:p>
            <w:pPr>
              <w:tabs>
                <w:tab w:val="num" w:pos="425"/>
              </w:tabs>
              <w:jc w:val="center"/>
              <w:rPr>
                <w:noProof/>
              </w:rPr>
            </w:pPr>
            <w:r>
              <w:rPr>
                <w:noProof/>
              </w:rPr>
              <w:t>82,000</w:t>
            </w:r>
          </w:p>
          <w:p>
            <w:pPr>
              <w:tabs>
                <w:tab w:val="num" w:pos="425"/>
              </w:tabs>
              <w:jc w:val="center"/>
              <w:rPr>
                <w:noProof/>
              </w:rPr>
            </w:pPr>
            <w:r>
              <w:rPr>
                <w:noProof/>
              </w:rPr>
              <w:t>EUR</w:t>
            </w:r>
          </w:p>
        </w:tc>
      </w:tr>
      <w:tr>
        <w:tc>
          <w:tcPr>
            <w:tcW w:w="1488" w:type="dxa"/>
            <w:vMerge/>
            <w:shd w:val="clear" w:color="auto" w:fill="C6D9F1" w:themeFill="text2" w:themeFillTint="33"/>
            <w:tcMar>
              <w:top w:w="57" w:type="dxa"/>
              <w:left w:w="57" w:type="dxa"/>
              <w:bottom w:w="57" w:type="dxa"/>
              <w:right w:w="57" w:type="dxa"/>
            </w:tcMar>
          </w:tcPr>
          <w:p>
            <w:pPr>
              <w:tabs>
                <w:tab w:val="num" w:pos="425"/>
              </w:tabs>
              <w:rPr>
                <w:noProof/>
                <w:szCs w:val="24"/>
              </w:rPr>
            </w:pPr>
          </w:p>
        </w:tc>
        <w:tc>
          <w:tcPr>
            <w:tcW w:w="992" w:type="dxa"/>
            <w:tcBorders>
              <w:right w:val="double" w:sz="4" w:space="0" w:color="auto"/>
            </w:tcBorders>
            <w:shd w:val="clear" w:color="auto" w:fill="8DB3E2" w:themeFill="text2" w:themeFillTint="66"/>
            <w:tcMar>
              <w:top w:w="57" w:type="dxa"/>
              <w:left w:w="57" w:type="dxa"/>
              <w:bottom w:w="57" w:type="dxa"/>
              <w:right w:w="57" w:type="dxa"/>
            </w:tcMar>
          </w:tcPr>
          <w:p>
            <w:pPr>
              <w:tabs>
                <w:tab w:val="num" w:pos="425"/>
              </w:tabs>
              <w:rPr>
                <w:noProof/>
              </w:rPr>
            </w:pPr>
            <w:r>
              <w:rPr>
                <w:noProof/>
              </w:rPr>
              <w:t>Indirect costs</w:t>
            </w:r>
          </w:p>
        </w:tc>
        <w:tc>
          <w:tcPr>
            <w:tcW w:w="992" w:type="dxa"/>
            <w:tcBorders>
              <w:left w:val="double" w:sz="4" w:space="0" w:color="auto"/>
            </w:tcBorders>
            <w:tcMar>
              <w:top w:w="57" w:type="dxa"/>
              <w:left w:w="57" w:type="dxa"/>
              <w:bottom w:w="57" w:type="dxa"/>
              <w:right w:w="57" w:type="dxa"/>
            </w:tcMar>
          </w:tcPr>
          <w:p>
            <w:pPr>
              <w:tabs>
                <w:tab w:val="num" w:pos="425"/>
              </w:tabs>
              <w:jc w:val="center"/>
              <w:rPr>
                <w:noProof/>
              </w:rPr>
            </w:pPr>
            <w:r>
              <w:rPr>
                <w:noProof/>
              </w:rPr>
              <w:t>n.a./</w:t>
            </w:r>
          </w:p>
          <w:p>
            <w:pPr>
              <w:tabs>
                <w:tab w:val="num" w:pos="425"/>
              </w:tabs>
              <w:jc w:val="center"/>
              <w:rPr>
                <w:noProof/>
              </w:rPr>
            </w:pPr>
            <w:r>
              <w:rPr>
                <w:noProof/>
              </w:rPr>
              <w:t>negligible</w:t>
            </w:r>
          </w:p>
        </w:tc>
        <w:tc>
          <w:tcPr>
            <w:tcW w:w="1134" w:type="dxa"/>
            <w:tcMar>
              <w:top w:w="57" w:type="dxa"/>
              <w:left w:w="57" w:type="dxa"/>
              <w:bottom w:w="57" w:type="dxa"/>
              <w:right w:w="57" w:type="dxa"/>
            </w:tcMar>
          </w:tcPr>
          <w:p>
            <w:pPr>
              <w:tabs>
                <w:tab w:val="num" w:pos="425"/>
              </w:tabs>
              <w:jc w:val="center"/>
              <w:rPr>
                <w:noProof/>
              </w:rPr>
            </w:pPr>
            <w:r>
              <w:rPr>
                <w:noProof/>
              </w:rPr>
              <w:t>n.a./</w:t>
            </w:r>
          </w:p>
          <w:p>
            <w:pPr>
              <w:tabs>
                <w:tab w:val="num" w:pos="425"/>
              </w:tabs>
              <w:jc w:val="center"/>
              <w:rPr>
                <w:noProof/>
              </w:rPr>
            </w:pPr>
            <w:r>
              <w:rPr>
                <w:noProof/>
              </w:rPr>
              <w:t>negligible</w:t>
            </w:r>
          </w:p>
        </w:tc>
        <w:tc>
          <w:tcPr>
            <w:tcW w:w="1701" w:type="dxa"/>
            <w:tcMar>
              <w:top w:w="57" w:type="dxa"/>
              <w:left w:w="57" w:type="dxa"/>
              <w:bottom w:w="57" w:type="dxa"/>
              <w:right w:w="57" w:type="dxa"/>
            </w:tcMar>
          </w:tcPr>
          <w:p>
            <w:pPr>
              <w:tabs>
                <w:tab w:val="num" w:pos="425"/>
              </w:tabs>
              <w:jc w:val="center"/>
              <w:rPr>
                <w:noProof/>
              </w:rPr>
            </w:pPr>
            <w:r>
              <w:rPr>
                <w:noProof/>
              </w:rPr>
              <w:t>n.a./</w:t>
            </w:r>
          </w:p>
          <w:p>
            <w:pPr>
              <w:tabs>
                <w:tab w:val="num" w:pos="425"/>
              </w:tabs>
              <w:jc w:val="center"/>
              <w:rPr>
                <w:noProof/>
              </w:rPr>
            </w:pPr>
            <w:r>
              <w:rPr>
                <w:noProof/>
              </w:rPr>
              <w:t>negligible</w:t>
            </w:r>
          </w:p>
        </w:tc>
        <w:tc>
          <w:tcPr>
            <w:tcW w:w="1418" w:type="dxa"/>
            <w:tcMar>
              <w:top w:w="57" w:type="dxa"/>
              <w:left w:w="57" w:type="dxa"/>
              <w:bottom w:w="57" w:type="dxa"/>
              <w:right w:w="57" w:type="dxa"/>
            </w:tcMar>
          </w:tcPr>
          <w:p>
            <w:pPr>
              <w:tabs>
                <w:tab w:val="num" w:pos="425"/>
              </w:tabs>
              <w:jc w:val="center"/>
              <w:rPr>
                <w:noProof/>
              </w:rPr>
            </w:pPr>
            <w:r>
              <w:rPr>
                <w:noProof/>
              </w:rPr>
              <w:t>n.a./negligible</w:t>
            </w:r>
          </w:p>
        </w:tc>
        <w:tc>
          <w:tcPr>
            <w:tcW w:w="1134" w:type="dxa"/>
            <w:tcMar>
              <w:top w:w="57" w:type="dxa"/>
              <w:left w:w="57" w:type="dxa"/>
              <w:bottom w:w="57" w:type="dxa"/>
              <w:right w:w="57" w:type="dxa"/>
            </w:tcMar>
          </w:tcPr>
          <w:p>
            <w:pPr>
              <w:tabs>
                <w:tab w:val="num" w:pos="425"/>
              </w:tabs>
              <w:jc w:val="center"/>
              <w:rPr>
                <w:noProof/>
              </w:rPr>
            </w:pPr>
            <w:r>
              <w:rPr>
                <w:noProof/>
              </w:rPr>
              <w:t>n.a./ negligible</w:t>
            </w:r>
          </w:p>
        </w:tc>
        <w:tc>
          <w:tcPr>
            <w:tcW w:w="1275" w:type="dxa"/>
            <w:tcMar>
              <w:top w:w="57" w:type="dxa"/>
              <w:left w:w="57" w:type="dxa"/>
              <w:bottom w:w="57" w:type="dxa"/>
              <w:right w:w="57" w:type="dxa"/>
            </w:tcMar>
          </w:tcPr>
          <w:p>
            <w:pPr>
              <w:tabs>
                <w:tab w:val="num" w:pos="425"/>
              </w:tabs>
              <w:jc w:val="center"/>
              <w:rPr>
                <w:noProof/>
              </w:rPr>
            </w:pPr>
            <w:r>
              <w:rPr>
                <w:noProof/>
              </w:rPr>
              <w:t>n.a/</w:t>
            </w:r>
          </w:p>
          <w:p>
            <w:pPr>
              <w:tabs>
                <w:tab w:val="num" w:pos="425"/>
              </w:tabs>
              <w:jc w:val="center"/>
              <w:rPr>
                <w:noProof/>
              </w:rPr>
            </w:pPr>
            <w:r>
              <w:rPr>
                <w:noProof/>
              </w:rPr>
              <w:t>negligible</w:t>
            </w:r>
          </w:p>
        </w:tc>
      </w:tr>
      <w:tr>
        <w:tc>
          <w:tcPr>
            <w:tcW w:w="1488" w:type="dxa"/>
            <w:vMerge w:val="restart"/>
            <w:shd w:val="clear" w:color="auto" w:fill="C6D9F1" w:themeFill="text2" w:themeFillTint="33"/>
            <w:tcMar>
              <w:top w:w="57" w:type="dxa"/>
              <w:left w:w="57" w:type="dxa"/>
              <w:bottom w:w="57" w:type="dxa"/>
              <w:right w:w="57" w:type="dxa"/>
            </w:tcMar>
          </w:tcPr>
          <w:p>
            <w:pPr>
              <w:tabs>
                <w:tab w:val="num" w:pos="425"/>
              </w:tabs>
              <w:rPr>
                <w:noProof/>
                <w:szCs w:val="24"/>
              </w:rPr>
            </w:pPr>
            <w:r>
              <w:rPr>
                <w:b/>
                <w:bCs/>
                <w:noProof/>
                <w:szCs w:val="22"/>
              </w:rPr>
              <w:t>Joint pay assessment in case of unjustified gender pay differences (Sub-option 2D)</w:t>
            </w:r>
          </w:p>
        </w:tc>
        <w:tc>
          <w:tcPr>
            <w:tcW w:w="992" w:type="dxa"/>
            <w:tcBorders>
              <w:right w:val="double" w:sz="4" w:space="0" w:color="auto"/>
            </w:tcBorders>
            <w:shd w:val="clear" w:color="auto" w:fill="8DB3E2" w:themeFill="text2" w:themeFillTint="66"/>
            <w:tcMar>
              <w:top w:w="57" w:type="dxa"/>
              <w:left w:w="57" w:type="dxa"/>
              <w:bottom w:w="57" w:type="dxa"/>
              <w:right w:w="57" w:type="dxa"/>
            </w:tcMar>
            <w:vAlign w:val="center"/>
          </w:tcPr>
          <w:p>
            <w:pPr>
              <w:tabs>
                <w:tab w:val="num" w:pos="425"/>
              </w:tabs>
              <w:rPr>
                <w:noProof/>
              </w:rPr>
            </w:pPr>
            <w:r>
              <w:rPr>
                <w:noProof/>
              </w:rPr>
              <w:t>Direct costs</w:t>
            </w:r>
          </w:p>
        </w:tc>
        <w:tc>
          <w:tcPr>
            <w:tcW w:w="992" w:type="dxa"/>
            <w:tcBorders>
              <w:left w:val="double" w:sz="4" w:space="0" w:color="auto"/>
            </w:tcBorders>
            <w:tcMar>
              <w:top w:w="57" w:type="dxa"/>
              <w:left w:w="57" w:type="dxa"/>
              <w:bottom w:w="57" w:type="dxa"/>
              <w:right w:w="57" w:type="dxa"/>
            </w:tcMar>
          </w:tcPr>
          <w:p>
            <w:pPr>
              <w:tabs>
                <w:tab w:val="num" w:pos="425"/>
              </w:tabs>
              <w:jc w:val="center"/>
              <w:rPr>
                <w:noProof/>
              </w:rPr>
            </w:pPr>
            <w:r>
              <w:rPr>
                <w:noProof/>
              </w:rPr>
              <w:t>n.a./negligible</w:t>
            </w:r>
          </w:p>
        </w:tc>
        <w:tc>
          <w:tcPr>
            <w:tcW w:w="1134" w:type="dxa"/>
            <w:tcMar>
              <w:top w:w="57" w:type="dxa"/>
              <w:left w:w="57" w:type="dxa"/>
              <w:bottom w:w="57" w:type="dxa"/>
              <w:right w:w="57" w:type="dxa"/>
            </w:tcMar>
          </w:tcPr>
          <w:p>
            <w:pPr>
              <w:tabs>
                <w:tab w:val="num" w:pos="425"/>
              </w:tabs>
              <w:jc w:val="center"/>
              <w:rPr>
                <w:noProof/>
              </w:rPr>
            </w:pPr>
            <w:r>
              <w:rPr>
                <w:noProof/>
              </w:rPr>
              <w:t>n.a./</w:t>
            </w:r>
          </w:p>
          <w:p>
            <w:pPr>
              <w:tabs>
                <w:tab w:val="num" w:pos="425"/>
              </w:tabs>
              <w:jc w:val="center"/>
              <w:rPr>
                <w:noProof/>
              </w:rPr>
            </w:pPr>
            <w:r>
              <w:rPr>
                <w:noProof/>
              </w:rPr>
              <w:t>negligible</w:t>
            </w:r>
          </w:p>
        </w:tc>
        <w:tc>
          <w:tcPr>
            <w:tcW w:w="1701" w:type="dxa"/>
            <w:tcMar>
              <w:top w:w="57" w:type="dxa"/>
              <w:left w:w="57" w:type="dxa"/>
              <w:bottom w:w="57" w:type="dxa"/>
              <w:right w:w="57" w:type="dxa"/>
            </w:tcMar>
          </w:tcPr>
          <w:p>
            <w:pPr>
              <w:tabs>
                <w:tab w:val="num" w:pos="425"/>
              </w:tabs>
              <w:jc w:val="center"/>
              <w:rPr>
                <w:noProof/>
              </w:rPr>
            </w:pPr>
            <w:r>
              <w:rPr>
                <w:noProof/>
              </w:rPr>
              <w:t>Overall: not possible to quantify (depends on the percentage of employers subject to pay assessment)</w:t>
            </w:r>
          </w:p>
          <w:p>
            <w:pPr>
              <w:tabs>
                <w:tab w:val="num" w:pos="425"/>
              </w:tabs>
              <w:jc w:val="center"/>
              <w:rPr>
                <w:noProof/>
              </w:rPr>
            </w:pPr>
          </w:p>
          <w:p>
            <w:pPr>
              <w:tabs>
                <w:tab w:val="num" w:pos="425"/>
              </w:tabs>
              <w:jc w:val="center"/>
              <w:rPr>
                <w:noProof/>
              </w:rPr>
            </w:pPr>
            <w:r>
              <w:rPr>
                <w:noProof/>
              </w:rPr>
              <w:t>Per employer: between min. 1,180-1,724 EUR and max.1,911 and 2,266 EUR depending on size.</w:t>
            </w:r>
          </w:p>
        </w:tc>
        <w:tc>
          <w:tcPr>
            <w:tcW w:w="1418" w:type="dxa"/>
            <w:tcMar>
              <w:top w:w="57" w:type="dxa"/>
              <w:left w:w="57" w:type="dxa"/>
              <w:bottom w:w="57" w:type="dxa"/>
              <w:right w:w="57" w:type="dxa"/>
            </w:tcMar>
          </w:tcPr>
          <w:p>
            <w:pPr>
              <w:tabs>
                <w:tab w:val="num" w:pos="425"/>
              </w:tabs>
              <w:jc w:val="center"/>
              <w:rPr>
                <w:noProof/>
              </w:rPr>
            </w:pPr>
            <w:r>
              <w:rPr>
                <w:noProof/>
              </w:rPr>
              <w:t>Expected to decrease in any subsequent exercises</w:t>
            </w:r>
          </w:p>
        </w:tc>
        <w:tc>
          <w:tcPr>
            <w:tcW w:w="1134" w:type="dxa"/>
            <w:tcMar>
              <w:top w:w="57" w:type="dxa"/>
              <w:left w:w="57" w:type="dxa"/>
              <w:bottom w:w="57" w:type="dxa"/>
              <w:right w:w="57" w:type="dxa"/>
            </w:tcMar>
          </w:tcPr>
          <w:p>
            <w:pPr>
              <w:tabs>
                <w:tab w:val="num" w:pos="425"/>
              </w:tabs>
              <w:jc w:val="center"/>
              <w:rPr>
                <w:noProof/>
              </w:rPr>
            </w:pPr>
            <w:r>
              <w:rPr>
                <w:noProof/>
              </w:rPr>
              <w:t>n.a./ negligible</w:t>
            </w:r>
          </w:p>
        </w:tc>
        <w:tc>
          <w:tcPr>
            <w:tcW w:w="1275" w:type="dxa"/>
            <w:tcMar>
              <w:top w:w="57" w:type="dxa"/>
              <w:left w:w="57" w:type="dxa"/>
              <w:bottom w:w="57" w:type="dxa"/>
              <w:right w:w="57" w:type="dxa"/>
            </w:tcMar>
          </w:tcPr>
          <w:p>
            <w:pPr>
              <w:tabs>
                <w:tab w:val="num" w:pos="425"/>
              </w:tabs>
              <w:jc w:val="center"/>
              <w:rPr>
                <w:noProof/>
              </w:rPr>
            </w:pPr>
            <w:r>
              <w:rPr>
                <w:noProof/>
              </w:rPr>
              <w:t>n.a/</w:t>
            </w:r>
          </w:p>
          <w:p>
            <w:pPr>
              <w:tabs>
                <w:tab w:val="num" w:pos="425"/>
              </w:tabs>
              <w:jc w:val="center"/>
              <w:rPr>
                <w:noProof/>
              </w:rPr>
            </w:pPr>
            <w:r>
              <w:rPr>
                <w:noProof/>
              </w:rPr>
              <w:t>negligible</w:t>
            </w:r>
          </w:p>
        </w:tc>
      </w:tr>
      <w:tr>
        <w:tc>
          <w:tcPr>
            <w:tcW w:w="1488" w:type="dxa"/>
            <w:vMerge/>
            <w:shd w:val="clear" w:color="auto" w:fill="C6D9F1" w:themeFill="text2" w:themeFillTint="33"/>
            <w:tcMar>
              <w:top w:w="57" w:type="dxa"/>
              <w:left w:w="57" w:type="dxa"/>
              <w:bottom w:w="57" w:type="dxa"/>
              <w:right w:w="57" w:type="dxa"/>
            </w:tcMar>
          </w:tcPr>
          <w:p>
            <w:pPr>
              <w:tabs>
                <w:tab w:val="num" w:pos="425"/>
              </w:tabs>
              <w:rPr>
                <w:noProof/>
                <w:szCs w:val="24"/>
              </w:rPr>
            </w:pPr>
          </w:p>
        </w:tc>
        <w:tc>
          <w:tcPr>
            <w:tcW w:w="992" w:type="dxa"/>
            <w:tcBorders>
              <w:right w:val="double" w:sz="4" w:space="0" w:color="auto"/>
            </w:tcBorders>
            <w:shd w:val="clear" w:color="auto" w:fill="8DB3E2" w:themeFill="text2" w:themeFillTint="66"/>
            <w:tcMar>
              <w:top w:w="57" w:type="dxa"/>
              <w:left w:w="57" w:type="dxa"/>
              <w:bottom w:w="57" w:type="dxa"/>
              <w:right w:w="57" w:type="dxa"/>
            </w:tcMar>
          </w:tcPr>
          <w:p>
            <w:pPr>
              <w:tabs>
                <w:tab w:val="num" w:pos="425"/>
              </w:tabs>
              <w:rPr>
                <w:noProof/>
              </w:rPr>
            </w:pPr>
            <w:r>
              <w:rPr>
                <w:noProof/>
              </w:rPr>
              <w:t>Indirect costs</w:t>
            </w:r>
          </w:p>
        </w:tc>
        <w:tc>
          <w:tcPr>
            <w:tcW w:w="992" w:type="dxa"/>
            <w:tcBorders>
              <w:left w:val="double" w:sz="4" w:space="0" w:color="auto"/>
            </w:tcBorders>
            <w:tcMar>
              <w:top w:w="57" w:type="dxa"/>
              <w:left w:w="57" w:type="dxa"/>
              <w:bottom w:w="57" w:type="dxa"/>
              <w:right w:w="57" w:type="dxa"/>
            </w:tcMar>
          </w:tcPr>
          <w:p>
            <w:pPr>
              <w:tabs>
                <w:tab w:val="num" w:pos="425"/>
              </w:tabs>
              <w:jc w:val="center"/>
              <w:rPr>
                <w:noProof/>
              </w:rPr>
            </w:pPr>
            <w:r>
              <w:rPr>
                <w:noProof/>
              </w:rPr>
              <w:t>n.a./</w:t>
            </w:r>
          </w:p>
          <w:p>
            <w:pPr>
              <w:tabs>
                <w:tab w:val="num" w:pos="425"/>
              </w:tabs>
              <w:jc w:val="center"/>
              <w:rPr>
                <w:noProof/>
              </w:rPr>
            </w:pPr>
            <w:r>
              <w:rPr>
                <w:noProof/>
              </w:rPr>
              <w:t>negligible</w:t>
            </w:r>
          </w:p>
        </w:tc>
        <w:tc>
          <w:tcPr>
            <w:tcW w:w="1134" w:type="dxa"/>
            <w:tcMar>
              <w:top w:w="57" w:type="dxa"/>
              <w:left w:w="57" w:type="dxa"/>
              <w:bottom w:w="57" w:type="dxa"/>
              <w:right w:w="57" w:type="dxa"/>
            </w:tcMar>
          </w:tcPr>
          <w:p>
            <w:pPr>
              <w:tabs>
                <w:tab w:val="num" w:pos="425"/>
              </w:tabs>
              <w:jc w:val="center"/>
              <w:rPr>
                <w:noProof/>
              </w:rPr>
            </w:pPr>
            <w:r>
              <w:rPr>
                <w:noProof/>
              </w:rPr>
              <w:t>n.a./</w:t>
            </w:r>
          </w:p>
          <w:p>
            <w:pPr>
              <w:tabs>
                <w:tab w:val="num" w:pos="425"/>
              </w:tabs>
              <w:jc w:val="center"/>
              <w:rPr>
                <w:noProof/>
              </w:rPr>
            </w:pPr>
            <w:r>
              <w:rPr>
                <w:noProof/>
              </w:rPr>
              <w:t>negligible</w:t>
            </w:r>
          </w:p>
        </w:tc>
        <w:tc>
          <w:tcPr>
            <w:tcW w:w="1701" w:type="dxa"/>
            <w:tcMar>
              <w:top w:w="57" w:type="dxa"/>
              <w:left w:w="57" w:type="dxa"/>
              <w:bottom w:w="57" w:type="dxa"/>
              <w:right w:w="57" w:type="dxa"/>
            </w:tcMar>
          </w:tcPr>
          <w:p>
            <w:pPr>
              <w:tabs>
                <w:tab w:val="num" w:pos="425"/>
              </w:tabs>
              <w:jc w:val="center"/>
              <w:rPr>
                <w:noProof/>
              </w:rPr>
            </w:pPr>
            <w:r>
              <w:rPr>
                <w:noProof/>
              </w:rPr>
              <w:t>Not possible to quantify</w:t>
            </w:r>
          </w:p>
        </w:tc>
        <w:tc>
          <w:tcPr>
            <w:tcW w:w="1418" w:type="dxa"/>
            <w:tcMar>
              <w:top w:w="57" w:type="dxa"/>
              <w:left w:w="57" w:type="dxa"/>
              <w:bottom w:w="57" w:type="dxa"/>
              <w:right w:w="57" w:type="dxa"/>
            </w:tcMar>
          </w:tcPr>
          <w:p>
            <w:pPr>
              <w:tabs>
                <w:tab w:val="num" w:pos="425"/>
              </w:tabs>
              <w:jc w:val="center"/>
              <w:rPr>
                <w:noProof/>
              </w:rPr>
            </w:pPr>
            <w:r>
              <w:rPr>
                <w:noProof/>
              </w:rPr>
              <w:t>Not possible to quantify</w:t>
            </w:r>
          </w:p>
        </w:tc>
        <w:tc>
          <w:tcPr>
            <w:tcW w:w="1134" w:type="dxa"/>
            <w:tcMar>
              <w:top w:w="57" w:type="dxa"/>
              <w:left w:w="57" w:type="dxa"/>
              <w:bottom w:w="57" w:type="dxa"/>
              <w:right w:w="57" w:type="dxa"/>
            </w:tcMar>
          </w:tcPr>
          <w:p>
            <w:pPr>
              <w:tabs>
                <w:tab w:val="num" w:pos="425"/>
              </w:tabs>
              <w:jc w:val="center"/>
              <w:rPr>
                <w:noProof/>
              </w:rPr>
            </w:pPr>
            <w:r>
              <w:rPr>
                <w:noProof/>
              </w:rPr>
              <w:t>n.a./ negligible</w:t>
            </w:r>
          </w:p>
        </w:tc>
        <w:tc>
          <w:tcPr>
            <w:tcW w:w="1275" w:type="dxa"/>
            <w:tcMar>
              <w:top w:w="57" w:type="dxa"/>
              <w:left w:w="57" w:type="dxa"/>
              <w:bottom w:w="57" w:type="dxa"/>
              <w:right w:w="57" w:type="dxa"/>
            </w:tcMar>
          </w:tcPr>
          <w:p>
            <w:pPr>
              <w:tabs>
                <w:tab w:val="num" w:pos="425"/>
              </w:tabs>
              <w:jc w:val="center"/>
              <w:rPr>
                <w:noProof/>
              </w:rPr>
            </w:pPr>
            <w:r>
              <w:rPr>
                <w:noProof/>
              </w:rPr>
              <w:t>n.a/</w:t>
            </w:r>
          </w:p>
          <w:p>
            <w:pPr>
              <w:tabs>
                <w:tab w:val="num" w:pos="425"/>
              </w:tabs>
              <w:jc w:val="center"/>
              <w:rPr>
                <w:noProof/>
              </w:rPr>
            </w:pPr>
            <w:r>
              <w:rPr>
                <w:noProof/>
              </w:rPr>
              <w:t>negligible</w:t>
            </w:r>
          </w:p>
        </w:tc>
      </w:tr>
      <w:tr>
        <w:tc>
          <w:tcPr>
            <w:tcW w:w="1488" w:type="dxa"/>
            <w:vMerge w:val="restart"/>
            <w:shd w:val="clear" w:color="auto" w:fill="C6D9F1" w:themeFill="text2" w:themeFillTint="33"/>
            <w:tcMar>
              <w:top w:w="57" w:type="dxa"/>
              <w:left w:w="57" w:type="dxa"/>
              <w:bottom w:w="57" w:type="dxa"/>
              <w:right w:w="57" w:type="dxa"/>
            </w:tcMar>
          </w:tcPr>
          <w:p>
            <w:pPr>
              <w:tabs>
                <w:tab w:val="num" w:pos="425"/>
              </w:tabs>
              <w:rPr>
                <w:noProof/>
                <w:szCs w:val="24"/>
              </w:rPr>
            </w:pPr>
          </w:p>
          <w:p>
            <w:pPr>
              <w:tabs>
                <w:tab w:val="num" w:pos="425"/>
              </w:tabs>
              <w:rPr>
                <w:b/>
                <w:noProof/>
              </w:rPr>
            </w:pPr>
            <w:r>
              <w:rPr>
                <w:b/>
                <w:bCs/>
                <w:noProof/>
                <w:szCs w:val="22"/>
              </w:rPr>
              <w:t>Facilitation and enforcement of the existing legal framework (Option 3)</w:t>
            </w:r>
          </w:p>
        </w:tc>
        <w:tc>
          <w:tcPr>
            <w:tcW w:w="992" w:type="dxa"/>
            <w:tcBorders>
              <w:right w:val="double" w:sz="4" w:space="0" w:color="auto"/>
            </w:tcBorders>
            <w:shd w:val="clear" w:color="auto" w:fill="8DB3E2" w:themeFill="text2" w:themeFillTint="66"/>
            <w:tcMar>
              <w:top w:w="57" w:type="dxa"/>
              <w:left w:w="57" w:type="dxa"/>
              <w:bottom w:w="57" w:type="dxa"/>
              <w:right w:w="57" w:type="dxa"/>
            </w:tcMar>
            <w:vAlign w:val="center"/>
          </w:tcPr>
          <w:p>
            <w:pPr>
              <w:tabs>
                <w:tab w:val="num" w:pos="425"/>
              </w:tabs>
              <w:rPr>
                <w:noProof/>
              </w:rPr>
            </w:pPr>
            <w:r>
              <w:rPr>
                <w:noProof/>
              </w:rPr>
              <w:t>Direct costs</w:t>
            </w:r>
          </w:p>
        </w:tc>
        <w:tc>
          <w:tcPr>
            <w:tcW w:w="992" w:type="dxa"/>
            <w:tcBorders>
              <w:left w:val="double" w:sz="4" w:space="0" w:color="auto"/>
            </w:tcBorders>
            <w:tcMar>
              <w:top w:w="57" w:type="dxa"/>
              <w:left w:w="57" w:type="dxa"/>
              <w:bottom w:w="57" w:type="dxa"/>
              <w:right w:w="57" w:type="dxa"/>
            </w:tcMar>
          </w:tcPr>
          <w:p>
            <w:pPr>
              <w:tabs>
                <w:tab w:val="num" w:pos="425"/>
              </w:tabs>
              <w:jc w:val="center"/>
              <w:rPr>
                <w:noProof/>
              </w:rPr>
            </w:pPr>
            <w:r>
              <w:rPr>
                <w:noProof/>
              </w:rPr>
              <w:t>n.a./</w:t>
            </w:r>
          </w:p>
          <w:p>
            <w:pPr>
              <w:tabs>
                <w:tab w:val="num" w:pos="425"/>
              </w:tabs>
              <w:jc w:val="center"/>
              <w:rPr>
                <w:noProof/>
              </w:rPr>
            </w:pPr>
            <w:r>
              <w:rPr>
                <w:noProof/>
              </w:rPr>
              <w:t>negligible</w:t>
            </w:r>
          </w:p>
        </w:tc>
        <w:tc>
          <w:tcPr>
            <w:tcW w:w="1134" w:type="dxa"/>
            <w:tcMar>
              <w:top w:w="57" w:type="dxa"/>
              <w:left w:w="57" w:type="dxa"/>
              <w:bottom w:w="57" w:type="dxa"/>
              <w:right w:w="57" w:type="dxa"/>
            </w:tcMar>
          </w:tcPr>
          <w:p>
            <w:pPr>
              <w:tabs>
                <w:tab w:val="num" w:pos="425"/>
              </w:tabs>
              <w:jc w:val="center"/>
              <w:rPr>
                <w:noProof/>
              </w:rPr>
            </w:pPr>
            <w:r>
              <w:rPr>
                <w:noProof/>
              </w:rPr>
              <w:t>n.a./</w:t>
            </w:r>
          </w:p>
          <w:p>
            <w:pPr>
              <w:tabs>
                <w:tab w:val="num" w:pos="425"/>
              </w:tabs>
              <w:jc w:val="center"/>
              <w:rPr>
                <w:noProof/>
              </w:rPr>
            </w:pPr>
            <w:r>
              <w:rPr>
                <w:noProof/>
              </w:rPr>
              <w:t>negligible</w:t>
            </w:r>
          </w:p>
        </w:tc>
        <w:tc>
          <w:tcPr>
            <w:tcW w:w="1701" w:type="dxa"/>
            <w:tcMar>
              <w:top w:w="57" w:type="dxa"/>
              <w:left w:w="57" w:type="dxa"/>
              <w:bottom w:w="57" w:type="dxa"/>
              <w:right w:w="57" w:type="dxa"/>
            </w:tcMar>
          </w:tcPr>
          <w:p>
            <w:pPr>
              <w:tabs>
                <w:tab w:val="num" w:pos="425"/>
              </w:tabs>
              <w:jc w:val="center"/>
              <w:rPr>
                <w:noProof/>
              </w:rPr>
            </w:pPr>
            <w:r>
              <w:rPr>
                <w:noProof/>
              </w:rPr>
              <w:t xml:space="preserve">Only for employers not yet compliant with the equal pay principle </w:t>
            </w:r>
          </w:p>
        </w:tc>
        <w:tc>
          <w:tcPr>
            <w:tcW w:w="1418" w:type="dxa"/>
            <w:tcMar>
              <w:top w:w="57" w:type="dxa"/>
              <w:left w:w="57" w:type="dxa"/>
              <w:bottom w:w="57" w:type="dxa"/>
              <w:right w:w="57" w:type="dxa"/>
            </w:tcMar>
          </w:tcPr>
          <w:p>
            <w:pPr>
              <w:tabs>
                <w:tab w:val="num" w:pos="425"/>
              </w:tabs>
              <w:jc w:val="center"/>
              <w:rPr>
                <w:noProof/>
              </w:rPr>
            </w:pPr>
            <w:r>
              <w:rPr>
                <w:noProof/>
              </w:rPr>
              <w:t xml:space="preserve">n.a. </w:t>
            </w:r>
          </w:p>
        </w:tc>
        <w:tc>
          <w:tcPr>
            <w:tcW w:w="1134" w:type="dxa"/>
            <w:tcMar>
              <w:top w:w="57" w:type="dxa"/>
              <w:left w:w="57" w:type="dxa"/>
              <w:bottom w:w="57" w:type="dxa"/>
              <w:right w:w="57" w:type="dxa"/>
            </w:tcMar>
          </w:tcPr>
          <w:p>
            <w:pPr>
              <w:tabs>
                <w:tab w:val="num" w:pos="425"/>
              </w:tabs>
              <w:jc w:val="center"/>
              <w:rPr>
                <w:noProof/>
              </w:rPr>
            </w:pPr>
            <w:r>
              <w:rPr>
                <w:noProof/>
              </w:rPr>
              <w:t>n.a./</w:t>
            </w:r>
          </w:p>
          <w:p>
            <w:pPr>
              <w:tabs>
                <w:tab w:val="num" w:pos="425"/>
              </w:tabs>
              <w:jc w:val="center"/>
              <w:rPr>
                <w:noProof/>
              </w:rPr>
            </w:pPr>
            <w:r>
              <w:rPr>
                <w:noProof/>
              </w:rPr>
              <w:t>negligible</w:t>
            </w:r>
          </w:p>
        </w:tc>
        <w:tc>
          <w:tcPr>
            <w:tcW w:w="1275" w:type="dxa"/>
            <w:tcMar>
              <w:top w:w="57" w:type="dxa"/>
              <w:left w:w="57" w:type="dxa"/>
              <w:bottom w:w="57" w:type="dxa"/>
              <w:right w:w="57" w:type="dxa"/>
            </w:tcMar>
          </w:tcPr>
          <w:p>
            <w:pPr>
              <w:tabs>
                <w:tab w:val="num" w:pos="425"/>
              </w:tabs>
              <w:jc w:val="center"/>
              <w:rPr>
                <w:noProof/>
              </w:rPr>
            </w:pPr>
            <w:r>
              <w:rPr>
                <w:noProof/>
              </w:rPr>
              <w:t>n.a./</w:t>
            </w:r>
          </w:p>
          <w:p>
            <w:pPr>
              <w:tabs>
                <w:tab w:val="num" w:pos="425"/>
              </w:tabs>
              <w:jc w:val="center"/>
              <w:rPr>
                <w:noProof/>
              </w:rPr>
            </w:pPr>
            <w:r>
              <w:rPr>
                <w:noProof/>
              </w:rPr>
              <w:t>negligible</w:t>
            </w:r>
          </w:p>
        </w:tc>
      </w:tr>
      <w:tr>
        <w:tc>
          <w:tcPr>
            <w:tcW w:w="1488" w:type="dxa"/>
            <w:vMerge/>
            <w:shd w:val="clear" w:color="auto" w:fill="C6D9F1" w:themeFill="text2" w:themeFillTint="33"/>
            <w:tcMar>
              <w:top w:w="57" w:type="dxa"/>
              <w:left w:w="57" w:type="dxa"/>
              <w:bottom w:w="57" w:type="dxa"/>
              <w:right w:w="57" w:type="dxa"/>
            </w:tcMar>
          </w:tcPr>
          <w:p>
            <w:pPr>
              <w:tabs>
                <w:tab w:val="num" w:pos="425"/>
              </w:tabs>
              <w:rPr>
                <w:noProof/>
                <w:sz w:val="24"/>
                <w:szCs w:val="24"/>
              </w:rPr>
            </w:pPr>
          </w:p>
        </w:tc>
        <w:tc>
          <w:tcPr>
            <w:tcW w:w="992" w:type="dxa"/>
            <w:tcBorders>
              <w:right w:val="double" w:sz="4" w:space="0" w:color="auto"/>
            </w:tcBorders>
            <w:shd w:val="clear" w:color="auto" w:fill="8DB3E2" w:themeFill="text2" w:themeFillTint="66"/>
            <w:tcMar>
              <w:top w:w="57" w:type="dxa"/>
              <w:left w:w="57" w:type="dxa"/>
              <w:bottom w:w="57" w:type="dxa"/>
              <w:right w:w="57" w:type="dxa"/>
            </w:tcMar>
          </w:tcPr>
          <w:p>
            <w:pPr>
              <w:tabs>
                <w:tab w:val="num" w:pos="425"/>
              </w:tabs>
              <w:rPr>
                <w:noProof/>
              </w:rPr>
            </w:pPr>
            <w:r>
              <w:rPr>
                <w:noProof/>
              </w:rPr>
              <w:t>Indirect costs</w:t>
            </w:r>
          </w:p>
        </w:tc>
        <w:tc>
          <w:tcPr>
            <w:tcW w:w="992" w:type="dxa"/>
            <w:tcBorders>
              <w:left w:val="double" w:sz="4" w:space="0" w:color="auto"/>
            </w:tcBorders>
            <w:tcMar>
              <w:top w:w="57" w:type="dxa"/>
              <w:left w:w="57" w:type="dxa"/>
              <w:bottom w:w="57" w:type="dxa"/>
              <w:right w:w="57" w:type="dxa"/>
            </w:tcMar>
          </w:tcPr>
          <w:p>
            <w:pPr>
              <w:tabs>
                <w:tab w:val="num" w:pos="425"/>
              </w:tabs>
              <w:jc w:val="center"/>
              <w:rPr>
                <w:noProof/>
              </w:rPr>
            </w:pPr>
            <w:r>
              <w:rPr>
                <w:noProof/>
              </w:rPr>
              <w:t>n.a./</w:t>
            </w:r>
          </w:p>
          <w:p>
            <w:pPr>
              <w:tabs>
                <w:tab w:val="num" w:pos="425"/>
              </w:tabs>
              <w:jc w:val="center"/>
              <w:rPr>
                <w:noProof/>
              </w:rPr>
            </w:pPr>
            <w:r>
              <w:rPr>
                <w:noProof/>
              </w:rPr>
              <w:t>negligible</w:t>
            </w:r>
          </w:p>
        </w:tc>
        <w:tc>
          <w:tcPr>
            <w:tcW w:w="1134" w:type="dxa"/>
            <w:tcMar>
              <w:top w:w="57" w:type="dxa"/>
              <w:left w:w="57" w:type="dxa"/>
              <w:bottom w:w="57" w:type="dxa"/>
              <w:right w:w="57" w:type="dxa"/>
            </w:tcMar>
          </w:tcPr>
          <w:p>
            <w:pPr>
              <w:tabs>
                <w:tab w:val="num" w:pos="425"/>
              </w:tabs>
              <w:jc w:val="center"/>
              <w:rPr>
                <w:noProof/>
              </w:rPr>
            </w:pPr>
            <w:r>
              <w:rPr>
                <w:noProof/>
              </w:rPr>
              <w:t>n.a./</w:t>
            </w:r>
          </w:p>
          <w:p>
            <w:pPr>
              <w:tabs>
                <w:tab w:val="num" w:pos="425"/>
              </w:tabs>
              <w:jc w:val="center"/>
              <w:rPr>
                <w:noProof/>
              </w:rPr>
            </w:pPr>
            <w:r>
              <w:rPr>
                <w:noProof/>
              </w:rPr>
              <w:t>negligible</w:t>
            </w:r>
          </w:p>
        </w:tc>
        <w:tc>
          <w:tcPr>
            <w:tcW w:w="1701" w:type="dxa"/>
            <w:tcMar>
              <w:top w:w="57" w:type="dxa"/>
              <w:left w:w="57" w:type="dxa"/>
              <w:bottom w:w="57" w:type="dxa"/>
              <w:right w:w="57" w:type="dxa"/>
            </w:tcMar>
          </w:tcPr>
          <w:p>
            <w:pPr>
              <w:tabs>
                <w:tab w:val="num" w:pos="425"/>
              </w:tabs>
              <w:jc w:val="center"/>
              <w:rPr>
                <w:noProof/>
              </w:rPr>
            </w:pPr>
            <w:r>
              <w:rPr>
                <w:noProof/>
              </w:rPr>
              <w:t>If non compliant</w:t>
            </w:r>
          </w:p>
        </w:tc>
        <w:tc>
          <w:tcPr>
            <w:tcW w:w="1418" w:type="dxa"/>
            <w:tcMar>
              <w:top w:w="57" w:type="dxa"/>
              <w:left w:w="57" w:type="dxa"/>
              <w:bottom w:w="57" w:type="dxa"/>
              <w:right w:w="57" w:type="dxa"/>
            </w:tcMar>
          </w:tcPr>
          <w:p>
            <w:pPr>
              <w:tabs>
                <w:tab w:val="num" w:pos="425"/>
              </w:tabs>
              <w:jc w:val="center"/>
              <w:rPr>
                <w:noProof/>
              </w:rPr>
            </w:pPr>
            <w:r>
              <w:rPr>
                <w:noProof/>
              </w:rPr>
              <w:t>n.a.</w:t>
            </w:r>
          </w:p>
        </w:tc>
        <w:tc>
          <w:tcPr>
            <w:tcW w:w="1134" w:type="dxa"/>
            <w:tcMar>
              <w:top w:w="57" w:type="dxa"/>
              <w:left w:w="57" w:type="dxa"/>
              <w:bottom w:w="57" w:type="dxa"/>
              <w:right w:w="57" w:type="dxa"/>
            </w:tcMar>
          </w:tcPr>
          <w:p>
            <w:pPr>
              <w:tabs>
                <w:tab w:val="num" w:pos="425"/>
              </w:tabs>
              <w:jc w:val="center"/>
              <w:rPr>
                <w:noProof/>
              </w:rPr>
            </w:pPr>
            <w:r>
              <w:rPr>
                <w:noProof/>
              </w:rPr>
              <w:t>n.a./</w:t>
            </w:r>
          </w:p>
          <w:p>
            <w:pPr>
              <w:tabs>
                <w:tab w:val="num" w:pos="425"/>
              </w:tabs>
              <w:jc w:val="center"/>
              <w:rPr>
                <w:noProof/>
              </w:rPr>
            </w:pPr>
            <w:r>
              <w:rPr>
                <w:noProof/>
              </w:rPr>
              <w:t>negligible</w:t>
            </w:r>
          </w:p>
        </w:tc>
        <w:tc>
          <w:tcPr>
            <w:tcW w:w="1275" w:type="dxa"/>
            <w:tcMar>
              <w:top w:w="57" w:type="dxa"/>
              <w:left w:w="57" w:type="dxa"/>
              <w:bottom w:w="57" w:type="dxa"/>
              <w:right w:w="57" w:type="dxa"/>
            </w:tcMar>
          </w:tcPr>
          <w:p>
            <w:pPr>
              <w:tabs>
                <w:tab w:val="num" w:pos="425"/>
              </w:tabs>
              <w:jc w:val="center"/>
              <w:rPr>
                <w:noProof/>
              </w:rPr>
            </w:pPr>
            <w:r>
              <w:rPr>
                <w:noProof/>
              </w:rPr>
              <w:t>n.a./</w:t>
            </w:r>
          </w:p>
          <w:p>
            <w:pPr>
              <w:tabs>
                <w:tab w:val="num" w:pos="425"/>
              </w:tabs>
              <w:jc w:val="center"/>
              <w:rPr>
                <w:noProof/>
              </w:rPr>
            </w:pPr>
            <w:r>
              <w:rPr>
                <w:noProof/>
              </w:rPr>
              <w:t>negligible</w:t>
            </w:r>
          </w:p>
        </w:tc>
      </w:tr>
    </w:tbl>
    <w:p>
      <w:pPr>
        <w:spacing w:line="240" w:lineRule="auto"/>
        <w:ind w:left="-624" w:right="-964"/>
        <w:jc w:val="both"/>
        <w:rPr>
          <w:rFonts w:ascii="Times New Roman" w:hAnsi="Times New Roman" w:cs="Times New Roman"/>
          <w:i/>
          <w:noProof/>
          <w:sz w:val="20"/>
          <w:szCs w:val="20"/>
        </w:rPr>
      </w:pPr>
      <w:r>
        <w:rPr>
          <w:rFonts w:ascii="Times New Roman" w:hAnsi="Times New Roman" w:cs="Times New Roman"/>
          <w:i/>
          <w:iCs/>
          <w:noProof/>
          <w:sz w:val="20"/>
          <w:szCs w:val="20"/>
        </w:rPr>
        <w:t xml:space="preserve">(1) Estimates to be provided with respect to the baseline; (2) costs are provided for each identifiable action/obligation of the </w:t>
      </w:r>
      <w:r>
        <w:rPr>
          <w:rFonts w:ascii="Times New Roman" w:hAnsi="Times New Roman" w:cs="Times New Roman"/>
          <w:i/>
          <w:iCs/>
          <w:noProof/>
          <w:sz w:val="20"/>
          <w:szCs w:val="20"/>
          <w:u w:val="single"/>
        </w:rPr>
        <w:t>preferred</w:t>
      </w:r>
      <w:r>
        <w:rPr>
          <w:rFonts w:ascii="Times New Roman" w:hAnsi="Times New Roman" w:cs="Times New Roman"/>
          <w:i/>
          <w:iCs/>
          <w:noProof/>
          <w:sz w:val="20"/>
          <w:szCs w:val="20"/>
        </w:rPr>
        <w:t xml:space="preserve"> option otherwise for all retained options when no preferred option is specified; (3) If relevant and available, please present information on costs according to the standard typology of costs (compliance costs, regulatory charges, hassle costs, administrative costs, enforcement costs, indirect costs; see section 6 of the attached guidance).</w:t>
      </w:r>
    </w:p>
    <w:p>
      <w:pPr>
        <w:rPr>
          <w:rFonts w:ascii="Times New Roman" w:hAnsi="Times New Roman" w:cs="Times New Roman"/>
          <w:i/>
          <w:noProof/>
          <w:sz w:val="24"/>
          <w:szCs w:val="24"/>
        </w:rPr>
      </w:pPr>
      <w:r>
        <w:rPr>
          <w:rFonts w:ascii="Times New Roman" w:hAnsi="Times New Roman" w:cs="Times New Roman"/>
          <w:i/>
          <w:noProof/>
          <w:sz w:val="24"/>
          <w:szCs w:val="24"/>
        </w:rPr>
        <w:br w:type="page"/>
      </w:r>
    </w:p>
    <w:p>
      <w:pPr>
        <w:pStyle w:val="Heading3"/>
        <w:numPr>
          <w:ilvl w:val="0"/>
          <w:numId w:val="55"/>
        </w:numPr>
        <w:ind w:left="426" w:hanging="426"/>
        <w:rPr>
          <w:noProof/>
        </w:rPr>
      </w:pPr>
      <w:r>
        <w:rPr>
          <w:noProof/>
        </w:rPr>
        <w:t xml:space="preserve">Coverage of entreprises and workforce by </w:t>
      </w:r>
      <w:r>
        <w:rPr>
          <w:i w:val="0"/>
          <w:noProof/>
        </w:rPr>
        <w:t>employer threshold applied</w:t>
      </w:r>
    </w:p>
    <w:tbl>
      <w:tblPr>
        <w:tblW w:w="8821" w:type="dxa"/>
        <w:tblLook w:val="04A0" w:firstRow="1" w:lastRow="0" w:firstColumn="1" w:lastColumn="0" w:noHBand="0" w:noVBand="1"/>
      </w:tblPr>
      <w:tblGrid>
        <w:gridCol w:w="730"/>
        <w:gridCol w:w="1247"/>
        <w:gridCol w:w="1114"/>
        <w:gridCol w:w="913"/>
        <w:gridCol w:w="780"/>
        <w:gridCol w:w="1247"/>
        <w:gridCol w:w="1082"/>
        <w:gridCol w:w="876"/>
        <w:gridCol w:w="982"/>
      </w:tblGrid>
      <w:tr>
        <w:trPr>
          <w:trHeight w:val="290"/>
        </w:trPr>
        <w:tc>
          <w:tcPr>
            <w:tcW w:w="580" w:type="dxa"/>
            <w:tcBorders>
              <w:top w:val="single" w:sz="8" w:space="0" w:color="auto"/>
              <w:left w:val="single" w:sz="8" w:space="0" w:color="auto"/>
              <w:bottom w:val="single" w:sz="4" w:space="0" w:color="auto"/>
              <w:right w:val="single" w:sz="8" w:space="0" w:color="auto"/>
            </w:tcBorders>
            <w:shd w:val="clear" w:color="auto" w:fill="5B9BD5"/>
            <w:noWrap/>
            <w:vAlign w:val="bottom"/>
            <w:hideMark/>
          </w:tcPr>
          <w:p>
            <w:pPr>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 </w:t>
            </w:r>
          </w:p>
        </w:tc>
        <w:tc>
          <w:tcPr>
            <w:tcW w:w="5301" w:type="dxa"/>
            <w:gridSpan w:val="5"/>
            <w:tcBorders>
              <w:top w:val="single" w:sz="8" w:space="0" w:color="auto"/>
              <w:left w:val="nil"/>
              <w:bottom w:val="single" w:sz="4" w:space="0" w:color="auto"/>
              <w:right w:val="single" w:sz="8" w:space="0" w:color="000000" w:themeColor="text1"/>
            </w:tcBorders>
            <w:shd w:val="clear" w:color="auto" w:fill="5B9BD5"/>
            <w:noWrap/>
            <w:vAlign w:val="bottom"/>
            <w:hideMark/>
          </w:tcPr>
          <w:p>
            <w:pPr>
              <w:spacing w:after="0" w:line="240" w:lineRule="auto"/>
              <w:jc w:val="center"/>
              <w:rPr>
                <w:rFonts w:ascii="Times New Roman" w:eastAsia="Times New Roman" w:hAnsi="Times New Roman" w:cs="Times New Roman"/>
                <w:b/>
                <w:noProof/>
                <w:color w:val="FFFFFF"/>
                <w:sz w:val="20"/>
                <w:szCs w:val="20"/>
                <w:lang w:eastAsia="en-GB"/>
              </w:rPr>
            </w:pPr>
            <w:r>
              <w:rPr>
                <w:rFonts w:ascii="Times New Roman" w:eastAsia="Times New Roman" w:hAnsi="Times New Roman" w:cs="Times New Roman"/>
                <w:b/>
                <w:bCs/>
                <w:noProof/>
                <w:color w:val="FFFFFF"/>
                <w:sz w:val="20"/>
                <w:szCs w:val="20"/>
                <w:lang w:eastAsia="en-GB"/>
              </w:rPr>
              <w:t>Entreprise - number (by size of company)</w:t>
            </w:r>
          </w:p>
        </w:tc>
        <w:tc>
          <w:tcPr>
            <w:tcW w:w="2940" w:type="dxa"/>
            <w:gridSpan w:val="3"/>
            <w:tcBorders>
              <w:top w:val="single" w:sz="8" w:space="0" w:color="auto"/>
              <w:left w:val="nil"/>
              <w:bottom w:val="single" w:sz="4" w:space="0" w:color="auto"/>
              <w:right w:val="single" w:sz="8" w:space="0" w:color="000000" w:themeColor="text1"/>
            </w:tcBorders>
            <w:shd w:val="clear" w:color="auto" w:fill="5B9BD5"/>
            <w:noWrap/>
            <w:vAlign w:val="bottom"/>
            <w:hideMark/>
          </w:tcPr>
          <w:p>
            <w:pPr>
              <w:spacing w:after="0" w:line="240" w:lineRule="auto"/>
              <w:jc w:val="center"/>
              <w:rPr>
                <w:rFonts w:ascii="Times New Roman" w:eastAsia="Times New Roman" w:hAnsi="Times New Roman" w:cs="Times New Roman"/>
                <w:b/>
                <w:noProof/>
                <w:color w:val="FFFFFF"/>
                <w:sz w:val="20"/>
                <w:szCs w:val="20"/>
                <w:lang w:eastAsia="en-GB"/>
              </w:rPr>
            </w:pPr>
            <w:r>
              <w:rPr>
                <w:rFonts w:ascii="Times New Roman" w:eastAsia="Times New Roman" w:hAnsi="Times New Roman" w:cs="Times New Roman"/>
                <w:b/>
                <w:bCs/>
                <w:noProof/>
                <w:color w:val="FFFFFF"/>
                <w:sz w:val="20"/>
                <w:szCs w:val="20"/>
                <w:lang w:eastAsia="en-GB"/>
              </w:rPr>
              <w:t>Entreprise coverage (by threshold)</w:t>
            </w:r>
          </w:p>
        </w:tc>
      </w:tr>
      <w:tr>
        <w:trPr>
          <w:trHeight w:val="300"/>
        </w:trPr>
        <w:tc>
          <w:tcPr>
            <w:tcW w:w="580" w:type="dxa"/>
            <w:tcBorders>
              <w:top w:val="nil"/>
              <w:left w:val="single" w:sz="8" w:space="0" w:color="auto"/>
              <w:bottom w:val="single" w:sz="8"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 </w:t>
            </w:r>
          </w:p>
        </w:tc>
        <w:tc>
          <w:tcPr>
            <w:tcW w:w="1247" w:type="dxa"/>
            <w:tcBorders>
              <w:top w:val="nil"/>
              <w:left w:val="nil"/>
              <w:bottom w:val="single" w:sz="8" w:space="0" w:color="auto"/>
              <w:right w:val="single" w:sz="4" w:space="0" w:color="auto"/>
            </w:tcBorders>
            <w:shd w:val="clear" w:color="auto" w:fill="5B9BD5"/>
            <w:noWrap/>
            <w:vAlign w:val="bottom"/>
            <w:hideMark/>
          </w:tcPr>
          <w:p>
            <w:pPr>
              <w:spacing w:after="0" w:line="240" w:lineRule="auto"/>
              <w:jc w:val="center"/>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0 to 9</w:t>
            </w:r>
          </w:p>
        </w:tc>
        <w:tc>
          <w:tcPr>
            <w:tcW w:w="1114" w:type="dxa"/>
            <w:tcBorders>
              <w:top w:val="nil"/>
              <w:left w:val="nil"/>
              <w:bottom w:val="single" w:sz="8" w:space="0" w:color="auto"/>
              <w:right w:val="single" w:sz="4" w:space="0" w:color="auto"/>
            </w:tcBorders>
            <w:shd w:val="clear" w:color="auto" w:fill="5B9BD5"/>
            <w:noWrap/>
            <w:vAlign w:val="bottom"/>
            <w:hideMark/>
          </w:tcPr>
          <w:p>
            <w:pPr>
              <w:spacing w:after="0" w:line="240" w:lineRule="auto"/>
              <w:jc w:val="center"/>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10+</w:t>
            </w:r>
          </w:p>
        </w:tc>
        <w:tc>
          <w:tcPr>
            <w:tcW w:w="913" w:type="dxa"/>
            <w:tcBorders>
              <w:top w:val="nil"/>
              <w:left w:val="nil"/>
              <w:bottom w:val="single" w:sz="8" w:space="0" w:color="auto"/>
              <w:right w:val="single" w:sz="4" w:space="0" w:color="auto"/>
            </w:tcBorders>
            <w:shd w:val="clear" w:color="auto" w:fill="5B9BD5"/>
            <w:noWrap/>
            <w:vAlign w:val="bottom"/>
            <w:hideMark/>
          </w:tcPr>
          <w:p>
            <w:pPr>
              <w:spacing w:after="0" w:line="240" w:lineRule="auto"/>
              <w:jc w:val="center"/>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50+</w:t>
            </w:r>
          </w:p>
        </w:tc>
        <w:tc>
          <w:tcPr>
            <w:tcW w:w="780" w:type="dxa"/>
            <w:tcBorders>
              <w:top w:val="nil"/>
              <w:left w:val="nil"/>
              <w:bottom w:val="single" w:sz="8" w:space="0" w:color="auto"/>
              <w:right w:val="single" w:sz="4" w:space="0" w:color="auto"/>
            </w:tcBorders>
            <w:shd w:val="clear" w:color="auto" w:fill="5B9BD5"/>
            <w:noWrap/>
            <w:vAlign w:val="bottom"/>
            <w:hideMark/>
          </w:tcPr>
          <w:p>
            <w:pPr>
              <w:spacing w:after="0" w:line="240" w:lineRule="auto"/>
              <w:jc w:val="center"/>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250+</w:t>
            </w:r>
          </w:p>
        </w:tc>
        <w:tc>
          <w:tcPr>
            <w:tcW w:w="1247" w:type="dxa"/>
            <w:tcBorders>
              <w:top w:val="nil"/>
              <w:left w:val="nil"/>
              <w:bottom w:val="single" w:sz="8" w:space="0" w:color="auto"/>
              <w:right w:val="single" w:sz="8" w:space="0" w:color="auto"/>
            </w:tcBorders>
            <w:shd w:val="clear" w:color="auto" w:fill="5B9BD5"/>
            <w:noWrap/>
            <w:vAlign w:val="bottom"/>
            <w:hideMark/>
          </w:tcPr>
          <w:p>
            <w:pPr>
              <w:spacing w:after="0" w:line="240" w:lineRule="auto"/>
              <w:jc w:val="center"/>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TOTAL</w:t>
            </w:r>
          </w:p>
        </w:tc>
        <w:tc>
          <w:tcPr>
            <w:tcW w:w="1082" w:type="dxa"/>
            <w:tcBorders>
              <w:top w:val="nil"/>
              <w:left w:val="nil"/>
              <w:bottom w:val="single" w:sz="8" w:space="0" w:color="auto"/>
              <w:right w:val="single" w:sz="4" w:space="0" w:color="auto"/>
            </w:tcBorders>
            <w:shd w:val="clear" w:color="auto" w:fill="5B9BD5"/>
            <w:noWrap/>
            <w:vAlign w:val="bottom"/>
            <w:hideMark/>
          </w:tcPr>
          <w:p>
            <w:pPr>
              <w:spacing w:after="0" w:line="240" w:lineRule="auto"/>
              <w:jc w:val="center"/>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10+</w:t>
            </w:r>
          </w:p>
        </w:tc>
        <w:tc>
          <w:tcPr>
            <w:tcW w:w="876" w:type="dxa"/>
            <w:tcBorders>
              <w:top w:val="nil"/>
              <w:left w:val="nil"/>
              <w:bottom w:val="single" w:sz="8" w:space="0" w:color="auto"/>
              <w:right w:val="single" w:sz="4" w:space="0" w:color="auto"/>
            </w:tcBorders>
            <w:shd w:val="clear" w:color="auto" w:fill="5B9BD5"/>
            <w:noWrap/>
            <w:vAlign w:val="bottom"/>
            <w:hideMark/>
          </w:tcPr>
          <w:p>
            <w:pPr>
              <w:spacing w:after="0" w:line="240" w:lineRule="auto"/>
              <w:jc w:val="center"/>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50+</w:t>
            </w:r>
          </w:p>
        </w:tc>
        <w:tc>
          <w:tcPr>
            <w:tcW w:w="982" w:type="dxa"/>
            <w:tcBorders>
              <w:top w:val="nil"/>
              <w:left w:val="nil"/>
              <w:bottom w:val="single" w:sz="8" w:space="0" w:color="auto"/>
              <w:right w:val="single" w:sz="8" w:space="0" w:color="auto"/>
            </w:tcBorders>
            <w:shd w:val="clear" w:color="auto" w:fill="5B9BD5"/>
            <w:noWrap/>
            <w:vAlign w:val="bottom"/>
            <w:hideMark/>
          </w:tcPr>
          <w:p>
            <w:pPr>
              <w:spacing w:after="0" w:line="240" w:lineRule="auto"/>
              <w:jc w:val="center"/>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250+</w:t>
            </w:r>
          </w:p>
        </w:tc>
      </w:tr>
      <w:tr>
        <w:trPr>
          <w:trHeight w:val="300"/>
        </w:trPr>
        <w:tc>
          <w:tcPr>
            <w:tcW w:w="580" w:type="dxa"/>
            <w:tcBorders>
              <w:top w:val="nil"/>
              <w:left w:val="single" w:sz="8" w:space="0" w:color="auto"/>
              <w:bottom w:val="single" w:sz="4"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EU28</w:t>
            </w:r>
          </w:p>
        </w:tc>
        <w:tc>
          <w:tcPr>
            <w:tcW w:w="12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22.600.000</w:t>
            </w:r>
          </w:p>
        </w:tc>
        <w:tc>
          <w:tcPr>
            <w:tcW w:w="1114"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1.739.195</w:t>
            </w:r>
          </w:p>
        </w:tc>
        <w:tc>
          <w:tcPr>
            <w:tcW w:w="91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283.993</w:t>
            </w:r>
          </w:p>
        </w:tc>
        <w:tc>
          <w:tcPr>
            <w:tcW w:w="78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47.810</w:t>
            </w:r>
          </w:p>
        </w:tc>
        <w:tc>
          <w:tcPr>
            <w:tcW w:w="1247" w:type="dxa"/>
            <w:tcBorders>
              <w:top w:val="nil"/>
              <w:left w:val="nil"/>
              <w:bottom w:val="single" w:sz="4"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24.378.356</w:t>
            </w:r>
          </w:p>
        </w:tc>
        <w:tc>
          <w:tcPr>
            <w:tcW w:w="1082"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7,1%</w:t>
            </w:r>
          </w:p>
        </w:tc>
        <w:tc>
          <w:tcPr>
            <w:tcW w:w="87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1,2%</w:t>
            </w:r>
          </w:p>
        </w:tc>
        <w:tc>
          <w:tcPr>
            <w:tcW w:w="982" w:type="dxa"/>
            <w:tcBorders>
              <w:top w:val="nil"/>
              <w:left w:val="nil"/>
              <w:bottom w:val="single" w:sz="4"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0,2%</w:t>
            </w:r>
          </w:p>
        </w:tc>
      </w:tr>
      <w:tr>
        <w:trPr>
          <w:trHeight w:val="310"/>
        </w:trPr>
        <w:tc>
          <w:tcPr>
            <w:tcW w:w="580" w:type="dxa"/>
            <w:tcBorders>
              <w:top w:val="nil"/>
              <w:left w:val="single" w:sz="8" w:space="0" w:color="auto"/>
              <w:bottom w:val="double" w:sz="6"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EU27</w:t>
            </w:r>
          </w:p>
        </w:tc>
        <w:tc>
          <w:tcPr>
            <w:tcW w:w="1247" w:type="dxa"/>
            <w:tcBorders>
              <w:top w:val="nil"/>
              <w:left w:val="nil"/>
              <w:bottom w:val="double" w:sz="6"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20.000.000</w:t>
            </w:r>
          </w:p>
        </w:tc>
        <w:tc>
          <w:tcPr>
            <w:tcW w:w="1114" w:type="dxa"/>
            <w:tcBorders>
              <w:top w:val="nil"/>
              <w:left w:val="nil"/>
              <w:bottom w:val="double" w:sz="6"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1.526.409</w:t>
            </w:r>
          </w:p>
        </w:tc>
        <w:tc>
          <w:tcPr>
            <w:tcW w:w="913" w:type="dxa"/>
            <w:tcBorders>
              <w:top w:val="nil"/>
              <w:left w:val="nil"/>
              <w:bottom w:val="double" w:sz="6"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249.216</w:t>
            </w:r>
          </w:p>
        </w:tc>
        <w:tc>
          <w:tcPr>
            <w:tcW w:w="780" w:type="dxa"/>
            <w:tcBorders>
              <w:top w:val="nil"/>
              <w:left w:val="nil"/>
              <w:bottom w:val="double" w:sz="6"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41.491</w:t>
            </w:r>
          </w:p>
        </w:tc>
        <w:tc>
          <w:tcPr>
            <w:tcW w:w="1247" w:type="dxa"/>
            <w:tcBorders>
              <w:top w:val="nil"/>
              <w:left w:val="nil"/>
              <w:bottom w:val="double" w:sz="6"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22.234.234</w:t>
            </w:r>
          </w:p>
        </w:tc>
        <w:tc>
          <w:tcPr>
            <w:tcW w:w="1082" w:type="dxa"/>
            <w:tcBorders>
              <w:top w:val="nil"/>
              <w:left w:val="nil"/>
              <w:bottom w:val="double" w:sz="6"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6,9%</w:t>
            </w:r>
          </w:p>
        </w:tc>
        <w:tc>
          <w:tcPr>
            <w:tcW w:w="876" w:type="dxa"/>
            <w:tcBorders>
              <w:top w:val="nil"/>
              <w:left w:val="nil"/>
              <w:bottom w:val="double" w:sz="6"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1,1%</w:t>
            </w:r>
          </w:p>
        </w:tc>
        <w:tc>
          <w:tcPr>
            <w:tcW w:w="982" w:type="dxa"/>
            <w:tcBorders>
              <w:top w:val="nil"/>
              <w:left w:val="nil"/>
              <w:bottom w:val="double" w:sz="6"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0,2%</w:t>
            </w:r>
          </w:p>
        </w:tc>
      </w:tr>
      <w:tr>
        <w:trPr>
          <w:trHeight w:val="300"/>
        </w:trPr>
        <w:tc>
          <w:tcPr>
            <w:tcW w:w="580" w:type="dxa"/>
            <w:tcBorders>
              <w:top w:val="nil"/>
              <w:left w:val="single" w:sz="8" w:space="0" w:color="auto"/>
              <w:bottom w:val="single" w:sz="4"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BE</w:t>
            </w:r>
          </w:p>
        </w:tc>
        <w:tc>
          <w:tcPr>
            <w:tcW w:w="12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598.781</w:t>
            </w:r>
          </w:p>
        </w:tc>
        <w:tc>
          <w:tcPr>
            <w:tcW w:w="1114"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33.038</w:t>
            </w:r>
          </w:p>
        </w:tc>
        <w:tc>
          <w:tcPr>
            <w:tcW w:w="91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5.243</w:t>
            </w:r>
          </w:p>
        </w:tc>
        <w:tc>
          <w:tcPr>
            <w:tcW w:w="78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960</w:t>
            </w:r>
          </w:p>
        </w:tc>
        <w:tc>
          <w:tcPr>
            <w:tcW w:w="1247" w:type="dxa"/>
            <w:tcBorders>
              <w:top w:val="nil"/>
              <w:left w:val="nil"/>
              <w:bottom w:val="single" w:sz="4"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631.819</w:t>
            </w:r>
          </w:p>
        </w:tc>
        <w:tc>
          <w:tcPr>
            <w:tcW w:w="1082"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5,2%</w:t>
            </w:r>
          </w:p>
        </w:tc>
        <w:tc>
          <w:tcPr>
            <w:tcW w:w="87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0,8%</w:t>
            </w:r>
          </w:p>
        </w:tc>
        <w:tc>
          <w:tcPr>
            <w:tcW w:w="982" w:type="dxa"/>
            <w:tcBorders>
              <w:top w:val="nil"/>
              <w:left w:val="nil"/>
              <w:bottom w:val="single" w:sz="4"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0,2%</w:t>
            </w:r>
          </w:p>
        </w:tc>
      </w:tr>
      <w:tr>
        <w:trPr>
          <w:trHeight w:val="290"/>
        </w:trPr>
        <w:tc>
          <w:tcPr>
            <w:tcW w:w="580" w:type="dxa"/>
            <w:tcBorders>
              <w:top w:val="nil"/>
              <w:left w:val="single" w:sz="8" w:space="0" w:color="auto"/>
              <w:bottom w:val="single" w:sz="4"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BG</w:t>
            </w:r>
          </w:p>
        </w:tc>
        <w:tc>
          <w:tcPr>
            <w:tcW w:w="12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311.829</w:t>
            </w:r>
          </w:p>
        </w:tc>
        <w:tc>
          <w:tcPr>
            <w:tcW w:w="1114"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28.658</w:t>
            </w:r>
          </w:p>
        </w:tc>
        <w:tc>
          <w:tcPr>
            <w:tcW w:w="91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4.965</w:t>
            </w:r>
          </w:p>
        </w:tc>
        <w:tc>
          <w:tcPr>
            <w:tcW w:w="78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675</w:t>
            </w:r>
          </w:p>
        </w:tc>
        <w:tc>
          <w:tcPr>
            <w:tcW w:w="1247" w:type="dxa"/>
            <w:tcBorders>
              <w:top w:val="nil"/>
              <w:left w:val="nil"/>
              <w:bottom w:val="single" w:sz="4"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340.487</w:t>
            </w:r>
          </w:p>
        </w:tc>
        <w:tc>
          <w:tcPr>
            <w:tcW w:w="1082"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8,4%</w:t>
            </w:r>
          </w:p>
        </w:tc>
        <w:tc>
          <w:tcPr>
            <w:tcW w:w="87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1,5%</w:t>
            </w:r>
          </w:p>
        </w:tc>
        <w:tc>
          <w:tcPr>
            <w:tcW w:w="982" w:type="dxa"/>
            <w:tcBorders>
              <w:top w:val="nil"/>
              <w:left w:val="nil"/>
              <w:bottom w:val="single" w:sz="4"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0,2%</w:t>
            </w:r>
          </w:p>
        </w:tc>
      </w:tr>
      <w:tr>
        <w:trPr>
          <w:trHeight w:val="290"/>
        </w:trPr>
        <w:tc>
          <w:tcPr>
            <w:tcW w:w="580" w:type="dxa"/>
            <w:tcBorders>
              <w:top w:val="nil"/>
              <w:left w:val="single" w:sz="8" w:space="0" w:color="auto"/>
              <w:bottom w:val="single" w:sz="4"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CZ</w:t>
            </w:r>
          </w:p>
        </w:tc>
        <w:tc>
          <w:tcPr>
            <w:tcW w:w="12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978.967</w:t>
            </w:r>
          </w:p>
        </w:tc>
        <w:tc>
          <w:tcPr>
            <w:tcW w:w="1114"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40.806</w:t>
            </w:r>
          </w:p>
        </w:tc>
        <w:tc>
          <w:tcPr>
            <w:tcW w:w="91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8.514</w:t>
            </w:r>
          </w:p>
        </w:tc>
        <w:tc>
          <w:tcPr>
            <w:tcW w:w="78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1.619</w:t>
            </w:r>
          </w:p>
        </w:tc>
        <w:tc>
          <w:tcPr>
            <w:tcW w:w="1247" w:type="dxa"/>
            <w:tcBorders>
              <w:top w:val="nil"/>
              <w:left w:val="nil"/>
              <w:bottom w:val="single" w:sz="4"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1.019.773</w:t>
            </w:r>
          </w:p>
        </w:tc>
        <w:tc>
          <w:tcPr>
            <w:tcW w:w="1082"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4,0%</w:t>
            </w:r>
          </w:p>
        </w:tc>
        <w:tc>
          <w:tcPr>
            <w:tcW w:w="87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0,8%</w:t>
            </w:r>
          </w:p>
        </w:tc>
        <w:tc>
          <w:tcPr>
            <w:tcW w:w="982" w:type="dxa"/>
            <w:tcBorders>
              <w:top w:val="nil"/>
              <w:left w:val="nil"/>
              <w:bottom w:val="single" w:sz="4"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0,2%</w:t>
            </w:r>
          </w:p>
        </w:tc>
      </w:tr>
      <w:tr>
        <w:trPr>
          <w:trHeight w:val="290"/>
        </w:trPr>
        <w:tc>
          <w:tcPr>
            <w:tcW w:w="580" w:type="dxa"/>
            <w:tcBorders>
              <w:top w:val="nil"/>
              <w:left w:val="single" w:sz="8" w:space="0" w:color="auto"/>
              <w:bottom w:val="single" w:sz="4"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DK</w:t>
            </w:r>
          </w:p>
        </w:tc>
        <w:tc>
          <w:tcPr>
            <w:tcW w:w="12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198.166</w:t>
            </w:r>
          </w:p>
        </w:tc>
        <w:tc>
          <w:tcPr>
            <w:tcW w:w="1114"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25.194</w:t>
            </w:r>
          </w:p>
        </w:tc>
        <w:tc>
          <w:tcPr>
            <w:tcW w:w="91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4.470</w:t>
            </w:r>
          </w:p>
        </w:tc>
        <w:tc>
          <w:tcPr>
            <w:tcW w:w="78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693</w:t>
            </w:r>
          </w:p>
        </w:tc>
        <w:tc>
          <w:tcPr>
            <w:tcW w:w="1247" w:type="dxa"/>
            <w:tcBorders>
              <w:top w:val="nil"/>
              <w:left w:val="nil"/>
              <w:bottom w:val="single" w:sz="4"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223.360</w:t>
            </w:r>
          </w:p>
        </w:tc>
        <w:tc>
          <w:tcPr>
            <w:tcW w:w="1082"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11,3%</w:t>
            </w:r>
          </w:p>
        </w:tc>
        <w:tc>
          <w:tcPr>
            <w:tcW w:w="87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2,0%</w:t>
            </w:r>
          </w:p>
        </w:tc>
        <w:tc>
          <w:tcPr>
            <w:tcW w:w="982" w:type="dxa"/>
            <w:tcBorders>
              <w:top w:val="nil"/>
              <w:left w:val="nil"/>
              <w:bottom w:val="single" w:sz="4"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0,3%</w:t>
            </w:r>
          </w:p>
        </w:tc>
      </w:tr>
      <w:tr>
        <w:trPr>
          <w:trHeight w:val="290"/>
        </w:trPr>
        <w:tc>
          <w:tcPr>
            <w:tcW w:w="580" w:type="dxa"/>
            <w:tcBorders>
              <w:top w:val="nil"/>
              <w:left w:val="single" w:sz="8" w:space="0" w:color="auto"/>
              <w:bottom w:val="single" w:sz="4"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DE</w:t>
            </w:r>
          </w:p>
        </w:tc>
        <w:tc>
          <w:tcPr>
            <w:tcW w:w="12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2.055.093</w:t>
            </w:r>
          </w:p>
        </w:tc>
        <w:tc>
          <w:tcPr>
            <w:tcW w:w="1114"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449.277</w:t>
            </w:r>
          </w:p>
        </w:tc>
        <w:tc>
          <w:tcPr>
            <w:tcW w:w="91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73.773</w:t>
            </w:r>
          </w:p>
        </w:tc>
        <w:tc>
          <w:tcPr>
            <w:tcW w:w="78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12.139</w:t>
            </w:r>
          </w:p>
        </w:tc>
        <w:tc>
          <w:tcPr>
            <w:tcW w:w="1247" w:type="dxa"/>
            <w:tcBorders>
              <w:top w:val="nil"/>
              <w:left w:val="nil"/>
              <w:bottom w:val="single" w:sz="4"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2.504.371</w:t>
            </w:r>
          </w:p>
        </w:tc>
        <w:tc>
          <w:tcPr>
            <w:tcW w:w="1082"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17,9%</w:t>
            </w:r>
          </w:p>
        </w:tc>
        <w:tc>
          <w:tcPr>
            <w:tcW w:w="87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2,9%</w:t>
            </w:r>
          </w:p>
        </w:tc>
        <w:tc>
          <w:tcPr>
            <w:tcW w:w="982" w:type="dxa"/>
            <w:tcBorders>
              <w:top w:val="nil"/>
              <w:left w:val="nil"/>
              <w:bottom w:val="single" w:sz="4"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0,5%</w:t>
            </w:r>
          </w:p>
        </w:tc>
      </w:tr>
      <w:tr>
        <w:trPr>
          <w:trHeight w:val="290"/>
        </w:trPr>
        <w:tc>
          <w:tcPr>
            <w:tcW w:w="580" w:type="dxa"/>
            <w:tcBorders>
              <w:top w:val="nil"/>
              <w:left w:val="single" w:sz="8" w:space="0" w:color="auto"/>
              <w:bottom w:val="single" w:sz="4"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EE</w:t>
            </w:r>
          </w:p>
        </w:tc>
        <w:tc>
          <w:tcPr>
            <w:tcW w:w="12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69.069</w:t>
            </w:r>
          </w:p>
        </w:tc>
        <w:tc>
          <w:tcPr>
            <w:tcW w:w="1114"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6.719</w:t>
            </w:r>
          </w:p>
        </w:tc>
        <w:tc>
          <w:tcPr>
            <w:tcW w:w="91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1.198</w:t>
            </w:r>
          </w:p>
        </w:tc>
        <w:tc>
          <w:tcPr>
            <w:tcW w:w="78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169</w:t>
            </w:r>
          </w:p>
        </w:tc>
        <w:tc>
          <w:tcPr>
            <w:tcW w:w="1247" w:type="dxa"/>
            <w:tcBorders>
              <w:top w:val="nil"/>
              <w:left w:val="nil"/>
              <w:bottom w:val="single" w:sz="4"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75.788</w:t>
            </w:r>
          </w:p>
        </w:tc>
        <w:tc>
          <w:tcPr>
            <w:tcW w:w="1082"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8,9%</w:t>
            </w:r>
          </w:p>
        </w:tc>
        <w:tc>
          <w:tcPr>
            <w:tcW w:w="87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1,6%</w:t>
            </w:r>
          </w:p>
        </w:tc>
        <w:tc>
          <w:tcPr>
            <w:tcW w:w="982" w:type="dxa"/>
            <w:tcBorders>
              <w:top w:val="nil"/>
              <w:left w:val="nil"/>
              <w:bottom w:val="single" w:sz="4"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0,2%</w:t>
            </w:r>
          </w:p>
        </w:tc>
      </w:tr>
      <w:tr>
        <w:trPr>
          <w:trHeight w:val="290"/>
        </w:trPr>
        <w:tc>
          <w:tcPr>
            <w:tcW w:w="580" w:type="dxa"/>
            <w:tcBorders>
              <w:top w:val="nil"/>
              <w:left w:val="single" w:sz="8" w:space="0" w:color="auto"/>
              <w:bottom w:val="single" w:sz="4"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IE</w:t>
            </w:r>
          </w:p>
        </w:tc>
        <w:tc>
          <w:tcPr>
            <w:tcW w:w="12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243.956</w:t>
            </w:r>
          </w:p>
        </w:tc>
        <w:tc>
          <w:tcPr>
            <w:tcW w:w="1114"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20.778</w:t>
            </w:r>
          </w:p>
        </w:tc>
        <w:tc>
          <w:tcPr>
            <w:tcW w:w="91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3.565</w:t>
            </w:r>
          </w:p>
        </w:tc>
        <w:tc>
          <w:tcPr>
            <w:tcW w:w="78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546</w:t>
            </w:r>
          </w:p>
        </w:tc>
        <w:tc>
          <w:tcPr>
            <w:tcW w:w="1247" w:type="dxa"/>
            <w:tcBorders>
              <w:top w:val="nil"/>
              <w:left w:val="nil"/>
              <w:bottom w:val="single" w:sz="4"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264.734</w:t>
            </w:r>
          </w:p>
        </w:tc>
        <w:tc>
          <w:tcPr>
            <w:tcW w:w="1082"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7,8%</w:t>
            </w:r>
          </w:p>
        </w:tc>
        <w:tc>
          <w:tcPr>
            <w:tcW w:w="87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1,3%</w:t>
            </w:r>
          </w:p>
        </w:tc>
        <w:tc>
          <w:tcPr>
            <w:tcW w:w="982" w:type="dxa"/>
            <w:tcBorders>
              <w:top w:val="nil"/>
              <w:left w:val="nil"/>
              <w:bottom w:val="single" w:sz="4"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0,2%</w:t>
            </w:r>
          </w:p>
        </w:tc>
      </w:tr>
      <w:tr>
        <w:trPr>
          <w:trHeight w:val="290"/>
        </w:trPr>
        <w:tc>
          <w:tcPr>
            <w:tcW w:w="580" w:type="dxa"/>
            <w:tcBorders>
              <w:top w:val="nil"/>
              <w:left w:val="single" w:sz="8" w:space="0" w:color="auto"/>
              <w:bottom w:val="single" w:sz="4"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EL</w:t>
            </w:r>
          </w:p>
        </w:tc>
        <w:tc>
          <w:tcPr>
            <w:tcW w:w="12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688.217</w:t>
            </w:r>
          </w:p>
        </w:tc>
        <w:tc>
          <w:tcPr>
            <w:tcW w:w="1114"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27.920</w:t>
            </w:r>
          </w:p>
        </w:tc>
        <w:tc>
          <w:tcPr>
            <w:tcW w:w="91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2.932</w:t>
            </w:r>
          </w:p>
        </w:tc>
        <w:tc>
          <w:tcPr>
            <w:tcW w:w="78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388</w:t>
            </w:r>
          </w:p>
        </w:tc>
        <w:tc>
          <w:tcPr>
            <w:tcW w:w="1247" w:type="dxa"/>
            <w:tcBorders>
              <w:top w:val="nil"/>
              <w:left w:val="nil"/>
              <w:bottom w:val="single" w:sz="4"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719.492</w:t>
            </w:r>
          </w:p>
        </w:tc>
        <w:tc>
          <w:tcPr>
            <w:tcW w:w="1082"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3,9%</w:t>
            </w:r>
          </w:p>
        </w:tc>
        <w:tc>
          <w:tcPr>
            <w:tcW w:w="87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0,4%</w:t>
            </w:r>
          </w:p>
        </w:tc>
        <w:tc>
          <w:tcPr>
            <w:tcW w:w="982" w:type="dxa"/>
            <w:tcBorders>
              <w:top w:val="nil"/>
              <w:left w:val="nil"/>
              <w:bottom w:val="single" w:sz="4"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0,1%</w:t>
            </w:r>
          </w:p>
        </w:tc>
      </w:tr>
      <w:tr>
        <w:trPr>
          <w:trHeight w:val="290"/>
        </w:trPr>
        <w:tc>
          <w:tcPr>
            <w:tcW w:w="580" w:type="dxa"/>
            <w:tcBorders>
              <w:top w:val="nil"/>
              <w:left w:val="single" w:sz="8" w:space="0" w:color="auto"/>
              <w:bottom w:val="single" w:sz="4"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ES</w:t>
            </w:r>
          </w:p>
        </w:tc>
        <w:tc>
          <w:tcPr>
            <w:tcW w:w="12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2.512.494</w:t>
            </w:r>
          </w:p>
        </w:tc>
        <w:tc>
          <w:tcPr>
            <w:tcW w:w="1114"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148.932</w:t>
            </w:r>
          </w:p>
        </w:tc>
        <w:tc>
          <w:tcPr>
            <w:tcW w:w="91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19.369</w:t>
            </w:r>
          </w:p>
        </w:tc>
        <w:tc>
          <w:tcPr>
            <w:tcW w:w="78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3.362</w:t>
            </w:r>
          </w:p>
        </w:tc>
        <w:tc>
          <w:tcPr>
            <w:tcW w:w="1247" w:type="dxa"/>
            <w:tcBorders>
              <w:top w:val="nil"/>
              <w:left w:val="nil"/>
              <w:bottom w:val="single" w:sz="4"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2.661.427</w:t>
            </w:r>
          </w:p>
        </w:tc>
        <w:tc>
          <w:tcPr>
            <w:tcW w:w="1082"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5,6%</w:t>
            </w:r>
          </w:p>
        </w:tc>
        <w:tc>
          <w:tcPr>
            <w:tcW w:w="87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0,7%</w:t>
            </w:r>
          </w:p>
        </w:tc>
        <w:tc>
          <w:tcPr>
            <w:tcW w:w="982" w:type="dxa"/>
            <w:tcBorders>
              <w:top w:val="nil"/>
              <w:left w:val="nil"/>
              <w:bottom w:val="single" w:sz="4"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0,1%</w:t>
            </w:r>
          </w:p>
        </w:tc>
      </w:tr>
      <w:tr>
        <w:trPr>
          <w:trHeight w:val="290"/>
        </w:trPr>
        <w:tc>
          <w:tcPr>
            <w:tcW w:w="580" w:type="dxa"/>
            <w:tcBorders>
              <w:top w:val="nil"/>
              <w:left w:val="single" w:sz="8" w:space="0" w:color="auto"/>
              <w:bottom w:val="single" w:sz="4"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FR</w:t>
            </w:r>
          </w:p>
        </w:tc>
        <w:tc>
          <w:tcPr>
            <w:tcW w:w="12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2.659.644</w:t>
            </w:r>
          </w:p>
        </w:tc>
        <w:tc>
          <w:tcPr>
            <w:tcW w:w="1114"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124.349</w:t>
            </w:r>
          </w:p>
        </w:tc>
        <w:tc>
          <w:tcPr>
            <w:tcW w:w="91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20.921</w:t>
            </w:r>
          </w:p>
        </w:tc>
        <w:tc>
          <w:tcPr>
            <w:tcW w:w="78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4.059</w:t>
            </w:r>
          </w:p>
        </w:tc>
        <w:tc>
          <w:tcPr>
            <w:tcW w:w="1247" w:type="dxa"/>
            <w:tcBorders>
              <w:top w:val="nil"/>
              <w:left w:val="nil"/>
              <w:bottom w:val="single" w:sz="4"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2.783.993</w:t>
            </w:r>
          </w:p>
        </w:tc>
        <w:tc>
          <w:tcPr>
            <w:tcW w:w="1082"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4,5%</w:t>
            </w:r>
          </w:p>
        </w:tc>
        <w:tc>
          <w:tcPr>
            <w:tcW w:w="87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0,8%</w:t>
            </w:r>
          </w:p>
        </w:tc>
        <w:tc>
          <w:tcPr>
            <w:tcW w:w="982" w:type="dxa"/>
            <w:tcBorders>
              <w:top w:val="nil"/>
              <w:left w:val="nil"/>
              <w:bottom w:val="single" w:sz="4"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0,1%</w:t>
            </w:r>
          </w:p>
        </w:tc>
      </w:tr>
      <w:tr>
        <w:trPr>
          <w:trHeight w:val="290"/>
        </w:trPr>
        <w:tc>
          <w:tcPr>
            <w:tcW w:w="580" w:type="dxa"/>
            <w:tcBorders>
              <w:top w:val="nil"/>
              <w:left w:val="single" w:sz="8" w:space="0" w:color="auto"/>
              <w:bottom w:val="single" w:sz="4"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HR</w:t>
            </w:r>
          </w:p>
        </w:tc>
        <w:tc>
          <w:tcPr>
            <w:tcW w:w="12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135.797</w:t>
            </w:r>
          </w:p>
        </w:tc>
        <w:tc>
          <w:tcPr>
            <w:tcW w:w="1114"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13.527</w:t>
            </w:r>
          </w:p>
        </w:tc>
        <w:tc>
          <w:tcPr>
            <w:tcW w:w="91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2.277</w:t>
            </w:r>
          </w:p>
        </w:tc>
        <w:tc>
          <w:tcPr>
            <w:tcW w:w="78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416</w:t>
            </w:r>
          </w:p>
        </w:tc>
        <w:tc>
          <w:tcPr>
            <w:tcW w:w="1247" w:type="dxa"/>
            <w:tcBorders>
              <w:top w:val="nil"/>
              <w:left w:val="nil"/>
              <w:bottom w:val="single" w:sz="4"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149.324</w:t>
            </w:r>
          </w:p>
        </w:tc>
        <w:tc>
          <w:tcPr>
            <w:tcW w:w="1082"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9,1%</w:t>
            </w:r>
          </w:p>
        </w:tc>
        <w:tc>
          <w:tcPr>
            <w:tcW w:w="87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1,5%</w:t>
            </w:r>
          </w:p>
        </w:tc>
        <w:tc>
          <w:tcPr>
            <w:tcW w:w="982" w:type="dxa"/>
            <w:tcBorders>
              <w:top w:val="nil"/>
              <w:left w:val="nil"/>
              <w:bottom w:val="single" w:sz="4"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0,3%</w:t>
            </w:r>
          </w:p>
        </w:tc>
      </w:tr>
      <w:tr>
        <w:trPr>
          <w:trHeight w:val="290"/>
        </w:trPr>
        <w:tc>
          <w:tcPr>
            <w:tcW w:w="580" w:type="dxa"/>
            <w:tcBorders>
              <w:top w:val="nil"/>
              <w:left w:val="single" w:sz="8" w:space="0" w:color="auto"/>
              <w:bottom w:val="single" w:sz="4"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IT</w:t>
            </w:r>
          </w:p>
        </w:tc>
        <w:tc>
          <w:tcPr>
            <w:tcW w:w="12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3.517.178</w:t>
            </w:r>
          </w:p>
        </w:tc>
        <w:tc>
          <w:tcPr>
            <w:tcW w:w="1114"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194.095</w:t>
            </w:r>
          </w:p>
        </w:tc>
        <w:tc>
          <w:tcPr>
            <w:tcW w:w="91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23.063</w:t>
            </w:r>
          </w:p>
        </w:tc>
        <w:tc>
          <w:tcPr>
            <w:tcW w:w="78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3.249</w:t>
            </w:r>
          </w:p>
        </w:tc>
        <w:tc>
          <w:tcPr>
            <w:tcW w:w="1247" w:type="dxa"/>
            <w:tcBorders>
              <w:top w:val="nil"/>
              <w:left w:val="nil"/>
              <w:bottom w:val="single" w:sz="4"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3.712.043</w:t>
            </w:r>
          </w:p>
        </w:tc>
        <w:tc>
          <w:tcPr>
            <w:tcW w:w="1082"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5,2%</w:t>
            </w:r>
          </w:p>
        </w:tc>
        <w:tc>
          <w:tcPr>
            <w:tcW w:w="87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0,6%</w:t>
            </w:r>
          </w:p>
        </w:tc>
        <w:tc>
          <w:tcPr>
            <w:tcW w:w="982" w:type="dxa"/>
            <w:tcBorders>
              <w:top w:val="nil"/>
              <w:left w:val="nil"/>
              <w:bottom w:val="single" w:sz="4"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0,1%</w:t>
            </w:r>
          </w:p>
        </w:tc>
      </w:tr>
      <w:tr>
        <w:trPr>
          <w:trHeight w:val="290"/>
        </w:trPr>
        <w:tc>
          <w:tcPr>
            <w:tcW w:w="580" w:type="dxa"/>
            <w:tcBorders>
              <w:top w:val="nil"/>
              <w:left w:val="single" w:sz="8" w:space="0" w:color="auto"/>
              <w:bottom w:val="single" w:sz="4"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CY</w:t>
            </w:r>
          </w:p>
        </w:tc>
        <w:tc>
          <w:tcPr>
            <w:tcW w:w="12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43.896</w:t>
            </w:r>
          </w:p>
        </w:tc>
        <w:tc>
          <w:tcPr>
            <w:tcW w:w="1114"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3.409</w:t>
            </w:r>
          </w:p>
        </w:tc>
        <w:tc>
          <w:tcPr>
            <w:tcW w:w="91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545</w:t>
            </w:r>
          </w:p>
        </w:tc>
        <w:tc>
          <w:tcPr>
            <w:tcW w:w="78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80</w:t>
            </w:r>
          </w:p>
        </w:tc>
        <w:tc>
          <w:tcPr>
            <w:tcW w:w="1247" w:type="dxa"/>
            <w:tcBorders>
              <w:top w:val="nil"/>
              <w:left w:val="nil"/>
              <w:bottom w:val="single" w:sz="4"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52.657</w:t>
            </w:r>
          </w:p>
        </w:tc>
        <w:tc>
          <w:tcPr>
            <w:tcW w:w="1082"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6,5%</w:t>
            </w:r>
          </w:p>
        </w:tc>
        <w:tc>
          <w:tcPr>
            <w:tcW w:w="87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1,0%</w:t>
            </w:r>
          </w:p>
        </w:tc>
        <w:tc>
          <w:tcPr>
            <w:tcW w:w="982" w:type="dxa"/>
            <w:tcBorders>
              <w:top w:val="nil"/>
              <w:left w:val="nil"/>
              <w:bottom w:val="single" w:sz="4"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0,2%</w:t>
            </w:r>
          </w:p>
        </w:tc>
      </w:tr>
      <w:tr>
        <w:trPr>
          <w:trHeight w:val="290"/>
        </w:trPr>
        <w:tc>
          <w:tcPr>
            <w:tcW w:w="580" w:type="dxa"/>
            <w:tcBorders>
              <w:top w:val="nil"/>
              <w:left w:val="single" w:sz="8" w:space="0" w:color="auto"/>
              <w:bottom w:val="single" w:sz="4"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LV</w:t>
            </w:r>
          </w:p>
        </w:tc>
        <w:tc>
          <w:tcPr>
            <w:tcW w:w="12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103.316</w:t>
            </w:r>
          </w:p>
        </w:tc>
        <w:tc>
          <w:tcPr>
            <w:tcW w:w="1114"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9.551</w:t>
            </w:r>
          </w:p>
        </w:tc>
        <w:tc>
          <w:tcPr>
            <w:tcW w:w="91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1.632</w:t>
            </w:r>
          </w:p>
        </w:tc>
        <w:tc>
          <w:tcPr>
            <w:tcW w:w="78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194</w:t>
            </w:r>
          </w:p>
        </w:tc>
        <w:tc>
          <w:tcPr>
            <w:tcW w:w="1247" w:type="dxa"/>
            <w:tcBorders>
              <w:top w:val="nil"/>
              <w:left w:val="nil"/>
              <w:bottom w:val="single" w:sz="4"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112.867</w:t>
            </w:r>
          </w:p>
        </w:tc>
        <w:tc>
          <w:tcPr>
            <w:tcW w:w="1082"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8,5%</w:t>
            </w:r>
          </w:p>
        </w:tc>
        <w:tc>
          <w:tcPr>
            <w:tcW w:w="87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1,4%</w:t>
            </w:r>
          </w:p>
        </w:tc>
        <w:tc>
          <w:tcPr>
            <w:tcW w:w="982" w:type="dxa"/>
            <w:tcBorders>
              <w:top w:val="nil"/>
              <w:left w:val="nil"/>
              <w:bottom w:val="single" w:sz="4"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0,2%</w:t>
            </w:r>
          </w:p>
        </w:tc>
      </w:tr>
      <w:tr>
        <w:trPr>
          <w:trHeight w:val="290"/>
        </w:trPr>
        <w:tc>
          <w:tcPr>
            <w:tcW w:w="580" w:type="dxa"/>
            <w:tcBorders>
              <w:top w:val="nil"/>
              <w:left w:val="single" w:sz="8" w:space="0" w:color="auto"/>
              <w:bottom w:val="single" w:sz="4"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LT</w:t>
            </w:r>
          </w:p>
        </w:tc>
        <w:tc>
          <w:tcPr>
            <w:tcW w:w="12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188.376</w:t>
            </w:r>
          </w:p>
        </w:tc>
        <w:tc>
          <w:tcPr>
            <w:tcW w:w="1114"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14.146</w:t>
            </w:r>
          </w:p>
        </w:tc>
        <w:tc>
          <w:tcPr>
            <w:tcW w:w="91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2.616</w:t>
            </w:r>
          </w:p>
        </w:tc>
        <w:tc>
          <w:tcPr>
            <w:tcW w:w="78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354</w:t>
            </w:r>
          </w:p>
        </w:tc>
        <w:tc>
          <w:tcPr>
            <w:tcW w:w="1247" w:type="dxa"/>
            <w:tcBorders>
              <w:top w:val="nil"/>
              <w:left w:val="nil"/>
              <w:bottom w:val="single" w:sz="4"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202.522</w:t>
            </w:r>
          </w:p>
        </w:tc>
        <w:tc>
          <w:tcPr>
            <w:tcW w:w="1082"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7,0%</w:t>
            </w:r>
          </w:p>
        </w:tc>
        <w:tc>
          <w:tcPr>
            <w:tcW w:w="87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1,3%</w:t>
            </w:r>
          </w:p>
        </w:tc>
        <w:tc>
          <w:tcPr>
            <w:tcW w:w="982" w:type="dxa"/>
            <w:tcBorders>
              <w:top w:val="nil"/>
              <w:left w:val="nil"/>
              <w:bottom w:val="single" w:sz="4"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0,2%</w:t>
            </w:r>
          </w:p>
        </w:tc>
      </w:tr>
      <w:tr>
        <w:trPr>
          <w:trHeight w:val="290"/>
        </w:trPr>
        <w:tc>
          <w:tcPr>
            <w:tcW w:w="580" w:type="dxa"/>
            <w:tcBorders>
              <w:top w:val="nil"/>
              <w:left w:val="single" w:sz="8" w:space="0" w:color="auto"/>
              <w:bottom w:val="single" w:sz="4"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LU</w:t>
            </w:r>
          </w:p>
        </w:tc>
        <w:tc>
          <w:tcPr>
            <w:tcW w:w="12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29.471</w:t>
            </w:r>
          </w:p>
        </w:tc>
        <w:tc>
          <w:tcPr>
            <w:tcW w:w="1114"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4.270</w:t>
            </w:r>
          </w:p>
        </w:tc>
        <w:tc>
          <w:tcPr>
            <w:tcW w:w="91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839</w:t>
            </w:r>
          </w:p>
        </w:tc>
        <w:tc>
          <w:tcPr>
            <w:tcW w:w="78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156</w:t>
            </w:r>
          </w:p>
        </w:tc>
        <w:tc>
          <w:tcPr>
            <w:tcW w:w="1247" w:type="dxa"/>
            <w:tcBorders>
              <w:top w:val="nil"/>
              <w:left w:val="nil"/>
              <w:bottom w:val="single" w:sz="4"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33.741</w:t>
            </w:r>
          </w:p>
        </w:tc>
        <w:tc>
          <w:tcPr>
            <w:tcW w:w="1082"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12,7%</w:t>
            </w:r>
          </w:p>
        </w:tc>
        <w:tc>
          <w:tcPr>
            <w:tcW w:w="87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2,5%</w:t>
            </w:r>
          </w:p>
        </w:tc>
        <w:tc>
          <w:tcPr>
            <w:tcW w:w="982" w:type="dxa"/>
            <w:tcBorders>
              <w:top w:val="nil"/>
              <w:left w:val="nil"/>
              <w:bottom w:val="single" w:sz="4"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0,5%</w:t>
            </w:r>
          </w:p>
        </w:tc>
      </w:tr>
      <w:tr>
        <w:trPr>
          <w:trHeight w:val="290"/>
        </w:trPr>
        <w:tc>
          <w:tcPr>
            <w:tcW w:w="580" w:type="dxa"/>
            <w:tcBorders>
              <w:top w:val="nil"/>
              <w:left w:val="single" w:sz="8" w:space="0" w:color="auto"/>
              <w:bottom w:val="single" w:sz="4"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HU</w:t>
            </w:r>
          </w:p>
        </w:tc>
        <w:tc>
          <w:tcPr>
            <w:tcW w:w="12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536.779</w:t>
            </w:r>
          </w:p>
        </w:tc>
        <w:tc>
          <w:tcPr>
            <w:tcW w:w="1114"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33.226</w:t>
            </w:r>
          </w:p>
        </w:tc>
        <w:tc>
          <w:tcPr>
            <w:tcW w:w="91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5.451</w:t>
            </w:r>
          </w:p>
        </w:tc>
        <w:tc>
          <w:tcPr>
            <w:tcW w:w="78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935</w:t>
            </w:r>
          </w:p>
        </w:tc>
        <w:tc>
          <w:tcPr>
            <w:tcW w:w="1247" w:type="dxa"/>
            <w:tcBorders>
              <w:top w:val="nil"/>
              <w:left w:val="nil"/>
              <w:bottom w:val="single" w:sz="4"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570.005</w:t>
            </w:r>
          </w:p>
        </w:tc>
        <w:tc>
          <w:tcPr>
            <w:tcW w:w="1082"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5,8%</w:t>
            </w:r>
          </w:p>
        </w:tc>
        <w:tc>
          <w:tcPr>
            <w:tcW w:w="87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1,0%</w:t>
            </w:r>
          </w:p>
        </w:tc>
        <w:tc>
          <w:tcPr>
            <w:tcW w:w="982" w:type="dxa"/>
            <w:tcBorders>
              <w:top w:val="nil"/>
              <w:left w:val="nil"/>
              <w:bottom w:val="single" w:sz="4"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0,2%</w:t>
            </w:r>
          </w:p>
        </w:tc>
      </w:tr>
      <w:tr>
        <w:trPr>
          <w:trHeight w:val="290"/>
        </w:trPr>
        <w:tc>
          <w:tcPr>
            <w:tcW w:w="580" w:type="dxa"/>
            <w:tcBorders>
              <w:top w:val="nil"/>
              <w:left w:val="single" w:sz="8" w:space="0" w:color="auto"/>
              <w:bottom w:val="single" w:sz="4"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MT</w:t>
            </w:r>
          </w:p>
        </w:tc>
        <w:tc>
          <w:tcPr>
            <w:tcW w:w="12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26.419</w:t>
            </w:r>
          </w:p>
        </w:tc>
        <w:tc>
          <w:tcPr>
            <w:tcW w:w="1114"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2.196</w:t>
            </w:r>
          </w:p>
        </w:tc>
        <w:tc>
          <w:tcPr>
            <w:tcW w:w="91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399</w:t>
            </w:r>
          </w:p>
        </w:tc>
        <w:tc>
          <w:tcPr>
            <w:tcW w:w="78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62</w:t>
            </w:r>
          </w:p>
        </w:tc>
        <w:tc>
          <w:tcPr>
            <w:tcW w:w="1247" w:type="dxa"/>
            <w:tcBorders>
              <w:top w:val="nil"/>
              <w:left w:val="nil"/>
              <w:bottom w:val="single" w:sz="4"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28.615</w:t>
            </w:r>
          </w:p>
        </w:tc>
        <w:tc>
          <w:tcPr>
            <w:tcW w:w="1082"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7,7%</w:t>
            </w:r>
          </w:p>
        </w:tc>
        <w:tc>
          <w:tcPr>
            <w:tcW w:w="87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1,4%</w:t>
            </w:r>
          </w:p>
        </w:tc>
        <w:tc>
          <w:tcPr>
            <w:tcW w:w="982" w:type="dxa"/>
            <w:tcBorders>
              <w:top w:val="nil"/>
              <w:left w:val="nil"/>
              <w:bottom w:val="single" w:sz="4"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0,2%</w:t>
            </w:r>
          </w:p>
        </w:tc>
      </w:tr>
      <w:tr>
        <w:trPr>
          <w:trHeight w:val="290"/>
        </w:trPr>
        <w:tc>
          <w:tcPr>
            <w:tcW w:w="580" w:type="dxa"/>
            <w:tcBorders>
              <w:top w:val="nil"/>
              <w:left w:val="single" w:sz="8" w:space="0" w:color="auto"/>
              <w:bottom w:val="single" w:sz="4"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NL</w:t>
            </w:r>
          </w:p>
        </w:tc>
        <w:tc>
          <w:tcPr>
            <w:tcW w:w="12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1.108.718</w:t>
            </w:r>
          </w:p>
        </w:tc>
        <w:tc>
          <w:tcPr>
            <w:tcW w:w="1114"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51.297</w:t>
            </w:r>
          </w:p>
        </w:tc>
        <w:tc>
          <w:tcPr>
            <w:tcW w:w="91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10.245</w:t>
            </w:r>
          </w:p>
        </w:tc>
        <w:tc>
          <w:tcPr>
            <w:tcW w:w="78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1.639</w:t>
            </w:r>
          </w:p>
        </w:tc>
        <w:tc>
          <w:tcPr>
            <w:tcW w:w="1247" w:type="dxa"/>
            <w:tcBorders>
              <w:top w:val="nil"/>
              <w:left w:val="nil"/>
              <w:bottom w:val="single" w:sz="4"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1.160.015</w:t>
            </w:r>
          </w:p>
        </w:tc>
        <w:tc>
          <w:tcPr>
            <w:tcW w:w="1082"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4,4%</w:t>
            </w:r>
          </w:p>
        </w:tc>
        <w:tc>
          <w:tcPr>
            <w:tcW w:w="87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0,9%</w:t>
            </w:r>
          </w:p>
        </w:tc>
        <w:tc>
          <w:tcPr>
            <w:tcW w:w="982" w:type="dxa"/>
            <w:tcBorders>
              <w:top w:val="nil"/>
              <w:left w:val="nil"/>
              <w:bottom w:val="single" w:sz="4"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0,1%</w:t>
            </w:r>
          </w:p>
        </w:tc>
      </w:tr>
      <w:tr>
        <w:trPr>
          <w:trHeight w:val="290"/>
        </w:trPr>
        <w:tc>
          <w:tcPr>
            <w:tcW w:w="580" w:type="dxa"/>
            <w:tcBorders>
              <w:top w:val="nil"/>
              <w:left w:val="single" w:sz="8" w:space="0" w:color="auto"/>
              <w:bottom w:val="single" w:sz="4"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AT</w:t>
            </w:r>
          </w:p>
        </w:tc>
        <w:tc>
          <w:tcPr>
            <w:tcW w:w="12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289.874</w:t>
            </w:r>
          </w:p>
        </w:tc>
        <w:tc>
          <w:tcPr>
            <w:tcW w:w="1114"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42.881</w:t>
            </w:r>
          </w:p>
        </w:tc>
        <w:tc>
          <w:tcPr>
            <w:tcW w:w="91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6.551</w:t>
            </w:r>
          </w:p>
        </w:tc>
        <w:tc>
          <w:tcPr>
            <w:tcW w:w="78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1.127</w:t>
            </w:r>
          </w:p>
        </w:tc>
        <w:tc>
          <w:tcPr>
            <w:tcW w:w="1247" w:type="dxa"/>
            <w:tcBorders>
              <w:top w:val="nil"/>
              <w:left w:val="nil"/>
              <w:bottom w:val="single" w:sz="4"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332.755</w:t>
            </w:r>
          </w:p>
        </w:tc>
        <w:tc>
          <w:tcPr>
            <w:tcW w:w="1082"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12,9%</w:t>
            </w:r>
          </w:p>
        </w:tc>
        <w:tc>
          <w:tcPr>
            <w:tcW w:w="87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2,0%</w:t>
            </w:r>
          </w:p>
        </w:tc>
        <w:tc>
          <w:tcPr>
            <w:tcW w:w="982" w:type="dxa"/>
            <w:tcBorders>
              <w:top w:val="nil"/>
              <w:left w:val="nil"/>
              <w:bottom w:val="single" w:sz="4"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0,3%</w:t>
            </w:r>
          </w:p>
        </w:tc>
      </w:tr>
      <w:tr>
        <w:trPr>
          <w:trHeight w:val="290"/>
        </w:trPr>
        <w:tc>
          <w:tcPr>
            <w:tcW w:w="580" w:type="dxa"/>
            <w:tcBorders>
              <w:top w:val="nil"/>
              <w:left w:val="single" w:sz="8" w:space="0" w:color="auto"/>
              <w:bottom w:val="single" w:sz="4"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PL</w:t>
            </w:r>
          </w:p>
        </w:tc>
        <w:tc>
          <w:tcPr>
            <w:tcW w:w="12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1.672.365</w:t>
            </w:r>
          </w:p>
        </w:tc>
        <w:tc>
          <w:tcPr>
            <w:tcW w:w="1114"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71.920</w:t>
            </w:r>
          </w:p>
        </w:tc>
        <w:tc>
          <w:tcPr>
            <w:tcW w:w="91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18.965</w:t>
            </w:r>
          </w:p>
        </w:tc>
        <w:tc>
          <w:tcPr>
            <w:tcW w:w="78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3.464</w:t>
            </w:r>
          </w:p>
        </w:tc>
        <w:tc>
          <w:tcPr>
            <w:tcW w:w="1247" w:type="dxa"/>
            <w:tcBorders>
              <w:top w:val="nil"/>
              <w:left w:val="nil"/>
              <w:bottom w:val="single" w:sz="4"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1.744.285</w:t>
            </w:r>
          </w:p>
        </w:tc>
        <w:tc>
          <w:tcPr>
            <w:tcW w:w="1082"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4,1%</w:t>
            </w:r>
          </w:p>
        </w:tc>
        <w:tc>
          <w:tcPr>
            <w:tcW w:w="87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1,1%</w:t>
            </w:r>
          </w:p>
        </w:tc>
        <w:tc>
          <w:tcPr>
            <w:tcW w:w="982" w:type="dxa"/>
            <w:tcBorders>
              <w:top w:val="nil"/>
              <w:left w:val="nil"/>
              <w:bottom w:val="single" w:sz="4"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0,2%</w:t>
            </w:r>
          </w:p>
        </w:tc>
      </w:tr>
      <w:tr>
        <w:trPr>
          <w:trHeight w:val="290"/>
        </w:trPr>
        <w:tc>
          <w:tcPr>
            <w:tcW w:w="580" w:type="dxa"/>
            <w:tcBorders>
              <w:top w:val="nil"/>
              <w:left w:val="single" w:sz="8" w:space="0" w:color="auto"/>
              <w:bottom w:val="single" w:sz="4"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PT</w:t>
            </w:r>
          </w:p>
        </w:tc>
        <w:tc>
          <w:tcPr>
            <w:tcW w:w="12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826.908</w:t>
            </w:r>
          </w:p>
        </w:tc>
        <w:tc>
          <w:tcPr>
            <w:tcW w:w="1114"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41.171</w:t>
            </w:r>
          </w:p>
        </w:tc>
        <w:tc>
          <w:tcPr>
            <w:tcW w:w="91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6.365</w:t>
            </w:r>
          </w:p>
        </w:tc>
        <w:tc>
          <w:tcPr>
            <w:tcW w:w="78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883</w:t>
            </w:r>
          </w:p>
        </w:tc>
        <w:tc>
          <w:tcPr>
            <w:tcW w:w="1247" w:type="dxa"/>
            <w:tcBorders>
              <w:top w:val="nil"/>
              <w:left w:val="nil"/>
              <w:bottom w:val="single" w:sz="4"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868.079</w:t>
            </w:r>
          </w:p>
        </w:tc>
        <w:tc>
          <w:tcPr>
            <w:tcW w:w="1082"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4,7%</w:t>
            </w:r>
          </w:p>
        </w:tc>
        <w:tc>
          <w:tcPr>
            <w:tcW w:w="87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0,7%</w:t>
            </w:r>
          </w:p>
        </w:tc>
        <w:tc>
          <w:tcPr>
            <w:tcW w:w="982" w:type="dxa"/>
            <w:tcBorders>
              <w:top w:val="nil"/>
              <w:left w:val="nil"/>
              <w:bottom w:val="single" w:sz="4"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0,1%</w:t>
            </w:r>
          </w:p>
        </w:tc>
      </w:tr>
      <w:tr>
        <w:trPr>
          <w:trHeight w:val="290"/>
        </w:trPr>
        <w:tc>
          <w:tcPr>
            <w:tcW w:w="580" w:type="dxa"/>
            <w:tcBorders>
              <w:top w:val="nil"/>
              <w:left w:val="single" w:sz="8" w:space="0" w:color="auto"/>
              <w:bottom w:val="single" w:sz="4"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RO</w:t>
            </w:r>
          </w:p>
        </w:tc>
        <w:tc>
          <w:tcPr>
            <w:tcW w:w="12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431.910</w:t>
            </w:r>
          </w:p>
        </w:tc>
        <w:tc>
          <w:tcPr>
            <w:tcW w:w="1114"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53.305</w:t>
            </w:r>
          </w:p>
        </w:tc>
        <w:tc>
          <w:tcPr>
            <w:tcW w:w="91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9.776</w:t>
            </w:r>
          </w:p>
        </w:tc>
        <w:tc>
          <w:tcPr>
            <w:tcW w:w="78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1.663</w:t>
            </w:r>
          </w:p>
        </w:tc>
        <w:tc>
          <w:tcPr>
            <w:tcW w:w="1247" w:type="dxa"/>
            <w:tcBorders>
              <w:top w:val="nil"/>
              <w:left w:val="nil"/>
              <w:bottom w:val="single" w:sz="4"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485.215</w:t>
            </w:r>
          </w:p>
        </w:tc>
        <w:tc>
          <w:tcPr>
            <w:tcW w:w="1082"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11,0%</w:t>
            </w:r>
          </w:p>
        </w:tc>
        <w:tc>
          <w:tcPr>
            <w:tcW w:w="87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2,0%</w:t>
            </w:r>
          </w:p>
        </w:tc>
        <w:tc>
          <w:tcPr>
            <w:tcW w:w="982" w:type="dxa"/>
            <w:tcBorders>
              <w:top w:val="nil"/>
              <w:left w:val="nil"/>
              <w:bottom w:val="single" w:sz="4"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0,3%</w:t>
            </w:r>
          </w:p>
        </w:tc>
      </w:tr>
      <w:tr>
        <w:trPr>
          <w:trHeight w:val="290"/>
        </w:trPr>
        <w:tc>
          <w:tcPr>
            <w:tcW w:w="580" w:type="dxa"/>
            <w:tcBorders>
              <w:top w:val="nil"/>
              <w:left w:val="single" w:sz="8" w:space="0" w:color="auto"/>
              <w:bottom w:val="single" w:sz="4"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SI</w:t>
            </w:r>
          </w:p>
        </w:tc>
        <w:tc>
          <w:tcPr>
            <w:tcW w:w="12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134.614</w:t>
            </w:r>
          </w:p>
        </w:tc>
        <w:tc>
          <w:tcPr>
            <w:tcW w:w="1114"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7.539</w:t>
            </w:r>
          </w:p>
        </w:tc>
        <w:tc>
          <w:tcPr>
            <w:tcW w:w="91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1.415</w:t>
            </w:r>
          </w:p>
        </w:tc>
        <w:tc>
          <w:tcPr>
            <w:tcW w:w="78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233</w:t>
            </w:r>
          </w:p>
        </w:tc>
        <w:tc>
          <w:tcPr>
            <w:tcW w:w="1247" w:type="dxa"/>
            <w:tcBorders>
              <w:top w:val="nil"/>
              <w:left w:val="nil"/>
              <w:bottom w:val="single" w:sz="4"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142.153</w:t>
            </w:r>
          </w:p>
        </w:tc>
        <w:tc>
          <w:tcPr>
            <w:tcW w:w="1082"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5,3%</w:t>
            </w:r>
          </w:p>
        </w:tc>
        <w:tc>
          <w:tcPr>
            <w:tcW w:w="87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1,0%</w:t>
            </w:r>
          </w:p>
        </w:tc>
        <w:tc>
          <w:tcPr>
            <w:tcW w:w="982" w:type="dxa"/>
            <w:tcBorders>
              <w:top w:val="nil"/>
              <w:left w:val="nil"/>
              <w:bottom w:val="single" w:sz="4"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0,2%</w:t>
            </w:r>
          </w:p>
        </w:tc>
      </w:tr>
      <w:tr>
        <w:trPr>
          <w:trHeight w:val="290"/>
        </w:trPr>
        <w:tc>
          <w:tcPr>
            <w:tcW w:w="580" w:type="dxa"/>
            <w:tcBorders>
              <w:top w:val="nil"/>
              <w:left w:val="single" w:sz="8" w:space="0" w:color="auto"/>
              <w:bottom w:val="single" w:sz="4"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SK</w:t>
            </w:r>
          </w:p>
        </w:tc>
        <w:tc>
          <w:tcPr>
            <w:tcW w:w="12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457.439</w:t>
            </w:r>
          </w:p>
        </w:tc>
        <w:tc>
          <w:tcPr>
            <w:tcW w:w="1114"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14.252</w:t>
            </w:r>
          </w:p>
        </w:tc>
        <w:tc>
          <w:tcPr>
            <w:tcW w:w="91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3.098</w:t>
            </w:r>
          </w:p>
        </w:tc>
        <w:tc>
          <w:tcPr>
            <w:tcW w:w="78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581</w:t>
            </w:r>
          </w:p>
        </w:tc>
        <w:tc>
          <w:tcPr>
            <w:tcW w:w="1247" w:type="dxa"/>
            <w:tcBorders>
              <w:top w:val="nil"/>
              <w:left w:val="nil"/>
              <w:bottom w:val="single" w:sz="4"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471.691</w:t>
            </w:r>
          </w:p>
        </w:tc>
        <w:tc>
          <w:tcPr>
            <w:tcW w:w="1082"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3,0%</w:t>
            </w:r>
          </w:p>
        </w:tc>
        <w:tc>
          <w:tcPr>
            <w:tcW w:w="87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0,7%</w:t>
            </w:r>
          </w:p>
        </w:tc>
        <w:tc>
          <w:tcPr>
            <w:tcW w:w="982" w:type="dxa"/>
            <w:tcBorders>
              <w:top w:val="nil"/>
              <w:left w:val="nil"/>
              <w:bottom w:val="single" w:sz="4"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0,1%</w:t>
            </w:r>
          </w:p>
        </w:tc>
      </w:tr>
      <w:tr>
        <w:trPr>
          <w:trHeight w:val="290"/>
        </w:trPr>
        <w:tc>
          <w:tcPr>
            <w:tcW w:w="580" w:type="dxa"/>
            <w:tcBorders>
              <w:top w:val="nil"/>
              <w:left w:val="single" w:sz="8" w:space="0" w:color="auto"/>
              <w:bottom w:val="single" w:sz="4"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FI</w:t>
            </w:r>
          </w:p>
        </w:tc>
        <w:tc>
          <w:tcPr>
            <w:tcW w:w="12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210.392</w:t>
            </w:r>
          </w:p>
        </w:tc>
        <w:tc>
          <w:tcPr>
            <w:tcW w:w="1114"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20.487</w:t>
            </w:r>
          </w:p>
        </w:tc>
        <w:tc>
          <w:tcPr>
            <w:tcW w:w="91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3.542</w:t>
            </w:r>
          </w:p>
        </w:tc>
        <w:tc>
          <w:tcPr>
            <w:tcW w:w="78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596</w:t>
            </w:r>
          </w:p>
        </w:tc>
        <w:tc>
          <w:tcPr>
            <w:tcW w:w="1247" w:type="dxa"/>
            <w:tcBorders>
              <w:top w:val="nil"/>
              <w:left w:val="nil"/>
              <w:bottom w:val="single" w:sz="4"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230.879</w:t>
            </w:r>
          </w:p>
        </w:tc>
        <w:tc>
          <w:tcPr>
            <w:tcW w:w="1082"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8,9%</w:t>
            </w:r>
          </w:p>
        </w:tc>
        <w:tc>
          <w:tcPr>
            <w:tcW w:w="87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1,5%</w:t>
            </w:r>
          </w:p>
        </w:tc>
        <w:tc>
          <w:tcPr>
            <w:tcW w:w="982" w:type="dxa"/>
            <w:tcBorders>
              <w:top w:val="nil"/>
              <w:left w:val="nil"/>
              <w:bottom w:val="single" w:sz="4"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0,3%</w:t>
            </w:r>
          </w:p>
        </w:tc>
      </w:tr>
      <w:tr>
        <w:trPr>
          <w:trHeight w:val="300"/>
        </w:trPr>
        <w:tc>
          <w:tcPr>
            <w:tcW w:w="580" w:type="dxa"/>
            <w:tcBorders>
              <w:top w:val="nil"/>
              <w:left w:val="single" w:sz="8" w:space="0" w:color="auto"/>
              <w:bottom w:val="single" w:sz="4"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SE</w:t>
            </w:r>
          </w:p>
        </w:tc>
        <w:tc>
          <w:tcPr>
            <w:tcW w:w="12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673.255</w:t>
            </w:r>
          </w:p>
        </w:tc>
        <w:tc>
          <w:tcPr>
            <w:tcW w:w="1114"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38.889</w:t>
            </w:r>
          </w:p>
        </w:tc>
        <w:tc>
          <w:tcPr>
            <w:tcW w:w="91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6.558</w:t>
            </w:r>
          </w:p>
        </w:tc>
        <w:tc>
          <w:tcPr>
            <w:tcW w:w="78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1.031</w:t>
            </w:r>
          </w:p>
        </w:tc>
        <w:tc>
          <w:tcPr>
            <w:tcW w:w="1247" w:type="dxa"/>
            <w:tcBorders>
              <w:top w:val="nil"/>
              <w:left w:val="nil"/>
              <w:bottom w:val="single" w:sz="4"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712.144</w:t>
            </w:r>
          </w:p>
        </w:tc>
        <w:tc>
          <w:tcPr>
            <w:tcW w:w="1082"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5,5%</w:t>
            </w:r>
          </w:p>
        </w:tc>
        <w:tc>
          <w:tcPr>
            <w:tcW w:w="87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0,9%</w:t>
            </w:r>
          </w:p>
        </w:tc>
        <w:tc>
          <w:tcPr>
            <w:tcW w:w="982" w:type="dxa"/>
            <w:tcBorders>
              <w:top w:val="nil"/>
              <w:left w:val="nil"/>
              <w:bottom w:val="single" w:sz="4"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0,1%</w:t>
            </w:r>
          </w:p>
        </w:tc>
      </w:tr>
      <w:tr>
        <w:trPr>
          <w:trHeight w:val="300"/>
        </w:trPr>
        <w:tc>
          <w:tcPr>
            <w:tcW w:w="580" w:type="dxa"/>
            <w:tcBorders>
              <w:top w:val="nil"/>
              <w:left w:val="single" w:sz="8" w:space="0" w:color="auto"/>
              <w:bottom w:val="single" w:sz="8"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UK</w:t>
            </w:r>
          </w:p>
        </w:tc>
        <w:tc>
          <w:tcPr>
            <w:tcW w:w="1247" w:type="dxa"/>
            <w:tcBorders>
              <w:top w:val="nil"/>
              <w:left w:val="nil"/>
              <w:bottom w:val="single" w:sz="8"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1.931.336</w:t>
            </w:r>
          </w:p>
        </w:tc>
        <w:tc>
          <w:tcPr>
            <w:tcW w:w="1114" w:type="dxa"/>
            <w:tcBorders>
              <w:top w:val="nil"/>
              <w:left w:val="nil"/>
              <w:bottom w:val="single" w:sz="8"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212.786</w:t>
            </w:r>
          </w:p>
        </w:tc>
        <w:tc>
          <w:tcPr>
            <w:tcW w:w="913" w:type="dxa"/>
            <w:tcBorders>
              <w:top w:val="nil"/>
              <w:left w:val="nil"/>
              <w:bottom w:val="single" w:sz="8"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34.777</w:t>
            </w:r>
          </w:p>
        </w:tc>
        <w:tc>
          <w:tcPr>
            <w:tcW w:w="780" w:type="dxa"/>
            <w:tcBorders>
              <w:top w:val="nil"/>
              <w:left w:val="nil"/>
              <w:bottom w:val="single" w:sz="8"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6.319</w:t>
            </w:r>
          </w:p>
        </w:tc>
        <w:tc>
          <w:tcPr>
            <w:tcW w:w="1247" w:type="dxa"/>
            <w:tcBorders>
              <w:top w:val="nil"/>
              <w:left w:val="nil"/>
              <w:bottom w:val="single" w:sz="8"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2.144.122</w:t>
            </w:r>
          </w:p>
        </w:tc>
        <w:tc>
          <w:tcPr>
            <w:tcW w:w="1082" w:type="dxa"/>
            <w:tcBorders>
              <w:top w:val="nil"/>
              <w:left w:val="nil"/>
              <w:bottom w:val="single" w:sz="8"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9,9%</w:t>
            </w:r>
          </w:p>
        </w:tc>
        <w:tc>
          <w:tcPr>
            <w:tcW w:w="876" w:type="dxa"/>
            <w:tcBorders>
              <w:top w:val="nil"/>
              <w:left w:val="nil"/>
              <w:bottom w:val="single" w:sz="8"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1,6%</w:t>
            </w:r>
          </w:p>
        </w:tc>
        <w:tc>
          <w:tcPr>
            <w:tcW w:w="982" w:type="dxa"/>
            <w:tcBorders>
              <w:top w:val="nil"/>
              <w:left w:val="nil"/>
              <w:bottom w:val="single" w:sz="8"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0,3%</w:t>
            </w:r>
          </w:p>
        </w:tc>
      </w:tr>
    </w:tbl>
    <w:p>
      <w:pPr>
        <w:ind w:right="-964"/>
        <w:jc w:val="both"/>
        <w:rPr>
          <w:rFonts w:ascii="Times New Roman" w:hAnsi="Times New Roman" w:cs="Times New Roman"/>
          <w:i/>
          <w:noProof/>
          <w:sz w:val="18"/>
          <w:szCs w:val="18"/>
        </w:rPr>
      </w:pPr>
      <w:r>
        <w:rPr>
          <w:rFonts w:ascii="Times New Roman" w:hAnsi="Times New Roman" w:cs="Times New Roman"/>
          <w:i/>
          <w:iCs/>
          <w:noProof/>
          <w:sz w:val="18"/>
          <w:szCs w:val="18"/>
        </w:rPr>
        <w:t>Source: Own calculations based on Eurostat - Annual enterprise statistics by size class for special aggregates of activities (NACE Rev. 2) [sbs_sc_sca_r2] – 2017 or latest available or estimate</w:t>
      </w:r>
    </w:p>
    <w:p>
      <w:pPr>
        <w:rPr>
          <w:rFonts w:ascii="Times New Roman" w:hAnsi="Times New Roman" w:cs="Times New Roman"/>
          <w:i/>
          <w:noProof/>
          <w:sz w:val="24"/>
          <w:szCs w:val="24"/>
        </w:rPr>
      </w:pPr>
      <w:r>
        <w:rPr>
          <w:rFonts w:ascii="Times New Roman" w:hAnsi="Times New Roman" w:cs="Times New Roman"/>
          <w:i/>
          <w:noProof/>
          <w:sz w:val="24"/>
          <w:szCs w:val="24"/>
        </w:rPr>
        <w:br w:type="page"/>
      </w:r>
    </w:p>
    <w:p>
      <w:pPr>
        <w:rPr>
          <w:rFonts w:ascii="Times New Roman" w:hAnsi="Times New Roman" w:cs="Times New Roman"/>
          <w:i/>
          <w:noProof/>
          <w:sz w:val="24"/>
          <w:szCs w:val="24"/>
        </w:rPr>
      </w:pPr>
    </w:p>
    <w:tbl>
      <w:tblPr>
        <w:tblW w:w="8821" w:type="dxa"/>
        <w:tblLook w:val="04A0" w:firstRow="1" w:lastRow="0" w:firstColumn="1" w:lastColumn="0" w:noHBand="0" w:noVBand="1"/>
      </w:tblPr>
      <w:tblGrid>
        <w:gridCol w:w="728"/>
        <w:gridCol w:w="1024"/>
        <w:gridCol w:w="1122"/>
        <w:gridCol w:w="1024"/>
        <w:gridCol w:w="1024"/>
        <w:gridCol w:w="1122"/>
        <w:gridCol w:w="898"/>
        <w:gridCol w:w="897"/>
        <w:gridCol w:w="1138"/>
      </w:tblGrid>
      <w:tr>
        <w:trPr>
          <w:trHeight w:val="280"/>
        </w:trPr>
        <w:tc>
          <w:tcPr>
            <w:tcW w:w="580" w:type="dxa"/>
            <w:tcBorders>
              <w:top w:val="single" w:sz="8" w:space="0" w:color="auto"/>
              <w:left w:val="single" w:sz="8" w:space="0" w:color="auto"/>
              <w:bottom w:val="single" w:sz="4"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 </w:t>
            </w:r>
          </w:p>
        </w:tc>
        <w:tc>
          <w:tcPr>
            <w:tcW w:w="5301" w:type="dxa"/>
            <w:gridSpan w:val="5"/>
            <w:tcBorders>
              <w:top w:val="single" w:sz="8" w:space="0" w:color="auto"/>
              <w:left w:val="nil"/>
              <w:bottom w:val="single" w:sz="4" w:space="0" w:color="auto"/>
              <w:right w:val="single" w:sz="8" w:space="0" w:color="000000" w:themeColor="text1"/>
            </w:tcBorders>
            <w:shd w:val="clear" w:color="auto" w:fill="5B9BD5"/>
            <w:noWrap/>
            <w:vAlign w:val="bottom"/>
            <w:hideMark/>
          </w:tcPr>
          <w:p>
            <w:pPr>
              <w:spacing w:after="0" w:line="240" w:lineRule="auto"/>
              <w:jc w:val="center"/>
              <w:rPr>
                <w:rFonts w:ascii="Times New Roman" w:eastAsia="Times New Roman" w:hAnsi="Times New Roman" w:cs="Times New Roman"/>
                <w:b/>
                <w:noProof/>
                <w:color w:val="FFFFFF"/>
                <w:sz w:val="20"/>
                <w:szCs w:val="20"/>
                <w:lang w:eastAsia="en-GB"/>
              </w:rPr>
            </w:pPr>
            <w:r>
              <w:rPr>
                <w:rFonts w:ascii="Times New Roman" w:eastAsia="Times New Roman" w:hAnsi="Times New Roman" w:cs="Times New Roman"/>
                <w:b/>
                <w:bCs/>
                <w:noProof/>
                <w:color w:val="FFFFFF"/>
                <w:sz w:val="20"/>
                <w:szCs w:val="20"/>
                <w:lang w:eastAsia="en-GB"/>
              </w:rPr>
              <w:t>Persons employed - number (by size of company)</w:t>
            </w:r>
          </w:p>
        </w:tc>
        <w:tc>
          <w:tcPr>
            <w:tcW w:w="2940" w:type="dxa"/>
            <w:gridSpan w:val="3"/>
            <w:tcBorders>
              <w:top w:val="single" w:sz="8" w:space="0" w:color="auto"/>
              <w:left w:val="nil"/>
              <w:bottom w:val="single" w:sz="4" w:space="0" w:color="auto"/>
              <w:right w:val="single" w:sz="8" w:space="0" w:color="000000" w:themeColor="text1"/>
            </w:tcBorders>
            <w:shd w:val="clear" w:color="auto" w:fill="5B9BD5"/>
            <w:noWrap/>
            <w:vAlign w:val="bottom"/>
            <w:hideMark/>
          </w:tcPr>
          <w:p>
            <w:pPr>
              <w:spacing w:after="0" w:line="240" w:lineRule="auto"/>
              <w:jc w:val="center"/>
              <w:rPr>
                <w:rFonts w:ascii="Times New Roman" w:eastAsia="Times New Roman" w:hAnsi="Times New Roman" w:cs="Times New Roman"/>
                <w:b/>
                <w:noProof/>
                <w:color w:val="FFFFFF"/>
                <w:sz w:val="20"/>
                <w:szCs w:val="20"/>
                <w:lang w:eastAsia="en-GB"/>
              </w:rPr>
            </w:pPr>
            <w:r>
              <w:rPr>
                <w:rFonts w:ascii="Times New Roman" w:eastAsia="Times New Roman" w:hAnsi="Times New Roman" w:cs="Times New Roman"/>
                <w:b/>
                <w:bCs/>
                <w:noProof/>
                <w:color w:val="FFFFFF"/>
                <w:sz w:val="20"/>
                <w:szCs w:val="20"/>
                <w:lang w:eastAsia="en-GB"/>
              </w:rPr>
              <w:t>Employees coverage (by threshold)</w:t>
            </w:r>
          </w:p>
        </w:tc>
      </w:tr>
      <w:tr>
        <w:trPr>
          <w:trHeight w:val="290"/>
        </w:trPr>
        <w:tc>
          <w:tcPr>
            <w:tcW w:w="580" w:type="dxa"/>
            <w:tcBorders>
              <w:top w:val="nil"/>
              <w:left w:val="single" w:sz="8" w:space="0" w:color="auto"/>
              <w:bottom w:val="single" w:sz="8"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 </w:t>
            </w:r>
          </w:p>
        </w:tc>
        <w:tc>
          <w:tcPr>
            <w:tcW w:w="1017" w:type="dxa"/>
            <w:tcBorders>
              <w:top w:val="nil"/>
              <w:left w:val="nil"/>
              <w:bottom w:val="single" w:sz="8" w:space="0" w:color="auto"/>
              <w:right w:val="single" w:sz="4" w:space="0" w:color="auto"/>
            </w:tcBorders>
            <w:shd w:val="clear" w:color="auto" w:fill="5B9BD5"/>
            <w:noWrap/>
            <w:vAlign w:val="bottom"/>
            <w:hideMark/>
          </w:tcPr>
          <w:p>
            <w:pPr>
              <w:spacing w:after="0" w:line="240" w:lineRule="auto"/>
              <w:jc w:val="center"/>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0 to 9</w:t>
            </w:r>
          </w:p>
        </w:tc>
        <w:tc>
          <w:tcPr>
            <w:tcW w:w="1125" w:type="dxa"/>
            <w:tcBorders>
              <w:top w:val="nil"/>
              <w:left w:val="nil"/>
              <w:bottom w:val="single" w:sz="8" w:space="0" w:color="auto"/>
              <w:right w:val="single" w:sz="4" w:space="0" w:color="auto"/>
            </w:tcBorders>
            <w:shd w:val="clear" w:color="auto" w:fill="5B9BD5"/>
            <w:noWrap/>
            <w:vAlign w:val="bottom"/>
            <w:hideMark/>
          </w:tcPr>
          <w:p>
            <w:pPr>
              <w:spacing w:after="0" w:line="240" w:lineRule="auto"/>
              <w:jc w:val="center"/>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10+</w:t>
            </w:r>
          </w:p>
        </w:tc>
        <w:tc>
          <w:tcPr>
            <w:tcW w:w="1017" w:type="dxa"/>
            <w:tcBorders>
              <w:top w:val="nil"/>
              <w:left w:val="nil"/>
              <w:bottom w:val="single" w:sz="8" w:space="0" w:color="auto"/>
              <w:right w:val="single" w:sz="4" w:space="0" w:color="auto"/>
            </w:tcBorders>
            <w:shd w:val="clear" w:color="auto" w:fill="5B9BD5"/>
            <w:noWrap/>
            <w:vAlign w:val="bottom"/>
            <w:hideMark/>
          </w:tcPr>
          <w:p>
            <w:pPr>
              <w:spacing w:after="0" w:line="240" w:lineRule="auto"/>
              <w:jc w:val="center"/>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50+</w:t>
            </w:r>
          </w:p>
        </w:tc>
        <w:tc>
          <w:tcPr>
            <w:tcW w:w="1017" w:type="dxa"/>
            <w:tcBorders>
              <w:top w:val="nil"/>
              <w:left w:val="nil"/>
              <w:bottom w:val="single" w:sz="8" w:space="0" w:color="auto"/>
              <w:right w:val="single" w:sz="4" w:space="0" w:color="auto"/>
            </w:tcBorders>
            <w:shd w:val="clear" w:color="auto" w:fill="5B9BD5"/>
            <w:noWrap/>
            <w:vAlign w:val="bottom"/>
            <w:hideMark/>
          </w:tcPr>
          <w:p>
            <w:pPr>
              <w:spacing w:after="0" w:line="240" w:lineRule="auto"/>
              <w:jc w:val="center"/>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250+</w:t>
            </w:r>
          </w:p>
        </w:tc>
        <w:tc>
          <w:tcPr>
            <w:tcW w:w="1125" w:type="dxa"/>
            <w:tcBorders>
              <w:top w:val="nil"/>
              <w:left w:val="nil"/>
              <w:bottom w:val="single" w:sz="8" w:space="0" w:color="auto"/>
              <w:right w:val="single" w:sz="8" w:space="0" w:color="auto"/>
            </w:tcBorders>
            <w:shd w:val="clear" w:color="auto" w:fill="5B9BD5"/>
            <w:noWrap/>
            <w:vAlign w:val="bottom"/>
            <w:hideMark/>
          </w:tcPr>
          <w:p>
            <w:pPr>
              <w:spacing w:after="0" w:line="240" w:lineRule="auto"/>
              <w:jc w:val="center"/>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TOTAL</w:t>
            </w:r>
          </w:p>
        </w:tc>
        <w:tc>
          <w:tcPr>
            <w:tcW w:w="900" w:type="dxa"/>
            <w:tcBorders>
              <w:top w:val="nil"/>
              <w:left w:val="nil"/>
              <w:bottom w:val="single" w:sz="8" w:space="0" w:color="auto"/>
              <w:right w:val="single" w:sz="4" w:space="0" w:color="auto"/>
            </w:tcBorders>
            <w:shd w:val="clear" w:color="auto" w:fill="5B9BD5"/>
            <w:noWrap/>
            <w:vAlign w:val="bottom"/>
            <w:hideMark/>
          </w:tcPr>
          <w:p>
            <w:pPr>
              <w:spacing w:after="0" w:line="240" w:lineRule="auto"/>
              <w:jc w:val="center"/>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10+</w:t>
            </w:r>
          </w:p>
        </w:tc>
        <w:tc>
          <w:tcPr>
            <w:tcW w:w="899" w:type="dxa"/>
            <w:tcBorders>
              <w:top w:val="nil"/>
              <w:left w:val="nil"/>
              <w:bottom w:val="single" w:sz="8" w:space="0" w:color="auto"/>
              <w:right w:val="single" w:sz="4" w:space="0" w:color="auto"/>
            </w:tcBorders>
            <w:shd w:val="clear" w:color="auto" w:fill="5B9BD5"/>
            <w:noWrap/>
            <w:vAlign w:val="bottom"/>
            <w:hideMark/>
          </w:tcPr>
          <w:p>
            <w:pPr>
              <w:spacing w:after="0" w:line="240" w:lineRule="auto"/>
              <w:jc w:val="center"/>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50+</w:t>
            </w:r>
          </w:p>
        </w:tc>
        <w:tc>
          <w:tcPr>
            <w:tcW w:w="1141" w:type="dxa"/>
            <w:tcBorders>
              <w:top w:val="nil"/>
              <w:left w:val="nil"/>
              <w:bottom w:val="single" w:sz="8" w:space="0" w:color="auto"/>
              <w:right w:val="single" w:sz="8" w:space="0" w:color="auto"/>
            </w:tcBorders>
            <w:shd w:val="clear" w:color="auto" w:fill="5B9BD5"/>
            <w:noWrap/>
            <w:vAlign w:val="bottom"/>
            <w:hideMark/>
          </w:tcPr>
          <w:p>
            <w:pPr>
              <w:spacing w:after="0" w:line="240" w:lineRule="auto"/>
              <w:jc w:val="center"/>
              <w:rPr>
                <w:rFonts w:ascii="Times New Roman" w:eastAsia="Times New Roman" w:hAnsi="Times New Roman" w:cs="Times New Roman"/>
                <w:noProof/>
                <w:color w:val="FFFFFF"/>
                <w:sz w:val="20"/>
                <w:szCs w:val="20"/>
                <w:lang w:eastAsia="en-GB"/>
              </w:rPr>
            </w:pPr>
            <w:r>
              <w:rPr>
                <w:rFonts w:ascii="Times New Roman" w:eastAsia="Times New Roman" w:hAnsi="Times New Roman" w:cs="Times New Roman"/>
                <w:noProof/>
                <w:color w:val="FFFFFF"/>
                <w:sz w:val="20"/>
                <w:szCs w:val="20"/>
                <w:lang w:eastAsia="en-GB"/>
              </w:rPr>
              <w:t>250+</w:t>
            </w:r>
          </w:p>
        </w:tc>
      </w:tr>
      <w:tr>
        <w:trPr>
          <w:trHeight w:val="290"/>
        </w:trPr>
        <w:tc>
          <w:tcPr>
            <w:tcW w:w="580" w:type="dxa"/>
            <w:tcBorders>
              <w:top w:val="nil"/>
              <w:left w:val="single" w:sz="8" w:space="0" w:color="auto"/>
              <w:bottom w:val="single" w:sz="4"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EU28</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41.412.183</w:t>
            </w:r>
          </w:p>
        </w:tc>
        <w:tc>
          <w:tcPr>
            <w:tcW w:w="1125"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103.817.204</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74.895.363</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50.629.946</w:t>
            </w:r>
          </w:p>
        </w:tc>
        <w:tc>
          <w:tcPr>
            <w:tcW w:w="1125" w:type="dxa"/>
            <w:tcBorders>
              <w:top w:val="nil"/>
              <w:left w:val="nil"/>
              <w:bottom w:val="single" w:sz="4"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145.229.381</w:t>
            </w:r>
          </w:p>
        </w:tc>
        <w:tc>
          <w:tcPr>
            <w:tcW w:w="9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71%</w:t>
            </w:r>
          </w:p>
        </w:tc>
        <w:tc>
          <w:tcPr>
            <w:tcW w:w="89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52%</w:t>
            </w:r>
          </w:p>
        </w:tc>
        <w:tc>
          <w:tcPr>
            <w:tcW w:w="1141" w:type="dxa"/>
            <w:tcBorders>
              <w:top w:val="nil"/>
              <w:left w:val="nil"/>
              <w:bottom w:val="single" w:sz="4"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35%</w:t>
            </w:r>
          </w:p>
        </w:tc>
      </w:tr>
      <w:tr>
        <w:trPr>
          <w:trHeight w:val="300"/>
        </w:trPr>
        <w:tc>
          <w:tcPr>
            <w:tcW w:w="580" w:type="dxa"/>
            <w:tcBorders>
              <w:top w:val="nil"/>
              <w:left w:val="single" w:sz="8" w:space="0" w:color="auto"/>
              <w:bottom w:val="double" w:sz="6"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EU27</w:t>
            </w:r>
          </w:p>
        </w:tc>
        <w:tc>
          <w:tcPr>
            <w:tcW w:w="1017" w:type="dxa"/>
            <w:tcBorders>
              <w:top w:val="nil"/>
              <w:left w:val="nil"/>
              <w:bottom w:val="double" w:sz="6"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37.519.121</w:t>
            </w:r>
          </w:p>
        </w:tc>
        <w:tc>
          <w:tcPr>
            <w:tcW w:w="1125" w:type="dxa"/>
            <w:tcBorders>
              <w:top w:val="nil"/>
              <w:left w:val="nil"/>
              <w:bottom w:val="double" w:sz="6"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87.774.384</w:t>
            </w:r>
          </w:p>
        </w:tc>
        <w:tc>
          <w:tcPr>
            <w:tcW w:w="1017" w:type="dxa"/>
            <w:tcBorders>
              <w:top w:val="nil"/>
              <w:left w:val="nil"/>
              <w:bottom w:val="double" w:sz="6"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62.599.778</w:t>
            </w:r>
          </w:p>
        </w:tc>
        <w:tc>
          <w:tcPr>
            <w:tcW w:w="1017" w:type="dxa"/>
            <w:tcBorders>
              <w:top w:val="nil"/>
              <w:left w:val="nil"/>
              <w:bottom w:val="double" w:sz="6"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41.372.323</w:t>
            </w:r>
          </w:p>
        </w:tc>
        <w:tc>
          <w:tcPr>
            <w:tcW w:w="1125" w:type="dxa"/>
            <w:tcBorders>
              <w:top w:val="nil"/>
              <w:left w:val="nil"/>
              <w:bottom w:val="double" w:sz="6"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125.293.500</w:t>
            </w:r>
          </w:p>
        </w:tc>
        <w:tc>
          <w:tcPr>
            <w:tcW w:w="900" w:type="dxa"/>
            <w:tcBorders>
              <w:top w:val="nil"/>
              <w:left w:val="nil"/>
              <w:bottom w:val="double" w:sz="6"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70%</w:t>
            </w:r>
          </w:p>
        </w:tc>
        <w:tc>
          <w:tcPr>
            <w:tcW w:w="899" w:type="dxa"/>
            <w:tcBorders>
              <w:top w:val="nil"/>
              <w:left w:val="nil"/>
              <w:bottom w:val="double" w:sz="6"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50%</w:t>
            </w:r>
          </w:p>
        </w:tc>
        <w:tc>
          <w:tcPr>
            <w:tcW w:w="1141" w:type="dxa"/>
            <w:tcBorders>
              <w:top w:val="nil"/>
              <w:left w:val="nil"/>
              <w:bottom w:val="double" w:sz="6"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33%</w:t>
            </w:r>
          </w:p>
        </w:tc>
      </w:tr>
      <w:tr>
        <w:trPr>
          <w:trHeight w:val="300"/>
        </w:trPr>
        <w:tc>
          <w:tcPr>
            <w:tcW w:w="580" w:type="dxa"/>
            <w:tcBorders>
              <w:top w:val="nil"/>
              <w:left w:val="single" w:sz="8" w:space="0" w:color="auto"/>
              <w:bottom w:val="single" w:sz="4"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BE</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990.906</w:t>
            </w:r>
          </w:p>
        </w:tc>
        <w:tc>
          <w:tcPr>
            <w:tcW w:w="1125"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1.881.042</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1.335.604</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904.881</w:t>
            </w:r>
          </w:p>
        </w:tc>
        <w:tc>
          <w:tcPr>
            <w:tcW w:w="1125" w:type="dxa"/>
            <w:tcBorders>
              <w:top w:val="nil"/>
              <w:left w:val="nil"/>
              <w:bottom w:val="single" w:sz="4"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2.871.948</w:t>
            </w:r>
          </w:p>
        </w:tc>
        <w:tc>
          <w:tcPr>
            <w:tcW w:w="9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65%</w:t>
            </w:r>
          </w:p>
        </w:tc>
        <w:tc>
          <w:tcPr>
            <w:tcW w:w="89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47%</w:t>
            </w:r>
          </w:p>
        </w:tc>
        <w:tc>
          <w:tcPr>
            <w:tcW w:w="1141" w:type="dxa"/>
            <w:tcBorders>
              <w:top w:val="nil"/>
              <w:left w:val="nil"/>
              <w:bottom w:val="single" w:sz="4"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32%</w:t>
            </w:r>
          </w:p>
        </w:tc>
      </w:tr>
      <w:tr>
        <w:trPr>
          <w:trHeight w:val="290"/>
        </w:trPr>
        <w:tc>
          <w:tcPr>
            <w:tcW w:w="580" w:type="dxa"/>
            <w:tcBorders>
              <w:top w:val="nil"/>
              <w:left w:val="single" w:sz="8" w:space="0" w:color="auto"/>
              <w:bottom w:val="single" w:sz="4"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BG</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599.212</w:t>
            </w:r>
          </w:p>
        </w:tc>
        <w:tc>
          <w:tcPr>
            <w:tcW w:w="1125"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1.398.428</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929.386</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506.340</w:t>
            </w:r>
          </w:p>
        </w:tc>
        <w:tc>
          <w:tcPr>
            <w:tcW w:w="1125" w:type="dxa"/>
            <w:tcBorders>
              <w:top w:val="nil"/>
              <w:left w:val="nil"/>
              <w:bottom w:val="single" w:sz="4"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1.997.640</w:t>
            </w:r>
          </w:p>
        </w:tc>
        <w:tc>
          <w:tcPr>
            <w:tcW w:w="9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70%</w:t>
            </w:r>
          </w:p>
        </w:tc>
        <w:tc>
          <w:tcPr>
            <w:tcW w:w="89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47%</w:t>
            </w:r>
          </w:p>
        </w:tc>
        <w:tc>
          <w:tcPr>
            <w:tcW w:w="1141" w:type="dxa"/>
            <w:tcBorders>
              <w:top w:val="nil"/>
              <w:left w:val="nil"/>
              <w:bottom w:val="single" w:sz="4"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25%</w:t>
            </w:r>
          </w:p>
        </w:tc>
      </w:tr>
      <w:tr>
        <w:trPr>
          <w:trHeight w:val="290"/>
        </w:trPr>
        <w:tc>
          <w:tcPr>
            <w:tcW w:w="580" w:type="dxa"/>
            <w:tcBorders>
              <w:top w:val="nil"/>
              <w:left w:val="single" w:sz="8" w:space="0" w:color="auto"/>
              <w:bottom w:val="single" w:sz="4"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CZ</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1.135.839</w:t>
            </w:r>
          </w:p>
        </w:tc>
        <w:tc>
          <w:tcPr>
            <w:tcW w:w="1125"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2.586.951</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1.940.544</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1.234.241</w:t>
            </w:r>
          </w:p>
        </w:tc>
        <w:tc>
          <w:tcPr>
            <w:tcW w:w="1125" w:type="dxa"/>
            <w:tcBorders>
              <w:top w:val="nil"/>
              <w:left w:val="nil"/>
              <w:bottom w:val="single" w:sz="4"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3.722.789</w:t>
            </w:r>
          </w:p>
        </w:tc>
        <w:tc>
          <w:tcPr>
            <w:tcW w:w="9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69%</w:t>
            </w:r>
          </w:p>
        </w:tc>
        <w:tc>
          <w:tcPr>
            <w:tcW w:w="89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52%</w:t>
            </w:r>
          </w:p>
        </w:tc>
        <w:tc>
          <w:tcPr>
            <w:tcW w:w="1141" w:type="dxa"/>
            <w:tcBorders>
              <w:top w:val="nil"/>
              <w:left w:val="nil"/>
              <w:bottom w:val="single" w:sz="4"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33%</w:t>
            </w:r>
          </w:p>
        </w:tc>
      </w:tr>
      <w:tr>
        <w:trPr>
          <w:trHeight w:val="290"/>
        </w:trPr>
        <w:tc>
          <w:tcPr>
            <w:tcW w:w="580" w:type="dxa"/>
            <w:tcBorders>
              <w:top w:val="nil"/>
              <w:left w:val="single" w:sz="8" w:space="0" w:color="auto"/>
              <w:bottom w:val="single" w:sz="4"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DK</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343.768</w:t>
            </w:r>
          </w:p>
        </w:tc>
        <w:tc>
          <w:tcPr>
            <w:tcW w:w="1125"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1.405.825</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949.689</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595.198</w:t>
            </w:r>
          </w:p>
        </w:tc>
        <w:tc>
          <w:tcPr>
            <w:tcW w:w="1125" w:type="dxa"/>
            <w:tcBorders>
              <w:top w:val="nil"/>
              <w:left w:val="nil"/>
              <w:bottom w:val="single" w:sz="4"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1.749.593</w:t>
            </w:r>
          </w:p>
        </w:tc>
        <w:tc>
          <w:tcPr>
            <w:tcW w:w="9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80%</w:t>
            </w:r>
          </w:p>
        </w:tc>
        <w:tc>
          <w:tcPr>
            <w:tcW w:w="89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54%</w:t>
            </w:r>
          </w:p>
        </w:tc>
        <w:tc>
          <w:tcPr>
            <w:tcW w:w="1141" w:type="dxa"/>
            <w:tcBorders>
              <w:top w:val="nil"/>
              <w:left w:val="nil"/>
              <w:bottom w:val="single" w:sz="4"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34%</w:t>
            </w:r>
          </w:p>
        </w:tc>
      </w:tr>
      <w:tr>
        <w:trPr>
          <w:trHeight w:val="290"/>
        </w:trPr>
        <w:tc>
          <w:tcPr>
            <w:tcW w:w="580" w:type="dxa"/>
            <w:tcBorders>
              <w:top w:val="nil"/>
              <w:left w:val="single" w:sz="8" w:space="0" w:color="auto"/>
              <w:bottom w:val="single" w:sz="4"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DE</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5.684.119</w:t>
            </w:r>
          </w:p>
        </w:tc>
        <w:tc>
          <w:tcPr>
            <w:tcW w:w="1125"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24.084.212</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16.974.114</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10.955.838</w:t>
            </w:r>
          </w:p>
        </w:tc>
        <w:tc>
          <w:tcPr>
            <w:tcW w:w="1125" w:type="dxa"/>
            <w:tcBorders>
              <w:top w:val="nil"/>
              <w:left w:val="nil"/>
              <w:bottom w:val="single" w:sz="4"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29.768.330</w:t>
            </w:r>
          </w:p>
        </w:tc>
        <w:tc>
          <w:tcPr>
            <w:tcW w:w="9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81%</w:t>
            </w:r>
          </w:p>
        </w:tc>
        <w:tc>
          <w:tcPr>
            <w:tcW w:w="89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57%</w:t>
            </w:r>
          </w:p>
        </w:tc>
        <w:tc>
          <w:tcPr>
            <w:tcW w:w="1141" w:type="dxa"/>
            <w:tcBorders>
              <w:top w:val="nil"/>
              <w:left w:val="nil"/>
              <w:bottom w:val="single" w:sz="4"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37%</w:t>
            </w:r>
          </w:p>
        </w:tc>
      </w:tr>
      <w:tr>
        <w:trPr>
          <w:trHeight w:val="290"/>
        </w:trPr>
        <w:tc>
          <w:tcPr>
            <w:tcW w:w="580" w:type="dxa"/>
            <w:tcBorders>
              <w:top w:val="nil"/>
              <w:left w:val="single" w:sz="8" w:space="0" w:color="auto"/>
              <w:bottom w:val="single" w:sz="4"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EE</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138.956</w:t>
            </w:r>
          </w:p>
        </w:tc>
        <w:tc>
          <w:tcPr>
            <w:tcW w:w="1125"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293.859</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188.101</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91.412</w:t>
            </w:r>
          </w:p>
        </w:tc>
        <w:tc>
          <w:tcPr>
            <w:tcW w:w="1125" w:type="dxa"/>
            <w:tcBorders>
              <w:top w:val="nil"/>
              <w:left w:val="nil"/>
              <w:bottom w:val="single" w:sz="4"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432.815</w:t>
            </w:r>
          </w:p>
        </w:tc>
        <w:tc>
          <w:tcPr>
            <w:tcW w:w="9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68%</w:t>
            </w:r>
          </w:p>
        </w:tc>
        <w:tc>
          <w:tcPr>
            <w:tcW w:w="89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43%</w:t>
            </w:r>
          </w:p>
        </w:tc>
        <w:tc>
          <w:tcPr>
            <w:tcW w:w="1141" w:type="dxa"/>
            <w:tcBorders>
              <w:top w:val="nil"/>
              <w:left w:val="nil"/>
              <w:bottom w:val="single" w:sz="4"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21%</w:t>
            </w:r>
          </w:p>
        </w:tc>
      </w:tr>
      <w:tr>
        <w:trPr>
          <w:trHeight w:val="290"/>
        </w:trPr>
        <w:tc>
          <w:tcPr>
            <w:tcW w:w="580" w:type="dxa"/>
            <w:tcBorders>
              <w:top w:val="nil"/>
              <w:left w:val="single" w:sz="8" w:space="0" w:color="auto"/>
              <w:bottom w:val="single" w:sz="4"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IE</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404.280</w:t>
            </w:r>
          </w:p>
        </w:tc>
        <w:tc>
          <w:tcPr>
            <w:tcW w:w="1125"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1.052.111</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718.314</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424.577</w:t>
            </w:r>
          </w:p>
        </w:tc>
        <w:tc>
          <w:tcPr>
            <w:tcW w:w="1125" w:type="dxa"/>
            <w:tcBorders>
              <w:top w:val="nil"/>
              <w:left w:val="nil"/>
              <w:bottom w:val="single" w:sz="4"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1.456.391</w:t>
            </w:r>
          </w:p>
        </w:tc>
        <w:tc>
          <w:tcPr>
            <w:tcW w:w="9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72%</w:t>
            </w:r>
          </w:p>
        </w:tc>
        <w:tc>
          <w:tcPr>
            <w:tcW w:w="89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49%</w:t>
            </w:r>
          </w:p>
        </w:tc>
        <w:tc>
          <w:tcPr>
            <w:tcW w:w="1141" w:type="dxa"/>
            <w:tcBorders>
              <w:top w:val="nil"/>
              <w:left w:val="nil"/>
              <w:bottom w:val="single" w:sz="4"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29%</w:t>
            </w:r>
          </w:p>
        </w:tc>
      </w:tr>
      <w:tr>
        <w:trPr>
          <w:trHeight w:val="290"/>
        </w:trPr>
        <w:tc>
          <w:tcPr>
            <w:tcW w:w="580" w:type="dxa"/>
            <w:tcBorders>
              <w:top w:val="nil"/>
              <w:left w:val="single" w:sz="8" w:space="0" w:color="auto"/>
              <w:bottom w:val="single" w:sz="4"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EL</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1.137.741</w:t>
            </w:r>
          </w:p>
        </w:tc>
        <w:tc>
          <w:tcPr>
            <w:tcW w:w="1125"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960.782</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527.077</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287.972</w:t>
            </w:r>
          </w:p>
        </w:tc>
        <w:tc>
          <w:tcPr>
            <w:tcW w:w="1125" w:type="dxa"/>
            <w:tcBorders>
              <w:top w:val="nil"/>
              <w:left w:val="nil"/>
              <w:bottom w:val="single" w:sz="4"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2.343.485</w:t>
            </w:r>
          </w:p>
        </w:tc>
        <w:tc>
          <w:tcPr>
            <w:tcW w:w="9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41%</w:t>
            </w:r>
          </w:p>
        </w:tc>
        <w:tc>
          <w:tcPr>
            <w:tcW w:w="89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22%</w:t>
            </w:r>
          </w:p>
        </w:tc>
        <w:tc>
          <w:tcPr>
            <w:tcW w:w="1141" w:type="dxa"/>
            <w:tcBorders>
              <w:top w:val="nil"/>
              <w:left w:val="nil"/>
              <w:bottom w:val="single" w:sz="4"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12%</w:t>
            </w:r>
          </w:p>
        </w:tc>
      </w:tr>
      <w:tr>
        <w:trPr>
          <w:trHeight w:val="290"/>
        </w:trPr>
        <w:tc>
          <w:tcPr>
            <w:tcW w:w="580" w:type="dxa"/>
            <w:tcBorders>
              <w:top w:val="nil"/>
              <w:left w:val="single" w:sz="8" w:space="0" w:color="auto"/>
              <w:bottom w:val="single" w:sz="4"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ES</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4.569.295</w:t>
            </w:r>
          </w:p>
        </w:tc>
        <w:tc>
          <w:tcPr>
            <w:tcW w:w="1125"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7.535.644</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5.045.340</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3.412.672</w:t>
            </w:r>
          </w:p>
        </w:tc>
        <w:tc>
          <w:tcPr>
            <w:tcW w:w="1125" w:type="dxa"/>
            <w:tcBorders>
              <w:top w:val="nil"/>
              <w:left w:val="nil"/>
              <w:bottom w:val="single" w:sz="4"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12.104.938</w:t>
            </w:r>
          </w:p>
        </w:tc>
        <w:tc>
          <w:tcPr>
            <w:tcW w:w="9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62%</w:t>
            </w:r>
          </w:p>
        </w:tc>
        <w:tc>
          <w:tcPr>
            <w:tcW w:w="89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42%</w:t>
            </w:r>
          </w:p>
        </w:tc>
        <w:tc>
          <w:tcPr>
            <w:tcW w:w="1141" w:type="dxa"/>
            <w:tcBorders>
              <w:top w:val="nil"/>
              <w:left w:val="nil"/>
              <w:bottom w:val="single" w:sz="4"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28%</w:t>
            </w:r>
          </w:p>
        </w:tc>
      </w:tr>
      <w:tr>
        <w:trPr>
          <w:trHeight w:val="290"/>
        </w:trPr>
        <w:tc>
          <w:tcPr>
            <w:tcW w:w="580" w:type="dxa"/>
            <w:tcBorders>
              <w:top w:val="nil"/>
              <w:left w:val="single" w:sz="8" w:space="0" w:color="auto"/>
              <w:bottom w:val="single" w:sz="4"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FR</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4.010.604</w:t>
            </w:r>
          </w:p>
        </w:tc>
        <w:tc>
          <w:tcPr>
            <w:tcW w:w="1125"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11.711.646</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9.338.792</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7.331.573</w:t>
            </w:r>
          </w:p>
        </w:tc>
        <w:tc>
          <w:tcPr>
            <w:tcW w:w="1125" w:type="dxa"/>
            <w:tcBorders>
              <w:top w:val="nil"/>
              <w:left w:val="nil"/>
              <w:bottom w:val="single" w:sz="4"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15.722.250</w:t>
            </w:r>
          </w:p>
        </w:tc>
        <w:tc>
          <w:tcPr>
            <w:tcW w:w="9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74%</w:t>
            </w:r>
          </w:p>
        </w:tc>
        <w:tc>
          <w:tcPr>
            <w:tcW w:w="89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59%</w:t>
            </w:r>
          </w:p>
        </w:tc>
        <w:tc>
          <w:tcPr>
            <w:tcW w:w="1141" w:type="dxa"/>
            <w:tcBorders>
              <w:top w:val="nil"/>
              <w:left w:val="nil"/>
              <w:bottom w:val="single" w:sz="4"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47%</w:t>
            </w:r>
          </w:p>
        </w:tc>
      </w:tr>
      <w:tr>
        <w:trPr>
          <w:trHeight w:val="290"/>
        </w:trPr>
        <w:tc>
          <w:tcPr>
            <w:tcW w:w="580" w:type="dxa"/>
            <w:tcBorders>
              <w:top w:val="nil"/>
              <w:left w:val="single" w:sz="8" w:space="0" w:color="auto"/>
              <w:bottom w:val="single" w:sz="4"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HR</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304.326</w:t>
            </w:r>
          </w:p>
        </w:tc>
        <w:tc>
          <w:tcPr>
            <w:tcW w:w="1125"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720.158</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505.901</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316.868</w:t>
            </w:r>
          </w:p>
        </w:tc>
        <w:tc>
          <w:tcPr>
            <w:tcW w:w="1125" w:type="dxa"/>
            <w:tcBorders>
              <w:top w:val="nil"/>
              <w:left w:val="nil"/>
              <w:bottom w:val="single" w:sz="4"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1.024.484</w:t>
            </w:r>
          </w:p>
        </w:tc>
        <w:tc>
          <w:tcPr>
            <w:tcW w:w="9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70%</w:t>
            </w:r>
          </w:p>
        </w:tc>
        <w:tc>
          <w:tcPr>
            <w:tcW w:w="89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49%</w:t>
            </w:r>
          </w:p>
        </w:tc>
        <w:tc>
          <w:tcPr>
            <w:tcW w:w="1141" w:type="dxa"/>
            <w:tcBorders>
              <w:top w:val="nil"/>
              <w:left w:val="nil"/>
              <w:bottom w:val="single" w:sz="4"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31%</w:t>
            </w:r>
          </w:p>
        </w:tc>
      </w:tr>
      <w:tr>
        <w:trPr>
          <w:trHeight w:val="290"/>
        </w:trPr>
        <w:tc>
          <w:tcPr>
            <w:tcW w:w="580" w:type="dxa"/>
            <w:tcBorders>
              <w:top w:val="nil"/>
              <w:left w:val="single" w:sz="8" w:space="0" w:color="auto"/>
              <w:bottom w:val="single" w:sz="4"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IT</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6.496.451</w:t>
            </w:r>
          </w:p>
        </w:tc>
        <w:tc>
          <w:tcPr>
            <w:tcW w:w="1125"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8.055.387</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5.021.082</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3.108.862</w:t>
            </w:r>
          </w:p>
        </w:tc>
        <w:tc>
          <w:tcPr>
            <w:tcW w:w="1125" w:type="dxa"/>
            <w:tcBorders>
              <w:top w:val="nil"/>
              <w:left w:val="nil"/>
              <w:bottom w:val="single" w:sz="4"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14.894.596</w:t>
            </w:r>
          </w:p>
        </w:tc>
        <w:tc>
          <w:tcPr>
            <w:tcW w:w="9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54%</w:t>
            </w:r>
          </w:p>
        </w:tc>
        <w:tc>
          <w:tcPr>
            <w:tcW w:w="89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34%</w:t>
            </w:r>
          </w:p>
        </w:tc>
        <w:tc>
          <w:tcPr>
            <w:tcW w:w="1141" w:type="dxa"/>
            <w:tcBorders>
              <w:top w:val="nil"/>
              <w:left w:val="nil"/>
              <w:bottom w:val="single" w:sz="4"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21%</w:t>
            </w:r>
          </w:p>
        </w:tc>
      </w:tr>
      <w:tr>
        <w:trPr>
          <w:trHeight w:val="290"/>
        </w:trPr>
        <w:tc>
          <w:tcPr>
            <w:tcW w:w="580" w:type="dxa"/>
            <w:tcBorders>
              <w:top w:val="nil"/>
              <w:left w:val="single" w:sz="8" w:space="0" w:color="auto"/>
              <w:bottom w:val="single" w:sz="4"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CY</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79.206</w:t>
            </w:r>
          </w:p>
        </w:tc>
        <w:tc>
          <w:tcPr>
            <w:tcW w:w="1125"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146.192</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89.802</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42.891</w:t>
            </w:r>
          </w:p>
        </w:tc>
        <w:tc>
          <w:tcPr>
            <w:tcW w:w="1125" w:type="dxa"/>
            <w:tcBorders>
              <w:top w:val="nil"/>
              <w:left w:val="nil"/>
              <w:bottom w:val="single" w:sz="4"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248.711</w:t>
            </w:r>
          </w:p>
        </w:tc>
        <w:tc>
          <w:tcPr>
            <w:tcW w:w="9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59%</w:t>
            </w:r>
          </w:p>
        </w:tc>
        <w:tc>
          <w:tcPr>
            <w:tcW w:w="89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36%</w:t>
            </w:r>
          </w:p>
        </w:tc>
        <w:tc>
          <w:tcPr>
            <w:tcW w:w="1141" w:type="dxa"/>
            <w:tcBorders>
              <w:top w:val="nil"/>
              <w:left w:val="nil"/>
              <w:bottom w:val="single" w:sz="4"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17%</w:t>
            </w:r>
          </w:p>
        </w:tc>
      </w:tr>
      <w:tr>
        <w:trPr>
          <w:trHeight w:val="290"/>
        </w:trPr>
        <w:tc>
          <w:tcPr>
            <w:tcW w:w="580" w:type="dxa"/>
            <w:tcBorders>
              <w:top w:val="nil"/>
              <w:left w:val="single" w:sz="8" w:space="0" w:color="auto"/>
              <w:bottom w:val="single" w:sz="4"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LV</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211.818</w:t>
            </w:r>
          </w:p>
        </w:tc>
        <w:tc>
          <w:tcPr>
            <w:tcW w:w="1125"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429.483</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273.943</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133.097</w:t>
            </w:r>
          </w:p>
        </w:tc>
        <w:tc>
          <w:tcPr>
            <w:tcW w:w="1125" w:type="dxa"/>
            <w:tcBorders>
              <w:top w:val="nil"/>
              <w:left w:val="nil"/>
              <w:bottom w:val="single" w:sz="4"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641.301</w:t>
            </w:r>
          </w:p>
        </w:tc>
        <w:tc>
          <w:tcPr>
            <w:tcW w:w="9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67%</w:t>
            </w:r>
          </w:p>
        </w:tc>
        <w:tc>
          <w:tcPr>
            <w:tcW w:w="89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43%</w:t>
            </w:r>
          </w:p>
        </w:tc>
        <w:tc>
          <w:tcPr>
            <w:tcW w:w="1141" w:type="dxa"/>
            <w:tcBorders>
              <w:top w:val="nil"/>
              <w:left w:val="nil"/>
              <w:bottom w:val="single" w:sz="4"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21%</w:t>
            </w:r>
          </w:p>
        </w:tc>
      </w:tr>
      <w:tr>
        <w:trPr>
          <w:trHeight w:val="290"/>
        </w:trPr>
        <w:tc>
          <w:tcPr>
            <w:tcW w:w="580" w:type="dxa"/>
            <w:tcBorders>
              <w:top w:val="nil"/>
              <w:left w:val="single" w:sz="8" w:space="0" w:color="auto"/>
              <w:bottom w:val="single" w:sz="4"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LT</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280.194</w:t>
            </w:r>
          </w:p>
        </w:tc>
        <w:tc>
          <w:tcPr>
            <w:tcW w:w="1125"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690.488</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462.604</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240.695</w:t>
            </w:r>
          </w:p>
        </w:tc>
        <w:tc>
          <w:tcPr>
            <w:tcW w:w="1125" w:type="dxa"/>
            <w:tcBorders>
              <w:top w:val="nil"/>
              <w:left w:val="nil"/>
              <w:bottom w:val="single" w:sz="4"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970.682</w:t>
            </w:r>
          </w:p>
        </w:tc>
        <w:tc>
          <w:tcPr>
            <w:tcW w:w="9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71%</w:t>
            </w:r>
          </w:p>
        </w:tc>
        <w:tc>
          <w:tcPr>
            <w:tcW w:w="89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48%</w:t>
            </w:r>
          </w:p>
        </w:tc>
        <w:tc>
          <w:tcPr>
            <w:tcW w:w="1141" w:type="dxa"/>
            <w:tcBorders>
              <w:top w:val="nil"/>
              <w:left w:val="nil"/>
              <w:bottom w:val="single" w:sz="4"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25%</w:t>
            </w:r>
          </w:p>
        </w:tc>
      </w:tr>
      <w:tr>
        <w:trPr>
          <w:trHeight w:val="290"/>
        </w:trPr>
        <w:tc>
          <w:tcPr>
            <w:tcW w:w="580" w:type="dxa"/>
            <w:tcBorders>
              <w:top w:val="nil"/>
              <w:left w:val="single" w:sz="8" w:space="0" w:color="auto"/>
              <w:bottom w:val="single" w:sz="4"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LU</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48.456</w:t>
            </w:r>
          </w:p>
        </w:tc>
        <w:tc>
          <w:tcPr>
            <w:tcW w:w="1125"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226.717</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159.505</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90.897</w:t>
            </w:r>
          </w:p>
        </w:tc>
        <w:tc>
          <w:tcPr>
            <w:tcW w:w="1125" w:type="dxa"/>
            <w:tcBorders>
              <w:top w:val="nil"/>
              <w:left w:val="nil"/>
              <w:bottom w:val="single" w:sz="4"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275.173</w:t>
            </w:r>
          </w:p>
        </w:tc>
        <w:tc>
          <w:tcPr>
            <w:tcW w:w="9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82%</w:t>
            </w:r>
          </w:p>
        </w:tc>
        <w:tc>
          <w:tcPr>
            <w:tcW w:w="89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58%</w:t>
            </w:r>
          </w:p>
        </w:tc>
        <w:tc>
          <w:tcPr>
            <w:tcW w:w="1141" w:type="dxa"/>
            <w:tcBorders>
              <w:top w:val="nil"/>
              <w:left w:val="nil"/>
              <w:bottom w:val="single" w:sz="4"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33%</w:t>
            </w:r>
          </w:p>
        </w:tc>
      </w:tr>
      <w:tr>
        <w:trPr>
          <w:trHeight w:val="290"/>
        </w:trPr>
        <w:tc>
          <w:tcPr>
            <w:tcW w:w="580" w:type="dxa"/>
            <w:tcBorders>
              <w:top w:val="nil"/>
              <w:left w:val="single" w:sz="8" w:space="0" w:color="auto"/>
              <w:bottom w:val="single" w:sz="4"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HU</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896.754</w:t>
            </w:r>
          </w:p>
        </w:tc>
        <w:tc>
          <w:tcPr>
            <w:tcW w:w="1125"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1.818.105</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1.294.692</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845.206</w:t>
            </w:r>
          </w:p>
        </w:tc>
        <w:tc>
          <w:tcPr>
            <w:tcW w:w="1125" w:type="dxa"/>
            <w:tcBorders>
              <w:top w:val="nil"/>
              <w:left w:val="nil"/>
              <w:bottom w:val="single" w:sz="4"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2.714.859</w:t>
            </w:r>
          </w:p>
        </w:tc>
        <w:tc>
          <w:tcPr>
            <w:tcW w:w="9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67%</w:t>
            </w:r>
          </w:p>
        </w:tc>
        <w:tc>
          <w:tcPr>
            <w:tcW w:w="89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48%</w:t>
            </w:r>
          </w:p>
        </w:tc>
        <w:tc>
          <w:tcPr>
            <w:tcW w:w="1141" w:type="dxa"/>
            <w:tcBorders>
              <w:top w:val="nil"/>
              <w:left w:val="nil"/>
              <w:bottom w:val="single" w:sz="4"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31%</w:t>
            </w:r>
          </w:p>
        </w:tc>
      </w:tr>
      <w:tr>
        <w:trPr>
          <w:trHeight w:val="290"/>
        </w:trPr>
        <w:tc>
          <w:tcPr>
            <w:tcW w:w="580" w:type="dxa"/>
            <w:tcBorders>
              <w:top w:val="nil"/>
              <w:left w:val="single" w:sz="8" w:space="0" w:color="auto"/>
              <w:bottom w:val="single" w:sz="4"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MT</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44.635</w:t>
            </w:r>
          </w:p>
        </w:tc>
        <w:tc>
          <w:tcPr>
            <w:tcW w:w="1125"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99.654</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65.020</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33.179</w:t>
            </w:r>
          </w:p>
        </w:tc>
        <w:tc>
          <w:tcPr>
            <w:tcW w:w="1125" w:type="dxa"/>
            <w:tcBorders>
              <w:top w:val="nil"/>
              <w:left w:val="nil"/>
              <w:bottom w:val="single" w:sz="4"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148.277</w:t>
            </w:r>
          </w:p>
        </w:tc>
        <w:tc>
          <w:tcPr>
            <w:tcW w:w="9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67%</w:t>
            </w:r>
          </w:p>
        </w:tc>
        <w:tc>
          <w:tcPr>
            <w:tcW w:w="89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44%</w:t>
            </w:r>
          </w:p>
        </w:tc>
        <w:tc>
          <w:tcPr>
            <w:tcW w:w="1141" w:type="dxa"/>
            <w:tcBorders>
              <w:top w:val="nil"/>
              <w:left w:val="nil"/>
              <w:bottom w:val="single" w:sz="4"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22%</w:t>
            </w:r>
          </w:p>
        </w:tc>
      </w:tr>
      <w:tr>
        <w:trPr>
          <w:trHeight w:val="290"/>
        </w:trPr>
        <w:tc>
          <w:tcPr>
            <w:tcW w:w="580" w:type="dxa"/>
            <w:tcBorders>
              <w:top w:val="nil"/>
              <w:left w:val="single" w:sz="8" w:space="0" w:color="auto"/>
              <w:bottom w:val="single" w:sz="4"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NL</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1.642.367</w:t>
            </w:r>
          </w:p>
        </w:tc>
        <w:tc>
          <w:tcPr>
            <w:tcW w:w="1125"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4.150.148</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3.079.839</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2.021.325</w:t>
            </w:r>
          </w:p>
        </w:tc>
        <w:tc>
          <w:tcPr>
            <w:tcW w:w="1125" w:type="dxa"/>
            <w:tcBorders>
              <w:top w:val="nil"/>
              <w:left w:val="nil"/>
              <w:bottom w:val="single" w:sz="4"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5.792.516</w:t>
            </w:r>
          </w:p>
        </w:tc>
        <w:tc>
          <w:tcPr>
            <w:tcW w:w="9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72%</w:t>
            </w:r>
          </w:p>
        </w:tc>
        <w:tc>
          <w:tcPr>
            <w:tcW w:w="89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53%</w:t>
            </w:r>
          </w:p>
        </w:tc>
        <w:tc>
          <w:tcPr>
            <w:tcW w:w="1141" w:type="dxa"/>
            <w:tcBorders>
              <w:top w:val="nil"/>
              <w:left w:val="nil"/>
              <w:bottom w:val="single" w:sz="4"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35%</w:t>
            </w:r>
          </w:p>
        </w:tc>
      </w:tr>
      <w:tr>
        <w:trPr>
          <w:trHeight w:val="290"/>
        </w:trPr>
        <w:tc>
          <w:tcPr>
            <w:tcW w:w="580" w:type="dxa"/>
            <w:tcBorders>
              <w:top w:val="nil"/>
              <w:left w:val="single" w:sz="8" w:space="0" w:color="auto"/>
              <w:bottom w:val="single" w:sz="4"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AT</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714.956</w:t>
            </w:r>
          </w:p>
        </w:tc>
        <w:tc>
          <w:tcPr>
            <w:tcW w:w="1125"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2.078.127</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1.400.732</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865.209</w:t>
            </w:r>
          </w:p>
        </w:tc>
        <w:tc>
          <w:tcPr>
            <w:tcW w:w="1125" w:type="dxa"/>
            <w:tcBorders>
              <w:top w:val="nil"/>
              <w:left w:val="nil"/>
              <w:bottom w:val="single" w:sz="4"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2.850.280</w:t>
            </w:r>
          </w:p>
        </w:tc>
        <w:tc>
          <w:tcPr>
            <w:tcW w:w="9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73%</w:t>
            </w:r>
          </w:p>
        </w:tc>
        <w:tc>
          <w:tcPr>
            <w:tcW w:w="89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49%</w:t>
            </w:r>
          </w:p>
        </w:tc>
        <w:tc>
          <w:tcPr>
            <w:tcW w:w="1141" w:type="dxa"/>
            <w:tcBorders>
              <w:top w:val="nil"/>
              <w:left w:val="nil"/>
              <w:bottom w:val="single" w:sz="4"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30%</w:t>
            </w:r>
          </w:p>
        </w:tc>
      </w:tr>
      <w:tr>
        <w:trPr>
          <w:trHeight w:val="290"/>
        </w:trPr>
        <w:tc>
          <w:tcPr>
            <w:tcW w:w="580" w:type="dxa"/>
            <w:tcBorders>
              <w:top w:val="nil"/>
              <w:left w:val="single" w:sz="8" w:space="0" w:color="auto"/>
              <w:bottom w:val="single" w:sz="4"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PL</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3.481.387</w:t>
            </w:r>
          </w:p>
        </w:tc>
        <w:tc>
          <w:tcPr>
            <w:tcW w:w="1125"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5.752.561</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4.618.052</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2.994.835</w:t>
            </w:r>
          </w:p>
        </w:tc>
        <w:tc>
          <w:tcPr>
            <w:tcW w:w="1125" w:type="dxa"/>
            <w:tcBorders>
              <w:top w:val="nil"/>
              <w:left w:val="nil"/>
              <w:bottom w:val="single" w:sz="4"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9.233.948</w:t>
            </w:r>
          </w:p>
        </w:tc>
        <w:tc>
          <w:tcPr>
            <w:tcW w:w="9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62%</w:t>
            </w:r>
          </w:p>
        </w:tc>
        <w:tc>
          <w:tcPr>
            <w:tcW w:w="89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50%</w:t>
            </w:r>
          </w:p>
        </w:tc>
        <w:tc>
          <w:tcPr>
            <w:tcW w:w="1141" w:type="dxa"/>
            <w:tcBorders>
              <w:top w:val="nil"/>
              <w:left w:val="nil"/>
              <w:bottom w:val="single" w:sz="4"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32%</w:t>
            </w:r>
          </w:p>
        </w:tc>
      </w:tr>
      <w:tr>
        <w:trPr>
          <w:trHeight w:val="290"/>
        </w:trPr>
        <w:tc>
          <w:tcPr>
            <w:tcW w:w="580" w:type="dxa"/>
            <w:tcBorders>
              <w:top w:val="nil"/>
              <w:left w:val="single" w:sz="8" w:space="0" w:color="auto"/>
              <w:bottom w:val="single" w:sz="4"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PT</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1.321.714</w:t>
            </w:r>
          </w:p>
        </w:tc>
        <w:tc>
          <w:tcPr>
            <w:tcW w:w="1125"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1.957.189</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 </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1.289.142</w:t>
            </w:r>
          </w:p>
        </w:tc>
        <w:tc>
          <w:tcPr>
            <w:tcW w:w="1125" w:type="dxa"/>
            <w:tcBorders>
              <w:top w:val="nil"/>
              <w:left w:val="nil"/>
              <w:bottom w:val="single" w:sz="4"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3.278.903</w:t>
            </w:r>
          </w:p>
        </w:tc>
        <w:tc>
          <w:tcPr>
            <w:tcW w:w="9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60%</w:t>
            </w:r>
          </w:p>
        </w:tc>
        <w:tc>
          <w:tcPr>
            <w:tcW w:w="89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 </w:t>
            </w:r>
          </w:p>
        </w:tc>
        <w:tc>
          <w:tcPr>
            <w:tcW w:w="1141" w:type="dxa"/>
            <w:tcBorders>
              <w:top w:val="nil"/>
              <w:left w:val="nil"/>
              <w:bottom w:val="single" w:sz="4"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39%</w:t>
            </w:r>
          </w:p>
        </w:tc>
      </w:tr>
      <w:tr>
        <w:trPr>
          <w:trHeight w:val="290"/>
        </w:trPr>
        <w:tc>
          <w:tcPr>
            <w:tcW w:w="580" w:type="dxa"/>
            <w:tcBorders>
              <w:top w:val="nil"/>
              <w:left w:val="single" w:sz="8" w:space="0" w:color="auto"/>
              <w:bottom w:val="single" w:sz="4"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RO</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921.117</w:t>
            </w:r>
          </w:p>
        </w:tc>
        <w:tc>
          <w:tcPr>
            <w:tcW w:w="1125"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3.099.004</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2.235.795</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1.410.818</w:t>
            </w:r>
          </w:p>
        </w:tc>
        <w:tc>
          <w:tcPr>
            <w:tcW w:w="1125" w:type="dxa"/>
            <w:tcBorders>
              <w:top w:val="nil"/>
              <w:left w:val="nil"/>
              <w:bottom w:val="single" w:sz="4"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4.020.121</w:t>
            </w:r>
          </w:p>
        </w:tc>
        <w:tc>
          <w:tcPr>
            <w:tcW w:w="9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77%</w:t>
            </w:r>
          </w:p>
        </w:tc>
        <w:tc>
          <w:tcPr>
            <w:tcW w:w="89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56%</w:t>
            </w:r>
          </w:p>
        </w:tc>
        <w:tc>
          <w:tcPr>
            <w:tcW w:w="1141" w:type="dxa"/>
            <w:tcBorders>
              <w:top w:val="nil"/>
              <w:left w:val="nil"/>
              <w:bottom w:val="single" w:sz="4"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35%</w:t>
            </w:r>
          </w:p>
        </w:tc>
      </w:tr>
      <w:tr>
        <w:trPr>
          <w:trHeight w:val="290"/>
        </w:trPr>
        <w:tc>
          <w:tcPr>
            <w:tcW w:w="580" w:type="dxa"/>
            <w:tcBorders>
              <w:top w:val="nil"/>
              <w:left w:val="single" w:sz="8" w:space="0" w:color="auto"/>
              <w:bottom w:val="single" w:sz="4"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SI</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219.106</w:t>
            </w:r>
          </w:p>
        </w:tc>
        <w:tc>
          <w:tcPr>
            <w:tcW w:w="1125"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409.070</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292.845</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172.556</w:t>
            </w:r>
          </w:p>
        </w:tc>
        <w:tc>
          <w:tcPr>
            <w:tcW w:w="1125" w:type="dxa"/>
            <w:tcBorders>
              <w:top w:val="nil"/>
              <w:left w:val="nil"/>
              <w:bottom w:val="single" w:sz="4"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628.176</w:t>
            </w:r>
          </w:p>
        </w:tc>
        <w:tc>
          <w:tcPr>
            <w:tcW w:w="9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65%</w:t>
            </w:r>
          </w:p>
        </w:tc>
        <w:tc>
          <w:tcPr>
            <w:tcW w:w="89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47%</w:t>
            </w:r>
          </w:p>
        </w:tc>
        <w:tc>
          <w:tcPr>
            <w:tcW w:w="1141" w:type="dxa"/>
            <w:tcBorders>
              <w:top w:val="nil"/>
              <w:left w:val="nil"/>
              <w:bottom w:val="single" w:sz="4"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27%</w:t>
            </w:r>
          </w:p>
        </w:tc>
      </w:tr>
      <w:tr>
        <w:trPr>
          <w:trHeight w:val="290"/>
        </w:trPr>
        <w:tc>
          <w:tcPr>
            <w:tcW w:w="580" w:type="dxa"/>
            <w:tcBorders>
              <w:top w:val="nil"/>
              <w:left w:val="single" w:sz="8" w:space="0" w:color="auto"/>
              <w:bottom w:val="single" w:sz="4"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SK</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675.515</w:t>
            </w:r>
          </w:p>
        </w:tc>
        <w:tc>
          <w:tcPr>
            <w:tcW w:w="1125"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932.406</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708.125</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450.861</w:t>
            </w:r>
          </w:p>
        </w:tc>
        <w:tc>
          <w:tcPr>
            <w:tcW w:w="1125" w:type="dxa"/>
            <w:tcBorders>
              <w:top w:val="nil"/>
              <w:left w:val="nil"/>
              <w:bottom w:val="single" w:sz="4"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1.607.921</w:t>
            </w:r>
          </w:p>
        </w:tc>
        <w:tc>
          <w:tcPr>
            <w:tcW w:w="9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58%</w:t>
            </w:r>
          </w:p>
        </w:tc>
        <w:tc>
          <w:tcPr>
            <w:tcW w:w="89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44%</w:t>
            </w:r>
          </w:p>
        </w:tc>
        <w:tc>
          <w:tcPr>
            <w:tcW w:w="1141" w:type="dxa"/>
            <w:tcBorders>
              <w:top w:val="nil"/>
              <w:left w:val="nil"/>
              <w:bottom w:val="single" w:sz="4"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28%</w:t>
            </w:r>
          </w:p>
        </w:tc>
      </w:tr>
      <w:tr>
        <w:trPr>
          <w:trHeight w:val="290"/>
        </w:trPr>
        <w:tc>
          <w:tcPr>
            <w:tcW w:w="580" w:type="dxa"/>
            <w:tcBorders>
              <w:top w:val="nil"/>
              <w:left w:val="single" w:sz="8" w:space="0" w:color="auto"/>
              <w:bottom w:val="single" w:sz="4"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FI</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354.924</w:t>
            </w:r>
          </w:p>
        </w:tc>
        <w:tc>
          <w:tcPr>
            <w:tcW w:w="1125"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1.132.914</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796.089</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511.995</w:t>
            </w:r>
          </w:p>
        </w:tc>
        <w:tc>
          <w:tcPr>
            <w:tcW w:w="1125" w:type="dxa"/>
            <w:tcBorders>
              <w:top w:val="nil"/>
              <w:left w:val="nil"/>
              <w:bottom w:val="single" w:sz="4"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1.487.837</w:t>
            </w:r>
          </w:p>
        </w:tc>
        <w:tc>
          <w:tcPr>
            <w:tcW w:w="9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76%</w:t>
            </w:r>
          </w:p>
        </w:tc>
        <w:tc>
          <w:tcPr>
            <w:tcW w:w="89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54%</w:t>
            </w:r>
          </w:p>
        </w:tc>
        <w:tc>
          <w:tcPr>
            <w:tcW w:w="1141" w:type="dxa"/>
            <w:tcBorders>
              <w:top w:val="nil"/>
              <w:left w:val="nil"/>
              <w:bottom w:val="single" w:sz="4"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34%</w:t>
            </w:r>
          </w:p>
        </w:tc>
      </w:tr>
      <w:tr>
        <w:trPr>
          <w:trHeight w:val="290"/>
        </w:trPr>
        <w:tc>
          <w:tcPr>
            <w:tcW w:w="580" w:type="dxa"/>
            <w:tcBorders>
              <w:top w:val="nil"/>
              <w:left w:val="single" w:sz="8" w:space="0" w:color="auto"/>
              <w:bottom w:val="single" w:sz="4"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SE</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792.516</w:t>
            </w:r>
          </w:p>
        </w:tc>
        <w:tc>
          <w:tcPr>
            <w:tcW w:w="1125"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2.513.020</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1.779.581</w:t>
            </w:r>
          </w:p>
        </w:tc>
        <w:tc>
          <w:tcPr>
            <w:tcW w:w="101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1.155.531</w:t>
            </w:r>
          </w:p>
        </w:tc>
        <w:tc>
          <w:tcPr>
            <w:tcW w:w="1125" w:type="dxa"/>
            <w:tcBorders>
              <w:top w:val="nil"/>
              <w:left w:val="nil"/>
              <w:bottom w:val="single" w:sz="4"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3.305.536</w:t>
            </w:r>
          </w:p>
        </w:tc>
        <w:tc>
          <w:tcPr>
            <w:tcW w:w="9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76%</w:t>
            </w:r>
          </w:p>
        </w:tc>
        <w:tc>
          <w:tcPr>
            <w:tcW w:w="89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54%</w:t>
            </w:r>
          </w:p>
        </w:tc>
        <w:tc>
          <w:tcPr>
            <w:tcW w:w="1141" w:type="dxa"/>
            <w:tcBorders>
              <w:top w:val="nil"/>
              <w:left w:val="nil"/>
              <w:bottom w:val="single" w:sz="4"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35%</w:t>
            </w:r>
          </w:p>
        </w:tc>
      </w:tr>
      <w:tr>
        <w:trPr>
          <w:trHeight w:val="300"/>
        </w:trPr>
        <w:tc>
          <w:tcPr>
            <w:tcW w:w="580" w:type="dxa"/>
            <w:tcBorders>
              <w:top w:val="nil"/>
              <w:left w:val="single" w:sz="8" w:space="0" w:color="auto"/>
              <w:bottom w:val="single" w:sz="8" w:space="0" w:color="auto"/>
              <w:right w:val="single" w:sz="8" w:space="0" w:color="auto"/>
            </w:tcBorders>
            <w:shd w:val="clear" w:color="auto" w:fill="5B9BD5"/>
            <w:noWrap/>
            <w:vAlign w:val="bottom"/>
            <w:hideMark/>
          </w:tcPr>
          <w:p>
            <w:pPr>
              <w:spacing w:after="0" w:line="240" w:lineRule="auto"/>
              <w:rPr>
                <w:rFonts w:ascii="Times New Roman" w:eastAsia="Times New Roman" w:hAnsi="Times New Roman" w:cs="Times New Roman"/>
                <w:noProof/>
                <w:color w:val="FFFFFF"/>
                <w:lang w:eastAsia="en-GB"/>
              </w:rPr>
            </w:pPr>
            <w:r>
              <w:rPr>
                <w:rFonts w:ascii="Times New Roman" w:eastAsia="Times New Roman" w:hAnsi="Times New Roman" w:cs="Times New Roman"/>
                <w:noProof/>
                <w:color w:val="FFFFFF"/>
                <w:lang w:eastAsia="en-GB"/>
              </w:rPr>
              <w:t>UK</w:t>
            </w:r>
          </w:p>
        </w:tc>
        <w:tc>
          <w:tcPr>
            <w:tcW w:w="1017" w:type="dxa"/>
            <w:tcBorders>
              <w:top w:val="nil"/>
              <w:left w:val="nil"/>
              <w:bottom w:val="single" w:sz="8"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3.893.062</w:t>
            </w:r>
          </w:p>
        </w:tc>
        <w:tc>
          <w:tcPr>
            <w:tcW w:w="1125" w:type="dxa"/>
            <w:tcBorders>
              <w:top w:val="nil"/>
              <w:left w:val="nil"/>
              <w:bottom w:val="single" w:sz="8"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16.042.820</w:t>
            </w:r>
          </w:p>
        </w:tc>
        <w:tc>
          <w:tcPr>
            <w:tcW w:w="1017" w:type="dxa"/>
            <w:tcBorders>
              <w:top w:val="nil"/>
              <w:left w:val="nil"/>
              <w:bottom w:val="single" w:sz="8"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12.295.585</w:t>
            </w:r>
          </w:p>
        </w:tc>
        <w:tc>
          <w:tcPr>
            <w:tcW w:w="1017" w:type="dxa"/>
            <w:tcBorders>
              <w:top w:val="nil"/>
              <w:left w:val="nil"/>
              <w:bottom w:val="single" w:sz="8"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9.257.623</w:t>
            </w:r>
          </w:p>
        </w:tc>
        <w:tc>
          <w:tcPr>
            <w:tcW w:w="1125" w:type="dxa"/>
            <w:tcBorders>
              <w:top w:val="nil"/>
              <w:left w:val="nil"/>
              <w:bottom w:val="single" w:sz="8" w:space="0" w:color="auto"/>
              <w:right w:val="single" w:sz="8" w:space="0" w:color="auto"/>
            </w:tcBorders>
            <w:shd w:val="clear" w:color="auto" w:fill="auto"/>
            <w:noWrap/>
            <w:vAlign w:val="bottom"/>
            <w:hideMark/>
          </w:tcPr>
          <w:p>
            <w:pPr>
              <w:spacing w:after="0" w:line="240" w:lineRule="auto"/>
              <w:jc w:val="right"/>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19.935.881</w:t>
            </w:r>
          </w:p>
        </w:tc>
        <w:tc>
          <w:tcPr>
            <w:tcW w:w="900" w:type="dxa"/>
            <w:tcBorders>
              <w:top w:val="nil"/>
              <w:left w:val="nil"/>
              <w:bottom w:val="single" w:sz="8"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80%</w:t>
            </w:r>
          </w:p>
        </w:tc>
        <w:tc>
          <w:tcPr>
            <w:tcW w:w="899" w:type="dxa"/>
            <w:tcBorders>
              <w:top w:val="nil"/>
              <w:left w:val="nil"/>
              <w:bottom w:val="single" w:sz="8"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62%</w:t>
            </w:r>
          </w:p>
        </w:tc>
        <w:tc>
          <w:tcPr>
            <w:tcW w:w="1141" w:type="dxa"/>
            <w:tcBorders>
              <w:top w:val="nil"/>
              <w:left w:val="nil"/>
              <w:bottom w:val="single" w:sz="8"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46%</w:t>
            </w:r>
          </w:p>
        </w:tc>
      </w:tr>
    </w:tbl>
    <w:p>
      <w:pPr>
        <w:spacing w:line="240" w:lineRule="auto"/>
        <w:rPr>
          <w:rFonts w:ascii="Times New Roman" w:hAnsi="Times New Roman" w:cs="Times New Roman"/>
          <w:i/>
          <w:noProof/>
          <w:sz w:val="15"/>
          <w:szCs w:val="15"/>
        </w:rPr>
      </w:pPr>
      <w:bookmarkStart w:id="7271" w:name="_Toc47455501"/>
      <w:bookmarkStart w:id="7272" w:name="_Toc49527900"/>
      <w:bookmarkStart w:id="7273" w:name="_Toc49530022"/>
      <w:bookmarkStart w:id="7274" w:name="_Toc49530686"/>
      <w:bookmarkStart w:id="7275" w:name="_Toc49532636"/>
      <w:bookmarkStart w:id="7276" w:name="_Toc49695808"/>
      <w:bookmarkStart w:id="7277" w:name="_Toc49695985"/>
      <w:bookmarkStart w:id="7278" w:name="_Toc49805511"/>
      <w:r>
        <w:rPr>
          <w:rFonts w:ascii="Times New Roman" w:hAnsi="Times New Roman" w:cs="Times New Roman"/>
          <w:i/>
          <w:iCs/>
          <w:noProof/>
          <w:sz w:val="16"/>
          <w:szCs w:val="16"/>
        </w:rPr>
        <w:t>Source: Own calculations based on Eurostat - Annual enterprise statistics by size class for special aggregates of activities (NACE Rev. 2) [sbs_sc_sca_r2] – 2017 or latest available or estimate</w:t>
      </w:r>
      <w:r>
        <w:rPr>
          <w:rFonts w:ascii="Times New Roman" w:hAnsi="Times New Roman" w:cs="Times New Roman"/>
          <w:i/>
          <w:iCs/>
          <w:noProof/>
          <w:sz w:val="15"/>
          <w:szCs w:val="15"/>
        </w:rPr>
        <w:br w:type="page"/>
      </w:r>
    </w:p>
    <w:p>
      <w:pPr>
        <w:pStyle w:val="Heading2"/>
        <w:rPr>
          <w:noProof/>
        </w:rPr>
      </w:pPr>
      <w:bookmarkStart w:id="7279" w:name="_Toc47455502"/>
      <w:bookmarkStart w:id="7280" w:name="_Toc49527901"/>
      <w:bookmarkStart w:id="7281" w:name="_Toc49530023"/>
      <w:bookmarkStart w:id="7282" w:name="_Toc49530687"/>
      <w:bookmarkStart w:id="7283" w:name="_Toc49532637"/>
      <w:bookmarkStart w:id="7284" w:name="_Toc49695809"/>
      <w:bookmarkStart w:id="7285" w:name="_Toc49695986"/>
      <w:bookmarkStart w:id="7286" w:name="_Toc49805512"/>
      <w:bookmarkStart w:id="7287" w:name="_Toc49806217"/>
      <w:bookmarkStart w:id="7288" w:name="_Toc49877769"/>
      <w:bookmarkStart w:id="7289" w:name="_Toc49881187"/>
      <w:bookmarkStart w:id="7290" w:name="_Toc49884248"/>
      <w:bookmarkStart w:id="7291" w:name="_Toc49884324"/>
      <w:bookmarkStart w:id="7292" w:name="_Toc49893580"/>
      <w:bookmarkStart w:id="7293" w:name="_Toc49933968"/>
      <w:bookmarkStart w:id="7294" w:name="_Toc49937855"/>
      <w:bookmarkStart w:id="7295" w:name="_Toc49939048"/>
      <w:bookmarkStart w:id="7296" w:name="_Toc49939251"/>
      <w:bookmarkStart w:id="7297" w:name="_Toc49942101"/>
      <w:bookmarkStart w:id="7298" w:name="_Toc49948569"/>
      <w:bookmarkStart w:id="7299" w:name="_Toc49953043"/>
      <w:bookmarkStart w:id="7300" w:name="_Toc49954348"/>
      <w:bookmarkStart w:id="7301" w:name="_Toc49954793"/>
      <w:bookmarkStart w:id="7302" w:name="_Toc49955222"/>
      <w:bookmarkStart w:id="7303" w:name="_Toc49955810"/>
      <w:bookmarkStart w:id="7304" w:name="_Toc49958310"/>
      <w:bookmarkStart w:id="7305" w:name="_Toc49958505"/>
      <w:bookmarkStart w:id="7306" w:name="_Toc49961997"/>
      <w:bookmarkStart w:id="7307" w:name="_Toc49963184"/>
      <w:bookmarkStart w:id="7308" w:name="_Toc53678226"/>
      <w:bookmarkStart w:id="7309" w:name="_Toc53678446"/>
      <w:bookmarkStart w:id="7310" w:name="_Toc53678768"/>
      <w:bookmarkStart w:id="7311" w:name="_Toc53680117"/>
      <w:bookmarkStart w:id="7312" w:name="_Toc54289132"/>
      <w:bookmarkStart w:id="7313" w:name="_Toc54290633"/>
      <w:bookmarkStart w:id="7314" w:name="_Toc54291002"/>
      <w:bookmarkStart w:id="7315" w:name="_Toc54292125"/>
      <w:bookmarkStart w:id="7316" w:name="_Toc54340684"/>
      <w:bookmarkStart w:id="7317" w:name="_Toc54345785"/>
      <w:bookmarkStart w:id="7318" w:name="_Toc54348797"/>
      <w:bookmarkStart w:id="7319" w:name="_Toc54355127"/>
      <w:bookmarkStart w:id="7320" w:name="_Toc54355180"/>
      <w:bookmarkStart w:id="7321" w:name="_Toc54355652"/>
      <w:bookmarkStart w:id="7322" w:name="_Toc54355800"/>
      <w:bookmarkStart w:id="7323" w:name="_Toc54356154"/>
      <w:bookmarkStart w:id="7324" w:name="_Toc54356705"/>
      <w:bookmarkStart w:id="7325" w:name="_Toc54357572"/>
      <w:bookmarkStart w:id="7326" w:name="_Toc54357669"/>
      <w:bookmarkStart w:id="7327" w:name="_Toc54364620"/>
      <w:bookmarkStart w:id="7328" w:name="_Toc54371228"/>
      <w:bookmarkStart w:id="7329" w:name="_Toc54372065"/>
      <w:bookmarkStart w:id="7330" w:name="_Toc54376672"/>
      <w:bookmarkStart w:id="7331" w:name="_Toc58767224"/>
      <w:bookmarkStart w:id="7332" w:name="_Toc58769527"/>
      <w:bookmarkStart w:id="7333" w:name="_Toc58863867"/>
      <w:bookmarkStart w:id="7334" w:name="_Toc58868894"/>
      <w:bookmarkStart w:id="7335" w:name="_Toc58870725"/>
      <w:bookmarkStart w:id="7336" w:name="_Toc58870963"/>
      <w:bookmarkStart w:id="7337" w:name="_Toc58871869"/>
      <w:bookmarkStart w:id="7338" w:name="_Toc58872084"/>
      <w:bookmarkStart w:id="7339" w:name="_Toc58922826"/>
      <w:bookmarkStart w:id="7340" w:name="_Toc58925414"/>
      <w:bookmarkStart w:id="7341" w:name="_Toc58928910"/>
      <w:bookmarkStart w:id="7342" w:name="_Toc58931281"/>
      <w:bookmarkStart w:id="7343" w:name="_Toc58931915"/>
      <w:bookmarkStart w:id="7344" w:name="_Toc58950519"/>
      <w:bookmarkStart w:id="7345" w:name="_Toc58956813"/>
      <w:bookmarkStart w:id="7346" w:name="_Toc58957976"/>
      <w:bookmarkStart w:id="7347" w:name="_Toc58962509"/>
      <w:bookmarkStart w:id="7348" w:name="_Toc59096542"/>
      <w:bookmarkStart w:id="7349" w:name="_Toc59103138"/>
      <w:bookmarkStart w:id="7350" w:name="_Toc59104989"/>
      <w:bookmarkStart w:id="7351" w:name="_Toc59119949"/>
      <w:bookmarkStart w:id="7352" w:name="_Toc59121213"/>
      <w:bookmarkStart w:id="7353" w:name="_Toc59121332"/>
      <w:bookmarkStart w:id="7354" w:name="_Toc59549385"/>
      <w:bookmarkStart w:id="7355" w:name="_Toc59642338"/>
      <w:bookmarkEnd w:id="7271"/>
      <w:bookmarkEnd w:id="7272"/>
      <w:bookmarkEnd w:id="7273"/>
      <w:bookmarkEnd w:id="7274"/>
      <w:bookmarkEnd w:id="7275"/>
      <w:bookmarkEnd w:id="7276"/>
      <w:bookmarkEnd w:id="7277"/>
      <w:bookmarkEnd w:id="7278"/>
      <w:r>
        <w:rPr>
          <w:noProof/>
        </w:rPr>
        <w:t>Annex 4: Analytical methods</w:t>
      </w:r>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p>
    <w:p>
      <w:pPr>
        <w:pStyle w:val="Heading3"/>
        <w:numPr>
          <w:ilvl w:val="0"/>
          <w:numId w:val="56"/>
        </w:numPr>
        <w:ind w:left="426" w:hanging="426"/>
        <w:rPr>
          <w:b/>
          <w:noProof/>
        </w:rPr>
      </w:pPr>
      <w:bookmarkStart w:id="7356" w:name="_Toc49527902"/>
      <w:bookmarkStart w:id="7357" w:name="_Toc49530024"/>
      <w:bookmarkStart w:id="7358" w:name="_Toc49530688"/>
      <w:bookmarkStart w:id="7359" w:name="_Toc49532638"/>
      <w:bookmarkStart w:id="7360" w:name="_Toc49695810"/>
      <w:bookmarkStart w:id="7361" w:name="_Toc49695987"/>
      <w:bookmarkStart w:id="7362" w:name="_Toc49805513"/>
      <w:r>
        <w:rPr>
          <w:noProof/>
        </w:rPr>
        <w:t>In-depth analysis of the gender pay gap using SES microdata</w:t>
      </w:r>
    </w:p>
    <w:p>
      <w:pPr>
        <w:jc w:val="both"/>
        <w:rPr>
          <w:rFonts w:ascii="Times New Roman" w:eastAsia="Times New Roman" w:hAnsi="Times New Roman" w:cs="Times New Roman"/>
          <w:noProof/>
          <w:color w:val="000000"/>
          <w:sz w:val="24"/>
          <w:szCs w:val="24"/>
          <w:lang w:eastAsia="fr-FR"/>
        </w:rPr>
      </w:pPr>
      <w:r>
        <w:rPr>
          <w:rFonts w:ascii="Times New Roman" w:hAnsi="Times New Roman" w:cs="Times New Roman"/>
          <w:i/>
          <w:iCs/>
          <w:noProof/>
          <w:sz w:val="24"/>
          <w:szCs w:val="24"/>
        </w:rPr>
        <w:t>Data set</w:t>
      </w:r>
      <w:bookmarkEnd w:id="7356"/>
      <w:bookmarkEnd w:id="7357"/>
      <w:bookmarkEnd w:id="7358"/>
      <w:bookmarkEnd w:id="7359"/>
      <w:bookmarkEnd w:id="7360"/>
      <w:bookmarkEnd w:id="7361"/>
      <w:bookmarkEnd w:id="7362"/>
      <w:r>
        <w:rPr>
          <w:rFonts w:ascii="Times New Roman" w:hAnsi="Times New Roman" w:cs="Times New Roman"/>
          <w:i/>
          <w:iCs/>
          <w:noProof/>
          <w:sz w:val="24"/>
          <w:szCs w:val="24"/>
        </w:rPr>
        <w:t xml:space="preserve"> – </w:t>
      </w:r>
      <w:r>
        <w:rPr>
          <w:rFonts w:ascii="Times New Roman" w:eastAsia="Times New Roman" w:hAnsi="Times New Roman" w:cs="Times New Roman"/>
          <w:noProof/>
          <w:color w:val="000000"/>
          <w:sz w:val="24"/>
          <w:szCs w:val="24"/>
          <w:lang w:eastAsia="fr-FR"/>
        </w:rPr>
        <w:t>The analyses were conducted based on the Structure of Earnings Survey for the reference year 2014 (EU-SES). The objective of the survey is to provide accurate and harmonised data on earnings in EU Member States and Candidate Countries, for policymaking and research purposes. The 2014 SES gives detailed and comparable information on relationships between the level of remuneration and individual characteristics of employees and their employers. The SES collects the earnings actually received by an employee of a business in the reference month and year. The information collected relates to the earnings paid to each ‘job holder’. It does not cover earnings by the same employee elsewhere in a second or third job. The SES results are produced in accordance with the relevant international classification systems. The main classifications used in this study are: (a) Economic activity (industry): Industrial classification of economic activities within the European Communities (NACE Rev. 2) – Results disseminated at the 2 digit level; (b) Occupation: International Standard Classification of Occupations (ISCO-08) – Results disseminated at the 2 digit level, and (c) Educational Level: International Standard Classification of Education (ISCED 2011) – Results disseminated in groupings as specified by EUROSTAT (basic education, secondary education, tertiary education of up to 4 years length and tertiary of more than 4 years length). All results are based on the scientific-use file (SUF) of SES 2014.3 Information is available for 22 EU countries – Belgium (BE), Bulgaria (BG), Cyprus (CY), Czechia (CZ), Germany (DE), Estonia (EE), Spain (ES), Finland (FI), France (FR), Hungary (HU), Italy (IT), Lithuania (LT), Luxembourg (LU), Latvia (LV), Malta (MT), the Netherlands (NL), Poland (PL), Portugal (PT), Romania (RO), Sweden (SE), Slovenia (SI), Slovakia (SK) – and Norway (NO) and the United Kingdom (UK).</w:t>
      </w:r>
    </w:p>
    <w:p>
      <w:pPr>
        <w:jc w:val="both"/>
        <w:rPr>
          <w:rFonts w:ascii="Times New Roman" w:eastAsia="Times New Roman" w:hAnsi="Times New Roman" w:cs="Times New Roman"/>
          <w:noProof/>
          <w:color w:val="000000"/>
          <w:sz w:val="24"/>
          <w:szCs w:val="24"/>
          <w:lang w:eastAsia="fr-FR"/>
        </w:rPr>
      </w:pPr>
      <w:bookmarkStart w:id="7363" w:name="_Toc49527903"/>
      <w:bookmarkStart w:id="7364" w:name="_Toc49530025"/>
      <w:bookmarkStart w:id="7365" w:name="_Toc49530689"/>
      <w:bookmarkStart w:id="7366" w:name="_Toc49532639"/>
      <w:bookmarkStart w:id="7367" w:name="_Toc49695811"/>
      <w:bookmarkStart w:id="7368" w:name="_Toc49695988"/>
      <w:bookmarkStart w:id="7369" w:name="_Toc49805514"/>
      <w:r>
        <w:rPr>
          <w:rFonts w:ascii="Times New Roman" w:hAnsi="Times New Roman" w:cs="Times New Roman"/>
          <w:i/>
          <w:iCs/>
          <w:noProof/>
          <w:sz w:val="24"/>
          <w:szCs w:val="24"/>
        </w:rPr>
        <w:t>Sample description</w:t>
      </w:r>
      <w:bookmarkEnd w:id="7363"/>
      <w:bookmarkEnd w:id="7364"/>
      <w:bookmarkEnd w:id="7365"/>
      <w:bookmarkEnd w:id="7366"/>
      <w:bookmarkEnd w:id="7367"/>
      <w:bookmarkEnd w:id="7368"/>
      <w:bookmarkEnd w:id="7369"/>
      <w:r>
        <w:rPr>
          <w:rFonts w:ascii="Times New Roman" w:hAnsi="Times New Roman" w:cs="Times New Roman"/>
          <w:i/>
          <w:iCs/>
          <w:noProof/>
          <w:sz w:val="24"/>
          <w:szCs w:val="24"/>
        </w:rPr>
        <w:t xml:space="preserve"> - </w:t>
      </w:r>
      <w:r>
        <w:rPr>
          <w:rFonts w:ascii="Times New Roman" w:eastAsia="Times New Roman" w:hAnsi="Times New Roman" w:cs="Times New Roman"/>
          <w:noProof/>
          <w:color w:val="000000"/>
          <w:sz w:val="24"/>
          <w:szCs w:val="24"/>
          <w:lang w:eastAsia="fr-FR"/>
        </w:rPr>
        <w:t>The sample regularly includes enterprises which are from sections C to O of the Statistical Classification of Economic Activities in the European Community (commonly referred to as NACE). However, public administration is excluded in some countries, leading us to drop employees from this sector in our analysis. Moreover, we exclude apprentices from the analysis. Given these restrictions, we are left with 24 countries (BE, BG, CY, CZ, DE, EE, ES, FI, FR, HU, IT, LT, LU, LV, MT, NL, NO, PL, PT, RO, SE, SI, SK and UK) and 8 831 219 individual observations (4 303 411 men and 4 527 808 women).</w:t>
      </w:r>
    </w:p>
    <w:p>
      <w:pPr>
        <w:jc w:val="both"/>
        <w:rPr>
          <w:rFonts w:ascii="Times New Roman" w:eastAsia="Times New Roman" w:hAnsi="Times New Roman" w:cs="Times New Roman"/>
          <w:noProof/>
          <w:sz w:val="24"/>
          <w:szCs w:val="24"/>
          <w:lang w:eastAsia="fr-FR"/>
        </w:rPr>
      </w:pPr>
      <w:bookmarkStart w:id="7370" w:name="_Toc49527904"/>
      <w:bookmarkStart w:id="7371" w:name="_Toc49530026"/>
      <w:bookmarkStart w:id="7372" w:name="_Toc49530690"/>
      <w:bookmarkStart w:id="7373" w:name="_Toc49532640"/>
      <w:bookmarkStart w:id="7374" w:name="_Toc49695812"/>
      <w:bookmarkStart w:id="7375" w:name="_Toc49695989"/>
      <w:bookmarkStart w:id="7376" w:name="_Toc49805515"/>
      <w:r>
        <w:rPr>
          <w:rFonts w:ascii="Times New Roman" w:hAnsi="Times New Roman" w:cs="Times New Roman"/>
          <w:i/>
          <w:iCs/>
          <w:noProof/>
          <w:sz w:val="24"/>
          <w:szCs w:val="24"/>
        </w:rPr>
        <w:t xml:space="preserve">Data analysis - </w:t>
      </w:r>
      <w:r>
        <w:rPr>
          <w:rFonts w:ascii="Times New Roman" w:eastAsia="Times New Roman" w:hAnsi="Times New Roman" w:cs="Times New Roman"/>
          <w:noProof/>
          <w:color w:val="000000"/>
          <w:sz w:val="24"/>
          <w:szCs w:val="24"/>
          <w:lang w:eastAsia="fr-FR"/>
        </w:rPr>
        <w:t xml:space="preserve">The analysis involved looking at </w:t>
      </w:r>
      <w:r>
        <w:rPr>
          <w:rFonts w:ascii="Times New Roman" w:eastAsia="Times New Roman" w:hAnsi="Times New Roman" w:cs="Times New Roman"/>
          <w:noProof/>
          <w:sz w:val="24"/>
          <w:szCs w:val="24"/>
          <w:lang w:eastAsia="fr-FR"/>
        </w:rPr>
        <w:t xml:space="preserve">gender pay gaps reported on the country level, for the whole workforce (univariate analyses) and for selected subgroups within countries (bivariate analyses). Bivariate relationships are likely to mask notable within-group heterogeneity. Multivariate analysis isolates the contributions of single factors to the overall gender pay gap, controlling for the contributions of other (statistically measurable) factors while univariate and bivariate analyses offer an helpful first overview. The three complementary aspects are all relevant for policy implications. The results are presented in </w:t>
      </w:r>
      <w:r>
        <w:rPr>
          <w:rFonts w:ascii="Times New Roman" w:eastAsia="Times New Roman" w:hAnsi="Times New Roman" w:cs="Times New Roman"/>
          <w:i/>
          <w:iCs/>
          <w:noProof/>
          <w:sz w:val="24"/>
          <w:szCs w:val="24"/>
          <w:lang w:eastAsia="fr-FR"/>
        </w:rPr>
        <w:t>Annex 5, section 2</w:t>
      </w:r>
      <w:r>
        <w:rPr>
          <w:rFonts w:ascii="Times New Roman" w:eastAsia="Times New Roman" w:hAnsi="Times New Roman" w:cs="Times New Roman"/>
          <w:noProof/>
          <w:sz w:val="24"/>
          <w:szCs w:val="24"/>
          <w:lang w:eastAsia="fr-FR"/>
        </w:rPr>
        <w:t>.</w:t>
      </w:r>
    </w:p>
    <w:p>
      <w:pPr>
        <w:pStyle w:val="Heading3"/>
        <w:numPr>
          <w:ilvl w:val="0"/>
          <w:numId w:val="56"/>
        </w:numPr>
        <w:ind w:left="426" w:hanging="426"/>
        <w:rPr>
          <w:b/>
          <w:noProof/>
        </w:rPr>
      </w:pPr>
      <w:bookmarkStart w:id="7377" w:name="_Toc49527906"/>
      <w:bookmarkStart w:id="7378" w:name="_Toc49530028"/>
      <w:bookmarkStart w:id="7379" w:name="_Toc49530692"/>
      <w:bookmarkStart w:id="7380" w:name="_Toc49532642"/>
      <w:bookmarkStart w:id="7381" w:name="_Toc49695814"/>
      <w:bookmarkStart w:id="7382" w:name="_Toc49695991"/>
      <w:bookmarkStart w:id="7383" w:name="_Toc49805517"/>
      <w:bookmarkEnd w:id="7370"/>
      <w:bookmarkEnd w:id="7371"/>
      <w:bookmarkEnd w:id="7372"/>
      <w:bookmarkEnd w:id="7373"/>
      <w:bookmarkEnd w:id="7374"/>
      <w:bookmarkEnd w:id="7375"/>
      <w:bookmarkEnd w:id="7376"/>
      <w:r>
        <w:rPr>
          <w:noProof/>
        </w:rPr>
        <w:t>Assessment of legal proposal</w:t>
      </w:r>
      <w:r>
        <w:rPr>
          <w:b/>
          <w:bCs/>
          <w:noProof/>
        </w:rPr>
        <w:t xml:space="preserve"> </w:t>
      </w:r>
      <w:r>
        <w:rPr>
          <w:noProof/>
        </w:rPr>
        <w:t>– methodology</w:t>
      </w:r>
      <w:bookmarkEnd w:id="7377"/>
      <w:bookmarkEnd w:id="7378"/>
      <w:bookmarkEnd w:id="7379"/>
      <w:bookmarkEnd w:id="7380"/>
      <w:bookmarkEnd w:id="7381"/>
      <w:bookmarkEnd w:id="7382"/>
      <w:bookmarkEnd w:id="7383"/>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Three assessment criteria guided the ex-ante evaluation of the envisaged transparency measures: a) </w:t>
      </w:r>
      <w:r>
        <w:rPr>
          <w:rFonts w:ascii="Times New Roman" w:hAnsi="Times New Roman" w:cs="Times New Roman"/>
          <w:i/>
          <w:iCs/>
          <w:noProof/>
          <w:sz w:val="24"/>
          <w:szCs w:val="24"/>
        </w:rPr>
        <w:t>effectiveness</w:t>
      </w:r>
      <w:r>
        <w:rPr>
          <w:rFonts w:ascii="Times New Roman" w:hAnsi="Times New Roman" w:cs="Times New Roman"/>
          <w:noProof/>
          <w:sz w:val="24"/>
          <w:szCs w:val="24"/>
        </w:rPr>
        <w:t xml:space="preserve"> (degree to which the options are likely to meet the initiative’s objectives), b) </w:t>
      </w:r>
      <w:r>
        <w:rPr>
          <w:rFonts w:ascii="Times New Roman" w:hAnsi="Times New Roman" w:cs="Times New Roman"/>
          <w:i/>
          <w:iCs/>
          <w:noProof/>
          <w:sz w:val="24"/>
          <w:szCs w:val="24"/>
        </w:rPr>
        <w:t>efficiency</w:t>
      </w:r>
      <w:r>
        <w:rPr>
          <w:rFonts w:ascii="Times New Roman" w:hAnsi="Times New Roman" w:cs="Times New Roman"/>
          <w:noProof/>
          <w:sz w:val="24"/>
          <w:szCs w:val="24"/>
        </w:rPr>
        <w:t xml:space="preserve"> (costs benefits and their distribution across stakeholders) and c) </w:t>
      </w:r>
      <w:r>
        <w:rPr>
          <w:rFonts w:ascii="Times New Roman" w:hAnsi="Times New Roman" w:cs="Times New Roman"/>
          <w:i/>
          <w:iCs/>
          <w:noProof/>
          <w:sz w:val="24"/>
          <w:szCs w:val="24"/>
        </w:rPr>
        <w:t>coherence</w:t>
      </w:r>
      <w:r>
        <w:rPr>
          <w:rFonts w:ascii="Times New Roman" w:hAnsi="Times New Roman" w:cs="Times New Roman"/>
          <w:noProof/>
          <w:sz w:val="24"/>
          <w:szCs w:val="24"/>
        </w:rPr>
        <w:t xml:space="preserve"> (with other main EU policies/legislation). The assessment took into account social and economic</w:t>
      </w:r>
      <w:r>
        <w:rPr>
          <w:rStyle w:val="FootnoteReference"/>
          <w:rFonts w:ascii="Times New Roman" w:hAnsi="Times New Roman" w:cs="Times New Roman"/>
          <w:noProof/>
          <w:sz w:val="24"/>
          <w:szCs w:val="24"/>
        </w:rPr>
        <w:footnoteReference w:id="209"/>
      </w:r>
      <w:r>
        <w:rPr>
          <w:rFonts w:ascii="Times New Roman" w:hAnsi="Times New Roman" w:cs="Times New Roman"/>
          <w:noProof/>
          <w:sz w:val="24"/>
          <w:szCs w:val="24"/>
        </w:rPr>
        <w:t xml:space="preserve"> impacts for different stakeholder groups and employer sizes. The necessary data and information was collected through an extensive literature review, interviews </w:t>
      </w:r>
      <w:r>
        <w:rPr>
          <w:rFonts w:ascii="Times New Roman" w:eastAsia="Times New Roman" w:hAnsi="Times New Roman" w:cs="Times New Roman"/>
          <w:noProof/>
          <w:color w:val="000000"/>
          <w:sz w:val="24"/>
          <w:szCs w:val="24"/>
          <w:lang w:eastAsia="fr-FR"/>
        </w:rPr>
        <w:t>with</w:t>
      </w:r>
      <w:r>
        <w:rPr>
          <w:rFonts w:ascii="Times New Roman" w:hAnsi="Times New Roman" w:cs="Times New Roman"/>
          <w:noProof/>
          <w:sz w:val="24"/>
          <w:szCs w:val="24"/>
        </w:rPr>
        <w:t xml:space="preserve"> stakeholders at the EU level, several analyses of data on the gender pay gap from the Eurostat Structure of Earnings Survey (SES), and country studies in all 27 EU member states, as well as specific data collection in Iceland, Norway, and Australia. </w:t>
      </w:r>
    </w:p>
    <w:p>
      <w:pPr>
        <w:jc w:val="both"/>
        <w:rPr>
          <w:rFonts w:ascii="Times New Roman" w:eastAsia="Times New Roman" w:hAnsi="Times New Roman" w:cs="Times New Roman"/>
          <w:noProof/>
          <w:sz w:val="24"/>
          <w:szCs w:val="24"/>
          <w:lang w:eastAsia="fr-FR"/>
        </w:rPr>
      </w:pPr>
      <w:r>
        <w:rPr>
          <w:rFonts w:ascii="Times New Roman" w:hAnsi="Times New Roman" w:cs="Times New Roman"/>
          <w:noProof/>
          <w:sz w:val="24"/>
          <w:szCs w:val="24"/>
        </w:rPr>
        <w:t xml:space="preserve">The </w:t>
      </w:r>
      <w:r>
        <w:rPr>
          <w:rFonts w:ascii="Times New Roman" w:eastAsia="Times New Roman" w:hAnsi="Times New Roman" w:cs="Times New Roman"/>
          <w:noProof/>
          <w:color w:val="000000"/>
          <w:sz w:val="24"/>
          <w:szCs w:val="24"/>
          <w:lang w:eastAsia="fr-FR"/>
        </w:rPr>
        <w:t>effectiveness</w:t>
      </w:r>
      <w:r>
        <w:rPr>
          <w:rFonts w:ascii="Times New Roman" w:hAnsi="Times New Roman" w:cs="Times New Roman"/>
          <w:noProof/>
          <w:sz w:val="24"/>
          <w:szCs w:val="24"/>
        </w:rPr>
        <w:t xml:space="preserve"> and institutional coherence have been explored using the conceptual framework of ‘feasibilities’ as developed by De Wispelaere and Noguera</w:t>
      </w:r>
      <w:r>
        <w:rPr>
          <w:rStyle w:val="FootnoteReference"/>
          <w:rFonts w:ascii="Times New Roman" w:hAnsi="Times New Roman" w:cs="Times New Roman"/>
          <w:noProof/>
          <w:sz w:val="24"/>
          <w:szCs w:val="24"/>
        </w:rPr>
        <w:footnoteReference w:id="210"/>
      </w:r>
      <w:r>
        <w:rPr>
          <w:rFonts w:ascii="Times New Roman" w:hAnsi="Times New Roman" w:cs="Times New Roman"/>
          <w:noProof/>
          <w:sz w:val="24"/>
          <w:szCs w:val="24"/>
        </w:rPr>
        <w:t xml:space="preserve">. </w:t>
      </w:r>
      <w:r>
        <w:rPr>
          <w:rFonts w:ascii="Times New Roman" w:eastAsia="Calibri" w:hAnsi="Times New Roman" w:cs="Times New Roman"/>
          <w:noProof/>
          <w:sz w:val="24"/>
          <w:szCs w:val="24"/>
        </w:rPr>
        <w:t xml:space="preserve">These ‘feasibilities’ are: Firstly, </w:t>
      </w:r>
      <w:r>
        <w:rPr>
          <w:rFonts w:ascii="Times New Roman" w:eastAsia="Calibri" w:hAnsi="Times New Roman" w:cs="Times New Roman"/>
          <w:i/>
          <w:iCs/>
          <w:noProof/>
          <w:sz w:val="24"/>
          <w:szCs w:val="24"/>
        </w:rPr>
        <w:t>strategic feasibility</w:t>
      </w:r>
      <w:r>
        <w:rPr>
          <w:rFonts w:ascii="Times New Roman" w:eastAsia="Calibri" w:hAnsi="Times New Roman" w:cs="Times New Roman"/>
          <w:noProof/>
          <w:sz w:val="24"/>
          <w:szCs w:val="24"/>
        </w:rPr>
        <w:t xml:space="preserve"> (i.e. political actors support for a given modality); secondly, </w:t>
      </w:r>
      <w:r>
        <w:rPr>
          <w:rFonts w:ascii="Times New Roman" w:eastAsia="Calibri" w:hAnsi="Times New Roman" w:cs="Times New Roman"/>
          <w:i/>
          <w:iCs/>
          <w:noProof/>
          <w:sz w:val="24"/>
          <w:szCs w:val="24"/>
        </w:rPr>
        <w:t>institutional feasibility</w:t>
      </w:r>
      <w:r>
        <w:rPr>
          <w:rFonts w:ascii="Times New Roman" w:eastAsia="Calibri" w:hAnsi="Times New Roman" w:cs="Times New Roman"/>
          <w:noProof/>
          <w:sz w:val="24"/>
          <w:szCs w:val="24"/>
        </w:rPr>
        <w:t xml:space="preserve"> (i.e. whether for the policy option to achieve its stated aims the existing policy framework would first need to be modified (coherence)); third </w:t>
      </w:r>
      <w:r>
        <w:rPr>
          <w:rFonts w:ascii="Times New Roman" w:eastAsia="Calibri" w:hAnsi="Times New Roman" w:cs="Times New Roman"/>
          <w:i/>
          <w:iCs/>
          <w:noProof/>
          <w:sz w:val="24"/>
          <w:szCs w:val="24"/>
        </w:rPr>
        <w:t>psychological feasibility</w:t>
      </w:r>
      <w:r>
        <w:rPr>
          <w:rFonts w:ascii="Times New Roman" w:eastAsia="Calibri" w:hAnsi="Times New Roman" w:cs="Times New Roman"/>
          <w:noProof/>
          <w:sz w:val="24"/>
          <w:szCs w:val="24"/>
        </w:rPr>
        <w:t xml:space="preserve"> (i.e. general public support); and f</w:t>
      </w:r>
      <w:r>
        <w:rPr>
          <w:rStyle w:val="eop"/>
          <w:rFonts w:ascii="Times New Roman" w:hAnsi="Times New Roman" w:cs="Times New Roman"/>
          <w:noProof/>
          <w:sz w:val="24"/>
          <w:szCs w:val="24"/>
        </w:rPr>
        <w:t>ina</w:t>
      </w:r>
      <w:r>
        <w:rPr>
          <w:rFonts w:ascii="Times New Roman" w:eastAsia="Calibri" w:hAnsi="Times New Roman" w:cs="Times New Roman"/>
          <w:noProof/>
          <w:sz w:val="24"/>
          <w:szCs w:val="24"/>
        </w:rPr>
        <w:t xml:space="preserve">lly, </w:t>
      </w:r>
      <w:r>
        <w:rPr>
          <w:rFonts w:ascii="Times New Roman" w:eastAsia="Calibri" w:hAnsi="Times New Roman" w:cs="Times New Roman"/>
          <w:i/>
          <w:iCs/>
          <w:noProof/>
          <w:sz w:val="24"/>
          <w:szCs w:val="24"/>
        </w:rPr>
        <w:t>behavioural feasibility</w:t>
      </w:r>
      <w:r>
        <w:rPr>
          <w:rFonts w:ascii="Times New Roman" w:eastAsia="Calibri" w:hAnsi="Times New Roman" w:cs="Times New Roman"/>
          <w:noProof/>
          <w:sz w:val="24"/>
          <w:szCs w:val="24"/>
        </w:rPr>
        <w:t xml:space="preserve"> (i.e. whether the behavioural incentives the policy would establish align with aims or </w:t>
      </w:r>
      <w:r>
        <w:rPr>
          <w:rStyle w:val="eop"/>
          <w:rFonts w:ascii="Times New Roman" w:hAnsi="Times New Roman" w:cs="Times New Roman"/>
          <w:noProof/>
          <w:sz w:val="24"/>
          <w:szCs w:val="24"/>
        </w:rPr>
        <w:t>undermine</w:t>
      </w:r>
      <w:r>
        <w:rPr>
          <w:rFonts w:ascii="Times New Roman" w:eastAsia="Calibri" w:hAnsi="Times New Roman" w:cs="Times New Roman"/>
          <w:noProof/>
          <w:sz w:val="24"/>
          <w:szCs w:val="24"/>
        </w:rPr>
        <w:t xml:space="preserve"> the viability of the policy (effectiveness)). </w:t>
      </w:r>
      <w:r>
        <w:rPr>
          <w:rFonts w:ascii="Times New Roman" w:eastAsia="Times New Roman" w:hAnsi="Times New Roman" w:cs="Times New Roman"/>
          <w:noProof/>
          <w:sz w:val="24"/>
          <w:szCs w:val="24"/>
          <w:lang w:eastAsia="fr-FR"/>
        </w:rPr>
        <w:t xml:space="preserve">These four types of political feasibility are interlinked with specific national constraints and agency that different actors possess in relation to novel policy development. </w:t>
      </w:r>
    </w:p>
    <w:p>
      <w:pPr>
        <w:jc w:val="both"/>
        <w:rPr>
          <w:rFonts w:ascii="Times New Roman" w:eastAsia="Times New Roman" w:hAnsi="Times New Roman" w:cs="Times New Roman"/>
          <w:noProof/>
          <w:sz w:val="24"/>
          <w:szCs w:val="24"/>
          <w:lang w:eastAsia="fr-FR"/>
        </w:rPr>
      </w:pPr>
      <w:r>
        <w:rPr>
          <w:rStyle w:val="normaltextrun"/>
          <w:rFonts w:ascii="Times New Roman" w:hAnsi="Times New Roman" w:cs="Times New Roman"/>
          <w:noProof/>
          <w:color w:val="000000"/>
          <w:sz w:val="24"/>
          <w:szCs w:val="24"/>
          <w:shd w:val="clear" w:color="auto" w:fill="FFFFFF"/>
        </w:rPr>
        <w:t xml:space="preserve">This framework allows to </w:t>
      </w:r>
      <w:r>
        <w:rPr>
          <w:rFonts w:eastAsia="Times New Roman"/>
          <w:noProof/>
          <w:lang w:eastAsia="fr-FR"/>
        </w:rPr>
        <w:t>consider</w:t>
      </w:r>
      <w:r>
        <w:rPr>
          <w:rStyle w:val="normaltextrun"/>
          <w:rFonts w:ascii="Times New Roman" w:hAnsi="Times New Roman" w:cs="Times New Roman"/>
          <w:noProof/>
          <w:color w:val="000000"/>
          <w:sz w:val="24"/>
          <w:szCs w:val="24"/>
          <w:shd w:val="clear" w:color="auto" w:fill="FFFFFF"/>
        </w:rPr>
        <w:t xml:space="preserve"> the coherence and effectiveness of policy measures in the context of heterogeneous availability of data and thus systematically analyse the constraints, possibilities and impacts at the national level. The constraints are considered both in a prospective way, i.e. the probability of adoption of the policy, and retrospectively, i.e. potential issues affecting the </w:t>
      </w:r>
      <w:r>
        <w:rPr>
          <w:rFonts w:ascii="Times New Roman" w:hAnsi="Times New Roman" w:cs="Times New Roman"/>
          <w:noProof/>
          <w:sz w:val="24"/>
          <w:szCs w:val="24"/>
        </w:rPr>
        <w:t>functioning</w:t>
      </w:r>
      <w:r>
        <w:rPr>
          <w:rStyle w:val="normaltextrun"/>
          <w:rFonts w:ascii="Times New Roman" w:hAnsi="Times New Roman" w:cs="Times New Roman"/>
          <w:noProof/>
          <w:color w:val="000000"/>
          <w:sz w:val="24"/>
          <w:szCs w:val="24"/>
          <w:shd w:val="clear" w:color="auto" w:fill="FFFFFF"/>
        </w:rPr>
        <w:t xml:space="preserve"> and resilience of the possible policy. The feasibility framework therefore provides a means of structuring the experts' analyses in a variety of contexts and states of national advancement in relation to pay transparency. Experts were thus able to assess pay transparency modalities in a systematic manner even with the limited development of such measures in some national contexts and relative absence of empirical evidence.</w:t>
      </w:r>
      <w:r>
        <w:rPr>
          <w:rStyle w:val="eop"/>
          <w:rFonts w:ascii="Times New Roman" w:hAnsi="Times New Roman" w:cs="Times New Roman"/>
          <w:noProof/>
          <w:color w:val="000000"/>
          <w:sz w:val="24"/>
          <w:szCs w:val="24"/>
          <w:shd w:val="clear" w:color="auto" w:fill="FFFFFF"/>
        </w:rPr>
        <w:t xml:space="preserve"> </w:t>
      </w:r>
      <w:r>
        <w:rPr>
          <w:rFonts w:ascii="Times New Roman" w:eastAsia="Times New Roman" w:hAnsi="Times New Roman" w:cs="Times New Roman"/>
          <w:noProof/>
          <w:sz w:val="24"/>
          <w:szCs w:val="24"/>
          <w:lang w:eastAsia="fr-FR"/>
        </w:rPr>
        <w:t xml:space="preserve">Finally, experts also offered insights on the interaction between the feasibilities at the national level and on the likely behaviours of different key stakeholders – workers, managers and HRM professionals, social partners and equality bodies and labour inspectorates. </w:t>
      </w:r>
    </w:p>
    <w:p>
      <w:pPr>
        <w:jc w:val="both"/>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 xml:space="preserve">Before the </w:t>
      </w:r>
      <w:r>
        <w:rPr>
          <w:rFonts w:ascii="Times New Roman" w:eastAsia="Times New Roman" w:hAnsi="Times New Roman" w:cs="Times New Roman"/>
          <w:noProof/>
          <w:color w:val="000000"/>
          <w:sz w:val="24"/>
          <w:szCs w:val="24"/>
          <w:lang w:eastAsia="fr-FR"/>
        </w:rPr>
        <w:t>actual</w:t>
      </w:r>
      <w:r>
        <w:rPr>
          <w:rFonts w:ascii="Times New Roman" w:eastAsia="Times New Roman" w:hAnsi="Times New Roman" w:cs="Times New Roman"/>
          <w:noProof/>
          <w:sz w:val="24"/>
          <w:szCs w:val="24"/>
          <w:lang w:eastAsia="fr-FR"/>
        </w:rPr>
        <w:t xml:space="preserve"> assessment of different options, a </w:t>
      </w:r>
      <w:r>
        <w:rPr>
          <w:rFonts w:ascii="Times New Roman" w:eastAsia="Times New Roman" w:hAnsi="Times New Roman" w:cs="Times New Roman"/>
          <w:b/>
          <w:bCs/>
          <w:noProof/>
          <w:sz w:val="24"/>
          <w:szCs w:val="24"/>
          <w:lang w:eastAsia="fr-FR"/>
        </w:rPr>
        <w:t>baseline</w:t>
      </w:r>
      <w:r>
        <w:rPr>
          <w:rFonts w:ascii="Times New Roman" w:eastAsia="Times New Roman" w:hAnsi="Times New Roman" w:cs="Times New Roman"/>
          <w:noProof/>
          <w:sz w:val="24"/>
          <w:szCs w:val="24"/>
          <w:lang w:eastAsia="fr-FR"/>
        </w:rPr>
        <w:t xml:space="preserve"> against which the impacts of those options could be assessed was developed. In democratic societies strategic feasibility depends on psychological feasibility – that is, political actors and general public support. This psychological feasibility also helps inform the assessment of the baseline scenario at the </w:t>
      </w:r>
      <w:r>
        <w:rPr>
          <w:rFonts w:ascii="Times New Roman" w:hAnsi="Times New Roman" w:cs="Times New Roman"/>
          <w:noProof/>
          <w:sz w:val="24"/>
          <w:szCs w:val="24"/>
        </w:rPr>
        <w:t>Member</w:t>
      </w:r>
      <w:r>
        <w:rPr>
          <w:rFonts w:ascii="Times New Roman" w:eastAsia="Times New Roman" w:hAnsi="Times New Roman" w:cs="Times New Roman"/>
          <w:noProof/>
          <w:sz w:val="24"/>
          <w:szCs w:val="24"/>
          <w:lang w:eastAsia="fr-FR"/>
        </w:rPr>
        <w:t xml:space="preserve"> State level in the case of no additional EU-level measures or actions. In addition, the Baseline scenario was elaborated by exploring the existing situation in Member States and their responses to the 2014 Recommendations as well as the economic environment and in particular, the potential consequences of the COVID crisis. </w:t>
      </w:r>
    </w:p>
    <w:p>
      <w:pPr>
        <w:jc w:val="both"/>
        <w:rPr>
          <w:rFonts w:ascii="Segoe UI" w:eastAsia="Times New Roman" w:hAnsi="Segoe UI" w:cs="Segoe UI"/>
          <w:noProof/>
          <w:sz w:val="18"/>
          <w:szCs w:val="18"/>
          <w:lang w:eastAsia="fr-FR"/>
        </w:rPr>
      </w:pPr>
      <w:r>
        <w:rPr>
          <w:rFonts w:ascii="Times New Roman" w:eastAsia="Times New Roman" w:hAnsi="Times New Roman" w:cs="Times New Roman"/>
          <w:noProof/>
          <w:sz w:val="24"/>
          <w:szCs w:val="24"/>
          <w:lang w:eastAsia="fr-FR"/>
        </w:rPr>
        <w:t xml:space="preserve">Drawing </w:t>
      </w:r>
      <w:r>
        <w:rPr>
          <w:rFonts w:ascii="Times New Roman" w:eastAsia="Times New Roman" w:hAnsi="Times New Roman" w:cs="Times New Roman"/>
          <w:noProof/>
          <w:color w:val="000000"/>
          <w:sz w:val="24"/>
          <w:szCs w:val="24"/>
          <w:lang w:eastAsia="fr-FR"/>
        </w:rPr>
        <w:t>upon</w:t>
      </w:r>
      <w:r>
        <w:rPr>
          <w:rFonts w:ascii="Times New Roman" w:eastAsia="Times New Roman" w:hAnsi="Times New Roman" w:cs="Times New Roman"/>
          <w:noProof/>
          <w:sz w:val="24"/>
          <w:szCs w:val="24"/>
          <w:lang w:eastAsia="fr-FR"/>
        </w:rPr>
        <w:t xml:space="preserve"> the Baseline Scenario each expert was required to score the overall desirability of a each modality and its overall feasibility (in relation to the national context) on a common grid. Further, each expert scored the coherence of the measure using the institutional and psychological feasibility for each of the stakeholders (8 measures in total). </w:t>
      </w:r>
      <w:r>
        <w:rPr>
          <w:rFonts w:ascii="Times New Roman" w:hAnsi="Times New Roman" w:cs="Times New Roman"/>
          <w:noProof/>
          <w:sz w:val="24"/>
          <w:szCs w:val="24"/>
        </w:rPr>
        <w:t>Similarly</w:t>
      </w:r>
      <w:r>
        <w:rPr>
          <w:rFonts w:ascii="Times New Roman" w:eastAsia="Times New Roman" w:hAnsi="Times New Roman" w:cs="Times New Roman"/>
          <w:noProof/>
          <w:sz w:val="24"/>
          <w:szCs w:val="24"/>
          <w:lang w:eastAsia="fr-FR"/>
        </w:rPr>
        <w:t>, in addition to the qualitative comments on the likely consequences of pay transparency measures, the effectiveness was scored by the expert for each of the stakeholder groups (4 measures). Expert scores varied from 1 to 5 low to high and this scoring system was used to construct indicators based on the averages across stakeholder groups both within and across countries. These indicators summarise the overall expert assessment for each measure and are reported below in relation to each of the Option 4 measures</w:t>
      </w:r>
      <w:r>
        <w:rPr>
          <w:rFonts w:ascii="Calibri" w:eastAsia="Times New Roman" w:hAnsi="Calibri" w:cs="Calibri"/>
          <w:noProof/>
          <w:sz w:val="24"/>
          <w:szCs w:val="24"/>
          <w:lang w:eastAsia="fr-FR"/>
        </w:rPr>
        <w:t xml:space="preserve">. </w:t>
      </w:r>
    </w:p>
    <w:p>
      <w:pPr>
        <w:jc w:val="both"/>
        <w:rPr>
          <w:rFonts w:ascii="Times New Roman" w:eastAsia="Calibri" w:hAnsi="Times New Roman" w:cs="Times New Roman"/>
          <w:noProof/>
          <w:sz w:val="24"/>
          <w:szCs w:val="24"/>
        </w:rPr>
      </w:pPr>
      <w:r>
        <w:rPr>
          <w:rFonts w:ascii="Times New Roman" w:eastAsia="Times New Roman" w:hAnsi="Times New Roman" w:cs="Times New Roman"/>
          <w:noProof/>
          <w:sz w:val="24"/>
          <w:szCs w:val="24"/>
          <w:lang w:eastAsia="fr-FR"/>
        </w:rPr>
        <w:t xml:space="preserve">As for the legal </w:t>
      </w:r>
      <w:r>
        <w:rPr>
          <w:rFonts w:ascii="Times New Roman" w:eastAsia="Times New Roman" w:hAnsi="Times New Roman" w:cs="Times New Roman"/>
          <w:noProof/>
          <w:color w:val="000000"/>
          <w:sz w:val="24"/>
          <w:szCs w:val="24"/>
          <w:lang w:eastAsia="fr-FR"/>
        </w:rPr>
        <w:t>coherence</w:t>
      </w:r>
      <w:r>
        <w:rPr>
          <w:rFonts w:ascii="Times New Roman" w:eastAsia="Times New Roman" w:hAnsi="Times New Roman" w:cs="Times New Roman"/>
          <w:noProof/>
          <w:sz w:val="24"/>
          <w:szCs w:val="24"/>
          <w:lang w:eastAsia="fr-FR"/>
        </w:rPr>
        <w:t xml:space="preserve">, the </w:t>
      </w:r>
      <w:r>
        <w:rPr>
          <w:rFonts w:ascii="Times New Roman" w:eastAsia="Times New Roman" w:hAnsi="Times New Roman" w:cs="Times New Roman"/>
          <w:b/>
          <w:bCs/>
          <w:noProof/>
          <w:sz w:val="24"/>
          <w:szCs w:val="24"/>
          <w:lang w:eastAsia="fr-FR"/>
        </w:rPr>
        <w:t>legal analysis</w:t>
      </w:r>
      <w:r>
        <w:rPr>
          <w:rFonts w:ascii="Times New Roman" w:eastAsia="Times New Roman" w:hAnsi="Times New Roman" w:cs="Times New Roman"/>
          <w:noProof/>
          <w:sz w:val="24"/>
          <w:szCs w:val="24"/>
          <w:lang w:eastAsia="fr-FR"/>
        </w:rPr>
        <w:t xml:space="preserve"> of measures addressing the lack of transparency focused on coherence with EU law and selected instruments of international law. It also inventorised obstacles as well as existing practices at the national level. </w:t>
      </w:r>
      <w:r>
        <w:rPr>
          <w:rFonts w:ascii="Times New Roman" w:eastAsia="Calibri" w:hAnsi="Times New Roman" w:cs="Times New Roman"/>
          <w:noProof/>
          <w:sz w:val="24"/>
          <w:szCs w:val="24"/>
        </w:rPr>
        <w:t>Legal coherence was assessed through a literature review and review of legal cases in particular in order to inventorise obstacles as well as existing practices at the national level. When assessing measures related to the lack of legal clarity, the legal analysis focused on the legal concepts of ‘equal pay’, ‘equal work’, ‘equal value’ and ‘comparator’. A separate analysis was conducted for compliance with the GDPR.</w:t>
      </w:r>
    </w:p>
    <w:p>
      <w:pPr>
        <w:jc w:val="both"/>
        <w:rPr>
          <w:rFonts w:ascii="Times New Roman" w:eastAsia="Times New Roman" w:hAnsi="Times New Roman" w:cs="Times New Roman"/>
          <w:noProof/>
          <w:sz w:val="24"/>
          <w:szCs w:val="24"/>
        </w:rPr>
      </w:pPr>
      <w:r>
        <w:rPr>
          <w:rFonts w:ascii="Times New Roman" w:eastAsia="Times New Roman" w:hAnsi="Times New Roman" w:cs="Times New Roman"/>
          <w:b/>
          <w:bCs/>
          <w:noProof/>
          <w:sz w:val="24"/>
          <w:szCs w:val="24"/>
        </w:rPr>
        <w:t>Procedural measures</w:t>
      </w:r>
      <w:r>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color w:val="000000"/>
          <w:sz w:val="24"/>
          <w:szCs w:val="24"/>
          <w:lang w:eastAsia="fr-FR"/>
        </w:rPr>
        <w:t>were</w:t>
      </w:r>
      <w:r>
        <w:rPr>
          <w:rFonts w:ascii="Times New Roman" w:eastAsia="Times New Roman" w:hAnsi="Times New Roman" w:cs="Times New Roman"/>
          <w:noProof/>
          <w:sz w:val="24"/>
          <w:szCs w:val="24"/>
        </w:rPr>
        <w:t xml:space="preserve"> assessed from a legal point of view. Their assessment looked at </w:t>
      </w:r>
      <w:r>
        <w:rPr>
          <w:rFonts w:ascii="Times New Roman" w:eastAsia="Times New Roman" w:hAnsi="Times New Roman" w:cs="Times New Roman"/>
          <w:noProof/>
          <w:sz w:val="24"/>
          <w:szCs w:val="24"/>
          <w:lang w:eastAsia="fr-FR"/>
        </w:rPr>
        <w:t>coherence</w:t>
      </w:r>
      <w:r>
        <w:rPr>
          <w:rFonts w:ascii="Times New Roman" w:eastAsia="Times New Roman" w:hAnsi="Times New Roman" w:cs="Times New Roman"/>
          <w:noProof/>
          <w:sz w:val="24"/>
          <w:szCs w:val="24"/>
        </w:rPr>
        <w:t xml:space="preserve"> with existing practice and legislation while identifying obstacles to the implementation. This assessment was based on literature review, existing case law, and experience of stakeholders concerned by enforcement of the equal pay principle. </w:t>
      </w:r>
    </w:p>
    <w:p>
      <w:pPr>
        <w:jc w:val="both"/>
        <w:rPr>
          <w:rFonts w:ascii="Times New Roman" w:eastAsia="Calibri" w:hAnsi="Times New Roman" w:cs="Times New Roman"/>
          <w:noProof/>
          <w:sz w:val="24"/>
          <w:szCs w:val="24"/>
        </w:rPr>
      </w:pPr>
      <w:r>
        <w:rPr>
          <w:rFonts w:ascii="Times New Roman" w:eastAsia="Times New Roman" w:hAnsi="Times New Roman" w:cs="Times New Roman"/>
          <w:noProof/>
          <w:sz w:val="24"/>
          <w:szCs w:val="24"/>
          <w:lang w:eastAsia="fr-FR"/>
        </w:rPr>
        <w:t xml:space="preserve">Finally, </w:t>
      </w:r>
      <w:r>
        <w:rPr>
          <w:rFonts w:ascii="Times New Roman" w:eastAsia="Calibri" w:hAnsi="Times New Roman" w:cs="Times New Roman"/>
          <w:b/>
          <w:bCs/>
          <w:noProof/>
          <w:sz w:val="24"/>
          <w:szCs w:val="24"/>
        </w:rPr>
        <w:t>c</w:t>
      </w:r>
      <w:r>
        <w:rPr>
          <w:rFonts w:ascii="Times New Roman" w:eastAsia="Times New Roman" w:hAnsi="Times New Roman" w:cs="Times New Roman"/>
          <w:b/>
          <w:bCs/>
          <w:noProof/>
          <w:sz w:val="24"/>
          <w:szCs w:val="24"/>
          <w:lang w:eastAsia="fr-FR"/>
        </w:rPr>
        <w:t>osts and benefits</w:t>
      </w:r>
      <w:r>
        <w:rPr>
          <w:rFonts w:ascii="Times New Roman" w:eastAsia="Times New Roman" w:hAnsi="Times New Roman" w:cs="Times New Roman"/>
          <w:noProof/>
          <w:sz w:val="24"/>
          <w:szCs w:val="24"/>
          <w:lang w:eastAsia="fr-FR"/>
        </w:rPr>
        <w:t xml:space="preserve"> </w:t>
      </w:r>
      <w:r>
        <w:rPr>
          <w:rFonts w:ascii="Times New Roman" w:eastAsia="Times New Roman" w:hAnsi="Times New Roman" w:cs="Times New Roman"/>
          <w:noProof/>
          <w:color w:val="000000"/>
          <w:sz w:val="24"/>
          <w:szCs w:val="24"/>
          <w:lang w:eastAsia="fr-FR"/>
        </w:rPr>
        <w:t>included</w:t>
      </w:r>
      <w:r>
        <w:rPr>
          <w:rFonts w:ascii="Times New Roman" w:eastAsia="Times New Roman" w:hAnsi="Times New Roman" w:cs="Times New Roman"/>
          <w:noProof/>
          <w:sz w:val="24"/>
          <w:szCs w:val="24"/>
          <w:lang w:eastAsia="fr-FR"/>
        </w:rPr>
        <w:t xml:space="preserve"> compliance and administrative costs for companies and economic and social impacts for all relevant stakeholder groups. </w:t>
      </w:r>
      <w:r>
        <w:rPr>
          <w:rFonts w:ascii="Times New Roman" w:eastAsia="Calibri" w:hAnsi="Times New Roman" w:cs="Times New Roman"/>
          <w:noProof/>
          <w:sz w:val="24"/>
          <w:szCs w:val="24"/>
        </w:rPr>
        <w:t xml:space="preserve">Specific attention was paid to a possible increase of </w:t>
      </w:r>
      <w:r>
        <w:rPr>
          <w:rFonts w:ascii="Times New Roman" w:eastAsia="Times New Roman" w:hAnsi="Times New Roman" w:cs="Times New Roman"/>
          <w:noProof/>
          <w:sz w:val="24"/>
          <w:szCs w:val="24"/>
          <w:lang w:eastAsia="fr-FR"/>
        </w:rPr>
        <w:t>compliance</w:t>
      </w:r>
      <w:r>
        <w:rPr>
          <w:rFonts w:ascii="Times New Roman" w:eastAsia="Calibri" w:hAnsi="Times New Roman" w:cs="Times New Roman"/>
          <w:noProof/>
          <w:sz w:val="24"/>
          <w:szCs w:val="24"/>
        </w:rPr>
        <w:t xml:space="preserve"> and administrative cost burdens on employers, as the Public Consultation supporting this study shows this to be one of the major arguments brought by businesses forward against introducing pay transparency measures. This assessment was also supported by a review of costs of existing measures carried out by Eurofound for this Impact Assessment (</w:t>
      </w:r>
      <w:r>
        <w:rPr>
          <w:rFonts w:ascii="Times New Roman" w:hAnsi="Times New Roman" w:cs="Times New Roman"/>
          <w:noProof/>
        </w:rPr>
        <w:t>Eurofound, 2020)</w:t>
      </w:r>
      <w:r>
        <w:rPr>
          <w:rFonts w:ascii="Times New Roman" w:eastAsia="Calibri" w:hAnsi="Times New Roman" w:cs="Times New Roman"/>
          <w:noProof/>
          <w:sz w:val="24"/>
          <w:szCs w:val="24"/>
        </w:rPr>
        <w:t xml:space="preserve">. </w:t>
      </w:r>
      <w:r>
        <w:rPr>
          <w:rStyle w:val="normaltextrun"/>
          <w:rFonts w:ascii="Times New Roman" w:hAnsi="Times New Roman" w:cs="Times New Roman"/>
          <w:noProof/>
          <w:color w:val="000000"/>
          <w:sz w:val="24"/>
          <w:szCs w:val="24"/>
          <w:bdr w:val="none" w:sz="0" w:space="0" w:color="auto" w:frame="1"/>
        </w:rPr>
        <w:t xml:space="preserve">The results of the multiple </w:t>
      </w:r>
      <w:r>
        <w:rPr>
          <w:rFonts w:ascii="Times New Roman" w:eastAsia="Calibri" w:hAnsi="Times New Roman" w:cs="Times New Roman"/>
          <w:noProof/>
          <w:sz w:val="24"/>
          <w:szCs w:val="24"/>
        </w:rPr>
        <w:t>perspectives – legal, economic, institutional – are integrated to provide a final overall assessment for each option.</w:t>
      </w:r>
    </w:p>
    <w:p>
      <w:pPr>
        <w:pStyle w:val="Heading3"/>
        <w:numPr>
          <w:ilvl w:val="0"/>
          <w:numId w:val="56"/>
        </w:numPr>
        <w:ind w:left="426" w:hanging="426"/>
        <w:rPr>
          <w:b/>
          <w:noProof/>
        </w:rPr>
      </w:pPr>
      <w:r>
        <w:rPr>
          <w:noProof/>
        </w:rPr>
        <w:t xml:space="preserve">Methodology for computing direct costs for companies </w:t>
      </w:r>
    </w:p>
    <w:p>
      <w:pPr>
        <w:keepNext/>
        <w:autoSpaceDE w:val="0"/>
        <w:autoSpaceDN w:val="0"/>
        <w:adjustRightInd w:val="0"/>
        <w:spacing w:after="120"/>
        <w:jc w:val="both"/>
        <w:rPr>
          <w:b/>
          <w:noProof/>
        </w:rPr>
      </w:pPr>
      <w:r>
        <w:rPr>
          <w:rFonts w:ascii="Times New Roman" w:hAnsi="Times New Roman"/>
          <w:noProof/>
          <w:sz w:val="24"/>
          <w:szCs w:val="24"/>
        </w:rPr>
        <w:t>The discussed above, the starting point of the analysis was a qualitative assessment of each measure looking at its feasibility, legal analysis and cost-benefit assessment</w:t>
      </w:r>
      <w:r>
        <w:rPr>
          <w:noProof/>
          <w:vertAlign w:val="superscript"/>
        </w:rPr>
        <w:footnoteReference w:id="211"/>
      </w:r>
      <w:r>
        <w:rPr>
          <w:rFonts w:ascii="Times New Roman" w:hAnsi="Times New Roman"/>
          <w:noProof/>
          <w:sz w:val="24"/>
          <w:szCs w:val="24"/>
        </w:rPr>
        <w:t xml:space="preserve">, stakeholders’ views gathered through the consultation process, studies by the Commission and the results of evaluations and impact assessments carried out in individual Member States. </w:t>
      </w:r>
      <w:r>
        <w:rPr>
          <w:rFonts w:ascii="Times New Roman" w:hAnsi="Times New Roman" w:cs="Times New Roman"/>
          <w:noProof/>
          <w:sz w:val="24"/>
          <w:szCs w:val="24"/>
        </w:rPr>
        <w:t>The computation was limited to pay transparency measures, since from the scoping exercise they were assessed as being those most likely to bear costs for employers, and bring biggest changes compared to the current situation in Member States. From a methodological point of view they are also the estimate most likely to be quantified with some degree of reliability.</w:t>
      </w:r>
    </w:p>
    <w:p>
      <w:pPr>
        <w:jc w:val="both"/>
        <w:rPr>
          <w:rFonts w:ascii="Times New Roman" w:hAnsi="Times New Roman" w:cs="Times New Roman"/>
          <w:noProof/>
          <w:sz w:val="24"/>
          <w:szCs w:val="24"/>
        </w:rPr>
      </w:pPr>
      <w:r>
        <w:rPr>
          <w:rFonts w:ascii="Times New Roman" w:hAnsi="Times New Roman" w:cs="Times New Roman"/>
          <w:noProof/>
          <w:sz w:val="24"/>
          <w:szCs w:val="24"/>
        </w:rPr>
        <w:t>A fully fledged cost-benefit analysis should in principle entail:</w:t>
      </w:r>
    </w:p>
    <w:p>
      <w:pPr>
        <w:pStyle w:val="ListParagraph"/>
        <w:numPr>
          <w:ilvl w:val="0"/>
          <w:numId w:val="20"/>
        </w:numPr>
        <w:spacing w:after="160" w:line="259" w:lineRule="auto"/>
        <w:jc w:val="both"/>
        <w:rPr>
          <w:rFonts w:ascii="Times New Roman" w:hAnsi="Times New Roman" w:cs="Times New Roman"/>
          <w:noProof/>
          <w:sz w:val="24"/>
          <w:szCs w:val="24"/>
        </w:rPr>
      </w:pPr>
      <w:r>
        <w:rPr>
          <w:rFonts w:ascii="Times New Roman" w:hAnsi="Times New Roman" w:cs="Times New Roman"/>
          <w:noProof/>
          <w:sz w:val="24"/>
          <w:szCs w:val="24"/>
        </w:rPr>
        <w:t>The mapping of all direct and indirect costs and benefits likely generated by the intervention (including distinguishing between one-off and recurring costs) for all stakeholders and in line with the intervention logic of each policy option</w:t>
      </w:r>
    </w:p>
    <w:p>
      <w:pPr>
        <w:pStyle w:val="ListParagraph"/>
        <w:numPr>
          <w:ilvl w:val="0"/>
          <w:numId w:val="20"/>
        </w:numPr>
        <w:spacing w:after="160" w:line="259" w:lineRule="auto"/>
        <w:jc w:val="both"/>
        <w:rPr>
          <w:rFonts w:ascii="Times New Roman" w:hAnsi="Times New Roman" w:cs="Times New Roman"/>
          <w:noProof/>
          <w:sz w:val="24"/>
          <w:szCs w:val="24"/>
        </w:rPr>
      </w:pPr>
      <w:r>
        <w:rPr>
          <w:rFonts w:ascii="Times New Roman" w:hAnsi="Times New Roman" w:cs="Times New Roman"/>
          <w:noProof/>
          <w:sz w:val="24"/>
          <w:szCs w:val="24"/>
        </w:rPr>
        <w:t>A suitable timeframe to discount the flow of costs and benefits over time</w:t>
      </w:r>
    </w:p>
    <w:p>
      <w:pPr>
        <w:jc w:val="both"/>
        <w:rPr>
          <w:rFonts w:ascii="Times New Roman" w:hAnsi="Times New Roman" w:cs="Times New Roman"/>
          <w:noProof/>
          <w:sz w:val="24"/>
          <w:szCs w:val="24"/>
        </w:rPr>
      </w:pPr>
      <w:r>
        <w:rPr>
          <w:rFonts w:ascii="Times New Roman" w:hAnsi="Times New Roman" w:cs="Times New Roman"/>
          <w:noProof/>
          <w:sz w:val="24"/>
          <w:szCs w:val="24"/>
          <w:lang w:val="en-IE"/>
        </w:rPr>
        <w:t>Such quantification exercises are very challenging with reference to this intitiative, given the great level of uncertainty surrounding the actual materialisation of costs and benefits of the different policy options (especially indirect/second order ones), as well as their size and direction. This is also acknowledged in the Better Regulation framework which states that within impact assessments ‘all relevant impacts should be assessed qualitatively and quantitatively whenever possible</w:t>
      </w:r>
      <w:r>
        <w:rPr>
          <w:rFonts w:ascii="Times New Roman" w:hAnsi="Times New Roman" w:cs="Times New Roman"/>
          <w:noProof/>
          <w:sz w:val="24"/>
          <w:szCs w:val="24"/>
          <w:vertAlign w:val="superscript"/>
          <w:lang w:val="en-IE"/>
        </w:rPr>
        <w:t xml:space="preserve"> </w:t>
      </w:r>
      <w:r>
        <w:rPr>
          <w:rFonts w:ascii="Times New Roman" w:hAnsi="Times New Roman" w:cs="Times New Roman"/>
          <w:noProof/>
          <w:sz w:val="24"/>
          <w:szCs w:val="24"/>
          <w:lang w:val="en-IE"/>
        </w:rPr>
        <w:t>(i.e. if they are susceptible of being quantitatively estimated through a sound methodology and if the required data exists and can be collected at a proportionate cost.). Quantification of impacts will not be possible in all cases […].’</w:t>
      </w:r>
      <w:r>
        <w:rPr>
          <w:rStyle w:val="FootnoteReference"/>
          <w:rFonts w:ascii="Times New Roman" w:hAnsi="Times New Roman" w:cs="Times New Roman"/>
          <w:noProof/>
          <w:sz w:val="24"/>
          <w:szCs w:val="24"/>
        </w:rPr>
        <w:footnoteReference w:id="212"/>
      </w:r>
      <w:r>
        <w:rPr>
          <w:rFonts w:ascii="Times New Roman" w:hAnsi="Times New Roman" w:cs="Times New Roman"/>
          <w:noProof/>
          <w:sz w:val="24"/>
          <w:szCs w:val="24"/>
          <w:lang w:val="en-IE"/>
        </w:rPr>
        <w:t xml:space="preserve"> </w:t>
      </w:r>
      <w:r>
        <w:rPr>
          <w:rFonts w:ascii="Times New Roman" w:hAnsi="Times New Roman" w:cs="Times New Roman"/>
          <w:noProof/>
          <w:sz w:val="24"/>
          <w:szCs w:val="24"/>
        </w:rPr>
        <w:t xml:space="preserve">Detailed calculations were performed narrowing down the scope to only to cover the direct costs to firms. This focus ensures greater reliability of estimates. Indirect, second-order effects such as changes to the wage-setting curve as well as corrective actions needed to ensure equal pay for work of equal value are assumed away.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final outcome of this exercise are the estimates reported in the following tables. They include the total direct costs by Member States and in the total EU-27 calculated based on disaggregated information and costs by firm-size (small, medium, large according to Eurostat definitions). Total direct costs are presented in the form of range of values to better reflect the variability in the forecasts whenever necessary. </w:t>
      </w:r>
    </w:p>
    <w:p>
      <w:pPr>
        <w:jc w:val="both"/>
        <w:rPr>
          <w:rFonts w:ascii="Times New Roman" w:hAnsi="Times New Roman" w:cs="Times New Roman"/>
          <w:noProof/>
          <w:sz w:val="24"/>
          <w:szCs w:val="24"/>
        </w:rPr>
      </w:pPr>
      <w:r>
        <w:rPr>
          <w:rFonts w:ascii="Times New Roman" w:hAnsi="Times New Roman" w:cs="Times New Roman"/>
          <w:noProof/>
          <w:sz w:val="24"/>
          <w:szCs w:val="24"/>
        </w:rPr>
        <w:t>The point of departure for the exercise is the equation below. It presents the Total costs calculated according to the formula:</w:t>
      </w:r>
    </w:p>
    <w:p>
      <w:pPr>
        <w:jc w:val="center"/>
        <w:rPr>
          <w:rFonts w:ascii="Times New Roman" w:hAnsi="Times New Roman" w:cs="Times New Roman"/>
          <w:noProof/>
          <w:sz w:val="24"/>
          <w:szCs w:val="24"/>
        </w:rPr>
      </w:pPr>
      <w:r>
        <w:rPr>
          <w:noProof/>
          <w:lang w:eastAsia="en-GB"/>
        </w:rPr>
        <w:drawing>
          <wp:inline distT="0" distB="0" distL="0" distR="0">
            <wp:extent cx="1466850" cy="666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25">
                      <a:extLst>
                        <a:ext uri="{28A0092B-C50C-407E-A947-70E740481C1C}">
                          <a14:useLocalDpi xmlns:a14="http://schemas.microsoft.com/office/drawing/2010/main" val="0"/>
                        </a:ext>
                      </a:extLst>
                    </a:blip>
                    <a:stretch>
                      <a:fillRect/>
                    </a:stretch>
                  </pic:blipFill>
                  <pic:spPr>
                    <a:xfrm>
                      <a:off x="0" y="0"/>
                      <a:ext cx="1466850" cy="666750"/>
                    </a:xfrm>
                    <a:prstGeom prst="rect">
                      <a:avLst/>
                    </a:prstGeom>
                  </pic:spPr>
                </pic:pic>
              </a:graphicData>
            </a:graphic>
          </wp:inline>
        </w:drawing>
      </w:r>
    </w:p>
    <w:p>
      <w:pPr>
        <w:jc w:val="both"/>
        <w:rPr>
          <w:rFonts w:ascii="Times New Roman" w:hAnsi="Times New Roman" w:cs="Times New Roman"/>
          <w:noProof/>
          <w:sz w:val="24"/>
          <w:szCs w:val="24"/>
        </w:rPr>
      </w:pPr>
      <w:r>
        <w:rPr>
          <w:rFonts w:ascii="Times New Roman" w:hAnsi="Times New Roman" w:cs="Times New Roman"/>
          <w:noProof/>
          <w:sz w:val="24"/>
          <w:szCs w:val="24"/>
        </w:rPr>
        <w:t>Where</w:t>
      </w:r>
    </w:p>
    <w:p>
      <w:pPr>
        <w:ind w:left="708"/>
        <w:contextualSpacing/>
        <w:jc w:val="both"/>
        <w:rPr>
          <w:rFonts w:ascii="Times New Roman" w:hAnsi="Times New Roman" w:cs="Times New Roman"/>
          <w:noProof/>
          <w:sz w:val="24"/>
          <w:szCs w:val="24"/>
        </w:rPr>
      </w:pPr>
      <w:r>
        <w:rPr>
          <w:rFonts w:ascii="Times New Roman" w:hAnsi="Times New Roman" w:cs="Times New Roman"/>
          <w:noProof/>
          <w:sz w:val="24"/>
          <w:szCs w:val="24"/>
        </w:rPr>
        <w:t>C = Hourly cost of work inputs needed for fulfilling the possible option requirements by one firm of a given size in a given Member State</w:t>
      </w:r>
    </w:p>
    <w:p>
      <w:pPr>
        <w:ind w:left="708"/>
        <w:contextualSpacing/>
        <w:jc w:val="both"/>
        <w:rPr>
          <w:rFonts w:ascii="Times New Roman" w:hAnsi="Times New Roman" w:cs="Times New Roman"/>
          <w:noProof/>
          <w:sz w:val="24"/>
          <w:szCs w:val="24"/>
        </w:rPr>
      </w:pPr>
      <w:r>
        <w:rPr>
          <w:rFonts w:ascii="Times New Roman" w:hAnsi="Times New Roman" w:cs="Times New Roman"/>
          <w:noProof/>
          <w:sz w:val="24"/>
          <w:szCs w:val="24"/>
        </w:rPr>
        <w:t>N = Hours of work needed for each inputs to fulfill the possible requirements by one firm of a given size n in a given Member State</w:t>
      </w:r>
    </w:p>
    <w:p>
      <w:pPr>
        <w:contextualSpacing/>
        <w:jc w:val="both"/>
        <w:rPr>
          <w:rFonts w:ascii="Times New Roman" w:hAnsi="Times New Roman" w:cs="Times New Roman"/>
          <w:noProof/>
          <w:sz w:val="24"/>
          <w:szCs w:val="24"/>
        </w:rPr>
      </w:pPr>
      <w:r>
        <w:rPr>
          <w:rFonts w:ascii="Times New Roman" w:hAnsi="Times New Roman" w:cs="Times New Roman"/>
          <w:noProof/>
          <w:sz w:val="24"/>
          <w:szCs w:val="24"/>
        </w:rPr>
        <w:tab/>
        <w:t>A = the total number of firms existing in each Member State for each size</w:t>
      </w:r>
    </w:p>
    <w:p>
      <w:pPr>
        <w:contextualSpacing/>
        <w:jc w:val="both"/>
        <w:rPr>
          <w:rFonts w:ascii="Times New Roman" w:hAnsi="Times New Roman" w:cs="Times New Roman"/>
          <w:noProof/>
          <w:sz w:val="24"/>
          <w:szCs w:val="24"/>
        </w:rPr>
      </w:pPr>
      <w:r>
        <w:rPr>
          <w:rFonts w:ascii="Times New Roman" w:hAnsi="Times New Roman" w:cs="Times New Roman"/>
          <w:noProof/>
          <w:sz w:val="24"/>
          <w:szCs w:val="24"/>
        </w:rPr>
        <w:tab/>
        <w:t>i = the number of the considered inputs</w:t>
      </w:r>
    </w:p>
    <w:p>
      <w:pPr>
        <w:contextualSpacing/>
        <w:jc w:val="both"/>
        <w:rPr>
          <w:noProof/>
        </w:rPr>
      </w:pPr>
    </w:p>
    <w:p>
      <w:pPr>
        <w:jc w:val="both"/>
        <w:rPr>
          <w:rFonts w:ascii="Times New Roman" w:hAnsi="Times New Roman" w:cs="Times New Roman"/>
          <w:noProof/>
          <w:sz w:val="24"/>
          <w:szCs w:val="24"/>
        </w:rPr>
      </w:pPr>
      <w:r>
        <w:rPr>
          <w:rFonts w:ascii="Times New Roman" w:hAnsi="Times New Roman" w:cs="Times New Roman"/>
          <w:noProof/>
          <w:sz w:val="24"/>
          <w:szCs w:val="24"/>
        </w:rPr>
        <w:t>To estimate the direct costs, the following steps were carried out:</w:t>
      </w:r>
    </w:p>
    <w:p>
      <w:pPr>
        <w:pStyle w:val="ListParagraph"/>
        <w:numPr>
          <w:ilvl w:val="0"/>
          <w:numId w:val="21"/>
        </w:numPr>
        <w:spacing w:after="160" w:line="259" w:lineRule="auto"/>
        <w:jc w:val="both"/>
        <w:rPr>
          <w:rFonts w:ascii="Times New Roman" w:hAnsi="Times New Roman" w:cs="Times New Roman"/>
          <w:noProof/>
          <w:sz w:val="24"/>
          <w:szCs w:val="24"/>
        </w:rPr>
      </w:pPr>
      <w:r>
        <w:rPr>
          <w:rFonts w:ascii="Times New Roman" w:hAnsi="Times New Roman" w:cs="Times New Roman"/>
          <w:b/>
          <w:bCs/>
          <w:noProof/>
          <w:sz w:val="24"/>
          <w:szCs w:val="24"/>
        </w:rPr>
        <w:t>A mapping of direct costs</w:t>
      </w:r>
      <w:r>
        <w:rPr>
          <w:rFonts w:ascii="Times New Roman" w:hAnsi="Times New Roman" w:cs="Times New Roman"/>
          <w:noProof/>
          <w:sz w:val="24"/>
          <w:szCs w:val="24"/>
        </w:rPr>
        <w:t xml:space="preserve">, identified based on information from a few Member States which have already implemented similar measures and then transformed into EU level averages (in the form of ranges whenever necessary). To this end, current experiences e.g. with the pay reports, pay audits etc in some Member States and their costs were reviewed in detail to ensure that only the costs which are directly entailed by the (‘direct costs’) Directive are attributed to it across the different policy options. This means that we excluded any additional burden likely generated by the way in which Member States have implemented, say, a pay report measure which does not necessarily stem from the text of the policy options discussed in this study and their modalities. All costs have been harmonised as hours of work necessary to carry out the different activities. This ensures a comparatively homogeneous basis for consistent cross-country estimations. </w:t>
      </w:r>
    </w:p>
    <w:p>
      <w:pPr>
        <w:pStyle w:val="ListParagraph"/>
        <w:numPr>
          <w:ilvl w:val="0"/>
          <w:numId w:val="21"/>
        </w:numPr>
        <w:spacing w:after="160" w:line="259" w:lineRule="auto"/>
        <w:ind w:left="714" w:hanging="357"/>
        <w:jc w:val="both"/>
        <w:rPr>
          <w:rFonts w:ascii="Times New Roman" w:hAnsi="Times New Roman" w:cs="Times New Roman"/>
          <w:noProof/>
          <w:sz w:val="24"/>
          <w:szCs w:val="24"/>
        </w:rPr>
      </w:pPr>
      <w:r>
        <w:rPr>
          <w:rFonts w:ascii="Times New Roman" w:hAnsi="Times New Roman" w:cs="Times New Roman"/>
          <w:b/>
          <w:bCs/>
          <w:noProof/>
          <w:sz w:val="24"/>
          <w:szCs w:val="24"/>
        </w:rPr>
        <w:t>A customisation of costs by firm size</w:t>
      </w:r>
      <w:r>
        <w:rPr>
          <w:rFonts w:ascii="Times New Roman" w:hAnsi="Times New Roman" w:cs="Times New Roman"/>
          <w:noProof/>
          <w:sz w:val="24"/>
          <w:szCs w:val="24"/>
        </w:rPr>
        <w:t xml:space="preserve">. In general, unit costs are assumed to grow along with firm size given the increasing complexity of the phenomena under observation, but at a decreasing pace (decreasing marginal costs), in line with the standardisation of procedures and materialisation of economies of scale. The starting point for this differentiation remains that of existing experiences with the few Member States having already experimented measures which resemble those suggested by the different policy options. The fact that enterprises of different sizes have been interviewed allow to construct a progression of costs throughout different size classes. </w:t>
      </w:r>
    </w:p>
    <w:p>
      <w:pPr>
        <w:pStyle w:val="ListParagraph"/>
        <w:numPr>
          <w:ilvl w:val="0"/>
          <w:numId w:val="21"/>
        </w:numPr>
        <w:spacing w:after="160" w:line="259" w:lineRule="auto"/>
        <w:jc w:val="both"/>
        <w:rPr>
          <w:rFonts w:ascii="Times New Roman" w:hAnsi="Times New Roman" w:cs="Times New Roman"/>
          <w:noProof/>
          <w:sz w:val="24"/>
          <w:szCs w:val="24"/>
        </w:rPr>
      </w:pPr>
      <w:r>
        <w:rPr>
          <w:rFonts w:ascii="Times New Roman" w:hAnsi="Times New Roman" w:cs="Times New Roman"/>
          <w:b/>
          <w:bCs/>
          <w:noProof/>
          <w:sz w:val="24"/>
          <w:szCs w:val="24"/>
        </w:rPr>
        <w:t>A customisation of costs at the Member States level</w:t>
      </w:r>
      <w:r>
        <w:rPr>
          <w:rFonts w:ascii="Times New Roman" w:hAnsi="Times New Roman" w:cs="Times New Roman"/>
          <w:noProof/>
          <w:sz w:val="24"/>
          <w:szCs w:val="24"/>
        </w:rPr>
        <w:t>, according to three main elements:</w:t>
      </w:r>
    </w:p>
    <w:p>
      <w:pPr>
        <w:pStyle w:val="ListParagraph"/>
        <w:numPr>
          <w:ilvl w:val="1"/>
          <w:numId w:val="21"/>
        </w:numPr>
        <w:spacing w:after="160" w:line="259" w:lineRule="auto"/>
        <w:jc w:val="both"/>
        <w:rPr>
          <w:rFonts w:ascii="Times New Roman" w:hAnsi="Times New Roman" w:cs="Times New Roman"/>
          <w:noProof/>
          <w:sz w:val="24"/>
          <w:szCs w:val="24"/>
        </w:rPr>
      </w:pPr>
      <w:r>
        <w:rPr>
          <w:rFonts w:ascii="Times New Roman" w:hAnsi="Times New Roman" w:cs="Times New Roman"/>
          <w:b/>
          <w:bCs/>
          <w:noProof/>
          <w:sz w:val="24"/>
          <w:szCs w:val="24"/>
        </w:rPr>
        <w:t>Additionality of the costs that might be generated in each</w:t>
      </w:r>
      <w:r>
        <w:rPr>
          <w:noProof/>
        </w:rPr>
        <w:t xml:space="preserve"> </w:t>
      </w:r>
      <w:r>
        <w:rPr>
          <w:rFonts w:ascii="Times New Roman" w:hAnsi="Times New Roman" w:cs="Times New Roman"/>
          <w:b/>
          <w:bCs/>
          <w:noProof/>
          <w:sz w:val="24"/>
          <w:szCs w:val="24"/>
        </w:rPr>
        <w:t>Member State</w:t>
      </w:r>
      <w:r>
        <w:rPr>
          <w:rFonts w:ascii="Times New Roman" w:hAnsi="Times New Roman" w:cs="Times New Roman"/>
          <w:noProof/>
          <w:sz w:val="24"/>
          <w:szCs w:val="24"/>
        </w:rPr>
        <w:t>, that is, the actual additional costs entailed to comply with the Directive’s requirements with respect to the existing framework in each Member State. The key consideration here is that baselines differ among Member States. For instance, in Italy there is an obligation to produce pay transparency reports that is line with Sub-option 2B, but it is limited to companies with over 100 employees. In such case, the cost of complying is zero for all firms except those with less than 100 employees.</w:t>
      </w:r>
    </w:p>
    <w:p>
      <w:pPr>
        <w:pStyle w:val="ListParagraph"/>
        <w:numPr>
          <w:ilvl w:val="1"/>
          <w:numId w:val="21"/>
        </w:numPr>
        <w:spacing w:after="160" w:line="259" w:lineRule="auto"/>
        <w:jc w:val="both"/>
        <w:rPr>
          <w:rFonts w:ascii="Times New Roman" w:hAnsi="Times New Roman" w:cs="Times New Roman"/>
          <w:noProof/>
          <w:sz w:val="24"/>
          <w:szCs w:val="24"/>
        </w:rPr>
      </w:pPr>
      <w:r>
        <w:rPr>
          <w:rFonts w:ascii="Times New Roman" w:hAnsi="Times New Roman" w:cs="Times New Roman"/>
          <w:b/>
          <w:bCs/>
          <w:noProof/>
          <w:sz w:val="24"/>
          <w:szCs w:val="24"/>
        </w:rPr>
        <w:t xml:space="preserve">Differences in labour costs: </w:t>
      </w:r>
      <w:r>
        <w:rPr>
          <w:rFonts w:ascii="Times New Roman" w:hAnsi="Times New Roman" w:cs="Times New Roman"/>
          <w:noProof/>
          <w:sz w:val="24"/>
          <w:szCs w:val="24"/>
        </w:rPr>
        <w:t>labour costs might differ substantially in different member states, and so might the cost of specific services (e.g. pay audits). As the main driver of these costs is essentially the hourly cost of labour, we used such information</w:t>
      </w:r>
      <w:r>
        <w:rPr>
          <w:rStyle w:val="FootnoteReference"/>
          <w:rFonts w:ascii="Times New Roman" w:hAnsi="Times New Roman" w:cs="Times New Roman"/>
          <w:noProof/>
          <w:sz w:val="24"/>
          <w:szCs w:val="24"/>
        </w:rPr>
        <w:footnoteReference w:id="213"/>
      </w:r>
      <w:r>
        <w:rPr>
          <w:rFonts w:ascii="Times New Roman" w:hAnsi="Times New Roman" w:cs="Times New Roman"/>
          <w:noProof/>
          <w:sz w:val="24"/>
          <w:szCs w:val="24"/>
        </w:rPr>
        <w:t xml:space="preserve"> to monetise the cost of the hours of work needed to comply with the directive requirements across the different policy options.</w:t>
      </w:r>
    </w:p>
    <w:p>
      <w:pPr>
        <w:pStyle w:val="ListParagraph"/>
        <w:numPr>
          <w:ilvl w:val="1"/>
          <w:numId w:val="21"/>
        </w:numPr>
        <w:spacing w:after="160" w:line="259" w:lineRule="auto"/>
        <w:jc w:val="both"/>
        <w:rPr>
          <w:rFonts w:ascii="Times New Roman" w:hAnsi="Times New Roman" w:cs="Times New Roman"/>
          <w:noProof/>
          <w:sz w:val="24"/>
          <w:szCs w:val="24"/>
        </w:rPr>
      </w:pPr>
      <w:r>
        <w:rPr>
          <w:rFonts w:ascii="Times New Roman" w:hAnsi="Times New Roman" w:cs="Times New Roman"/>
          <w:b/>
          <w:bCs/>
          <w:noProof/>
          <w:sz w:val="24"/>
          <w:szCs w:val="24"/>
        </w:rPr>
        <w:t>The complexity of the labour law and payroll arrangements</w:t>
      </w:r>
      <w:r>
        <w:rPr>
          <w:rFonts w:ascii="Times New Roman" w:hAnsi="Times New Roman" w:cs="Times New Roman"/>
          <w:noProof/>
          <w:sz w:val="24"/>
          <w:szCs w:val="24"/>
        </w:rPr>
        <w:t>: this is proxied, especially for costs linked to in-depth audit and analyses, by the international tax competitiveness index, and particularly the average hours needed for businesses to comply with Labour taxes in 2018</w:t>
      </w:r>
      <w:r>
        <w:rPr>
          <w:rStyle w:val="FootnoteReference"/>
          <w:rFonts w:ascii="Times New Roman" w:hAnsi="Times New Roman" w:cs="Times New Roman"/>
          <w:noProof/>
          <w:sz w:val="24"/>
          <w:szCs w:val="24"/>
        </w:rPr>
        <w:footnoteReference w:id="214"/>
      </w:r>
      <w:r>
        <w:rPr>
          <w:rFonts w:ascii="Times New Roman" w:hAnsi="Times New Roman" w:cs="Times New Roman"/>
          <w:noProof/>
          <w:sz w:val="24"/>
          <w:szCs w:val="24"/>
        </w:rPr>
        <w:t>.</w:t>
      </w:r>
    </w:p>
    <w:p>
      <w:pPr>
        <w:pStyle w:val="ListParagraph"/>
        <w:spacing w:after="160" w:line="259" w:lineRule="auto"/>
        <w:ind w:left="1440"/>
        <w:jc w:val="both"/>
        <w:rPr>
          <w:rFonts w:ascii="Times New Roman" w:hAnsi="Times New Roman" w:cs="Times New Roman"/>
          <w:noProof/>
          <w:sz w:val="24"/>
          <w:szCs w:val="24"/>
        </w:rPr>
      </w:pPr>
    </w:p>
    <w:p>
      <w:pPr>
        <w:pStyle w:val="ListParagraph"/>
        <w:numPr>
          <w:ilvl w:val="0"/>
          <w:numId w:val="21"/>
        </w:numPr>
        <w:spacing w:after="160" w:line="259" w:lineRule="auto"/>
        <w:jc w:val="both"/>
        <w:rPr>
          <w:rFonts w:ascii="Times New Roman" w:hAnsi="Times New Roman" w:cs="Times New Roman"/>
          <w:noProof/>
          <w:sz w:val="24"/>
          <w:szCs w:val="24"/>
        </w:rPr>
      </w:pPr>
      <w:r>
        <w:rPr>
          <w:rFonts w:ascii="Times New Roman" w:hAnsi="Times New Roman" w:cs="Times New Roman"/>
          <w:b/>
          <w:bCs/>
          <w:noProof/>
          <w:sz w:val="24"/>
          <w:szCs w:val="24"/>
        </w:rPr>
        <w:t xml:space="preserve">Aggregation of costs at the Member State Level. </w:t>
      </w:r>
      <w:r>
        <w:rPr>
          <w:rFonts w:ascii="Times New Roman" w:hAnsi="Times New Roman" w:cs="Times New Roman"/>
          <w:noProof/>
          <w:sz w:val="24"/>
          <w:szCs w:val="24"/>
        </w:rPr>
        <w:t>EU level averages of costs by policy option at the firm level have then been calculated by firm size and contextual</w:t>
      </w:r>
      <w:r>
        <w:rPr>
          <w:noProof/>
        </w:rPr>
        <w:t xml:space="preserve"> </w:t>
      </w:r>
      <w:r>
        <w:rPr>
          <w:rFonts w:ascii="Times New Roman" w:hAnsi="Times New Roman" w:cs="Times New Roman"/>
          <w:noProof/>
          <w:sz w:val="24"/>
          <w:szCs w:val="24"/>
        </w:rPr>
        <w:t>Member State factors as per point 2 and 3. These averages have been multiplied by the number of firms per each size class in each Member State.</w:t>
      </w:r>
      <w:r>
        <w:rPr>
          <w:rStyle w:val="FootnoteReference"/>
          <w:rFonts w:ascii="Times New Roman" w:hAnsi="Times New Roman" w:cs="Times New Roman"/>
          <w:noProof/>
          <w:sz w:val="24"/>
          <w:szCs w:val="24"/>
        </w:rPr>
        <w:footnoteReference w:id="215"/>
      </w:r>
    </w:p>
    <w:p>
      <w:pPr>
        <w:pStyle w:val="ListParagraph"/>
        <w:rPr>
          <w:rFonts w:ascii="Times New Roman" w:hAnsi="Times New Roman" w:cs="Times New Roman"/>
          <w:noProof/>
          <w:sz w:val="24"/>
          <w:szCs w:val="24"/>
        </w:rPr>
      </w:pPr>
      <w:r>
        <w:rPr>
          <w:rFonts w:ascii="Times New Roman" w:hAnsi="Times New Roman" w:cs="Times New Roman"/>
          <w:noProof/>
          <w:sz w:val="24"/>
          <w:szCs w:val="24"/>
        </w:rPr>
        <w:t>From the outset, a distinction was made between one-off costs and recurring ones. This distinction resulted into two different tables being produced:</w:t>
      </w:r>
    </w:p>
    <w:p>
      <w:pPr>
        <w:pStyle w:val="ListParagraph"/>
        <w:numPr>
          <w:ilvl w:val="1"/>
          <w:numId w:val="20"/>
        </w:numPr>
        <w:spacing w:after="160" w:line="259" w:lineRule="auto"/>
        <w:rPr>
          <w:rFonts w:ascii="Times New Roman" w:hAnsi="Times New Roman" w:cs="Times New Roman"/>
          <w:noProof/>
          <w:sz w:val="24"/>
          <w:szCs w:val="24"/>
        </w:rPr>
      </w:pPr>
      <w:r>
        <w:rPr>
          <w:rFonts w:ascii="Times New Roman" w:hAnsi="Times New Roman" w:cs="Times New Roman"/>
          <w:noProof/>
          <w:sz w:val="24"/>
          <w:szCs w:val="24"/>
        </w:rPr>
        <w:t>Costs for the first year (one-off costs + recurring costs for the first year), which include the typical familiarisation, training, software adaptation and design costs</w:t>
      </w:r>
    </w:p>
    <w:p>
      <w:pPr>
        <w:pStyle w:val="ListParagraph"/>
        <w:numPr>
          <w:ilvl w:val="1"/>
          <w:numId w:val="20"/>
        </w:numPr>
        <w:spacing w:after="160" w:line="259" w:lineRule="auto"/>
        <w:rPr>
          <w:rFonts w:ascii="Times New Roman" w:hAnsi="Times New Roman" w:cs="Times New Roman"/>
          <w:noProof/>
          <w:sz w:val="24"/>
          <w:szCs w:val="24"/>
        </w:rPr>
      </w:pPr>
      <w:r>
        <w:rPr>
          <w:rFonts w:ascii="Times New Roman" w:hAnsi="Times New Roman" w:cs="Times New Roman"/>
          <w:noProof/>
          <w:sz w:val="24"/>
          <w:szCs w:val="24"/>
        </w:rPr>
        <w:t>Cost for the subsequent years (only recurring costs).</w:t>
      </w:r>
    </w:p>
    <w:p>
      <w:pPr>
        <w:spacing w:line="240" w:lineRule="auto"/>
        <w:rPr>
          <w:rFonts w:ascii="Times New Roman" w:hAnsi="Times New Roman" w:cs="Times New Roman"/>
          <w:noProof/>
          <w:sz w:val="24"/>
          <w:szCs w:val="24"/>
        </w:rPr>
      </w:pPr>
      <w:r>
        <w:rPr>
          <w:rFonts w:ascii="Times New Roman" w:hAnsi="Times New Roman" w:cs="Times New Roman"/>
          <w:noProof/>
          <w:sz w:val="24"/>
          <w:szCs w:val="24"/>
        </w:rPr>
        <w:t xml:space="preserve">The results of the calculations are presented in </w:t>
      </w:r>
      <w:r>
        <w:rPr>
          <w:rFonts w:ascii="Times New Roman" w:hAnsi="Times New Roman" w:cs="Times New Roman"/>
          <w:i/>
          <w:iCs/>
          <w:noProof/>
          <w:sz w:val="24"/>
          <w:szCs w:val="24"/>
        </w:rPr>
        <w:t>Annex 5</w:t>
      </w:r>
      <w:r>
        <w:rPr>
          <w:rFonts w:ascii="Times New Roman" w:hAnsi="Times New Roman" w:cs="Times New Roman"/>
          <w:noProof/>
          <w:sz w:val="24"/>
          <w:szCs w:val="24"/>
        </w:rPr>
        <w:t xml:space="preserve">, </w:t>
      </w:r>
      <w:r>
        <w:rPr>
          <w:rFonts w:ascii="Times New Roman" w:hAnsi="Times New Roman" w:cs="Times New Roman"/>
          <w:i/>
          <w:iCs/>
          <w:noProof/>
          <w:sz w:val="24"/>
          <w:szCs w:val="24"/>
        </w:rPr>
        <w:t>section 11</w:t>
      </w:r>
      <w:r>
        <w:rPr>
          <w:rFonts w:ascii="Times New Roman" w:hAnsi="Times New Roman" w:cs="Times New Roman"/>
          <w:noProof/>
          <w:sz w:val="24"/>
          <w:szCs w:val="24"/>
        </w:rPr>
        <w:t>.</w:t>
      </w:r>
    </w:p>
    <w:p>
      <w:pPr>
        <w:pStyle w:val="Heading3"/>
        <w:numPr>
          <w:ilvl w:val="0"/>
          <w:numId w:val="56"/>
        </w:numPr>
        <w:ind w:left="426" w:hanging="426"/>
        <w:rPr>
          <w:b/>
          <w:noProof/>
        </w:rPr>
      </w:pPr>
      <w:r>
        <w:rPr>
          <w:i w:val="0"/>
          <w:noProof/>
        </w:rPr>
        <w:t>Estimated impacts on household income distribution, inequality, poverty risk and government budgets based on the EUROMOD microsimulation model</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estimates of the impacts of reducing the adjusted gender pay gap (AGPG) on household income distribution, inequality, poverty risk and on government budgets of reducing the AGPG are obtained with the EU-microsimulation model EUROMOD model.  EUROMOD is the European Union tax-benefit microsimulation model (see https://euromod-web.jrc.ec.europa.eu/about/what-is-euromod). EUROMOD combines country-specific coded policy rules with representative household microdata (mainly from the European Union Statistics on Income and Living Conditions database, EU-SILC 2018 for this exercise, which refers to 2017 incomes). and its underlying microdata based on EU-SILC 2018 (which refers to 2017 incomes). </w:t>
      </w:r>
    </w:p>
    <w:p>
      <w:pPr>
        <w:jc w:val="both"/>
        <w:rPr>
          <w:rFonts w:ascii="Times New Roman" w:hAnsi="Times New Roman" w:cs="Times New Roman"/>
          <w:noProof/>
          <w:sz w:val="24"/>
          <w:szCs w:val="24"/>
        </w:rPr>
      </w:pPr>
      <w:r>
        <w:rPr>
          <w:rFonts w:ascii="Times New Roman" w:hAnsi="Times New Roman" w:cs="Times New Roman"/>
          <w:noProof/>
          <w:sz w:val="24"/>
          <w:szCs w:val="24"/>
        </w:rPr>
        <w:t>EUROMOD allows the simulation of tax-benefit reforms and provides their overnight  fiscal impact as well as indicators on their distributional impact, by household or individual groups according to socio-economic variables of interest. The model generates disposable individual and household incomes, applying countries´ tax codes and calculating theoretical benefit entitlements and tax liabilities based on the original market income (including gross wages) reported by households in EU SILC. The model employs information on countries’ tax codes and on household characteristics and economic circumstances to simulate tax liabilities and cash benefit entitlements. The model simulations take into account the role played by each tax-benefit instrument, their possible interactions, and generate the disposable (i.e. income after taxes and cash benefits) household</w:t>
      </w:r>
      <w:r>
        <w:rPr>
          <w:rStyle w:val="FootnoteReference"/>
          <w:rFonts w:ascii="Times New Roman" w:hAnsi="Times New Roman" w:cs="Times New Roman"/>
          <w:noProof/>
          <w:sz w:val="24"/>
          <w:szCs w:val="24"/>
        </w:rPr>
        <w:footnoteReference w:id="216"/>
      </w:r>
      <w:r>
        <w:rPr>
          <w:rFonts w:ascii="Times New Roman" w:hAnsi="Times New Roman" w:cs="Times New Roman"/>
          <w:noProof/>
          <w:sz w:val="24"/>
          <w:szCs w:val="24"/>
        </w:rPr>
        <w:t xml:space="preserve">  income. Therefore, the model results are particularly suitable for the analysis of the distributional, inequality and poverty impact of reforms, by household or by individual groups according to socio-economic variables of interest. EUROMOD simulations also provide estimations of the budgetary effects. Cross-country comparability is enabled by coding the policy systems of the EU Member States according to a common framework.</w:t>
      </w:r>
    </w:p>
    <w:p>
      <w:pPr>
        <w:jc w:val="both"/>
        <w:rPr>
          <w:rFonts w:ascii="Times New Roman" w:hAnsi="Times New Roman" w:cs="Times New Roman"/>
          <w:noProof/>
          <w:sz w:val="24"/>
          <w:szCs w:val="24"/>
        </w:rPr>
      </w:pPr>
      <w:r>
        <w:rPr>
          <w:rFonts w:ascii="Times New Roman" w:eastAsia="Arial" w:hAnsi="Times New Roman" w:cs="Times New Roman"/>
          <w:noProof/>
          <w:sz w:val="24"/>
          <w:szCs w:val="24"/>
        </w:rPr>
        <w:t xml:space="preserve">It should be kept in mind that EUROMOD simulations do not incorporate any behavioural eﬀects that may also aﬀect the fiscal as well as the distributional outcome of a reform. </w:t>
      </w:r>
      <w:r>
        <w:rPr>
          <w:rFonts w:ascii="Times New Roman" w:hAnsi="Times New Roman" w:cs="Times New Roman"/>
          <w:noProof/>
          <w:color w:val="000000"/>
          <w:sz w:val="24"/>
          <w:szCs w:val="24"/>
        </w:rPr>
        <w:t>Thus, the model is static and delivers the first-round effects (`the morning-after effect'). Changing hourly wages may have labour supply and labour demand effects which are not captured in this modelling framework</w:t>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The impact of a rise in the gross hourly wage of women can affect disposable income and distributional outcomes in different ways and by a different magnitude, depending on several factors, such as: i) the tax benefit system (personal income tax progressivity, joint-taxation considering pooled taxable income at the couple level, means-tested benefits, etc.), ii) the relative position of working women through the income distribution (which depend also on other households members income), iii) household composition.</w:t>
      </w:r>
    </w:p>
    <w:p>
      <w:pPr>
        <w:pStyle w:val="NormalWeb"/>
        <w:spacing w:before="0" w:beforeAutospacing="0" w:after="120" w:afterAutospacing="0" w:line="276" w:lineRule="auto"/>
        <w:jc w:val="both"/>
        <w:rPr>
          <w:bCs/>
          <w:noProof/>
        </w:rPr>
      </w:pPr>
      <w:r>
        <w:rPr>
          <w:noProof/>
          <w:lang w:eastAsia="en-US"/>
        </w:rPr>
        <w:t>The analysis performed assumes the closing of the adjusted gender pay gap (AGPG), i.e. considering the difference in wages between women and men of different subgroups of the</w:t>
      </w:r>
      <w:r>
        <w:rPr>
          <w:b/>
          <w:bCs/>
          <w:noProof/>
          <w:lang w:eastAsia="en-US"/>
        </w:rPr>
        <w:t xml:space="preserve"> </w:t>
      </w:r>
      <w:r>
        <w:rPr>
          <w:noProof/>
          <w:lang w:eastAsia="en-US"/>
        </w:rPr>
        <w:t>working population. Groups are defined by occupation, sector, education and working experience (36 groups are considered to account for sample size representativity). The narrowing of the gap is done by keeping men´s wages unaltered and lifting up women´s wages to the new target gross hourly wage which (ex-ante) closes the gap by the intended amount per group. Notably, wages of women who in the starting point earn more than the new reference wage are not reduced. For the subgroup of women affected by the increased wages (those below the reference wage at the starting point), the reduction of the AGPG nears the targeted amounts. However, theThis implies an overall generous total final effect of changes in women’s gross earnings leads in many cases to an ex-post closing of the overall gender pay gap larger than the targeted one. .</w:t>
      </w:r>
    </w:p>
    <w:p>
      <w:pPr>
        <w:jc w:val="both"/>
        <w:rPr>
          <w:rFonts w:ascii="Times New Roman" w:hAnsi="Times New Roman" w:cs="Times New Roman"/>
          <w:noProof/>
          <w:sz w:val="24"/>
          <w:szCs w:val="24"/>
        </w:rPr>
      </w:pPr>
      <w:r>
        <w:rPr>
          <w:rFonts w:ascii="Times New Roman" w:hAnsi="Times New Roman" w:cs="Times New Roman"/>
          <w:noProof/>
          <w:sz w:val="24"/>
          <w:szCs w:val="24"/>
        </w:rPr>
        <w:t>The simulations are carried out for a reduction of the AGPG by 3pp, and alternatively by 1 and 5 pp, on account of the pay transparency measures. The results are provided for the whole EU as well as per country. . The results of the simulated scenarios of AGPG reduction are compared against the baseline (i.e. the policy systems in place in Member States in 2019).</w:t>
      </w:r>
    </w:p>
    <w:p>
      <w:pPr>
        <w:jc w:val="both"/>
        <w:rPr>
          <w:rFonts w:ascii="Times New Roman" w:hAnsi="Times New Roman" w:cs="Times New Roman"/>
          <w:noProof/>
          <w:sz w:val="24"/>
          <w:szCs w:val="24"/>
        </w:rPr>
      </w:pPr>
      <w:r>
        <w:rPr>
          <w:rFonts w:ascii="Times New Roman" w:hAnsi="Times New Roman" w:cs="Times New Roman"/>
          <w:i/>
          <w:iCs/>
          <w:noProof/>
          <w:sz w:val="24"/>
          <w:szCs w:val="24"/>
        </w:rPr>
        <w:t>Main results</w:t>
      </w:r>
      <w:r>
        <w:rPr>
          <w:rFonts w:ascii="Times New Roman" w:hAnsi="Times New Roman" w:cs="Times New Roman"/>
          <w:noProof/>
          <w:sz w:val="24"/>
          <w:szCs w:val="24"/>
        </w:rPr>
        <w:t xml:space="preserve">: Rising women´s gross hourly wages in order to close the gap would lead to an </w:t>
      </w:r>
      <w:r>
        <w:rPr>
          <w:rFonts w:ascii="Times New Roman" w:hAnsi="Times New Roman" w:cs="Times New Roman"/>
          <w:b/>
          <w:bCs/>
          <w:noProof/>
          <w:sz w:val="24"/>
          <w:szCs w:val="24"/>
        </w:rPr>
        <w:t xml:space="preserve">overall increase of total gross earnings </w:t>
      </w:r>
      <w:r>
        <w:rPr>
          <w:b/>
          <w:bCs/>
          <w:noProof/>
        </w:rPr>
        <w:t xml:space="preserve">of </w:t>
      </w:r>
      <w:r>
        <w:rPr>
          <w:rFonts w:ascii="Times New Roman" w:hAnsi="Times New Roman" w:cs="Times New Roman"/>
          <w:b/>
          <w:bCs/>
          <w:noProof/>
          <w:sz w:val="24"/>
          <w:szCs w:val="24"/>
        </w:rPr>
        <w:t>6.9% on average at the EU level</w:t>
      </w:r>
      <w:r>
        <w:rPr>
          <w:rFonts w:ascii="Times New Roman" w:hAnsi="Times New Roman" w:cs="Times New Roman"/>
          <w:noProof/>
          <w:sz w:val="24"/>
          <w:szCs w:val="24"/>
        </w:rPr>
        <w:t xml:space="preserve">, and a </w:t>
      </w:r>
      <w:r>
        <w:rPr>
          <w:rFonts w:ascii="Times New Roman" w:hAnsi="Times New Roman" w:cs="Times New Roman"/>
          <w:b/>
          <w:bCs/>
          <w:noProof/>
          <w:sz w:val="24"/>
          <w:szCs w:val="24"/>
        </w:rPr>
        <w:t>reduction of inequality in market income</w:t>
      </w:r>
      <w:r>
        <w:rPr>
          <w:rFonts w:ascii="Times New Roman" w:hAnsi="Times New Roman" w:cs="Times New Roman"/>
          <w:noProof/>
          <w:sz w:val="24"/>
          <w:szCs w:val="24"/>
        </w:rPr>
        <w:t xml:space="preserve"> (i.e. income before taxes and benefits) </w:t>
      </w:r>
      <w:r>
        <w:rPr>
          <w:rFonts w:ascii="Times New Roman" w:hAnsi="Times New Roman" w:cs="Times New Roman"/>
          <w:b/>
          <w:bCs/>
          <w:noProof/>
          <w:sz w:val="24"/>
          <w:szCs w:val="24"/>
        </w:rPr>
        <w:t>for all Member States</w:t>
      </w:r>
      <w:r>
        <w:rPr>
          <w:rFonts w:ascii="Times New Roman" w:hAnsi="Times New Roman" w:cs="Times New Roman"/>
          <w:noProof/>
          <w:sz w:val="24"/>
          <w:szCs w:val="24"/>
        </w:rPr>
        <w:t xml:space="preserve">. Due to the interaction of the tax-benefit systems, the </w:t>
      </w:r>
      <w:r>
        <w:rPr>
          <w:rFonts w:ascii="Times New Roman" w:hAnsi="Times New Roman" w:cs="Times New Roman"/>
          <w:b/>
          <w:bCs/>
          <w:noProof/>
          <w:sz w:val="24"/>
          <w:szCs w:val="24"/>
        </w:rPr>
        <w:t>reduction of inequality in disposable income</w:t>
      </w:r>
      <w:r>
        <w:rPr>
          <w:rFonts w:ascii="Times New Roman" w:hAnsi="Times New Roman" w:cs="Times New Roman"/>
          <w:noProof/>
          <w:sz w:val="24"/>
          <w:szCs w:val="24"/>
        </w:rPr>
        <w:t xml:space="preserve"> (i.e. income after taxes and benefits) would occur </w:t>
      </w:r>
      <w:r>
        <w:rPr>
          <w:rFonts w:ascii="Times New Roman" w:hAnsi="Times New Roman" w:cs="Times New Roman"/>
          <w:b/>
          <w:bCs/>
          <w:noProof/>
          <w:sz w:val="24"/>
          <w:szCs w:val="24"/>
        </w:rPr>
        <w:t>for 18 Member States</w:t>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bCs/>
          <w:noProof/>
          <w:sz w:val="24"/>
          <w:szCs w:val="24"/>
        </w:rPr>
        <w:t>at-risk-of-poverty rate</w:t>
      </w:r>
      <w:r>
        <w:rPr>
          <w:rFonts w:ascii="Times New Roman" w:hAnsi="Times New Roman" w:cs="Times New Roman"/>
          <w:noProof/>
          <w:sz w:val="24"/>
          <w:szCs w:val="24"/>
        </w:rPr>
        <w:t xml:space="preserve"> </w:t>
      </w:r>
      <w:r>
        <w:rPr>
          <w:rFonts w:ascii="Times New Roman" w:hAnsi="Times New Roman" w:cs="Times New Roman"/>
          <w:b/>
          <w:bCs/>
          <w:noProof/>
          <w:sz w:val="24"/>
          <w:szCs w:val="24"/>
        </w:rPr>
        <w:t>would drop</w:t>
      </w:r>
      <w:r>
        <w:rPr>
          <w:rFonts w:ascii="Times New Roman" w:hAnsi="Times New Roman" w:cs="Times New Roman"/>
          <w:noProof/>
          <w:sz w:val="24"/>
          <w:szCs w:val="24"/>
        </w:rPr>
        <w:t xml:space="preserve"> from the initial 16.3% on average in the EU27</w:t>
      </w:r>
      <w:r>
        <w:rPr>
          <w:rFonts w:ascii="Times New Roman" w:hAnsi="Times New Roman" w:cs="Times New Roman"/>
          <w:b/>
          <w:bCs/>
          <w:noProof/>
          <w:sz w:val="24"/>
          <w:szCs w:val="24"/>
        </w:rPr>
        <w:t xml:space="preserve"> </w:t>
      </w:r>
      <w:r>
        <w:rPr>
          <w:rFonts w:ascii="Times New Roman" w:hAnsi="Times New Roman" w:cs="Times New Roman"/>
          <w:noProof/>
          <w:sz w:val="24"/>
          <w:szCs w:val="24"/>
        </w:rPr>
        <w:t>to around 14.6%, with important heterogeneities across countries and by household types. The risk of poverty rate would be</w:t>
      </w:r>
      <w:r>
        <w:rPr>
          <w:rFonts w:ascii="Times New Roman" w:hAnsi="Times New Roman" w:cs="Times New Roman"/>
          <w:b/>
          <w:bCs/>
          <w:noProof/>
          <w:sz w:val="24"/>
          <w:szCs w:val="24"/>
        </w:rPr>
        <w:t xml:space="preserve"> mostly reduced for the single parent households, which are mostly women</w:t>
      </w:r>
      <w:r>
        <w:rPr>
          <w:rFonts w:ascii="Times New Roman" w:hAnsi="Times New Roman" w:cs="Times New Roman"/>
          <w:noProof/>
          <w:sz w:val="24"/>
          <w:szCs w:val="24"/>
        </w:rPr>
        <w:t>.</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reduction of the gender pay gap would generate a </w:t>
      </w:r>
      <w:r>
        <w:rPr>
          <w:rFonts w:ascii="Times New Roman" w:hAnsi="Times New Roman" w:cs="Times New Roman"/>
          <w:b/>
          <w:bCs/>
          <w:noProof/>
          <w:sz w:val="24"/>
          <w:szCs w:val="24"/>
        </w:rPr>
        <w:t>positive budgetary impact</w:t>
      </w:r>
      <w:r>
        <w:rPr>
          <w:rFonts w:ascii="Times New Roman" w:hAnsi="Times New Roman" w:cs="Times New Roman"/>
          <w:noProof/>
          <w:sz w:val="24"/>
          <w:szCs w:val="24"/>
        </w:rPr>
        <w:t xml:space="preserve"> </w:t>
      </w:r>
      <w:r>
        <w:rPr>
          <w:rFonts w:ascii="Times New Roman" w:hAnsi="Times New Roman" w:cs="Times New Roman"/>
          <w:b/>
          <w:bCs/>
          <w:noProof/>
          <w:sz w:val="24"/>
          <w:szCs w:val="24"/>
        </w:rPr>
        <w:t>due to a rise in government revenues</w:t>
      </w:r>
      <w:r>
        <w:rPr>
          <w:rFonts w:ascii="Times New Roman" w:hAnsi="Times New Roman" w:cs="Times New Roman"/>
          <w:noProof/>
          <w:sz w:val="24"/>
          <w:szCs w:val="24"/>
        </w:rPr>
        <w:t xml:space="preserve"> (higher collection of income taxes and social insurance contributions) </w:t>
      </w:r>
      <w:r>
        <w:rPr>
          <w:rFonts w:ascii="Times New Roman" w:hAnsi="Times New Roman" w:cs="Times New Roman"/>
          <w:b/>
          <w:bCs/>
          <w:noProof/>
          <w:sz w:val="24"/>
          <w:szCs w:val="24"/>
        </w:rPr>
        <w:t>and a small decline in social (cash) transfers</w:t>
      </w:r>
      <w:r>
        <w:rPr>
          <w:rFonts w:ascii="Times New Roman" w:hAnsi="Times New Roman" w:cs="Times New Roman"/>
          <w:noProof/>
          <w:sz w:val="24"/>
          <w:szCs w:val="24"/>
        </w:rPr>
        <w:t xml:space="preserve"> (mainly explained by a reduction of means-tested cash benefits). At the EU population-weighted average level, the shrinking of the gap would lead to a rise in government revenues from direct taxes and social contributions of about 7.5%, while the reduction of social transfers (cash benefits) would be of approximately 0.4%. </w:t>
      </w:r>
    </w:p>
    <w:p>
      <w:pPr>
        <w:jc w:val="both"/>
        <w:rPr>
          <w:rFonts w:ascii="Times New Roman" w:hAnsi="Times New Roman" w:cs="Times New Roman"/>
          <w:noProof/>
          <w:sz w:val="24"/>
          <w:szCs w:val="24"/>
        </w:rPr>
      </w:pPr>
      <w:r>
        <w:rPr>
          <w:rFonts w:ascii="Times New Roman" w:hAnsi="Times New Roman" w:cs="Times New Roman"/>
          <w:b/>
          <w:bCs/>
          <w:noProof/>
          <w:sz w:val="24"/>
          <w:szCs w:val="24"/>
        </w:rPr>
        <w:t>The results substantially differ across Member States</w:t>
      </w:r>
      <w:r>
        <w:rPr>
          <w:rFonts w:ascii="Times New Roman" w:hAnsi="Times New Roman" w:cs="Times New Roman"/>
          <w:noProof/>
          <w:sz w:val="24"/>
          <w:szCs w:val="24"/>
        </w:rPr>
        <w:t>. The growth in total market incomes and government revenues is estimated to range from around 4% to 14%. It would be particularly high in some countries, such as BG, EE, LT and LV (in between 10% and 14%), whereas it would be less pronounced for EL, NL, MT and IT (about 5%).</w:t>
      </w:r>
    </w:p>
    <w:p>
      <w:pPr>
        <w:jc w:val="both"/>
        <w:rPr>
          <w:rFonts w:ascii="Times New Roman" w:hAnsi="Times New Roman" w:cs="Times New Roman"/>
          <w:noProof/>
          <w:sz w:val="24"/>
          <w:szCs w:val="24"/>
        </w:rPr>
      </w:pPr>
      <w:r>
        <w:rPr>
          <w:rFonts w:ascii="Times New Roman" w:hAnsi="Times New Roman" w:cs="Times New Roman"/>
          <w:b/>
          <w:bCs/>
          <w:noProof/>
          <w:sz w:val="24"/>
          <w:szCs w:val="24"/>
        </w:rPr>
        <w:t>S</w:t>
      </w:r>
      <w:r>
        <w:rPr>
          <w:rFonts w:ascii="Times New Roman" w:hAnsi="Times New Roman" w:cs="Times New Roman"/>
          <w:b/>
          <w:bCs/>
          <w:i/>
          <w:iCs/>
          <w:noProof/>
          <w:sz w:val="24"/>
          <w:szCs w:val="24"/>
        </w:rPr>
        <w:t>ensitivity analysis</w:t>
      </w:r>
      <w:r>
        <w:rPr>
          <w:rFonts w:ascii="Times New Roman" w:hAnsi="Times New Roman" w:cs="Times New Roman"/>
          <w:i/>
          <w:iCs/>
          <w:noProof/>
          <w:sz w:val="24"/>
          <w:szCs w:val="24"/>
        </w:rPr>
        <w:t xml:space="preserve">: </w:t>
      </w:r>
      <w:r>
        <w:rPr>
          <w:rFonts w:ascii="Times New Roman" w:hAnsi="Times New Roman" w:cs="Times New Roman"/>
          <w:noProof/>
          <w:sz w:val="24"/>
          <w:szCs w:val="24"/>
        </w:rPr>
        <w:t>overall, the larger the reduction of the gap, the larger the effects, although in general the gains from moving to the 5 pp closing of the gap scenario are rather similar to the 3pp closing scenario (especially for reduction of poverty rates).</w:t>
      </w:r>
    </w:p>
    <w:p>
      <w:pPr>
        <w:spacing w:after="240" w:line="259" w:lineRule="auto"/>
        <w:ind w:left="360"/>
        <w:jc w:val="both"/>
        <w:rPr>
          <w:rFonts w:ascii="Times New Roman" w:hAnsi="Times New Roman" w:cs="Times New Roman"/>
          <w:b/>
          <w:noProof/>
          <w:sz w:val="24"/>
          <w:szCs w:val="24"/>
        </w:rPr>
      </w:pPr>
      <w:r>
        <w:rPr>
          <w:rFonts w:ascii="Times New Roman" w:hAnsi="Times New Roman" w:cs="Times New Roman"/>
          <w:b/>
          <w:bCs/>
          <w:noProof/>
          <w:sz w:val="24"/>
          <w:szCs w:val="24"/>
        </w:rPr>
        <w:t>4.1 Country specific results</w:t>
      </w:r>
    </w:p>
    <w:p>
      <w:pPr>
        <w:jc w:val="both"/>
        <w:rPr>
          <w:rFonts w:ascii="Times New Roman" w:hAnsi="Times New Roman" w:cs="Times New Roman"/>
          <w:noProof/>
          <w:sz w:val="24"/>
          <w:szCs w:val="24"/>
        </w:rPr>
      </w:pPr>
      <w:r>
        <w:rPr>
          <w:rFonts w:ascii="Times New Roman" w:hAnsi="Times New Roman" w:cs="Times New Roman"/>
          <w:b/>
          <w:bCs/>
          <w:noProof/>
          <w:sz w:val="24"/>
          <w:szCs w:val="24"/>
        </w:rPr>
        <w:t>The rise in women gross hourly wages that would close the AGPG by 1, 3 or 5pp would increase both market and household disposable incomes</w:t>
      </w:r>
      <w:r>
        <w:rPr>
          <w:rFonts w:ascii="Times New Roman" w:hAnsi="Times New Roman" w:cs="Times New Roman"/>
          <w:noProof/>
          <w:sz w:val="24"/>
          <w:szCs w:val="24"/>
        </w:rPr>
        <w:t xml:space="preserve">. Figure 1 below depicts the estimated changes in the equivalised disposable income by deciles for each Member State. Changes in disposable incomes are expected to be clearly progressive for some countries - lower deciles would benefit more than the top ones - (e.g. ES, FR, HU, SE). In some others countries the change follows an inverted U shape, where middle incomes would gain more from the change (e.g. CY, HR, LT, RO, ). In BE, the impact is expected more left skewed, affecting incomes at the top more than at the bottom. </w:t>
      </w:r>
    </w:p>
    <w:p>
      <w:pPr>
        <w:spacing w:after="0"/>
        <w:jc w:val="center"/>
        <w:rPr>
          <w:rFonts w:ascii="Times New Roman" w:hAnsi="Times New Roman" w:cs="Times New Roman"/>
          <w:b/>
          <w:bCs/>
          <w:noProof/>
          <w:sz w:val="24"/>
          <w:szCs w:val="24"/>
        </w:rPr>
      </w:pPr>
    </w:p>
    <w:p>
      <w:pPr>
        <w:spacing w:after="0"/>
        <w:rPr>
          <w:rFonts w:ascii="Times New Roman" w:hAnsi="Times New Roman" w:cs="Times New Roman"/>
          <w:noProof/>
          <w:sz w:val="20"/>
          <w:szCs w:val="20"/>
        </w:rPr>
      </w:pPr>
      <w:r>
        <w:rPr>
          <w:rFonts w:ascii="Times New Roman" w:hAnsi="Times New Roman" w:cs="Times New Roman"/>
          <w:b/>
          <w:bCs/>
          <w:noProof/>
          <w:sz w:val="24"/>
          <w:szCs w:val="24"/>
        </w:rPr>
        <w:t>Figure 1.</w:t>
      </w:r>
      <w:r>
        <w:rPr>
          <w:rFonts w:ascii="Times New Roman" w:hAnsi="Times New Roman" w:cs="Times New Roman"/>
          <w:noProof/>
          <w:sz w:val="24"/>
          <w:szCs w:val="24"/>
        </w:rPr>
        <w:t xml:space="preserve"> </w:t>
      </w:r>
      <w:r>
        <w:rPr>
          <w:rFonts w:ascii="Times New Roman" w:hAnsi="Times New Roman" w:cs="Times New Roman"/>
          <w:noProof/>
          <w:sz w:val="20"/>
          <w:szCs w:val="20"/>
        </w:rPr>
        <w:t xml:space="preserve">Change in equivalised household disposable income for three scenarios of AGPG reduction (i.e. closing the adjusted gender pay gap by 1, 3, 5 pp), by decile </w:t>
      </w:r>
    </w:p>
    <w:p>
      <w:pPr>
        <w:pStyle w:val="NormalWeb"/>
        <w:spacing w:before="0" w:beforeAutospacing="0" w:after="0" w:afterAutospacing="0" w:line="276" w:lineRule="auto"/>
        <w:jc w:val="both"/>
        <w:rPr>
          <w:rFonts w:asciiTheme="minorHAnsi" w:hAnsiTheme="minorHAnsi" w:cstheme="minorHAnsi"/>
          <w:noProof/>
        </w:rPr>
      </w:pPr>
      <w:r>
        <w:rPr>
          <w:noProof/>
        </w:rPr>
        <w:drawing>
          <wp:inline distT="0" distB="0" distL="0" distR="0">
            <wp:extent cx="1900624" cy="1500809"/>
            <wp:effectExtent l="0" t="0" r="4445"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902837" cy="1502556"/>
                    </a:xfrm>
                    <a:prstGeom prst="rect">
                      <a:avLst/>
                    </a:prstGeom>
                  </pic:spPr>
                </pic:pic>
              </a:graphicData>
            </a:graphic>
          </wp:inline>
        </w:drawing>
      </w:r>
      <w:r>
        <w:rPr>
          <w:noProof/>
        </w:rPr>
        <w:drawing>
          <wp:inline distT="0" distB="0" distL="0" distR="0">
            <wp:extent cx="1831202" cy="139147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836658" cy="1395624"/>
                    </a:xfrm>
                    <a:prstGeom prst="rect">
                      <a:avLst/>
                    </a:prstGeom>
                  </pic:spPr>
                </pic:pic>
              </a:graphicData>
            </a:graphic>
          </wp:inline>
        </w:drawing>
      </w:r>
      <w:r>
        <w:rPr>
          <w:noProof/>
        </w:rPr>
        <w:drawing>
          <wp:inline distT="0" distB="0" distL="0" distR="0">
            <wp:extent cx="2051637" cy="1577382"/>
            <wp:effectExtent l="0" t="0" r="635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051637" cy="1577382"/>
                    </a:xfrm>
                    <a:prstGeom prst="rect">
                      <a:avLst/>
                    </a:prstGeom>
                  </pic:spPr>
                </pic:pic>
              </a:graphicData>
            </a:graphic>
          </wp:inline>
        </w:drawing>
      </w:r>
      <w:r>
        <w:rPr>
          <w:noProof/>
        </w:rPr>
        <w:drawing>
          <wp:inline distT="0" distB="0" distL="0" distR="0">
            <wp:extent cx="2014220" cy="1556930"/>
            <wp:effectExtent l="0" t="0" r="508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2014220" cy="1556930"/>
                    </a:xfrm>
                    <a:prstGeom prst="rect">
                      <a:avLst/>
                    </a:prstGeom>
                  </pic:spPr>
                </pic:pic>
              </a:graphicData>
            </a:graphic>
          </wp:inline>
        </w:drawing>
      </w:r>
    </w:p>
    <w:p>
      <w:pPr>
        <w:pStyle w:val="NormalWeb"/>
        <w:spacing w:before="0" w:beforeAutospacing="0" w:after="0" w:afterAutospacing="0" w:line="276" w:lineRule="auto"/>
        <w:jc w:val="both"/>
        <w:rPr>
          <w:rFonts w:asciiTheme="minorHAnsi" w:hAnsiTheme="minorHAnsi" w:cstheme="minorHAnsi"/>
          <w:noProof/>
        </w:rPr>
      </w:pPr>
      <w:r>
        <w:rPr>
          <w:noProof/>
        </w:rPr>
        <w:drawing>
          <wp:inline distT="0" distB="0" distL="0" distR="0">
            <wp:extent cx="2020901" cy="1557046"/>
            <wp:effectExtent l="0" t="0" r="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020901" cy="1557046"/>
                    </a:xfrm>
                    <a:prstGeom prst="rect">
                      <a:avLst/>
                    </a:prstGeom>
                  </pic:spPr>
                </pic:pic>
              </a:graphicData>
            </a:graphic>
          </wp:inline>
        </w:drawing>
      </w:r>
      <w:r>
        <w:rPr>
          <w:noProof/>
        </w:rPr>
        <w:drawing>
          <wp:inline distT="0" distB="0" distL="0" distR="0">
            <wp:extent cx="1967112" cy="1534225"/>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967112" cy="1534225"/>
                    </a:xfrm>
                    <a:prstGeom prst="rect">
                      <a:avLst/>
                    </a:prstGeom>
                  </pic:spPr>
                </pic:pic>
              </a:graphicData>
            </a:graphic>
          </wp:inline>
        </w:drawing>
      </w:r>
    </w:p>
    <w:p>
      <w:pPr>
        <w:pStyle w:val="NormalWeb"/>
        <w:spacing w:before="0" w:beforeAutospacing="0" w:after="0" w:afterAutospacing="0" w:line="276" w:lineRule="auto"/>
        <w:jc w:val="both"/>
        <w:rPr>
          <w:rFonts w:asciiTheme="minorHAnsi" w:hAnsiTheme="minorHAnsi" w:cstheme="minorHAnsi"/>
          <w:noProof/>
        </w:rPr>
      </w:pPr>
      <w:r>
        <w:rPr>
          <w:noProof/>
        </w:rPr>
        <w:drawing>
          <wp:inline distT="0" distB="0" distL="0" distR="0">
            <wp:extent cx="1951745" cy="1540775"/>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951745" cy="1540775"/>
                    </a:xfrm>
                    <a:prstGeom prst="rect">
                      <a:avLst/>
                    </a:prstGeom>
                  </pic:spPr>
                </pic:pic>
              </a:graphicData>
            </a:graphic>
          </wp:inline>
        </w:drawing>
      </w:r>
      <w:r>
        <w:rPr>
          <w:noProof/>
        </w:rPr>
        <w:drawing>
          <wp:inline distT="0" distB="0" distL="0" distR="0">
            <wp:extent cx="2089726" cy="1644330"/>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089726" cy="1644330"/>
                    </a:xfrm>
                    <a:prstGeom prst="rect">
                      <a:avLst/>
                    </a:prstGeom>
                  </pic:spPr>
                </pic:pic>
              </a:graphicData>
            </a:graphic>
          </wp:inline>
        </w:drawing>
      </w:r>
      <w:r>
        <w:rPr>
          <w:noProof/>
        </w:rPr>
        <w:drawing>
          <wp:inline distT="0" distB="0" distL="0" distR="0">
            <wp:extent cx="1874904" cy="145192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874904" cy="1451924"/>
                    </a:xfrm>
                    <a:prstGeom prst="rect">
                      <a:avLst/>
                    </a:prstGeom>
                  </pic:spPr>
                </pic:pic>
              </a:graphicData>
            </a:graphic>
          </wp:inline>
        </w:drawing>
      </w:r>
      <w:r>
        <w:rPr>
          <w:noProof/>
        </w:rPr>
        <w:drawing>
          <wp:inline distT="0" distB="0" distL="0" distR="0">
            <wp:extent cx="1997849" cy="1541799"/>
            <wp:effectExtent l="0" t="0" r="254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997849" cy="1541799"/>
                    </a:xfrm>
                    <a:prstGeom prst="rect">
                      <a:avLst/>
                    </a:prstGeom>
                  </pic:spPr>
                </pic:pic>
              </a:graphicData>
            </a:graphic>
          </wp:inline>
        </w:drawing>
      </w:r>
    </w:p>
    <w:p>
      <w:pPr>
        <w:pStyle w:val="NormalWeb"/>
        <w:spacing w:before="0" w:beforeAutospacing="0" w:after="0" w:afterAutospacing="0" w:line="276" w:lineRule="auto"/>
        <w:jc w:val="both"/>
        <w:rPr>
          <w:rFonts w:asciiTheme="minorHAnsi" w:hAnsiTheme="minorHAnsi" w:cstheme="minorHAnsi"/>
          <w:noProof/>
        </w:rPr>
      </w:pPr>
      <w:r>
        <w:rPr>
          <w:noProof/>
        </w:rPr>
        <w:drawing>
          <wp:inline distT="0" distB="0" distL="0" distR="0">
            <wp:extent cx="1928692" cy="145052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928692" cy="1450526"/>
                    </a:xfrm>
                    <a:prstGeom prst="rect">
                      <a:avLst/>
                    </a:prstGeom>
                  </pic:spPr>
                </pic:pic>
              </a:graphicData>
            </a:graphic>
          </wp:inline>
        </w:drawing>
      </w:r>
      <w:r>
        <w:rPr>
          <w:noProof/>
        </w:rPr>
        <w:drawing>
          <wp:inline distT="0" distB="0" distL="0" distR="0">
            <wp:extent cx="1921009" cy="1490341"/>
            <wp:effectExtent l="0" t="0" r="317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921009" cy="1490341"/>
                    </a:xfrm>
                    <a:prstGeom prst="rect">
                      <a:avLst/>
                    </a:prstGeom>
                  </pic:spPr>
                </pic:pic>
              </a:graphicData>
            </a:graphic>
          </wp:inline>
        </w:drawing>
      </w:r>
    </w:p>
    <w:p>
      <w:pPr>
        <w:pStyle w:val="NormalWeb"/>
        <w:spacing w:before="0" w:beforeAutospacing="0" w:after="0" w:afterAutospacing="0" w:line="276" w:lineRule="auto"/>
        <w:jc w:val="both"/>
        <w:rPr>
          <w:rFonts w:asciiTheme="minorHAnsi" w:hAnsiTheme="minorHAnsi" w:cstheme="minorHAnsi"/>
          <w:noProof/>
        </w:rPr>
      </w:pPr>
      <w:r>
        <w:rPr>
          <w:noProof/>
        </w:rPr>
        <w:drawing>
          <wp:inline distT="0" distB="0" distL="0" distR="0">
            <wp:extent cx="2051637" cy="1608704"/>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2051637" cy="1608704"/>
                    </a:xfrm>
                    <a:prstGeom prst="rect">
                      <a:avLst/>
                    </a:prstGeom>
                  </pic:spPr>
                </pic:pic>
              </a:graphicData>
            </a:graphic>
          </wp:inline>
        </w:drawing>
      </w:r>
      <w:r>
        <w:rPr>
          <w:noProof/>
        </w:rPr>
        <w:drawing>
          <wp:inline distT="0" distB="0" distL="0" distR="0">
            <wp:extent cx="2044051" cy="1582911"/>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044051" cy="1582911"/>
                    </a:xfrm>
                    <a:prstGeom prst="rect">
                      <a:avLst/>
                    </a:prstGeom>
                  </pic:spPr>
                </pic:pic>
              </a:graphicData>
            </a:graphic>
          </wp:inline>
        </w:drawing>
      </w:r>
      <w:r>
        <w:rPr>
          <w:noProof/>
        </w:rPr>
        <w:drawing>
          <wp:inline distT="0" distB="0" distL="0" distR="0">
            <wp:extent cx="1951553" cy="1506071"/>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951553" cy="1506071"/>
                    </a:xfrm>
                    <a:prstGeom prst="rect">
                      <a:avLst/>
                    </a:prstGeom>
                  </pic:spPr>
                </pic:pic>
              </a:graphicData>
            </a:graphic>
          </wp:inline>
        </w:drawing>
      </w:r>
      <w:r>
        <w:rPr>
          <w:noProof/>
        </w:rPr>
        <w:drawing>
          <wp:inline distT="0" distB="0" distL="0" distR="0">
            <wp:extent cx="2028585" cy="152565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2028585" cy="1525653"/>
                    </a:xfrm>
                    <a:prstGeom prst="rect">
                      <a:avLst/>
                    </a:prstGeom>
                  </pic:spPr>
                </pic:pic>
              </a:graphicData>
            </a:graphic>
          </wp:inline>
        </w:drawing>
      </w:r>
    </w:p>
    <w:p>
      <w:pPr>
        <w:pStyle w:val="NormalWeb"/>
        <w:spacing w:before="0" w:beforeAutospacing="0" w:after="0" w:afterAutospacing="0" w:line="276" w:lineRule="auto"/>
        <w:jc w:val="both"/>
        <w:rPr>
          <w:rFonts w:asciiTheme="minorHAnsi" w:hAnsiTheme="minorHAnsi" w:cstheme="minorHAnsi"/>
          <w:noProof/>
        </w:rPr>
      </w:pPr>
      <w:r>
        <w:rPr>
          <w:noProof/>
        </w:rPr>
        <w:drawing>
          <wp:inline distT="0" distB="0" distL="0" distR="0">
            <wp:extent cx="2013203" cy="1575227"/>
            <wp:effectExtent l="0" t="0" r="635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013203" cy="1575227"/>
                    </a:xfrm>
                    <a:prstGeom prst="rect">
                      <a:avLst/>
                    </a:prstGeom>
                  </pic:spPr>
                </pic:pic>
              </a:graphicData>
            </a:graphic>
          </wp:inline>
        </w:drawing>
      </w:r>
      <w:r>
        <w:rPr>
          <w:noProof/>
        </w:rPr>
        <w:drawing>
          <wp:inline distT="0" distB="0" distL="0" distR="0">
            <wp:extent cx="2035879" cy="1579459"/>
            <wp:effectExtent l="0" t="0" r="2540" b="190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2035879" cy="1579459"/>
                    </a:xfrm>
                    <a:prstGeom prst="rect">
                      <a:avLst/>
                    </a:prstGeom>
                  </pic:spPr>
                </pic:pic>
              </a:graphicData>
            </a:graphic>
          </wp:inline>
        </w:drawing>
      </w:r>
    </w:p>
    <w:p>
      <w:pPr>
        <w:pStyle w:val="NormalWeb"/>
        <w:spacing w:before="0" w:beforeAutospacing="0" w:after="0" w:afterAutospacing="0" w:line="276" w:lineRule="auto"/>
        <w:jc w:val="both"/>
        <w:rPr>
          <w:rFonts w:asciiTheme="minorHAnsi" w:hAnsiTheme="minorHAnsi" w:cstheme="minorHAnsi"/>
          <w:noProof/>
        </w:rPr>
      </w:pPr>
      <w:r>
        <w:rPr>
          <w:noProof/>
        </w:rPr>
        <w:drawing>
          <wp:inline distT="0" distB="0" distL="0" distR="0">
            <wp:extent cx="2105425" cy="1633413"/>
            <wp:effectExtent l="0" t="0" r="9525" b="508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2105425" cy="1633413"/>
                    </a:xfrm>
                    <a:prstGeom prst="rect">
                      <a:avLst/>
                    </a:prstGeom>
                  </pic:spPr>
                </pic:pic>
              </a:graphicData>
            </a:graphic>
          </wp:inline>
        </w:drawing>
      </w:r>
      <w:r>
        <w:rPr>
          <w:noProof/>
        </w:rPr>
        <w:drawing>
          <wp:inline distT="0" distB="0" distL="0" distR="0">
            <wp:extent cx="1990165" cy="1538661"/>
            <wp:effectExtent l="0" t="0" r="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1990165" cy="1538661"/>
                    </a:xfrm>
                    <a:prstGeom prst="rect">
                      <a:avLst/>
                    </a:prstGeom>
                  </pic:spPr>
                </pic:pic>
              </a:graphicData>
            </a:graphic>
          </wp:inline>
        </w:drawing>
      </w:r>
      <w:r>
        <w:rPr>
          <w:noProof/>
        </w:rPr>
        <w:drawing>
          <wp:inline distT="0" distB="0" distL="0" distR="0">
            <wp:extent cx="1997849" cy="1507603"/>
            <wp:effectExtent l="0" t="0" r="254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997849" cy="1507603"/>
                    </a:xfrm>
                    <a:prstGeom prst="rect">
                      <a:avLst/>
                    </a:prstGeom>
                  </pic:spPr>
                </pic:pic>
              </a:graphicData>
            </a:graphic>
          </wp:inline>
        </w:drawing>
      </w:r>
      <w:r>
        <w:rPr>
          <w:noProof/>
        </w:rPr>
        <w:drawing>
          <wp:inline distT="0" distB="0" distL="0" distR="0">
            <wp:extent cx="2051050" cy="1591229"/>
            <wp:effectExtent l="0" t="0" r="635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2051050" cy="1591229"/>
                    </a:xfrm>
                    <a:prstGeom prst="rect">
                      <a:avLst/>
                    </a:prstGeom>
                  </pic:spPr>
                </pic:pic>
              </a:graphicData>
            </a:graphic>
          </wp:inline>
        </w:drawing>
      </w:r>
    </w:p>
    <w:p>
      <w:pPr>
        <w:pStyle w:val="NormalWeb"/>
        <w:spacing w:before="0" w:beforeAutospacing="0" w:after="0" w:afterAutospacing="0" w:line="276" w:lineRule="auto"/>
        <w:jc w:val="both"/>
        <w:rPr>
          <w:rFonts w:asciiTheme="minorHAnsi" w:hAnsiTheme="minorHAnsi" w:cstheme="minorHAnsi"/>
          <w:noProof/>
        </w:rPr>
      </w:pPr>
      <w:r>
        <w:rPr>
          <w:noProof/>
        </w:rPr>
        <w:drawing>
          <wp:inline distT="0" distB="0" distL="0" distR="0">
            <wp:extent cx="2051637" cy="1605744"/>
            <wp:effectExtent l="0" t="0" r="635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2051637" cy="1605744"/>
                    </a:xfrm>
                    <a:prstGeom prst="rect">
                      <a:avLst/>
                    </a:prstGeom>
                  </pic:spPr>
                </pic:pic>
              </a:graphicData>
            </a:graphic>
          </wp:inline>
        </w:drawing>
      </w:r>
      <w:r>
        <w:rPr>
          <w:noProof/>
        </w:rPr>
        <w:drawing>
          <wp:inline distT="0" distB="0" distL="0" distR="0">
            <wp:extent cx="1997849" cy="1549955"/>
            <wp:effectExtent l="0" t="0" r="254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997849" cy="1549955"/>
                    </a:xfrm>
                    <a:prstGeom prst="rect">
                      <a:avLst/>
                    </a:prstGeom>
                  </pic:spPr>
                </pic:pic>
              </a:graphicData>
            </a:graphic>
          </wp:inline>
        </w:drawing>
      </w:r>
    </w:p>
    <w:p>
      <w:pPr>
        <w:pStyle w:val="NormalWeb"/>
        <w:spacing w:before="0" w:beforeAutospacing="0" w:after="0" w:afterAutospacing="0" w:line="276" w:lineRule="auto"/>
        <w:jc w:val="both"/>
        <w:rPr>
          <w:rFonts w:asciiTheme="minorHAnsi" w:hAnsiTheme="minorHAnsi" w:cstheme="minorHAnsi"/>
          <w:noProof/>
        </w:rPr>
      </w:pPr>
      <w:r>
        <w:rPr>
          <w:noProof/>
        </w:rPr>
        <w:drawing>
          <wp:inline distT="0" distB="0" distL="0" distR="0">
            <wp:extent cx="1967113" cy="1531417"/>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967113" cy="1531417"/>
                    </a:xfrm>
                    <a:prstGeom prst="rect">
                      <a:avLst/>
                    </a:prstGeom>
                  </pic:spPr>
                </pic:pic>
              </a:graphicData>
            </a:graphic>
          </wp:inline>
        </w:drawing>
      </w:r>
      <w:r>
        <w:rPr>
          <w:noProof/>
        </w:rPr>
        <w:drawing>
          <wp:inline distT="0" distB="0" distL="0" distR="0">
            <wp:extent cx="2051637" cy="1558981"/>
            <wp:effectExtent l="0" t="0" r="6350" b="31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2051637" cy="1558981"/>
                    </a:xfrm>
                    <a:prstGeom prst="rect">
                      <a:avLst/>
                    </a:prstGeom>
                  </pic:spPr>
                </pic:pic>
              </a:graphicData>
            </a:graphic>
          </wp:inline>
        </w:drawing>
      </w:r>
      <w:r>
        <w:rPr>
          <w:noProof/>
        </w:rPr>
        <w:drawing>
          <wp:inline distT="0" distB="0" distL="0" distR="0">
            <wp:extent cx="2003594" cy="1554411"/>
            <wp:effectExtent l="0" t="0" r="0" b="825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2003594" cy="1554411"/>
                    </a:xfrm>
                    <a:prstGeom prst="rect">
                      <a:avLst/>
                    </a:prstGeom>
                  </pic:spPr>
                </pic:pic>
              </a:graphicData>
            </a:graphic>
          </wp:inline>
        </w:drawing>
      </w:r>
    </w:p>
    <w:p>
      <w:pPr>
        <w:pStyle w:val="NormalWeb"/>
        <w:spacing w:before="0" w:beforeAutospacing="0" w:after="0" w:afterAutospacing="0" w:line="276" w:lineRule="auto"/>
        <w:rPr>
          <w:rFonts w:asciiTheme="minorHAnsi" w:hAnsiTheme="minorHAnsi" w:cstheme="minorHAnsi"/>
          <w:noProof/>
        </w:rPr>
      </w:pPr>
      <w:r>
        <w:rPr>
          <w:noProof/>
        </w:rPr>
        <w:t xml:space="preserve"> </w:t>
      </w:r>
    </w:p>
    <w:p>
      <w:pPr>
        <w:spacing w:after="0"/>
        <w:rPr>
          <w:rFonts w:ascii="Times New Roman" w:hAnsi="Times New Roman" w:cs="Times New Roman"/>
          <w:i/>
          <w:noProof/>
          <w:sz w:val="16"/>
          <w:szCs w:val="16"/>
        </w:rPr>
      </w:pPr>
      <w:r>
        <w:rPr>
          <w:rFonts w:ascii="Times New Roman" w:hAnsi="Times New Roman" w:cs="Times New Roman"/>
          <w:i/>
          <w:iCs/>
          <w:noProof/>
          <w:sz w:val="16"/>
          <w:szCs w:val="16"/>
        </w:rPr>
        <w:t xml:space="preserve">Note: Plots show the mean annual equivalised disposable income by decile </w:t>
      </w:r>
      <w:r>
        <w:rPr>
          <w:rFonts w:ascii="Times New Roman" w:hAnsi="Times New Roman" w:cs="Times New Roman"/>
          <w:i/>
          <w:iCs/>
          <w:noProof/>
          <w:sz w:val="16"/>
          <w:szCs w:val="16"/>
          <w:lang w:val="lt-LT"/>
        </w:rPr>
        <w:t>(% change with respect to the baseline</w:t>
      </w:r>
      <w:r>
        <w:rPr>
          <w:rFonts w:ascii="Times New Roman" w:hAnsi="Times New Roman" w:cs="Times New Roman"/>
          <w:i/>
          <w:iCs/>
          <w:noProof/>
          <w:sz w:val="16"/>
          <w:szCs w:val="16"/>
        </w:rPr>
        <w:t>). The scaling of y-axis differs across countries. Source: European Commission, Joint Research Centre, based on the EUROMOD model.</w:t>
      </w:r>
    </w:p>
    <w:p>
      <w:pPr>
        <w:spacing w:after="0"/>
        <w:jc w:val="both"/>
        <w:rPr>
          <w:rFonts w:cstheme="minorHAnsi"/>
          <w:noProof/>
        </w:rPr>
      </w:pP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extent to which changes in market income (driven by the simulated changes in gross hourly wages of some women) would be translated into changes in household disposable income depends on several issues.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First, on the initial distribution of wages and gender gaps across income deciles, and shares of working women in each decile. For example, in some countries, when closing the AGPG by 3 pp, incomes of women concentrated in the middle of the income distribution may be changed relatively more than at the top (and vice versa). The share of employed women across the income distribution helps explain some of the country differences (see Figure 6): a stronger effect in the lower part of the income distribution is expected in countries in which the share of women employed in the first decile is higher (e.g. DK, HU) compared to countries where this share is lower (e.g. BE, RO, IE). </w:t>
      </w:r>
    </w:p>
    <w:p>
      <w:pPr>
        <w:spacing w:after="0"/>
        <w:jc w:val="both"/>
        <w:rPr>
          <w:rFonts w:ascii="Times New Roman" w:hAnsi="Times New Roman" w:cs="Times New Roman"/>
          <w:noProof/>
          <w:sz w:val="24"/>
          <w:szCs w:val="24"/>
        </w:rPr>
      </w:pPr>
    </w:p>
    <w:p>
      <w:pPr>
        <w:pStyle w:val="NormalWeb"/>
        <w:keepNext/>
        <w:spacing w:before="0" w:beforeAutospacing="0" w:after="120" w:afterAutospacing="0" w:line="276" w:lineRule="auto"/>
        <w:rPr>
          <w:noProof/>
          <w:lang w:eastAsia="en-US"/>
        </w:rPr>
      </w:pPr>
      <w:r>
        <w:rPr>
          <w:b/>
          <w:bCs/>
          <w:noProof/>
          <w:lang w:eastAsia="en-US"/>
        </w:rPr>
        <w:t>Figure 2.</w:t>
      </w:r>
      <w:r>
        <w:rPr>
          <w:noProof/>
          <w:lang w:eastAsia="en-US"/>
        </w:rPr>
        <w:t xml:space="preserve"> Share of employed women by income deciles </w:t>
      </w:r>
    </w:p>
    <w:p>
      <w:pPr>
        <w:pStyle w:val="NormalWeb"/>
        <w:spacing w:before="0" w:beforeAutospacing="0" w:line="276" w:lineRule="auto"/>
        <w:jc w:val="center"/>
        <w:rPr>
          <w:rFonts w:asciiTheme="minorHAnsi" w:hAnsiTheme="minorHAnsi" w:cstheme="minorHAnsi"/>
          <w:noProof/>
          <w:sz w:val="20"/>
          <w:szCs w:val="20"/>
          <w:lang w:eastAsia="en-US"/>
        </w:rPr>
      </w:pPr>
      <w:r>
        <w:rPr>
          <w:rFonts w:asciiTheme="minorHAnsi" w:hAnsiTheme="minorHAnsi" w:cstheme="minorHAnsi"/>
          <w:noProof/>
          <w:sz w:val="20"/>
          <w:szCs w:val="20"/>
        </w:rPr>
        <w:drawing>
          <wp:anchor distT="0" distB="0" distL="114300" distR="114300" simplePos="0" relativeHeight="251658240" behindDoc="0" locked="0" layoutInCell="1" allowOverlap="1">
            <wp:simplePos x="0" y="0"/>
            <wp:positionH relativeFrom="margin">
              <wp:align>center</wp:align>
            </wp:positionH>
            <wp:positionV relativeFrom="paragraph">
              <wp:posOffset>5811340</wp:posOffset>
            </wp:positionV>
            <wp:extent cx="3503435" cy="2041226"/>
            <wp:effectExtent l="0" t="0" r="1905" b="0"/>
            <wp:wrapTopAndBottom/>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503435" cy="2041226"/>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0"/>
          <w:szCs w:val="20"/>
        </w:rPr>
        <w:drawing>
          <wp:inline distT="0" distB="0" distL="0" distR="0">
            <wp:extent cx="3467819" cy="1795751"/>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517653" cy="1821557"/>
                    </a:xfrm>
                    <a:prstGeom prst="rect">
                      <a:avLst/>
                    </a:prstGeom>
                    <a:noFill/>
                  </pic:spPr>
                </pic:pic>
              </a:graphicData>
            </a:graphic>
          </wp:inline>
        </w:drawing>
      </w:r>
      <w:r>
        <w:rPr>
          <w:rFonts w:asciiTheme="minorHAnsi" w:hAnsiTheme="minorHAnsi" w:cstheme="minorHAnsi"/>
          <w:noProof/>
          <w:sz w:val="20"/>
          <w:szCs w:val="20"/>
        </w:rPr>
        <w:drawing>
          <wp:inline distT="0" distB="0" distL="0" distR="0">
            <wp:extent cx="3476445" cy="1923831"/>
            <wp:effectExtent l="0" t="0" r="0" b="63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533916" cy="1955635"/>
                    </a:xfrm>
                    <a:prstGeom prst="rect">
                      <a:avLst/>
                    </a:prstGeom>
                    <a:noFill/>
                  </pic:spPr>
                </pic:pic>
              </a:graphicData>
            </a:graphic>
          </wp:inline>
        </w:drawing>
      </w:r>
      <w:r>
        <w:rPr>
          <w:rFonts w:asciiTheme="minorHAnsi" w:hAnsiTheme="minorHAnsi" w:cstheme="minorHAnsi"/>
          <w:noProof/>
          <w:sz w:val="20"/>
          <w:szCs w:val="20"/>
        </w:rPr>
        <w:drawing>
          <wp:inline distT="0" distB="0" distL="0" distR="0">
            <wp:extent cx="3441940" cy="2024179"/>
            <wp:effectExtent l="0" t="0" r="635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499294" cy="2057908"/>
                    </a:xfrm>
                    <a:prstGeom prst="rect">
                      <a:avLst/>
                    </a:prstGeom>
                    <a:noFill/>
                  </pic:spPr>
                </pic:pic>
              </a:graphicData>
            </a:graphic>
          </wp:inline>
        </w:drawing>
      </w:r>
    </w:p>
    <w:p>
      <w:pPr>
        <w:spacing w:after="100" w:afterAutospacing="1"/>
        <w:jc w:val="both"/>
        <w:rPr>
          <w:rFonts w:ascii="Times New Roman" w:hAnsi="Times New Roman" w:cs="Times New Roman"/>
          <w:noProof/>
          <w:sz w:val="24"/>
          <w:szCs w:val="24"/>
        </w:rPr>
      </w:pPr>
      <w:r>
        <w:rPr>
          <w:rFonts w:ascii="Times New Roman" w:hAnsi="Times New Roman" w:cs="Times New Roman"/>
          <w:i/>
          <w:iCs/>
          <w:noProof/>
          <w:sz w:val="18"/>
          <w:szCs w:val="18"/>
        </w:rPr>
        <w:t>Source: European Commission, Joint Research Centre, based on the EUROMOD model.</w:t>
      </w:r>
    </w:p>
    <w:p>
      <w:pPr>
        <w:spacing w:after="240"/>
        <w:jc w:val="both"/>
        <w:rPr>
          <w:rFonts w:ascii="Times New Roman" w:hAnsi="Times New Roman" w:cs="Times New Roman"/>
          <w:noProof/>
          <w:sz w:val="24"/>
          <w:szCs w:val="24"/>
        </w:rPr>
      </w:pPr>
      <w:r>
        <w:rPr>
          <w:rFonts w:ascii="Times New Roman" w:hAnsi="Times New Roman" w:cs="Times New Roman"/>
          <w:noProof/>
          <w:sz w:val="24"/>
          <w:szCs w:val="24"/>
        </w:rPr>
        <w:t>Secondly, the structure of personal income taxes (e.g., progressivity of the personal income tax, existence of different allowances, tax credits, joint assessment of taxable income, etc.) and the interactions within the tax-benefit system also impact the translation of market income changes into disposable income changes.</w:t>
      </w:r>
    </w:p>
    <w:p>
      <w:pPr>
        <w:jc w:val="both"/>
        <w:rPr>
          <w:rFonts w:ascii="Times New Roman" w:hAnsi="Times New Roman" w:cs="Times New Roman"/>
          <w:noProof/>
          <w:sz w:val="24"/>
          <w:szCs w:val="24"/>
        </w:rPr>
      </w:pPr>
      <w:r>
        <w:rPr>
          <w:rFonts w:ascii="Times New Roman" w:hAnsi="Times New Roman" w:cs="Times New Roman"/>
          <w:noProof/>
          <w:sz w:val="24"/>
          <w:szCs w:val="24"/>
        </w:rPr>
        <w:t>Finally, some other things, such as household composition, might also play a role, as incomes used for inequality measures are assessed at the household level, i.e. accounting for the number of household members living in a household.</w:t>
      </w:r>
    </w:p>
    <w:p>
      <w:pPr>
        <w:spacing w:after="100" w:afterAutospacing="1"/>
        <w:jc w:val="both"/>
        <w:rPr>
          <w:rFonts w:ascii="Times New Roman" w:hAnsi="Times New Roman" w:cs="Times New Roman"/>
          <w:noProof/>
          <w:sz w:val="24"/>
          <w:szCs w:val="24"/>
        </w:rPr>
      </w:pPr>
      <w:r>
        <w:rPr>
          <w:rFonts w:ascii="Times New Roman" w:hAnsi="Times New Roman" w:cs="Times New Roman"/>
          <w:noProof/>
          <w:sz w:val="24"/>
          <w:szCs w:val="24"/>
        </w:rPr>
        <w:t xml:space="preserve">Because of the higher gross earnings of women when the AGPG narrows, </w:t>
      </w:r>
      <w:r>
        <w:rPr>
          <w:rFonts w:ascii="Times New Roman" w:hAnsi="Times New Roman" w:cs="Times New Roman"/>
          <w:b/>
          <w:bCs/>
          <w:noProof/>
          <w:sz w:val="24"/>
          <w:szCs w:val="24"/>
        </w:rPr>
        <w:t>market income inequality</w:t>
      </w:r>
      <w:r>
        <w:rPr>
          <w:rFonts w:ascii="Times New Roman" w:hAnsi="Times New Roman" w:cs="Times New Roman"/>
          <w:noProof/>
          <w:sz w:val="24"/>
          <w:szCs w:val="24"/>
        </w:rPr>
        <w:t xml:space="preserve"> -measured by the Gini coefficient - </w:t>
      </w:r>
      <w:r>
        <w:rPr>
          <w:rFonts w:ascii="Times New Roman" w:hAnsi="Times New Roman" w:cs="Times New Roman"/>
          <w:b/>
          <w:bCs/>
          <w:noProof/>
          <w:sz w:val="24"/>
          <w:szCs w:val="24"/>
        </w:rPr>
        <w:t>would be reduced for all countries for all scenarios</w:t>
      </w:r>
      <w:r>
        <w:rPr>
          <w:rFonts w:ascii="Times New Roman" w:hAnsi="Times New Roman" w:cs="Times New Roman"/>
          <w:noProof/>
          <w:sz w:val="24"/>
          <w:szCs w:val="24"/>
        </w:rPr>
        <w:t xml:space="preserve"> (Figure 3). However,</w:t>
      </w:r>
      <w:r>
        <w:rPr>
          <w:rFonts w:ascii="Times New Roman" w:hAnsi="Times New Roman" w:cs="Times New Roman"/>
          <w:b/>
          <w:bCs/>
          <w:noProof/>
          <w:sz w:val="24"/>
          <w:szCs w:val="24"/>
        </w:rPr>
        <w:t xml:space="preserve"> </w:t>
      </w:r>
      <w:r>
        <w:rPr>
          <w:rFonts w:ascii="Times New Roman" w:hAnsi="Times New Roman" w:cs="Times New Roman"/>
          <w:noProof/>
          <w:sz w:val="24"/>
          <w:szCs w:val="24"/>
        </w:rPr>
        <w:t>this inequality-reducing effect in market income</w:t>
      </w:r>
      <w:r>
        <w:rPr>
          <w:rFonts w:ascii="Times New Roman" w:hAnsi="Times New Roman" w:cs="Times New Roman"/>
          <w:b/>
          <w:bCs/>
          <w:noProof/>
          <w:sz w:val="24"/>
          <w:szCs w:val="24"/>
        </w:rPr>
        <w:t xml:space="preserve"> would not always translate into lower inequality in disposable income. </w:t>
      </w:r>
      <w:r>
        <w:rPr>
          <w:rFonts w:ascii="Times New Roman" w:hAnsi="Times New Roman" w:cs="Times New Roman"/>
          <w:noProof/>
          <w:sz w:val="24"/>
          <w:szCs w:val="24"/>
        </w:rPr>
        <w:t>The Gini coefficient of equivalised disposable income would be reduced in 18 out of 27 EU Member States (Figure 4). According to the simulations, the disposable income inequality is expected to increase, although to a different extent depending on the scenario, in BE, EL, FI, IE, LT, MT, PL, RO and SI. These inequality results were expected given the distributional tables shown above, as in a country like BE the upper tail of the income distribution benefited from the changes more than the lower, while all other mentioned countries showed an inverted U shape (middle-top deciles benefit more than the lower ones).</w:t>
      </w:r>
    </w:p>
    <w:p>
      <w:pPr>
        <w:pStyle w:val="NormalWeb"/>
        <w:spacing w:before="0" w:beforeAutospacing="0" w:after="0" w:afterAutospacing="0" w:line="276" w:lineRule="auto"/>
        <w:rPr>
          <w:noProof/>
        </w:rPr>
      </w:pPr>
      <w:r>
        <w:rPr>
          <w:b/>
          <w:bCs/>
          <w:noProof/>
          <w:lang w:eastAsia="en-US"/>
        </w:rPr>
        <w:t>Figure 3</w:t>
      </w:r>
      <w:r>
        <w:rPr>
          <w:noProof/>
          <w:lang w:eastAsia="en-US"/>
        </w:rPr>
        <w:t xml:space="preserve">. </w:t>
      </w:r>
      <w:r>
        <w:rPr>
          <w:noProof/>
          <w:sz w:val="20"/>
          <w:szCs w:val="20"/>
          <w:lang w:eastAsia="en-US"/>
        </w:rPr>
        <w:t>Change in market income inequality (Gini coefficient) for three scenarios</w:t>
      </w:r>
      <w:r>
        <w:rPr>
          <w:noProof/>
          <w:sz w:val="20"/>
          <w:szCs w:val="20"/>
        </w:rPr>
        <w:t xml:space="preserve"> of AGPG reduction</w:t>
      </w:r>
      <w:r>
        <w:rPr>
          <w:noProof/>
        </w:rPr>
        <w:t xml:space="preserve"> </w:t>
      </w:r>
    </w:p>
    <w:p>
      <w:pPr>
        <w:pStyle w:val="NormalWeb"/>
        <w:spacing w:before="0" w:beforeAutospacing="0" w:after="0" w:afterAutospacing="0" w:line="276" w:lineRule="auto"/>
        <w:jc w:val="center"/>
        <w:rPr>
          <w:noProof/>
        </w:rPr>
      </w:pPr>
      <w:r>
        <w:rPr>
          <w:noProof/>
        </w:rPr>
        <w:drawing>
          <wp:inline distT="0" distB="0" distL="0" distR="0">
            <wp:extent cx="5724013" cy="124570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5736424" cy="1248405"/>
                    </a:xfrm>
                    <a:prstGeom prst="rect">
                      <a:avLst/>
                    </a:prstGeom>
                  </pic:spPr>
                </pic:pic>
              </a:graphicData>
            </a:graphic>
          </wp:inline>
        </w:drawing>
      </w:r>
    </w:p>
    <w:p>
      <w:pPr>
        <w:spacing w:after="0"/>
        <w:jc w:val="both"/>
        <w:rPr>
          <w:rFonts w:ascii="Times New Roman" w:hAnsi="Times New Roman" w:cs="Times New Roman"/>
          <w:i/>
          <w:noProof/>
          <w:sz w:val="18"/>
          <w:szCs w:val="18"/>
        </w:rPr>
      </w:pPr>
      <w:r>
        <w:rPr>
          <w:rFonts w:ascii="Times New Roman" w:hAnsi="Times New Roman" w:cs="Times New Roman"/>
          <w:i/>
          <w:iCs/>
          <w:noProof/>
          <w:sz w:val="18"/>
          <w:szCs w:val="18"/>
        </w:rPr>
        <w:t>Source: European Commission, Joint Research Centre , based on the EUROMOD model.</w:t>
      </w:r>
    </w:p>
    <w:p>
      <w:pPr>
        <w:pStyle w:val="NormalWeb"/>
        <w:spacing w:before="0" w:beforeAutospacing="0" w:after="0" w:afterAutospacing="0" w:line="276" w:lineRule="auto"/>
        <w:jc w:val="center"/>
        <w:rPr>
          <w:rFonts w:asciiTheme="minorHAnsi" w:hAnsiTheme="minorHAnsi" w:cstheme="minorHAnsi"/>
          <w:noProof/>
          <w:sz w:val="22"/>
          <w:szCs w:val="22"/>
          <w:lang w:eastAsia="en-US"/>
        </w:rPr>
      </w:pPr>
    </w:p>
    <w:p>
      <w:pPr>
        <w:pStyle w:val="NormalWeb"/>
        <w:spacing w:before="0" w:beforeAutospacing="0" w:after="0" w:afterAutospacing="0" w:line="276" w:lineRule="auto"/>
        <w:ind w:right="-29"/>
        <w:rPr>
          <w:rFonts w:asciiTheme="minorHAnsi" w:hAnsiTheme="minorHAnsi" w:cstheme="minorBidi"/>
          <w:noProof/>
          <w:sz w:val="22"/>
          <w:szCs w:val="22"/>
          <w:lang w:eastAsia="en-US"/>
        </w:rPr>
      </w:pPr>
      <w:r>
        <w:rPr>
          <w:b/>
          <w:bCs/>
          <w:noProof/>
          <w:lang w:eastAsia="en-US"/>
        </w:rPr>
        <w:t>Figure 4</w:t>
      </w:r>
      <w:r>
        <w:rPr>
          <w:noProof/>
          <w:lang w:eastAsia="en-US"/>
        </w:rPr>
        <w:t>.</w:t>
      </w:r>
      <w:r>
        <w:rPr>
          <w:rFonts w:asciiTheme="minorHAnsi" w:hAnsiTheme="minorHAnsi" w:cstheme="minorBidi"/>
          <w:noProof/>
          <w:sz w:val="22"/>
          <w:szCs w:val="22"/>
          <w:lang w:eastAsia="en-US"/>
        </w:rPr>
        <w:t xml:space="preserve"> </w:t>
      </w:r>
      <w:r>
        <w:rPr>
          <w:noProof/>
          <w:sz w:val="20"/>
          <w:szCs w:val="20"/>
          <w:lang w:eastAsia="en-US"/>
        </w:rPr>
        <w:t>Change in disposable income inequality (Gini coefficient) for three scenarios of AGPG reduction</w:t>
      </w:r>
    </w:p>
    <w:p>
      <w:pPr>
        <w:pStyle w:val="NormalWeb"/>
        <w:spacing w:before="0" w:beforeAutospacing="0" w:after="0" w:afterAutospacing="0" w:line="276" w:lineRule="auto"/>
        <w:jc w:val="center"/>
        <w:rPr>
          <w:rFonts w:asciiTheme="minorHAnsi" w:hAnsiTheme="minorHAnsi" w:cstheme="minorHAnsi"/>
          <w:noProof/>
          <w:sz w:val="22"/>
          <w:szCs w:val="22"/>
          <w:lang w:eastAsia="en-US"/>
        </w:rPr>
      </w:pPr>
      <w:r>
        <w:rPr>
          <w:noProof/>
        </w:rPr>
        <w:drawing>
          <wp:inline distT="0" distB="0" distL="0" distR="0">
            <wp:extent cx="5723890" cy="1899863"/>
            <wp:effectExtent l="0" t="0" r="0" b="571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5740384" cy="1905338"/>
                    </a:xfrm>
                    <a:prstGeom prst="rect">
                      <a:avLst/>
                    </a:prstGeom>
                  </pic:spPr>
                </pic:pic>
              </a:graphicData>
            </a:graphic>
          </wp:inline>
        </w:drawing>
      </w:r>
    </w:p>
    <w:p>
      <w:pPr>
        <w:spacing w:after="0"/>
        <w:jc w:val="both"/>
        <w:rPr>
          <w:rFonts w:ascii="Times New Roman" w:hAnsi="Times New Roman" w:cs="Times New Roman"/>
          <w:i/>
          <w:noProof/>
          <w:sz w:val="18"/>
          <w:szCs w:val="18"/>
        </w:rPr>
      </w:pPr>
      <w:r>
        <w:rPr>
          <w:rFonts w:ascii="Times New Roman" w:hAnsi="Times New Roman" w:cs="Times New Roman"/>
          <w:i/>
          <w:iCs/>
          <w:noProof/>
          <w:sz w:val="18"/>
          <w:szCs w:val="18"/>
        </w:rPr>
        <w:t>Source: European Commission, Joint Research Centre, based on the EUROMOD model.</w:t>
      </w:r>
    </w:p>
    <w:p>
      <w:pPr>
        <w:spacing w:after="100" w:afterAutospacing="1"/>
        <w:jc w:val="both"/>
        <w:rPr>
          <w:rFonts w:ascii="Times New Roman" w:hAnsi="Times New Roman" w:cs="Times New Roman"/>
          <w:noProof/>
          <w:sz w:val="24"/>
          <w:szCs w:val="24"/>
        </w:rPr>
      </w:pPr>
      <w:r>
        <w:rPr>
          <w:rFonts w:ascii="Times New Roman" w:hAnsi="Times New Roman" w:cs="Times New Roman"/>
          <w:noProof/>
          <w:sz w:val="24"/>
          <w:szCs w:val="24"/>
        </w:rPr>
        <w:t xml:space="preserve">The impact on inequality of the different scenarios of AGPG reduction does not seem to be linear: the scenarios simulating 1 and 5pp reduction of the AGPG would often lead to higher changes in the Gini inequality of disposable income than the 3 pp scenario. </w:t>
      </w:r>
    </w:p>
    <w:p>
      <w:pPr>
        <w:jc w:val="both"/>
        <w:rPr>
          <w:rFonts w:ascii="Times New Roman" w:hAnsi="Times New Roman" w:cs="Times New Roman"/>
          <w:noProof/>
          <w:sz w:val="24"/>
          <w:szCs w:val="24"/>
        </w:rPr>
      </w:pPr>
      <w:r>
        <w:rPr>
          <w:rFonts w:ascii="Times New Roman" w:hAnsi="Times New Roman" w:cs="Times New Roman"/>
          <w:b/>
          <w:bCs/>
          <w:noProof/>
          <w:sz w:val="24"/>
          <w:szCs w:val="24"/>
        </w:rPr>
        <w:t>The closing of the AGPG by 1, 3 or 5 pp would lead to a reduction in the at-risk-of poverty rate for all countries</w:t>
      </w:r>
      <w:r>
        <w:rPr>
          <w:rFonts w:ascii="Times New Roman" w:hAnsi="Times New Roman" w:cs="Times New Roman"/>
          <w:noProof/>
          <w:sz w:val="24"/>
          <w:szCs w:val="24"/>
        </w:rPr>
        <w:t xml:space="preserve">, more so for EE, ES and HU. The countries with the lowest decline in poverty risk would be BE, EL, FI, IE, MT and RO (Figure 5). As a rule, the more the AGPG is closed (or the more women´s gross hourly earnings increase), the more the poverty risk would be reduced. For some countries, moving from 1 to 3 pp closing of the AGPG would strengthen the effect of poverty risk reduction; but there would be little change when going from 3 to 5 pp of AGPG narrowing (e.g., AT, BE, FR, IE, IT, LV and PL). This means that a small increase would suffice to lift up women above the poverty line, while further increases in gross earnings  would matter for their financial situation but not for the poverty indicator. In addition, the impact on poverty rates depends on how many working women fall below the poverty line. Most often, people below the poverty line have no or little market income. For instance, in RO the change in at-risk-of poverty rates would  always be small or remain unchanged: this is because, as seen from the distributional tables, the lowest decile would not be affected by the changes, as  there are virtually no working women in the first decile (and only 2 and 5% in the second and third deciles), (see Figure 6 below showing the shares of working women across deciles). </w:t>
      </w:r>
    </w:p>
    <w:p>
      <w:pPr>
        <w:jc w:val="center"/>
        <w:rPr>
          <w:rFonts w:ascii="Times New Roman" w:hAnsi="Times New Roman" w:cs="Times New Roman"/>
          <w:noProof/>
          <w:sz w:val="20"/>
          <w:szCs w:val="20"/>
        </w:rPr>
      </w:pPr>
      <w:r>
        <w:rPr>
          <w:rFonts w:ascii="Times New Roman" w:hAnsi="Times New Roman" w:cs="Times New Roman"/>
          <w:b/>
          <w:bCs/>
          <w:noProof/>
          <w:sz w:val="24"/>
          <w:szCs w:val="24"/>
        </w:rPr>
        <w:t>Figure 5.</w:t>
      </w:r>
      <w:r>
        <w:rPr>
          <w:rFonts w:ascii="Times New Roman" w:hAnsi="Times New Roman" w:cs="Times New Roman"/>
          <w:b/>
          <w:bCs/>
          <w:noProof/>
          <w:sz w:val="20"/>
          <w:szCs w:val="20"/>
        </w:rPr>
        <w:t xml:space="preserve"> </w:t>
      </w:r>
      <w:r>
        <w:rPr>
          <w:rFonts w:ascii="Times New Roman" w:hAnsi="Times New Roman" w:cs="Times New Roman"/>
          <w:noProof/>
          <w:sz w:val="20"/>
          <w:szCs w:val="20"/>
        </w:rPr>
        <w:t xml:space="preserve">Change in the at-risk-of poverty rates for three scenarios of AGPG reduction </w:t>
      </w:r>
    </w:p>
    <w:p>
      <w:pPr>
        <w:pStyle w:val="NormalWeb"/>
        <w:spacing w:before="0" w:beforeAutospacing="0" w:line="276" w:lineRule="auto"/>
        <w:jc w:val="center"/>
        <w:rPr>
          <w:rFonts w:asciiTheme="minorHAnsi" w:hAnsiTheme="minorHAnsi" w:cstheme="minorHAnsi"/>
          <w:bCs/>
          <w:noProof/>
          <w:sz w:val="20"/>
          <w:szCs w:val="20"/>
        </w:rPr>
      </w:pPr>
      <w:r>
        <w:rPr>
          <w:noProof/>
        </w:rPr>
        <w:drawing>
          <wp:inline distT="0" distB="0" distL="0" distR="0">
            <wp:extent cx="5848013" cy="2034253"/>
            <wp:effectExtent l="0" t="0" r="635" b="444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5848013" cy="2034253"/>
                    </a:xfrm>
                    <a:prstGeom prst="rect">
                      <a:avLst/>
                    </a:prstGeom>
                  </pic:spPr>
                </pic:pic>
              </a:graphicData>
            </a:graphic>
          </wp:inline>
        </w:drawing>
      </w:r>
      <w:r>
        <w:rPr>
          <w:noProof/>
        </w:rPr>
        <w:t xml:space="preserve"> </w:t>
      </w:r>
    </w:p>
    <w:p>
      <w:pPr>
        <w:pStyle w:val="FootnoteText"/>
        <w:jc w:val="both"/>
        <w:rPr>
          <w:rFonts w:ascii="Times New Roman" w:hAnsi="Times New Roman" w:cs="Times New Roman"/>
          <w:i/>
          <w:noProof/>
        </w:rPr>
      </w:pPr>
      <w:r>
        <w:rPr>
          <w:rFonts w:ascii="Times New Roman" w:hAnsi="Times New Roman" w:cs="Times New Roman"/>
          <w:i/>
          <w:iCs/>
          <w:noProof/>
        </w:rPr>
        <w:t xml:space="preserve">Note: The at risk of poverty rate is the share of people with an equivalised disposable income (after taxes and social transfers) below the at-risk-of-poverty threshold, which is set at 60% of the national median equivalised disposable income. The poverty line is fixed/anchored in the baseline. </w:t>
      </w:r>
    </w:p>
    <w:p>
      <w:pPr>
        <w:spacing w:after="0" w:line="240" w:lineRule="auto"/>
        <w:rPr>
          <w:rFonts w:ascii="Times New Roman" w:hAnsi="Times New Roman" w:cs="Times New Roman"/>
          <w:i/>
          <w:noProof/>
          <w:sz w:val="20"/>
          <w:szCs w:val="20"/>
        </w:rPr>
      </w:pPr>
      <w:r>
        <w:rPr>
          <w:rFonts w:ascii="Times New Roman" w:hAnsi="Times New Roman" w:cs="Times New Roman"/>
          <w:i/>
          <w:iCs/>
          <w:noProof/>
          <w:sz w:val="20"/>
          <w:szCs w:val="20"/>
        </w:rPr>
        <w:t>Source: European Commission, Joint Research Centre, based on the EUROMOD model.</w:t>
      </w:r>
    </w:p>
    <w:p>
      <w:pPr>
        <w:spacing w:after="0"/>
        <w:ind w:left="720" w:firstLine="720"/>
        <w:rPr>
          <w:rFonts w:cstheme="minorHAnsi"/>
          <w:noProof/>
          <w:sz w:val="20"/>
          <w:szCs w:val="20"/>
        </w:rPr>
      </w:pPr>
    </w:p>
    <w:p>
      <w:pPr>
        <w:pStyle w:val="NormalWeb"/>
        <w:spacing w:before="0" w:beforeAutospacing="0" w:line="276" w:lineRule="auto"/>
        <w:jc w:val="both"/>
        <w:rPr>
          <w:bCs/>
          <w:noProof/>
        </w:rPr>
      </w:pPr>
      <w:r>
        <w:rPr>
          <w:b/>
          <w:bCs/>
          <w:noProof/>
        </w:rPr>
        <w:t>The overall change in the at-risk-of poverty rates hides important variations by household type</w:t>
      </w:r>
      <w:r>
        <w:rPr>
          <w:noProof/>
        </w:rPr>
        <w:t>. Figure 6 provides estimates for households with and without children separately. The increased wages of working women would have almost no effect for elderly households as their main source of income is pension benefits, which remain unchanged. On the contrary,</w:t>
      </w:r>
      <w:r>
        <w:rPr>
          <w:b/>
          <w:bCs/>
          <w:noProof/>
        </w:rPr>
        <w:t xml:space="preserve"> single parent households – that most often are women – would benefit the most</w:t>
      </w:r>
      <w:r>
        <w:rPr>
          <w:noProof/>
        </w:rPr>
        <w:t>. The poverty is expected to be reduced by 8 pp in DE, ES, HU, LT, LV and even by 16 pp in EE. The other two groups that would experience a significant decrease in poverty risk are two adult with three or more children households (decrease by more than 6 pp in MT, SE) and three or more adults with children (drop of 5 or more pp in ES, HU, NL). DK stands out as a country where the poverty would be reduced more for single adults below 65 than for any household with children.</w:t>
      </w:r>
    </w:p>
    <w:p>
      <w:pPr>
        <w:spacing w:after="0"/>
        <w:rPr>
          <w:rFonts w:ascii="Times New Roman" w:hAnsi="Times New Roman" w:cs="Times New Roman"/>
          <w:noProof/>
          <w:sz w:val="20"/>
          <w:szCs w:val="20"/>
        </w:rPr>
      </w:pPr>
      <w:r>
        <w:rPr>
          <w:rFonts w:ascii="Times New Roman" w:hAnsi="Times New Roman" w:cs="Times New Roman"/>
          <w:b/>
          <w:bCs/>
          <w:noProof/>
          <w:sz w:val="24"/>
          <w:szCs w:val="24"/>
        </w:rPr>
        <w:t>Figure 6.</w:t>
      </w:r>
      <w:r>
        <w:rPr>
          <w:rFonts w:ascii="Times New Roman" w:hAnsi="Times New Roman" w:cs="Times New Roman"/>
          <w:b/>
          <w:bCs/>
          <w:noProof/>
          <w:sz w:val="20"/>
          <w:szCs w:val="20"/>
        </w:rPr>
        <w:t xml:space="preserve"> </w:t>
      </w:r>
      <w:r>
        <w:rPr>
          <w:rFonts w:ascii="Times New Roman" w:hAnsi="Times New Roman" w:cs="Times New Roman"/>
          <w:noProof/>
          <w:sz w:val="20"/>
          <w:szCs w:val="20"/>
        </w:rPr>
        <w:t>Change in the at-risk-of poverty rates for the 3pp AGPG reduction scenario, by household type (in pp with respect to the baseline).</w:t>
      </w:r>
    </w:p>
    <w:p>
      <w:pPr>
        <w:jc w:val="center"/>
        <w:rPr>
          <w:rFonts w:cstheme="minorHAnsi"/>
          <w:b/>
          <w:bCs/>
          <w:noProof/>
        </w:rPr>
      </w:pPr>
      <w:r>
        <w:rPr>
          <w:noProof/>
          <w:lang w:eastAsia="en-GB"/>
        </w:rPr>
        <w:drawing>
          <wp:inline distT="0" distB="0" distL="0" distR="0">
            <wp:extent cx="5473148" cy="1931706"/>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5480926" cy="1934451"/>
                    </a:xfrm>
                    <a:prstGeom prst="rect">
                      <a:avLst/>
                    </a:prstGeom>
                  </pic:spPr>
                </pic:pic>
              </a:graphicData>
            </a:graphic>
          </wp:inline>
        </w:drawing>
      </w:r>
    </w:p>
    <w:p>
      <w:pPr>
        <w:jc w:val="center"/>
        <w:rPr>
          <w:rFonts w:cstheme="minorHAnsi"/>
          <w:b/>
          <w:bCs/>
          <w:noProof/>
        </w:rPr>
      </w:pPr>
      <w:r>
        <w:rPr>
          <w:noProof/>
          <w:lang w:eastAsia="en-GB"/>
        </w:rPr>
        <w:drawing>
          <wp:inline distT="0" distB="0" distL="0" distR="0">
            <wp:extent cx="5512822" cy="1852554"/>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5526882" cy="1857279"/>
                    </a:xfrm>
                    <a:prstGeom prst="rect">
                      <a:avLst/>
                    </a:prstGeom>
                  </pic:spPr>
                </pic:pic>
              </a:graphicData>
            </a:graphic>
          </wp:inline>
        </w:drawing>
      </w:r>
    </w:p>
    <w:p>
      <w:pPr>
        <w:spacing w:after="0"/>
        <w:jc w:val="both"/>
        <w:rPr>
          <w:rFonts w:ascii="Times New Roman" w:hAnsi="Times New Roman" w:cs="Times New Roman"/>
          <w:i/>
          <w:noProof/>
          <w:sz w:val="18"/>
          <w:szCs w:val="18"/>
        </w:rPr>
      </w:pPr>
      <w:r>
        <w:rPr>
          <w:rFonts w:ascii="Times New Roman" w:hAnsi="Times New Roman" w:cs="Times New Roman"/>
          <w:i/>
          <w:iCs/>
          <w:noProof/>
          <w:sz w:val="18"/>
          <w:szCs w:val="18"/>
        </w:rPr>
        <w:t>Note: The poverty line is fixed in the baseline. The first graph depicts changes for different households without children and the second for households with children.</w:t>
      </w:r>
      <w:r>
        <w:rPr>
          <w:noProof/>
        </w:rPr>
        <w:t xml:space="preserve"> </w:t>
      </w:r>
      <w:r>
        <w:rPr>
          <w:rFonts w:ascii="Times New Roman" w:hAnsi="Times New Roman" w:cs="Times New Roman"/>
          <w:i/>
          <w:iCs/>
          <w:noProof/>
          <w:sz w:val="18"/>
          <w:szCs w:val="18"/>
        </w:rPr>
        <w:t>The scaling of y-axis differs for the two graphs.</w:t>
      </w:r>
    </w:p>
    <w:p>
      <w:pPr>
        <w:spacing w:after="0"/>
        <w:jc w:val="both"/>
        <w:rPr>
          <w:rFonts w:ascii="Times New Roman" w:hAnsi="Times New Roman" w:cs="Times New Roman"/>
          <w:i/>
          <w:noProof/>
          <w:sz w:val="18"/>
          <w:szCs w:val="18"/>
        </w:rPr>
      </w:pPr>
      <w:r>
        <w:rPr>
          <w:rFonts w:ascii="Times New Roman" w:hAnsi="Times New Roman" w:cs="Times New Roman"/>
          <w:i/>
          <w:iCs/>
          <w:noProof/>
          <w:sz w:val="18"/>
          <w:szCs w:val="18"/>
        </w:rPr>
        <w:t>Source: European Commission, Joint Research Centre, based on the EUROMOD model.</w:t>
      </w:r>
    </w:p>
    <w:p>
      <w:pPr>
        <w:spacing w:after="0"/>
        <w:jc w:val="both"/>
        <w:rPr>
          <w:rFonts w:cstheme="minorHAnsi"/>
          <w:noProof/>
          <w:sz w:val="18"/>
        </w:rPr>
      </w:pPr>
    </w:p>
    <w:p>
      <w:pPr>
        <w:pStyle w:val="NormalWeb"/>
        <w:numPr>
          <w:ilvl w:val="1"/>
          <w:numId w:val="14"/>
        </w:numPr>
        <w:spacing w:before="0" w:beforeAutospacing="0" w:line="276" w:lineRule="auto"/>
        <w:jc w:val="both"/>
        <w:rPr>
          <w:b/>
          <w:noProof/>
          <w:lang w:eastAsia="en-US"/>
        </w:rPr>
      </w:pPr>
      <w:r>
        <w:rPr>
          <w:b/>
          <w:bCs/>
          <w:noProof/>
          <w:lang w:eastAsia="en-US"/>
        </w:rPr>
        <w:t>Budgetary effects</w:t>
      </w:r>
    </w:p>
    <w:p>
      <w:pPr>
        <w:pStyle w:val="NormalWeb"/>
        <w:spacing w:before="0" w:beforeAutospacing="0" w:line="276" w:lineRule="auto"/>
        <w:jc w:val="both"/>
        <w:rPr>
          <w:noProof/>
          <w:lang w:eastAsia="en-US"/>
        </w:rPr>
      </w:pPr>
      <w:r>
        <w:rPr>
          <w:noProof/>
          <w:lang w:eastAsia="en-US"/>
        </w:rPr>
        <w:t xml:space="preserve">Estimates obtained with EUROMOD simulations suggest that </w:t>
      </w:r>
      <w:r>
        <w:rPr>
          <w:b/>
          <w:bCs/>
          <w:noProof/>
          <w:lang w:eastAsia="en-US"/>
        </w:rPr>
        <w:t>the reduction of the AGPG would generate a positive budgetary impact, due to a rise in government revenues (higher revenues from the personal income taxes and social insurance contributions) and a small decline in social (cash) transfers</w:t>
      </w:r>
      <w:r>
        <w:rPr>
          <w:noProof/>
          <w:lang w:eastAsia="en-US"/>
        </w:rPr>
        <w:t xml:space="preserve">. Note that this is an expected outcome that results from the methodological approach taken in the simulations to reduce the AGPG, ie women’s gross hourly wages are only increased for some women (lower earning women), and the distribution of men´s earnings is left unchanged. </w:t>
      </w:r>
      <w:r>
        <w:rPr>
          <w:i/>
          <w:iCs/>
          <w:noProof/>
          <w:lang w:eastAsia="en-US"/>
        </w:rPr>
        <w:t>Different results would be obtained if the approach to close the gender pay gap was different.</w:t>
      </w:r>
      <w:r>
        <w:rPr>
          <w:noProof/>
          <w:lang w:eastAsia="en-US"/>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Figure 7 shows how </w:t>
      </w:r>
      <w:r>
        <w:rPr>
          <w:rFonts w:ascii="Times New Roman" w:hAnsi="Times New Roman" w:cs="Times New Roman"/>
          <w:b/>
          <w:bCs/>
          <w:noProof/>
          <w:sz w:val="24"/>
          <w:szCs w:val="24"/>
        </w:rPr>
        <w:t>changes in market income and government budgets would differ substantially across Member States</w:t>
      </w:r>
      <w:r>
        <w:rPr>
          <w:rFonts w:ascii="Times New Roman" w:hAnsi="Times New Roman" w:cs="Times New Roman"/>
          <w:noProof/>
          <w:sz w:val="24"/>
          <w:szCs w:val="24"/>
        </w:rPr>
        <w:t xml:space="preserve">. The growth in total market incomes and government revenues would range from around 4% to 14%. It is particularly high in some countries, such as BG, EE, LT and LV (in between 10% and 14%), whereas the impact would be smaller in  EL, NL, MT and IT (around 5%). </w:t>
      </w:r>
    </w:p>
    <w:p>
      <w:pPr>
        <w:spacing w:after="0"/>
        <w:rPr>
          <w:rFonts w:ascii="Times New Roman" w:hAnsi="Times New Roman" w:cs="Times New Roman"/>
          <w:b/>
          <w:bCs/>
          <w:noProof/>
          <w:sz w:val="20"/>
          <w:szCs w:val="20"/>
        </w:rPr>
      </w:pPr>
      <w:r>
        <w:rPr>
          <w:rFonts w:ascii="Times New Roman" w:hAnsi="Times New Roman" w:cs="Times New Roman"/>
          <w:b/>
          <w:bCs/>
          <w:noProof/>
          <w:sz w:val="24"/>
          <w:szCs w:val="24"/>
        </w:rPr>
        <w:t>Figure 7</w:t>
      </w:r>
      <w:r>
        <w:rPr>
          <w:rFonts w:ascii="Times New Roman" w:hAnsi="Times New Roman" w:cs="Times New Roman"/>
          <w:b/>
          <w:bCs/>
          <w:noProof/>
          <w:sz w:val="20"/>
          <w:szCs w:val="20"/>
        </w:rPr>
        <w:t xml:space="preserve">. </w:t>
      </w:r>
      <w:r>
        <w:rPr>
          <w:rFonts w:ascii="Times New Roman" w:hAnsi="Times New Roman" w:cs="Times New Roman"/>
          <w:noProof/>
          <w:sz w:val="20"/>
          <w:szCs w:val="20"/>
        </w:rPr>
        <w:t xml:space="preserve">Changes in market income, government revenues and expenditures for the 3 pp AGPG reduction scenario </w:t>
      </w:r>
    </w:p>
    <w:p>
      <w:pPr>
        <w:spacing w:after="0"/>
        <w:rPr>
          <w:rFonts w:cstheme="minorHAnsi"/>
          <w:noProof/>
          <w:sz w:val="20"/>
          <w:szCs w:val="20"/>
        </w:rPr>
      </w:pPr>
      <w:r>
        <w:rPr>
          <w:rFonts w:cstheme="minorHAnsi"/>
          <w:noProof/>
          <w:sz w:val="20"/>
          <w:szCs w:val="20"/>
          <w:lang w:eastAsia="en-GB"/>
        </w:rPr>
        <w:drawing>
          <wp:inline distT="0" distB="0" distL="0" distR="0">
            <wp:extent cx="5472430" cy="18980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5472430" cy="1898015"/>
                    </a:xfrm>
                    <a:prstGeom prst="rect">
                      <a:avLst/>
                    </a:prstGeom>
                  </pic:spPr>
                </pic:pic>
              </a:graphicData>
            </a:graphic>
          </wp:inline>
        </w:drawing>
      </w:r>
    </w:p>
    <w:p>
      <w:pPr>
        <w:spacing w:after="0"/>
        <w:jc w:val="both"/>
        <w:rPr>
          <w:rFonts w:ascii="Times New Roman" w:hAnsi="Times New Roman" w:cs="Times New Roman"/>
          <w:i/>
          <w:noProof/>
          <w:sz w:val="18"/>
          <w:szCs w:val="18"/>
        </w:rPr>
      </w:pPr>
      <w:r>
        <w:rPr>
          <w:rFonts w:ascii="Times New Roman" w:hAnsi="Times New Roman" w:cs="Times New Roman"/>
          <w:i/>
          <w:iCs/>
          <w:noProof/>
          <w:sz w:val="18"/>
          <w:szCs w:val="18"/>
        </w:rPr>
        <w:t>Note: EU* is the weighted average for the EU 27 countries (weights: population size).</w:t>
      </w:r>
    </w:p>
    <w:p>
      <w:pPr>
        <w:spacing w:after="0"/>
        <w:jc w:val="both"/>
        <w:rPr>
          <w:rFonts w:ascii="Times New Roman" w:hAnsi="Times New Roman" w:cs="Times New Roman"/>
          <w:i/>
          <w:noProof/>
          <w:sz w:val="18"/>
          <w:szCs w:val="18"/>
        </w:rPr>
      </w:pPr>
      <w:r>
        <w:rPr>
          <w:rFonts w:ascii="Times New Roman" w:hAnsi="Times New Roman" w:cs="Times New Roman"/>
          <w:i/>
          <w:iCs/>
          <w:noProof/>
          <w:sz w:val="18"/>
          <w:szCs w:val="18"/>
        </w:rPr>
        <w:t xml:space="preserve">Source: European Commission, Joint Research Centre, based on the EUROMOD model. </w:t>
      </w:r>
    </w:p>
    <w:p>
      <w:pPr>
        <w:spacing w:after="0"/>
        <w:jc w:val="both"/>
        <w:rPr>
          <w:rFonts w:cstheme="minorHAnsi"/>
          <w:noProof/>
          <w:sz w:val="18"/>
        </w:rPr>
      </w:pP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At the EU population-weighted average, the scenario of 1 pp reduction would imply a rise in government revenues from direct taxes and social insurance contributions of 6.5% while the scenario of 5 pp would suggest a rise of 7.6% (which is very close to the one estimated for the 3 pp scenario, of 7.5%). </w:t>
      </w:r>
    </w:p>
    <w:p>
      <w:pPr>
        <w:spacing w:after="0"/>
        <w:rPr>
          <w:rFonts w:ascii="Times New Roman" w:hAnsi="Times New Roman" w:cs="Times New Roman"/>
          <w:b/>
          <w:bCs/>
          <w:noProof/>
          <w:sz w:val="20"/>
          <w:szCs w:val="20"/>
        </w:rPr>
      </w:pPr>
      <w:r>
        <w:rPr>
          <w:rFonts w:ascii="Times New Roman" w:hAnsi="Times New Roman" w:cs="Times New Roman"/>
          <w:b/>
          <w:bCs/>
          <w:noProof/>
          <w:sz w:val="24"/>
          <w:szCs w:val="24"/>
        </w:rPr>
        <w:t>Figure 8</w:t>
      </w:r>
      <w:r>
        <w:rPr>
          <w:rFonts w:ascii="Times New Roman" w:hAnsi="Times New Roman" w:cs="Times New Roman"/>
          <w:b/>
          <w:bCs/>
          <w:noProof/>
          <w:sz w:val="20"/>
          <w:szCs w:val="20"/>
        </w:rPr>
        <w:t xml:space="preserve">. </w:t>
      </w:r>
      <w:r>
        <w:rPr>
          <w:rFonts w:ascii="Times New Roman" w:hAnsi="Times New Roman" w:cs="Times New Roman"/>
          <w:noProof/>
          <w:sz w:val="20"/>
          <w:szCs w:val="20"/>
        </w:rPr>
        <w:t xml:space="preserve">% change in government revenues for the three scenarios of AGPG reeduction </w:t>
      </w:r>
    </w:p>
    <w:p>
      <w:pPr>
        <w:spacing w:after="0"/>
        <w:jc w:val="center"/>
        <w:rPr>
          <w:rFonts w:cstheme="minorHAnsi"/>
          <w:noProof/>
          <w:sz w:val="18"/>
        </w:rPr>
      </w:pPr>
      <w:r>
        <w:rPr>
          <w:rFonts w:cstheme="minorHAnsi"/>
          <w:noProof/>
          <w:sz w:val="18"/>
          <w:lang w:eastAsia="en-GB"/>
        </w:rPr>
        <w:drawing>
          <wp:inline distT="0" distB="0" distL="0" distR="0">
            <wp:extent cx="5472430" cy="22021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5472430" cy="2202180"/>
                    </a:xfrm>
                    <a:prstGeom prst="rect">
                      <a:avLst/>
                    </a:prstGeom>
                  </pic:spPr>
                </pic:pic>
              </a:graphicData>
            </a:graphic>
          </wp:inline>
        </w:drawing>
      </w:r>
    </w:p>
    <w:p>
      <w:pPr>
        <w:spacing w:after="0"/>
        <w:jc w:val="both"/>
        <w:rPr>
          <w:rFonts w:ascii="Times New Roman" w:hAnsi="Times New Roman" w:cs="Times New Roman"/>
          <w:i/>
          <w:noProof/>
          <w:sz w:val="18"/>
          <w:szCs w:val="18"/>
        </w:rPr>
      </w:pPr>
      <w:r>
        <w:rPr>
          <w:rFonts w:ascii="Times New Roman" w:hAnsi="Times New Roman" w:cs="Times New Roman"/>
          <w:i/>
          <w:iCs/>
          <w:noProof/>
          <w:sz w:val="18"/>
          <w:szCs w:val="18"/>
        </w:rPr>
        <w:t>Note: Government revenues from direct personal income taxes and social insurance contributions.</w:t>
      </w:r>
    </w:p>
    <w:p>
      <w:pPr>
        <w:spacing w:after="0"/>
        <w:jc w:val="both"/>
        <w:rPr>
          <w:rFonts w:ascii="Times New Roman" w:hAnsi="Times New Roman" w:cs="Times New Roman"/>
          <w:i/>
          <w:noProof/>
          <w:sz w:val="18"/>
          <w:szCs w:val="18"/>
        </w:rPr>
      </w:pPr>
      <w:r>
        <w:rPr>
          <w:rFonts w:ascii="Times New Roman" w:hAnsi="Times New Roman" w:cs="Times New Roman"/>
          <w:i/>
          <w:iCs/>
          <w:noProof/>
          <w:sz w:val="18"/>
          <w:szCs w:val="18"/>
        </w:rPr>
        <w:t xml:space="preserve">Source: European Commission, Joint Research Centre, based on the EUROMOD model </w:t>
      </w:r>
    </w:p>
    <w:p>
      <w:pPr>
        <w:jc w:val="both"/>
        <w:rPr>
          <w:rFonts w:ascii="Times New Roman" w:hAnsi="Times New Roman" w:cs="Times New Roman"/>
          <w:b/>
          <w:bCs/>
          <w:noProof/>
          <w:sz w:val="24"/>
          <w:szCs w:val="24"/>
        </w:rPr>
      </w:pPr>
      <w:r>
        <w:rPr>
          <w:rFonts w:ascii="Times New Roman" w:hAnsi="Times New Roman" w:cs="Times New Roman"/>
          <w:noProof/>
          <w:sz w:val="24"/>
          <w:szCs w:val="24"/>
        </w:rPr>
        <w:t>Comparing results for the alternative scenarios (Figure 8), it seems that closing the AGPG by either 1 or 3 pp would have rather different impact for government revenues (the more the gap closes, the larger the positive impact on revenues). But that is not the case for the further reduction of the AGPG by 5 pp, as government revenues seem to stabilize.</w:t>
      </w:r>
    </w:p>
    <w:p>
      <w:pPr>
        <w:rPr>
          <w:rFonts w:ascii="Times New Roman" w:hAnsi="Times New Roman" w:cs="Times New Roman"/>
          <w:noProof/>
          <w:sz w:val="24"/>
          <w:szCs w:val="24"/>
        </w:rPr>
      </w:pPr>
      <w:r>
        <w:rPr>
          <w:rFonts w:ascii="Times New Roman" w:hAnsi="Times New Roman" w:cs="Times New Roman"/>
          <w:noProof/>
          <w:sz w:val="24"/>
          <w:szCs w:val="24"/>
        </w:rPr>
        <w:br w:type="page"/>
      </w:r>
    </w:p>
    <w:p>
      <w:pPr>
        <w:pStyle w:val="Heading3"/>
        <w:numPr>
          <w:ilvl w:val="0"/>
          <w:numId w:val="56"/>
        </w:numPr>
        <w:ind w:left="426" w:hanging="426"/>
        <w:rPr>
          <w:b/>
          <w:noProof/>
          <w:szCs w:val="24"/>
        </w:rPr>
      </w:pPr>
      <w:r>
        <w:rPr>
          <w:noProof/>
        </w:rPr>
        <w:t>Behavioural experiment</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In order to investigate the behavioural implications of transparency on pay levels, the Competence Centre on Behavioural Insights (hereinafter CCBI - part of the Foresight, Modelling, Behavioural Insights &amp; Design for Policy Unit JRC I.2) is undertaking a behavioural study aimed at identifying the effects of different policy options to support the proper enforcement of the equal pay principle. </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Following a preliminary literature review on gender pay transparency, reporting key behavioural insights into gender pay transparency policy with an attempt to assess the potential impact on labour market outcomes, the CCBI, with the support of an external contractor (The Behaviouralist Ltd) is currently implementing an incentivized online experiment. </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In terms of geographical scope, the experiment is being conducted in three EU member states: Poland, Spain, and Germany. Further, two samples within each member state are being recruited: a representative sample of the employed adult population, and a sample of HR professionals and managers. The first sample, representing employees in the experiment, will be representative in terms of age, gender, and region. The second sample, representing employers in the experiment, will be drawn from a cross-section of sectors and companies of different sizes and will be balanced in terms of gender. </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Employees and employers will form a company and interact within the experimental design. In particular, employers will know the gender and have incomplete information about the potential performance of prospective employees. Employers will also set the wages and career promotions under a budgetary constraint. Employees will work for their employers, deciding the level of effort they wish to exert, and receive a wage in exchange.</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The experimental methodology translates the envisaged policy options into the following experimental conditions:</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The devised labour market experiment translates policy options in the following treatments:</w:t>
      </w:r>
    </w:p>
    <w:p>
      <w:pPr>
        <w:pStyle w:val="ListParagraph"/>
        <w:numPr>
          <w:ilvl w:val="0"/>
          <w:numId w:val="25"/>
        </w:numPr>
        <w:spacing w:after="120"/>
        <w:jc w:val="both"/>
        <w:rPr>
          <w:rFonts w:ascii="Times New Roman" w:hAnsi="Times New Roman" w:cs="Times New Roman"/>
          <w:noProof/>
          <w:sz w:val="24"/>
          <w:szCs w:val="24"/>
        </w:rPr>
      </w:pPr>
      <w:r>
        <w:rPr>
          <w:rFonts w:ascii="Times New Roman" w:hAnsi="Times New Roman" w:cs="Times New Roman"/>
          <w:b/>
          <w:noProof/>
          <w:sz w:val="24"/>
          <w:szCs w:val="24"/>
        </w:rPr>
        <w:t>Option 0</w:t>
      </w:r>
      <w:r>
        <w:rPr>
          <w:rFonts w:ascii="Times New Roman" w:hAnsi="Times New Roman" w:cs="Times New Roman"/>
          <w:noProof/>
          <w:sz w:val="24"/>
          <w:szCs w:val="24"/>
        </w:rPr>
        <w:t xml:space="preserve">: </w:t>
      </w:r>
      <w:r>
        <w:rPr>
          <w:rFonts w:ascii="Times New Roman" w:hAnsi="Times New Roman" w:cs="Times New Roman"/>
          <w:b/>
          <w:noProof/>
          <w:sz w:val="24"/>
          <w:szCs w:val="24"/>
        </w:rPr>
        <w:t>No change of policy</w:t>
      </w:r>
      <w:r>
        <w:rPr>
          <w:rFonts w:ascii="Times New Roman" w:hAnsi="Times New Roman" w:cs="Times New Roman"/>
          <w:noProof/>
          <w:sz w:val="24"/>
          <w:szCs w:val="24"/>
        </w:rPr>
        <w:t xml:space="preserve"> (baseline scenario). </w:t>
      </w:r>
    </w:p>
    <w:p>
      <w:pPr>
        <w:pStyle w:val="ListParagraph"/>
        <w:numPr>
          <w:ilvl w:val="0"/>
          <w:numId w:val="25"/>
        </w:numPr>
        <w:spacing w:after="120"/>
        <w:jc w:val="both"/>
        <w:rPr>
          <w:rFonts w:ascii="Times New Roman" w:hAnsi="Times New Roman" w:cs="Times New Roman"/>
          <w:noProof/>
          <w:sz w:val="24"/>
          <w:szCs w:val="24"/>
        </w:rPr>
      </w:pPr>
      <w:r>
        <w:rPr>
          <w:rFonts w:ascii="Times New Roman" w:hAnsi="Times New Roman" w:cs="Times New Roman"/>
          <w:b/>
          <w:noProof/>
          <w:sz w:val="24"/>
          <w:szCs w:val="24"/>
        </w:rPr>
        <w:t>Option 1</w:t>
      </w:r>
      <w:r>
        <w:rPr>
          <w:rFonts w:ascii="Times New Roman" w:hAnsi="Times New Roman" w:cs="Times New Roman"/>
          <w:noProof/>
          <w:sz w:val="24"/>
          <w:szCs w:val="24"/>
        </w:rPr>
        <w:t xml:space="preserve">: </w:t>
      </w:r>
      <w:r>
        <w:rPr>
          <w:rFonts w:ascii="Times New Roman" w:hAnsi="Times New Roman" w:cs="Times New Roman"/>
          <w:b/>
          <w:noProof/>
          <w:sz w:val="24"/>
          <w:szCs w:val="24"/>
        </w:rPr>
        <w:t>Right of employees to information on pay levels</w:t>
      </w:r>
      <w:r>
        <w:rPr>
          <w:rFonts w:ascii="Times New Roman" w:hAnsi="Times New Roman" w:cs="Times New Roman"/>
          <w:noProof/>
          <w:sz w:val="24"/>
          <w:szCs w:val="24"/>
        </w:rPr>
        <w:t xml:space="preserve">. Employees receive information on their wage and role, how many man and women work for the employer, and the average wage overall and by gender, but only for their role. </w:t>
      </w:r>
      <w:r>
        <w:rPr>
          <w:rFonts w:ascii="Times New Roman" w:hAnsi="Times New Roman" w:cs="Times New Roman"/>
          <w:b/>
          <w:noProof/>
          <w:sz w:val="24"/>
          <w:szCs w:val="24"/>
        </w:rPr>
        <w:t>This information could be provided automatically [a] OR only upon the request of employees [b]</w:t>
      </w:r>
      <w:r>
        <w:rPr>
          <w:rFonts w:ascii="Times New Roman" w:hAnsi="Times New Roman" w:cs="Times New Roman"/>
          <w:noProof/>
          <w:sz w:val="24"/>
          <w:szCs w:val="24"/>
        </w:rPr>
        <w:t>. In the experiment the request for information has a monetary cost, representing the real life effort required by the employee to request the information to the employer.</w:t>
      </w:r>
    </w:p>
    <w:p>
      <w:pPr>
        <w:pStyle w:val="ListParagraph"/>
        <w:numPr>
          <w:ilvl w:val="0"/>
          <w:numId w:val="25"/>
        </w:numPr>
        <w:spacing w:after="120"/>
        <w:jc w:val="both"/>
        <w:rPr>
          <w:rFonts w:ascii="Times New Roman" w:hAnsi="Times New Roman" w:cs="Times New Roman"/>
          <w:noProof/>
          <w:sz w:val="24"/>
          <w:szCs w:val="24"/>
        </w:rPr>
      </w:pPr>
      <w:r>
        <w:rPr>
          <w:rFonts w:ascii="Times New Roman" w:hAnsi="Times New Roman" w:cs="Times New Roman"/>
          <w:b/>
          <w:noProof/>
          <w:sz w:val="24"/>
          <w:szCs w:val="24"/>
        </w:rPr>
        <w:t>Option 2: Reporting on Pay.</w:t>
      </w:r>
      <w:r>
        <w:rPr>
          <w:rFonts w:ascii="Times New Roman" w:hAnsi="Times New Roman" w:cs="Times New Roman"/>
          <w:noProof/>
          <w:sz w:val="24"/>
          <w:szCs w:val="24"/>
        </w:rPr>
        <w:t xml:space="preserve"> Employees receive information on their wage and role, how many man and women work in the employer, and the average wage overall and by gender, for every role in the employer. </w:t>
      </w:r>
    </w:p>
    <w:p>
      <w:pPr>
        <w:pStyle w:val="ListDash"/>
        <w:numPr>
          <w:ilvl w:val="0"/>
          <w:numId w:val="0"/>
        </w:numPr>
        <w:tabs>
          <w:tab w:val="left" w:pos="720"/>
        </w:tabs>
        <w:spacing w:after="120" w:line="276" w:lineRule="auto"/>
        <w:rPr>
          <w:noProof/>
          <w:szCs w:val="24"/>
        </w:rPr>
      </w:pPr>
      <w:r>
        <w:rPr>
          <w:noProof/>
        </w:rPr>
        <w:t>The study aims at investigating the following outcome variables:</w:t>
      </w:r>
    </w:p>
    <w:p>
      <w:pPr>
        <w:pStyle w:val="ListDash"/>
        <w:spacing w:after="120" w:line="276" w:lineRule="auto"/>
        <w:ind w:left="284" w:hanging="284"/>
        <w:rPr>
          <w:noProof/>
        </w:rPr>
      </w:pPr>
      <w:r>
        <w:rPr>
          <w:noProof/>
        </w:rPr>
        <w:t>Average level of gender pay discrimination under each treatment (employer’s behaviour);</w:t>
      </w:r>
    </w:p>
    <w:p>
      <w:pPr>
        <w:pStyle w:val="ListDash"/>
        <w:spacing w:after="120" w:line="276" w:lineRule="auto"/>
        <w:ind w:left="284" w:hanging="284"/>
        <w:rPr>
          <w:noProof/>
        </w:rPr>
      </w:pPr>
      <w:r>
        <w:rPr>
          <w:noProof/>
        </w:rPr>
        <w:t>Employees productivity and inferred effort;</w:t>
      </w:r>
    </w:p>
    <w:p>
      <w:pPr>
        <w:pStyle w:val="ListDash"/>
        <w:spacing w:after="120" w:line="276" w:lineRule="auto"/>
        <w:ind w:left="284" w:hanging="284"/>
        <w:rPr>
          <w:noProof/>
        </w:rPr>
      </w:pPr>
      <w:r>
        <w:rPr>
          <w:noProof/>
        </w:rPr>
        <w:t>Employees gathering of the information (request or search for available info); and</w:t>
      </w:r>
    </w:p>
    <w:p>
      <w:pPr>
        <w:pStyle w:val="ListDash"/>
        <w:spacing w:after="120" w:line="276" w:lineRule="auto"/>
        <w:ind w:left="284" w:hanging="284"/>
        <w:rPr>
          <w:noProof/>
        </w:rPr>
      </w:pPr>
      <w:r>
        <w:rPr>
          <w:noProof/>
        </w:rPr>
        <w:t>Employee’s (costly) action against employer (contentiousness).</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At the end of the experiment a post-experimental survey is administered to respondents. The post-experimental survey consists of a set of closed general socio-demographic questions, not sensitive in nature (i.e. gender, age, employment status, hours worked per week, education). Furthermore, a number of behavioural measures, such ask risk preferences, fairness, reciprocity, and intrinsic motivation, are included. Lastly, the elicitation of beliefs on one’s own and others’ performance, as well as others’ strategic behaviour, is incorporated by means of incentivised introspection.</w:t>
      </w:r>
    </w:p>
    <w:p>
      <w:pPr>
        <w:rPr>
          <w:rFonts w:ascii="Times New Roman" w:hAnsi="Times New Roman" w:cs="Times New Roman"/>
          <w:noProof/>
          <w:sz w:val="24"/>
          <w:szCs w:val="24"/>
        </w:rPr>
      </w:pPr>
    </w:p>
    <w:p>
      <w:pPr>
        <w:rPr>
          <w:rFonts w:ascii="Times New Roman" w:hAnsi="Times New Roman" w:cs="Times New Roman"/>
          <w:noProof/>
          <w:sz w:val="24"/>
          <w:szCs w:val="24"/>
        </w:rPr>
        <w:sectPr>
          <w:headerReference w:type="even" r:id="rId164"/>
          <w:headerReference w:type="default" r:id="rId165"/>
          <w:footerReference w:type="even" r:id="rId166"/>
          <w:footerReference w:type="default" r:id="rId167"/>
          <w:headerReference w:type="first" r:id="rId168"/>
          <w:footerReference w:type="first" r:id="rId169"/>
          <w:pgSz w:w="11906" w:h="16838"/>
          <w:pgMar w:top="1020" w:right="1558" w:bottom="1020" w:left="1587" w:header="601" w:footer="1077" w:gutter="0"/>
          <w:cols w:space="720"/>
          <w:titlePg/>
          <w:docGrid w:linePitch="299"/>
        </w:sectPr>
      </w:pPr>
    </w:p>
    <w:p>
      <w:pPr>
        <w:pStyle w:val="Heading2"/>
        <w:rPr>
          <w:noProof/>
        </w:rPr>
      </w:pPr>
      <w:bookmarkStart w:id="7384" w:name="_Toc47455503"/>
      <w:bookmarkStart w:id="7385" w:name="_Toc49527907"/>
      <w:bookmarkStart w:id="7386" w:name="_Toc49530029"/>
      <w:bookmarkStart w:id="7387" w:name="_Toc49530693"/>
      <w:bookmarkStart w:id="7388" w:name="_Toc49532643"/>
      <w:bookmarkStart w:id="7389" w:name="_Toc49695815"/>
      <w:bookmarkStart w:id="7390" w:name="_Toc49695992"/>
      <w:bookmarkStart w:id="7391" w:name="_Toc49805518"/>
      <w:bookmarkStart w:id="7392" w:name="_Toc49806218"/>
      <w:bookmarkStart w:id="7393" w:name="_Toc49877770"/>
      <w:bookmarkStart w:id="7394" w:name="_Toc49881188"/>
      <w:bookmarkStart w:id="7395" w:name="_Toc49884249"/>
      <w:bookmarkStart w:id="7396" w:name="_Toc49884325"/>
      <w:bookmarkStart w:id="7397" w:name="_Toc49893581"/>
      <w:bookmarkStart w:id="7398" w:name="_Toc49933969"/>
      <w:bookmarkStart w:id="7399" w:name="_Toc49937856"/>
      <w:bookmarkStart w:id="7400" w:name="_Toc49939049"/>
      <w:bookmarkStart w:id="7401" w:name="_Toc49939252"/>
      <w:bookmarkStart w:id="7402" w:name="_Toc49942102"/>
      <w:bookmarkStart w:id="7403" w:name="_Toc49948570"/>
      <w:bookmarkStart w:id="7404" w:name="_Toc49953044"/>
      <w:bookmarkStart w:id="7405" w:name="_Toc49954349"/>
      <w:bookmarkStart w:id="7406" w:name="_Toc49954794"/>
      <w:bookmarkStart w:id="7407" w:name="_Toc49955223"/>
      <w:bookmarkStart w:id="7408" w:name="_Toc49955811"/>
      <w:bookmarkStart w:id="7409" w:name="_Toc49958311"/>
      <w:bookmarkStart w:id="7410" w:name="_Toc49958506"/>
      <w:bookmarkStart w:id="7411" w:name="_Toc49961998"/>
      <w:bookmarkStart w:id="7412" w:name="_Toc49963185"/>
      <w:bookmarkStart w:id="7413" w:name="_Toc53678227"/>
      <w:bookmarkStart w:id="7414" w:name="_Toc53678447"/>
      <w:bookmarkStart w:id="7415" w:name="_Toc53678769"/>
      <w:bookmarkStart w:id="7416" w:name="_Toc53680118"/>
      <w:bookmarkStart w:id="7417" w:name="_Toc54289133"/>
      <w:bookmarkStart w:id="7418" w:name="_Toc54290634"/>
      <w:bookmarkStart w:id="7419" w:name="_Toc54291003"/>
      <w:bookmarkStart w:id="7420" w:name="_Toc54292126"/>
      <w:bookmarkStart w:id="7421" w:name="_Toc54340685"/>
      <w:bookmarkStart w:id="7422" w:name="_Toc54345786"/>
      <w:bookmarkStart w:id="7423" w:name="_Toc54348798"/>
      <w:bookmarkStart w:id="7424" w:name="_Toc54355128"/>
      <w:bookmarkStart w:id="7425" w:name="_Toc54355181"/>
      <w:bookmarkStart w:id="7426" w:name="_Toc54355653"/>
      <w:bookmarkStart w:id="7427" w:name="_Toc54355801"/>
      <w:bookmarkStart w:id="7428" w:name="_Toc54356155"/>
      <w:bookmarkStart w:id="7429" w:name="_Toc54356706"/>
      <w:bookmarkStart w:id="7430" w:name="_Toc54357573"/>
      <w:bookmarkStart w:id="7431" w:name="_Toc54357670"/>
      <w:bookmarkStart w:id="7432" w:name="_Toc54364621"/>
      <w:bookmarkStart w:id="7433" w:name="_Toc54371229"/>
      <w:bookmarkStart w:id="7434" w:name="_Toc54372066"/>
      <w:bookmarkStart w:id="7435" w:name="_Toc54376673"/>
      <w:bookmarkStart w:id="7436" w:name="_Toc58767225"/>
      <w:bookmarkStart w:id="7437" w:name="_Toc58769528"/>
      <w:bookmarkStart w:id="7438" w:name="_Toc58863868"/>
      <w:bookmarkStart w:id="7439" w:name="_Toc58868895"/>
      <w:bookmarkStart w:id="7440" w:name="_Toc58870726"/>
      <w:bookmarkStart w:id="7441" w:name="_Toc58870964"/>
      <w:bookmarkStart w:id="7442" w:name="_Toc58871870"/>
      <w:bookmarkStart w:id="7443" w:name="_Toc58872085"/>
      <w:bookmarkStart w:id="7444" w:name="_Toc58922827"/>
      <w:bookmarkStart w:id="7445" w:name="_Toc58925415"/>
      <w:bookmarkStart w:id="7446" w:name="_Toc58928911"/>
      <w:bookmarkStart w:id="7447" w:name="_Toc58931282"/>
      <w:bookmarkStart w:id="7448" w:name="_Toc58931916"/>
      <w:bookmarkStart w:id="7449" w:name="_Toc58950520"/>
      <w:bookmarkStart w:id="7450" w:name="_Toc58956814"/>
      <w:bookmarkStart w:id="7451" w:name="_Toc58957977"/>
      <w:bookmarkStart w:id="7452" w:name="_Toc58962510"/>
      <w:bookmarkStart w:id="7453" w:name="_Toc59096543"/>
      <w:bookmarkStart w:id="7454" w:name="_Toc59103139"/>
      <w:bookmarkStart w:id="7455" w:name="_Toc59104990"/>
      <w:bookmarkStart w:id="7456" w:name="_Toc59119950"/>
      <w:bookmarkStart w:id="7457" w:name="_Toc59121214"/>
      <w:bookmarkStart w:id="7458" w:name="_Toc59121333"/>
      <w:bookmarkStart w:id="7459" w:name="_Toc59549386"/>
      <w:bookmarkStart w:id="7460" w:name="_Toc59642339"/>
      <w:r>
        <w:rPr>
          <w:noProof/>
        </w:rPr>
        <w:t>Annex 5: Initiative specific annex</w:t>
      </w:r>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p>
    <w:p>
      <w:pPr>
        <w:pStyle w:val="Heading3"/>
        <w:numPr>
          <w:ilvl w:val="0"/>
          <w:numId w:val="57"/>
        </w:numPr>
        <w:ind w:left="426" w:hanging="426"/>
        <w:rPr>
          <w:b/>
          <w:noProof/>
        </w:rPr>
      </w:pPr>
      <w:bookmarkStart w:id="7461" w:name="_Toc49527908"/>
      <w:bookmarkStart w:id="7462" w:name="_Toc49530030"/>
      <w:bookmarkStart w:id="7463" w:name="_Toc49530694"/>
      <w:bookmarkStart w:id="7464" w:name="_Toc49532644"/>
      <w:bookmarkStart w:id="7465" w:name="_Toc49695816"/>
      <w:bookmarkStart w:id="7466" w:name="_Toc49695993"/>
      <w:bookmarkStart w:id="7467" w:name="_Toc49805519"/>
      <w:r>
        <w:rPr>
          <w:b/>
          <w:bCs/>
          <w:noProof/>
        </w:rPr>
        <w:t>Employers’ rationality and discrimination</w:t>
      </w:r>
    </w:p>
    <w:bookmarkEnd w:id="7461"/>
    <w:bookmarkEnd w:id="7462"/>
    <w:bookmarkEnd w:id="7463"/>
    <w:bookmarkEnd w:id="7464"/>
    <w:bookmarkEnd w:id="7465"/>
    <w:bookmarkEnd w:id="7466"/>
    <w:bookmarkEnd w:id="7467"/>
    <w:p>
      <w:pPr>
        <w:jc w:val="both"/>
        <w:rPr>
          <w:rFonts w:ascii="Times New Roman" w:hAnsi="Times New Roman" w:cs="Times New Roman"/>
          <w:noProof/>
          <w:sz w:val="24"/>
          <w:szCs w:val="24"/>
        </w:rPr>
      </w:pPr>
      <w:r>
        <w:rPr>
          <w:rFonts w:ascii="Times New Roman" w:hAnsi="Times New Roman" w:cs="Times New Roman"/>
          <w:noProof/>
          <w:sz w:val="24"/>
          <w:szCs w:val="24"/>
        </w:rPr>
        <w:t>A common misconception is the assumption that, given the perfect rationality of employers and their intent to maximize profit, the possibility to pay women (or other groups) less than men for the same work (though illegal) would result in crowing out the male labour force. While this might be the case in low paying female segregated sectors, and going beyond the simple consideration that salary might not be the one and only reason to hire someone, from an economic point of view, discrimination is difficult to rationalize: it is costly for companies and workers alike because by restricting the pool of choices results in less productive or more expensive employees to be employed. It should therefore not exist. But given that it does exist, economists have struggled to explain it. Beyond the simple issue of ‘bounded rationality’, i.e. the idea that rational behaviour must be necessarily compatible with the access to information and the computational capacities in a specific environment,</w:t>
      </w:r>
      <w:r>
        <w:rPr>
          <w:rStyle w:val="FootnoteReference"/>
          <w:rFonts w:ascii="Times New Roman" w:hAnsi="Times New Roman" w:cs="Times New Roman"/>
          <w:noProof/>
          <w:sz w:val="24"/>
          <w:szCs w:val="24"/>
        </w:rPr>
        <w:footnoteReference w:id="217"/>
      </w:r>
      <w:r>
        <w:rPr>
          <w:rFonts w:ascii="Times New Roman" w:hAnsi="Times New Roman" w:cs="Times New Roman"/>
          <w:noProof/>
          <w:sz w:val="24"/>
          <w:szCs w:val="24"/>
        </w:rPr>
        <w:t xml:space="preserve"> economists have identified two major reasons for discrimination: personal prejudice and statistical discrimination. The first occurs when employers tend to hire only from certain groups, employees prefer to work with specific co-workers (e.g. some white male workers might quit employers who employ women or people with a minority background), or customers prefer certain groups (e.g. trusting more a white male doctor). </w:t>
      </w:r>
    </w:p>
    <w:p>
      <w:pPr>
        <w:jc w:val="both"/>
        <w:rPr>
          <w:rFonts w:ascii="Times New Roman" w:eastAsia="Times New Roman" w:hAnsi="Times New Roman" w:cs="Times New Roman"/>
          <w:noProof/>
          <w:sz w:val="24"/>
          <w:szCs w:val="24"/>
        </w:rPr>
      </w:pPr>
      <w:r>
        <w:rPr>
          <w:rFonts w:ascii="Times New Roman" w:hAnsi="Times New Roman" w:cs="Times New Roman"/>
          <w:noProof/>
          <w:sz w:val="24"/>
          <w:szCs w:val="24"/>
        </w:rPr>
        <w:t xml:space="preserve">Statistical discrimination occurs in turn due to a lack of information. When trying to predict the potential productivity of job applicants, employers rely on information not related to productivity or that does not apply to a specific worker. Broadly speaking this can be quite common: for instance, employers may rely on a prestigious degree for their hiring decisions whilst that degree does not necessarily ensure higher productivity. In the case of gender, the expectation that motherhood will negatively influence job attachment on the part of women is a common example. These findings have been confirmed by experimental economics. </w:t>
      </w:r>
      <w:r>
        <w:rPr>
          <w:rFonts w:ascii="Times New Roman" w:eastAsia="Times New Roman" w:hAnsi="Times New Roman" w:cs="Times New Roman"/>
          <w:noProof/>
          <w:sz w:val="24"/>
          <w:szCs w:val="24"/>
        </w:rPr>
        <w:t>The evidence indicates that employers have a specific gender preference for certain jobs, especially for stereotypical jobs. Kuhn and Shen (2013) found that employers’ relative gender preference for employees occupation- and job-specific and more strongly related to the employers’ preferred age, height, and beauty of the potential employee than to their job skill levels in China.</w:t>
      </w:r>
      <w:r>
        <w:rPr>
          <w:rStyle w:val="FootnoteReference"/>
          <w:rFonts w:ascii="Times New Roman" w:eastAsia="Times New Roman" w:hAnsi="Times New Roman" w:cs="Times New Roman"/>
          <w:noProof/>
          <w:sz w:val="24"/>
          <w:szCs w:val="24"/>
        </w:rPr>
        <w:footnoteReference w:id="218"/>
      </w:r>
    </w:p>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There is experimental evidence as regards hiring discrimination suggesting that it is due to incorrect beliefs about the women’s ability (Reuben E. et al., How stereotypes impair women's careers in science. Proceedings of the National Academy of Sciences of the United States of America. 111. 10.1073/pnas.1314788111). Other studies point out that hiring discrimination is not specifically about stereotypes, but employers are simply less willing to hire a worker from a group that performs worse on average, even when this group is defined by a non-stereotypical characteristic. (See Coffman, K. et al. ‘The Role of Beliefs in Driving Gender Discrimination.’ Harvard Business School Working Paper, No. 18-054, December 2017).</w:t>
      </w:r>
    </w:p>
    <w:p>
      <w:pPr>
        <w:spacing w:after="0" w:line="240" w:lineRule="auto"/>
        <w:jc w:val="both"/>
        <w:textAlignment w:val="baseline"/>
        <w:rPr>
          <w:rFonts w:ascii="Calibri" w:eastAsia="Times New Roman" w:hAnsi="Calibri" w:cs="Calibri"/>
          <w:noProof/>
          <w:sz w:val="24"/>
          <w:szCs w:val="24"/>
          <w:lang w:eastAsia="fr-FR"/>
        </w:rPr>
      </w:pPr>
    </w:p>
    <w:p>
      <w:pPr>
        <w:pStyle w:val="Heading3"/>
        <w:numPr>
          <w:ilvl w:val="0"/>
          <w:numId w:val="57"/>
        </w:numPr>
        <w:ind w:left="426" w:hanging="426"/>
        <w:rPr>
          <w:b/>
          <w:noProof/>
        </w:rPr>
      </w:pPr>
      <w:bookmarkStart w:id="7468" w:name="_Toc49527909"/>
      <w:bookmarkStart w:id="7469" w:name="_Toc49530031"/>
      <w:bookmarkStart w:id="7470" w:name="_Toc49530695"/>
      <w:bookmarkStart w:id="7471" w:name="_Toc49532645"/>
      <w:bookmarkStart w:id="7472" w:name="_Toc49695817"/>
      <w:bookmarkStart w:id="7473" w:name="_Toc49695994"/>
      <w:bookmarkStart w:id="7474" w:name="_Toc49805520"/>
      <w:r>
        <w:rPr>
          <w:b/>
          <w:bCs/>
          <w:noProof/>
        </w:rPr>
        <w:t>Statistical analysis of the gender pay gap</w:t>
      </w:r>
    </w:p>
    <w:p>
      <w:pPr>
        <w:jc w:val="both"/>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Figure 1 depicts the gaps in 22 EU countries plus NO and the UK. For these 24 countries, a mean gender pay gap of 13.8% can be observed; 9 countries (including the UK) range above; and 15 countries (including NO) range below this cross-country average.</w:t>
      </w:r>
    </w:p>
    <w:p>
      <w:pPr>
        <w:jc w:val="both"/>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In 2014, the</w:t>
      </w:r>
      <w:r>
        <w:rPr>
          <w:rFonts w:ascii="Times New Roman" w:eastAsia="Times New Roman" w:hAnsi="Times New Roman" w:cs="Times New Roman"/>
          <w:b/>
          <w:bCs/>
          <w:noProof/>
          <w:sz w:val="24"/>
          <w:szCs w:val="24"/>
          <w:lang w:eastAsia="fr-FR"/>
        </w:rPr>
        <w:t xml:space="preserve"> overall gender pay gap</w:t>
      </w:r>
      <w:r>
        <w:rPr>
          <w:rFonts w:ascii="Times New Roman" w:eastAsia="Times New Roman" w:hAnsi="Times New Roman" w:cs="Times New Roman"/>
          <w:noProof/>
          <w:sz w:val="24"/>
          <w:szCs w:val="24"/>
          <w:lang w:eastAsia="fr-FR"/>
        </w:rPr>
        <w:t xml:space="preserve"> varied substantially across European countries, ranging from 1% in RO to 23.5% in EE. </w:t>
      </w:r>
      <w:r>
        <w:rPr>
          <w:rFonts w:ascii="Times New Roman" w:eastAsia="Times New Roman" w:hAnsi="Times New Roman" w:cs="Times New Roman"/>
          <w:noProof/>
          <w:sz w:val="24"/>
          <w:szCs w:val="24"/>
          <w:lang w:eastAsia="fr-FR"/>
        </w:rPr>
        <w:tab/>
      </w:r>
      <w:r>
        <w:rPr>
          <w:rFonts w:ascii="Times New Roman" w:eastAsia="Times New Roman" w:hAnsi="Times New Roman" w:cs="Times New Roman"/>
          <w:noProof/>
          <w:sz w:val="24"/>
          <w:szCs w:val="24"/>
          <w:lang w:eastAsia="fr-FR"/>
        </w:rPr>
        <w:br/>
        <w:t xml:space="preserve">CZ, DE, EE, FI and UK are the ‘Top Five’ with the highest overall gaps of over 17%. In six countries (BE, HU, IT, LU, RO, SI), the gap is quite low; it ranges below or around 5%. </w:t>
      </w:r>
      <w:r>
        <w:rPr>
          <w:rFonts w:ascii="Times New Roman" w:eastAsia="Times New Roman" w:hAnsi="Times New Roman" w:cs="Times New Roman"/>
          <w:noProof/>
          <w:sz w:val="24"/>
          <w:szCs w:val="24"/>
          <w:lang w:eastAsia="fr-FR"/>
        </w:rPr>
        <w:tab/>
      </w:r>
      <w:r>
        <w:rPr>
          <w:rFonts w:ascii="Times New Roman" w:eastAsia="Times New Roman" w:hAnsi="Times New Roman" w:cs="Times New Roman"/>
          <w:noProof/>
          <w:sz w:val="24"/>
          <w:szCs w:val="24"/>
          <w:lang w:eastAsia="fr-FR"/>
        </w:rPr>
        <w:br/>
        <w:t xml:space="preserve">In between the two poles, a group of 5 countries show rather modest gaps between 6% and 10% (BG, CY, LT, PL and MT), while the remaining group of 8 countries (ES, FR, LV, NL, NO, PT, SE and SK) features notable gaps between 11% and 16%. </w:t>
      </w:r>
    </w:p>
    <w:p>
      <w:pPr>
        <w:spacing w:after="0" w:line="240" w:lineRule="auto"/>
        <w:jc w:val="both"/>
        <w:textAlignment w:val="baseline"/>
        <w:rPr>
          <w:rFonts w:ascii="Times New Roman" w:eastAsia="Times New Roman" w:hAnsi="Times New Roman" w:cs="Times New Roman"/>
          <w:noProof/>
          <w:sz w:val="24"/>
          <w:szCs w:val="24"/>
          <w:lang w:eastAsia="fr-FR"/>
        </w:rPr>
      </w:pPr>
    </w:p>
    <w:p>
      <w:pPr>
        <w:spacing w:after="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b/>
          <w:bCs/>
          <w:noProof/>
          <w:sz w:val="24"/>
          <w:szCs w:val="24"/>
          <w:lang w:eastAsia="fr-FR"/>
        </w:rPr>
        <w:t>Figure 1</w:t>
      </w:r>
      <w:r>
        <w:rPr>
          <w:rFonts w:ascii="Times New Roman" w:eastAsia="Times New Roman" w:hAnsi="Times New Roman" w:cs="Times New Roman"/>
          <w:noProof/>
          <w:sz w:val="24"/>
          <w:szCs w:val="24"/>
          <w:lang w:eastAsia="fr-FR"/>
        </w:rPr>
        <w:t xml:space="preserve">: Unadjusted gender pay gaps per country (in %, 2014) </w:t>
      </w:r>
    </w:p>
    <w:p>
      <w:pPr>
        <w:spacing w:after="0" w:line="240" w:lineRule="auto"/>
        <w:jc w:val="both"/>
        <w:textAlignment w:val="baseline"/>
        <w:rPr>
          <w:rFonts w:ascii="Times New Roman" w:eastAsia="Times New Roman" w:hAnsi="Times New Roman" w:cs="Times New Roman"/>
          <w:noProof/>
          <w:sz w:val="24"/>
          <w:szCs w:val="24"/>
          <w:lang w:eastAsia="fr-FR"/>
        </w:rPr>
      </w:pPr>
      <w:r>
        <w:rPr>
          <w:noProof/>
          <w:lang w:eastAsia="en-GB"/>
        </w:rPr>
        <w:drawing>
          <wp:inline distT="0" distB="0" distL="0" distR="0">
            <wp:extent cx="5472428" cy="2254885"/>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70">
                      <a:extLst>
                        <a:ext uri="{28A0092B-C50C-407E-A947-70E740481C1C}">
                          <a14:useLocalDpi xmlns:a14="http://schemas.microsoft.com/office/drawing/2010/main" val="0"/>
                        </a:ext>
                      </a:extLst>
                    </a:blip>
                    <a:stretch>
                      <a:fillRect/>
                    </a:stretch>
                  </pic:blipFill>
                  <pic:spPr>
                    <a:xfrm>
                      <a:off x="0" y="0"/>
                      <a:ext cx="5472428" cy="2254885"/>
                    </a:xfrm>
                    <a:prstGeom prst="rect">
                      <a:avLst/>
                    </a:prstGeom>
                  </pic:spPr>
                </pic:pic>
              </a:graphicData>
            </a:graphic>
          </wp:inline>
        </w:drawing>
      </w:r>
    </w:p>
    <w:p>
      <w:pPr>
        <w:keepNext/>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The gender pay gap in the EU has been declining but at a very slow pace (Figure 2). The pattern of change has also been variable among member states: between 2010 and 2014, 13 of the EU27 countries reduced their gaps, but 11 increased them, whilst three registered no change, and from 2014 to 2018 most countries (18) reduced their gaps, one remained constant, and nine widened them.</w:t>
      </w:r>
    </w:p>
    <w:p>
      <w:pPr>
        <w:jc w:val="both"/>
        <w:rPr>
          <w:rFonts w:ascii="Times New Roman" w:hAnsi="Times New Roman" w:cs="Times New Roman"/>
          <w:noProof/>
          <w:sz w:val="24"/>
          <w:szCs w:val="24"/>
        </w:rPr>
      </w:pPr>
      <w:r>
        <w:rPr>
          <w:rFonts w:ascii="Times New Roman" w:hAnsi="Times New Roman" w:cs="Times New Roman"/>
          <w:noProof/>
          <w:sz w:val="24"/>
          <w:szCs w:val="24"/>
        </w:rPr>
        <w:t>The discussion of GPG trends is however not straightforward, as it also depends on employment patterns and on the structure of the labour force participation. In the financial crisis, gender pay gaps in some contexts narrowed, as men’s earnings were pushed down more than women’s (Karamessini and Rubery 2013). Likewise, trends in the Covid recovery may be difficult to predict as it is possible that more lower paid women may lose employment, thereby ‘improving’ the gender pay gap.</w:t>
      </w:r>
    </w:p>
    <w:p>
      <w:pPr>
        <w:keepNext/>
        <w:rPr>
          <w:noProof/>
          <w:szCs w:val="24"/>
        </w:rPr>
      </w:pPr>
      <w:r>
        <w:rPr>
          <w:rFonts w:ascii="Times New Roman" w:hAnsi="Times New Roman" w:cs="Times New Roman"/>
          <w:b/>
          <w:bCs/>
          <w:noProof/>
          <w:sz w:val="24"/>
          <w:szCs w:val="24"/>
        </w:rPr>
        <w:t xml:space="preserve">Figure 2: </w:t>
      </w:r>
      <w:r>
        <w:rPr>
          <w:rFonts w:ascii="Times New Roman" w:hAnsi="Times New Roman" w:cs="Times New Roman"/>
          <w:noProof/>
          <w:sz w:val="24"/>
          <w:szCs w:val="24"/>
        </w:rPr>
        <w:t xml:space="preserve">Trends in the unadjusted gender pay gap 2010-2018 </w:t>
      </w:r>
    </w:p>
    <w:p>
      <w:pPr>
        <w:spacing w:after="0" w:line="240" w:lineRule="auto"/>
        <w:textAlignment w:val="baseline"/>
        <w:rPr>
          <w:rFonts w:ascii="Segoe UI" w:eastAsia="Times New Roman" w:hAnsi="Segoe UI" w:cs="Segoe UI"/>
          <w:noProof/>
          <w:sz w:val="18"/>
          <w:szCs w:val="18"/>
          <w:lang w:eastAsia="fr-FR"/>
        </w:rPr>
      </w:pPr>
      <w:r>
        <w:rPr>
          <w:noProof/>
          <w:lang w:eastAsia="en-GB"/>
        </w:rPr>
        <w:drawing>
          <wp:inline distT="0" distB="0" distL="0" distR="0">
            <wp:extent cx="5164416" cy="3130061"/>
            <wp:effectExtent l="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71">
                      <a:extLst>
                        <a:ext uri="{28A0092B-C50C-407E-A947-70E740481C1C}">
                          <a14:useLocalDpi xmlns:a14="http://schemas.microsoft.com/office/drawing/2010/main" val="0"/>
                        </a:ext>
                      </a:extLst>
                    </a:blip>
                    <a:stretch>
                      <a:fillRect/>
                    </a:stretch>
                  </pic:blipFill>
                  <pic:spPr>
                    <a:xfrm>
                      <a:off x="0" y="0"/>
                      <a:ext cx="5164416" cy="3130061"/>
                    </a:xfrm>
                    <a:prstGeom prst="rect">
                      <a:avLst/>
                    </a:prstGeom>
                  </pic:spPr>
                </pic:pic>
              </a:graphicData>
            </a:graphic>
          </wp:inline>
        </w:drawing>
      </w:r>
      <w:r>
        <w:rPr>
          <w:rFonts w:ascii="Calibri" w:eastAsia="Times New Roman" w:hAnsi="Calibri" w:cs="Calibri"/>
          <w:noProof/>
          <w:lang w:eastAsia="fr-FR"/>
        </w:rPr>
        <w:t xml:space="preserve"> </w:t>
      </w:r>
    </w:p>
    <w:p>
      <w:pPr>
        <w:spacing w:after="0" w:line="240" w:lineRule="auto"/>
        <w:textAlignment w:val="baseline"/>
        <w:rPr>
          <w:rFonts w:ascii="Times New Roman" w:eastAsia="Times New Roman" w:hAnsi="Times New Roman" w:cs="Times New Roman"/>
          <w:i/>
          <w:noProof/>
          <w:sz w:val="18"/>
          <w:szCs w:val="18"/>
          <w:lang w:eastAsia="fr-FR"/>
        </w:rPr>
      </w:pPr>
      <w:r>
        <w:rPr>
          <w:rFonts w:ascii="Times New Roman" w:eastAsia="Times New Roman" w:hAnsi="Times New Roman" w:cs="Times New Roman"/>
          <w:i/>
          <w:iCs/>
          <w:noProof/>
          <w:sz w:val="18"/>
          <w:szCs w:val="18"/>
          <w:lang w:eastAsia="fr-FR"/>
        </w:rPr>
        <w:t xml:space="preserve">Note: 2018 values for Greece, Ireland, and Italy are not available. The values for IE and IT under column 2018 are from 2017 and the value for Greece from 2014 </w:t>
      </w:r>
    </w:p>
    <w:p>
      <w:pPr>
        <w:spacing w:after="0" w:line="240" w:lineRule="auto"/>
        <w:textAlignment w:val="baseline"/>
        <w:rPr>
          <w:rFonts w:ascii="Times New Roman" w:eastAsia="Times New Roman" w:hAnsi="Times New Roman" w:cs="Times New Roman"/>
          <w:i/>
          <w:noProof/>
          <w:sz w:val="18"/>
          <w:szCs w:val="18"/>
          <w:lang w:eastAsia="fr-FR"/>
        </w:rPr>
      </w:pPr>
      <w:r>
        <w:rPr>
          <w:rFonts w:ascii="Times New Roman" w:eastAsia="Times New Roman" w:hAnsi="Times New Roman" w:cs="Times New Roman"/>
          <w:i/>
          <w:iCs/>
          <w:noProof/>
          <w:sz w:val="18"/>
          <w:szCs w:val="18"/>
          <w:lang w:eastAsia="fr-FR"/>
        </w:rPr>
        <w:t xml:space="preserve">Source: Eurostat- structure of earnings survey methodology [earn_gr_gpgr2] </w:t>
      </w:r>
    </w:p>
    <w:p>
      <w:pPr>
        <w:spacing w:after="0" w:line="240" w:lineRule="auto"/>
        <w:jc w:val="both"/>
        <w:textAlignment w:val="baseline"/>
        <w:rPr>
          <w:rFonts w:ascii="Times New Roman" w:eastAsia="Times New Roman" w:hAnsi="Times New Roman" w:cs="Times New Roman"/>
          <w:noProof/>
          <w:sz w:val="24"/>
          <w:szCs w:val="24"/>
          <w:lang w:eastAsia="fr-FR"/>
        </w:rPr>
      </w:pPr>
    </w:p>
    <w:p>
      <w:pPr>
        <w:keepNext/>
        <w:jc w:val="both"/>
        <w:rPr>
          <w:rFonts w:ascii="Times New Roman" w:eastAsia="Times New Roman" w:hAnsi="Times New Roman" w:cs="Times New Roman"/>
          <w:noProof/>
          <w:sz w:val="24"/>
          <w:szCs w:val="24"/>
          <w:lang w:eastAsia="fr-FR"/>
        </w:rPr>
      </w:pPr>
      <w:r>
        <w:rPr>
          <w:rFonts w:ascii="Times New Roman" w:eastAsia="Times New Roman" w:hAnsi="Times New Roman" w:cs="Times New Roman"/>
          <w:b/>
          <w:bCs/>
          <w:noProof/>
          <w:sz w:val="24"/>
          <w:szCs w:val="24"/>
          <w:lang w:eastAsia="fr-FR"/>
        </w:rPr>
        <w:t>The factors included as potential explanations for gender pay gaps</w:t>
      </w:r>
      <w:r>
        <w:rPr>
          <w:rFonts w:ascii="Times New Roman" w:eastAsia="Times New Roman" w:hAnsi="Times New Roman" w:cs="Times New Roman"/>
          <w:noProof/>
          <w:sz w:val="24"/>
          <w:szCs w:val="24"/>
          <w:lang w:eastAsia="fr-FR"/>
        </w:rPr>
        <w:t xml:space="preserve"> include personal characteristics such as education and age, but also job related characteristics such as occupation, hours of work, temporary contract, tenure, and coverage by a collective agreement. Also included are employer characteristics such as sector, firm size, and the type of financial control (public or private) over the employer. The unexplained part shows the residual portion that cannot be explained with statistically observable factors. It comprises the wage differences arising from characteristics not included in the statistics, as well as different remunerations of women and men for the same (un)observed characteristics, including remuneration on the basis of sex (see Boll and Lagemann, 2018, for an interpretation). </w:t>
      </w:r>
    </w:p>
    <w:p>
      <w:pPr>
        <w:keepNext/>
        <w:jc w:val="both"/>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Figure 3 shows the degree to which each factor contributes to the GPG. Factors may have a negative contribution if the data suggest women should earn more than men, for example if women’s educational level is higher.</w:t>
      </w:r>
    </w:p>
    <w:p>
      <w:pPr>
        <w:spacing w:after="0" w:line="240" w:lineRule="auto"/>
        <w:jc w:val="both"/>
        <w:textAlignment w:val="baseline"/>
        <w:rPr>
          <w:rFonts w:ascii="Times New Roman" w:eastAsia="Times New Roman" w:hAnsi="Times New Roman" w:cs="Times New Roman"/>
          <w:noProof/>
          <w:sz w:val="24"/>
          <w:szCs w:val="24"/>
          <w:lang w:eastAsia="fr-FR"/>
        </w:rPr>
      </w:pPr>
    </w:p>
    <w:p>
      <w:pPr>
        <w:keepNext/>
        <w:spacing w:after="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b/>
          <w:bCs/>
          <w:noProof/>
          <w:sz w:val="24"/>
          <w:szCs w:val="24"/>
          <w:lang w:eastAsia="fr-FR"/>
        </w:rPr>
        <w:t>Figure 3</w:t>
      </w:r>
      <w:r>
        <w:rPr>
          <w:rFonts w:ascii="Times New Roman" w:eastAsia="Times New Roman" w:hAnsi="Times New Roman" w:cs="Times New Roman"/>
          <w:noProof/>
          <w:sz w:val="24"/>
          <w:szCs w:val="24"/>
          <w:lang w:eastAsia="fr-FR"/>
        </w:rPr>
        <w:t xml:space="preserve">: Decomposition of the gender pay gap in SES (in %, 2014) </w:t>
      </w:r>
    </w:p>
    <w:p>
      <w:pPr>
        <w:spacing w:after="0" w:line="240" w:lineRule="auto"/>
        <w:jc w:val="both"/>
        <w:textAlignment w:val="baseline"/>
        <w:rPr>
          <w:rFonts w:ascii="Segoe UI" w:eastAsia="Times New Roman" w:hAnsi="Segoe UI" w:cs="Segoe UI"/>
          <w:noProof/>
          <w:sz w:val="18"/>
          <w:szCs w:val="18"/>
          <w:lang w:eastAsia="fr-FR"/>
        </w:rPr>
      </w:pPr>
      <w:r>
        <w:rPr>
          <w:noProof/>
          <w:lang w:eastAsia="en-GB"/>
        </w:rPr>
        <w:drawing>
          <wp:inline distT="0" distB="0" distL="0" distR="0">
            <wp:extent cx="5472428" cy="2557145"/>
            <wp:effectExtent l="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72">
                      <a:extLst>
                        <a:ext uri="{28A0092B-C50C-407E-A947-70E740481C1C}">
                          <a14:useLocalDpi xmlns:a14="http://schemas.microsoft.com/office/drawing/2010/main" val="0"/>
                        </a:ext>
                      </a:extLst>
                    </a:blip>
                    <a:stretch>
                      <a:fillRect/>
                    </a:stretch>
                  </pic:blipFill>
                  <pic:spPr>
                    <a:xfrm>
                      <a:off x="0" y="0"/>
                      <a:ext cx="5472428" cy="2557145"/>
                    </a:xfrm>
                    <a:prstGeom prst="rect">
                      <a:avLst/>
                    </a:prstGeom>
                  </pic:spPr>
                </pic:pic>
              </a:graphicData>
            </a:graphic>
          </wp:inline>
        </w:drawing>
      </w:r>
      <w:r>
        <w:rPr>
          <w:rFonts w:ascii="Times New Roman" w:eastAsia="Times New Roman" w:hAnsi="Times New Roman" w:cs="Times New Roman"/>
          <w:noProof/>
          <w:lang w:eastAsia="fr-FR"/>
        </w:rPr>
        <w:t xml:space="preserve"> </w:t>
      </w:r>
    </w:p>
    <w:p>
      <w:pPr>
        <w:spacing w:after="0" w:line="240" w:lineRule="auto"/>
        <w:jc w:val="both"/>
        <w:textAlignment w:val="baseline"/>
        <w:rPr>
          <w:rFonts w:ascii="Times New Roman" w:eastAsia="Times New Roman" w:hAnsi="Times New Roman" w:cs="Times New Roman"/>
          <w:noProof/>
          <w:sz w:val="24"/>
          <w:szCs w:val="24"/>
          <w:lang w:eastAsia="fr-FR"/>
        </w:rPr>
      </w:pPr>
    </w:p>
    <w:p>
      <w:pPr>
        <w:jc w:val="both"/>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 xml:space="preserve">The unexplained gap constitutes the </w:t>
      </w:r>
      <w:r>
        <w:rPr>
          <w:rFonts w:ascii="Times New Roman" w:eastAsia="Times New Roman" w:hAnsi="Times New Roman" w:cs="Times New Roman"/>
          <w:b/>
          <w:bCs/>
          <w:noProof/>
          <w:sz w:val="24"/>
          <w:szCs w:val="24"/>
          <w:lang w:eastAsia="fr-FR"/>
        </w:rPr>
        <w:t>highest portion of the overall gap in 21 out of 24 countries under investigation - the exceptions being DE, BE and NL</w:t>
      </w:r>
      <w:r>
        <w:rPr>
          <w:rFonts w:ascii="Times New Roman" w:eastAsia="Times New Roman" w:hAnsi="Times New Roman" w:cs="Times New Roman"/>
          <w:noProof/>
          <w:sz w:val="24"/>
          <w:szCs w:val="24"/>
          <w:lang w:eastAsia="fr-FR"/>
        </w:rPr>
        <w:t xml:space="preserve">. Within the explained part, sector affiliation and hours of work are the most important characteristics that drive the gaps, referring to the EU average. Other factors (education, age, tenure, occupation (as associated with sector), temporary contracts, public control, firm size and collective pay agreements) are of only minor importance even on the country level. Eight countries had in fact negative explained (HU, IT, LT, LU, MT, PL, RO, SI) reflecting the fact that due to gender differences in statistically observable characteristics, women would earn higher wages than men in CEE countries. In these cases the unadjusted gender pay gap is in fact less than the unexplained gap.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To a certain extent it can be said that </w:t>
      </w:r>
      <w:r>
        <w:rPr>
          <w:rFonts w:ascii="Times New Roman" w:hAnsi="Times New Roman" w:cs="Times New Roman"/>
          <w:b/>
          <w:bCs/>
          <w:noProof/>
          <w:sz w:val="24"/>
          <w:szCs w:val="24"/>
        </w:rPr>
        <w:t>higher overall gaps are associated with higher largest gaps on the sectoral level</w:t>
      </w:r>
      <w:r>
        <w:rPr>
          <w:rFonts w:ascii="Times New Roman" w:hAnsi="Times New Roman" w:cs="Times New Roman"/>
          <w:noProof/>
          <w:sz w:val="24"/>
          <w:szCs w:val="24"/>
        </w:rPr>
        <w:t xml:space="preserve">. Among the Top 6 countries with the highest overall pay gaps are 4 (CZ, DE, EE  and SK) whose highest pay gaps at sector level are also among the Top 6 across countries. </w:t>
      </w:r>
    </w:p>
    <w:p>
      <w:pPr>
        <w:jc w:val="both"/>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 xml:space="preserve">EU countries differ significantly with respect to </w:t>
      </w:r>
      <w:r>
        <w:rPr>
          <w:rFonts w:ascii="Times New Roman" w:eastAsia="Times New Roman" w:hAnsi="Times New Roman" w:cs="Times New Roman"/>
          <w:b/>
          <w:bCs/>
          <w:noProof/>
          <w:sz w:val="24"/>
          <w:szCs w:val="24"/>
          <w:lang w:eastAsia="fr-FR"/>
        </w:rPr>
        <w:t>pay gap dispersion across sectors</w:t>
      </w:r>
      <w:r>
        <w:rPr>
          <w:rFonts w:ascii="Times New Roman" w:eastAsia="Times New Roman" w:hAnsi="Times New Roman" w:cs="Times New Roman"/>
          <w:noProof/>
          <w:sz w:val="24"/>
          <w:szCs w:val="24"/>
          <w:lang w:eastAsia="fr-FR"/>
        </w:rPr>
        <w:t>. While gaps are rather compressed in the Nordic countries, they show a great diversity in other countries. The Top 3 sectors with the largest, second largest and third largest gender pay gap per country are (Table 1):</w:t>
      </w:r>
    </w:p>
    <w:p>
      <w:pPr>
        <w:numPr>
          <w:ilvl w:val="1"/>
          <w:numId w:val="19"/>
        </w:num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Administrative and Support Service Activities: this sector occurs most frequently as the one with the largest gender pay gap;</w:t>
      </w:r>
    </w:p>
    <w:p>
      <w:pPr>
        <w:numPr>
          <w:ilvl w:val="1"/>
          <w:numId w:val="19"/>
        </w:num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the Information and Communication sector;</w:t>
      </w:r>
    </w:p>
    <w:p>
      <w:pPr>
        <w:numPr>
          <w:ilvl w:val="1"/>
          <w:numId w:val="19"/>
        </w:numPr>
        <w:spacing w:after="12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Manufacturing.</w:t>
      </w:r>
    </w:p>
    <w:p>
      <w:pPr>
        <w:jc w:val="both"/>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The fourth position is shared by two sectors, namely ‘Transportation and Storage’, and ‘Professional, Scientific and Technical Activities’.</w:t>
      </w:r>
    </w:p>
    <w:p>
      <w:pPr>
        <w:jc w:val="both"/>
        <w:rPr>
          <w:rFonts w:ascii="Times New Roman" w:eastAsia="Times New Roman" w:hAnsi="Times New Roman" w:cs="Times New Roman"/>
          <w:noProof/>
          <w:sz w:val="24"/>
          <w:szCs w:val="24"/>
          <w:lang w:eastAsia="fr-FR"/>
        </w:rPr>
      </w:pPr>
    </w:p>
    <w:p>
      <w:pPr>
        <w:keepNext/>
        <w:spacing w:after="120" w:line="240" w:lineRule="auto"/>
        <w:jc w:val="both"/>
        <w:textAlignment w:val="baseline"/>
        <w:rPr>
          <w:rFonts w:ascii="Times New Roman" w:eastAsia="Times New Roman" w:hAnsi="Times New Roman" w:cs="Times New Roman"/>
          <w:b/>
          <w:bCs/>
          <w:noProof/>
          <w:sz w:val="24"/>
          <w:szCs w:val="24"/>
          <w:lang w:eastAsia="fr-FR"/>
        </w:rPr>
      </w:pPr>
      <w:r>
        <w:rPr>
          <w:rFonts w:ascii="Times New Roman" w:eastAsia="Times New Roman" w:hAnsi="Times New Roman" w:cs="Times New Roman"/>
          <w:b/>
          <w:bCs/>
          <w:noProof/>
          <w:sz w:val="24"/>
          <w:szCs w:val="24"/>
          <w:lang w:eastAsia="fr-FR"/>
        </w:rPr>
        <w:t>Table 1: Top 3 sectors* with the highest gender pay gaps per country</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6"/>
        <w:gridCol w:w="1436"/>
        <w:gridCol w:w="1790"/>
        <w:gridCol w:w="1763"/>
      </w:tblGrid>
      <w:tr>
        <w:trPr>
          <w:trHeight w:hRule="exact" w:val="348"/>
          <w:jc w:val="center"/>
        </w:trPr>
        <w:tc>
          <w:tcPr>
            <w:tcW w:w="0" w:type="auto"/>
            <w:shd w:val="clear" w:color="auto" w:fill="1F497D" w:themeFill="text2"/>
            <w:noWrap/>
            <w:hideMark/>
          </w:tcPr>
          <w:p>
            <w:pPr>
              <w:spacing w:after="120"/>
              <w:jc w:val="both"/>
              <w:textAlignment w:val="baseline"/>
              <w:rPr>
                <w:noProof/>
                <w:color w:val="FFFFFF" w:themeColor="background1"/>
                <w:sz w:val="24"/>
                <w:szCs w:val="24"/>
                <w:lang w:eastAsia="fr-FR"/>
              </w:rPr>
            </w:pPr>
          </w:p>
        </w:tc>
        <w:tc>
          <w:tcPr>
            <w:tcW w:w="0" w:type="auto"/>
            <w:shd w:val="clear" w:color="auto" w:fill="1F497D" w:themeFill="text2"/>
            <w:noWrap/>
            <w:hideMark/>
          </w:tcPr>
          <w:p>
            <w:pPr>
              <w:spacing w:after="120"/>
              <w:jc w:val="both"/>
              <w:textAlignment w:val="baseline"/>
              <w:rPr>
                <w:b/>
                <w:bCs/>
                <w:noProof/>
                <w:color w:val="FFFFFF" w:themeColor="background1"/>
                <w:sz w:val="24"/>
                <w:szCs w:val="24"/>
                <w:lang w:eastAsia="fr-FR"/>
              </w:rPr>
            </w:pPr>
            <w:r>
              <w:rPr>
                <w:b/>
                <w:bCs/>
                <w:noProof/>
                <w:color w:val="FFFFFF" w:themeColor="background1"/>
                <w:sz w:val="24"/>
                <w:szCs w:val="24"/>
                <w:lang w:eastAsia="fr-FR"/>
              </w:rPr>
              <w:t>Largest gap</w:t>
            </w:r>
          </w:p>
        </w:tc>
        <w:tc>
          <w:tcPr>
            <w:tcW w:w="0" w:type="auto"/>
            <w:shd w:val="clear" w:color="auto" w:fill="1F497D" w:themeFill="text2"/>
            <w:noWrap/>
            <w:hideMark/>
          </w:tcPr>
          <w:p>
            <w:pPr>
              <w:spacing w:after="120"/>
              <w:jc w:val="both"/>
              <w:textAlignment w:val="baseline"/>
              <w:rPr>
                <w:b/>
                <w:bCs/>
                <w:noProof/>
                <w:color w:val="FFFFFF" w:themeColor="background1"/>
                <w:sz w:val="24"/>
                <w:szCs w:val="24"/>
                <w:lang w:eastAsia="fr-FR"/>
              </w:rPr>
            </w:pPr>
            <w:r>
              <w:rPr>
                <w:b/>
                <w:bCs/>
                <w:noProof/>
                <w:color w:val="FFFFFF" w:themeColor="background1"/>
                <w:sz w:val="24"/>
                <w:szCs w:val="24"/>
                <w:lang w:eastAsia="fr-FR"/>
              </w:rPr>
              <w:t>2nd largest gap</w:t>
            </w:r>
          </w:p>
        </w:tc>
        <w:tc>
          <w:tcPr>
            <w:tcW w:w="0" w:type="auto"/>
            <w:shd w:val="clear" w:color="auto" w:fill="1F497D" w:themeFill="text2"/>
            <w:noWrap/>
            <w:hideMark/>
          </w:tcPr>
          <w:p>
            <w:pPr>
              <w:spacing w:after="120"/>
              <w:jc w:val="both"/>
              <w:textAlignment w:val="baseline"/>
              <w:rPr>
                <w:b/>
                <w:bCs/>
                <w:noProof/>
                <w:color w:val="FFFFFF" w:themeColor="background1"/>
                <w:sz w:val="24"/>
                <w:szCs w:val="24"/>
                <w:lang w:eastAsia="fr-FR"/>
              </w:rPr>
            </w:pPr>
            <w:r>
              <w:rPr>
                <w:b/>
                <w:bCs/>
                <w:noProof/>
                <w:color w:val="FFFFFF" w:themeColor="background1"/>
                <w:sz w:val="24"/>
                <w:szCs w:val="24"/>
                <w:lang w:eastAsia="fr-FR"/>
              </w:rPr>
              <w:t>3rd largest gap</w:t>
            </w:r>
          </w:p>
        </w:tc>
      </w:tr>
      <w:tr>
        <w:trPr>
          <w:trHeight w:hRule="exact" w:val="284"/>
          <w:jc w:val="center"/>
        </w:trPr>
        <w:tc>
          <w:tcPr>
            <w:tcW w:w="0" w:type="auto"/>
            <w:shd w:val="clear" w:color="auto" w:fill="1F497D" w:themeFill="text2"/>
            <w:noWrap/>
            <w:hideMark/>
          </w:tcPr>
          <w:p>
            <w:pPr>
              <w:spacing w:after="120"/>
              <w:jc w:val="both"/>
              <w:textAlignment w:val="baseline"/>
              <w:rPr>
                <w:noProof/>
                <w:color w:val="FFFFFF" w:themeColor="background1"/>
                <w:sz w:val="24"/>
                <w:szCs w:val="24"/>
                <w:lang w:eastAsia="fr-FR"/>
              </w:rPr>
            </w:pPr>
            <w:r>
              <w:rPr>
                <w:noProof/>
                <w:color w:val="FFFFFF" w:themeColor="background1"/>
                <w:sz w:val="24"/>
                <w:szCs w:val="24"/>
                <w:lang w:eastAsia="fr-FR"/>
              </w:rPr>
              <w:t>BE</w:t>
            </w:r>
          </w:p>
        </w:tc>
        <w:tc>
          <w:tcPr>
            <w:tcW w:w="0" w:type="auto"/>
            <w:noWrap/>
            <w:hideMark/>
          </w:tcPr>
          <w:p>
            <w:pPr>
              <w:spacing w:after="120"/>
              <w:jc w:val="both"/>
              <w:textAlignment w:val="baseline"/>
              <w:rPr>
                <w:noProof/>
                <w:sz w:val="24"/>
                <w:szCs w:val="24"/>
                <w:lang w:eastAsia="fr-FR"/>
              </w:rPr>
            </w:pPr>
            <w:r>
              <w:rPr>
                <w:noProof/>
                <w:sz w:val="24"/>
                <w:szCs w:val="24"/>
                <w:lang w:eastAsia="fr-FR"/>
              </w:rPr>
              <w:t>N</w:t>
            </w:r>
          </w:p>
        </w:tc>
        <w:tc>
          <w:tcPr>
            <w:tcW w:w="0" w:type="auto"/>
            <w:noWrap/>
            <w:hideMark/>
          </w:tcPr>
          <w:p>
            <w:pPr>
              <w:spacing w:after="120"/>
              <w:jc w:val="both"/>
              <w:textAlignment w:val="baseline"/>
              <w:rPr>
                <w:noProof/>
                <w:sz w:val="24"/>
                <w:szCs w:val="24"/>
                <w:lang w:eastAsia="fr-FR"/>
              </w:rPr>
            </w:pPr>
            <w:r>
              <w:rPr>
                <w:noProof/>
                <w:sz w:val="24"/>
                <w:szCs w:val="24"/>
                <w:lang w:eastAsia="fr-FR"/>
              </w:rPr>
              <w:t>R, S</w:t>
            </w:r>
          </w:p>
        </w:tc>
        <w:tc>
          <w:tcPr>
            <w:tcW w:w="0" w:type="auto"/>
            <w:noWrap/>
            <w:hideMark/>
          </w:tcPr>
          <w:p>
            <w:pPr>
              <w:spacing w:after="120"/>
              <w:jc w:val="both"/>
              <w:textAlignment w:val="baseline"/>
              <w:rPr>
                <w:noProof/>
                <w:sz w:val="24"/>
                <w:szCs w:val="24"/>
                <w:lang w:eastAsia="fr-FR"/>
              </w:rPr>
            </w:pPr>
            <w:r>
              <w:rPr>
                <w:noProof/>
                <w:sz w:val="24"/>
                <w:szCs w:val="24"/>
                <w:lang w:eastAsia="fr-FR"/>
              </w:rPr>
              <w:t>C</w:t>
            </w:r>
          </w:p>
        </w:tc>
      </w:tr>
      <w:tr>
        <w:trPr>
          <w:trHeight w:hRule="exact" w:val="284"/>
          <w:jc w:val="center"/>
        </w:trPr>
        <w:tc>
          <w:tcPr>
            <w:tcW w:w="0" w:type="auto"/>
            <w:shd w:val="clear" w:color="auto" w:fill="1F497D" w:themeFill="text2"/>
            <w:noWrap/>
            <w:hideMark/>
          </w:tcPr>
          <w:p>
            <w:pPr>
              <w:spacing w:after="120"/>
              <w:jc w:val="both"/>
              <w:textAlignment w:val="baseline"/>
              <w:rPr>
                <w:noProof/>
                <w:color w:val="FFFFFF" w:themeColor="background1"/>
                <w:sz w:val="24"/>
                <w:szCs w:val="24"/>
                <w:lang w:eastAsia="fr-FR"/>
              </w:rPr>
            </w:pPr>
            <w:r>
              <w:rPr>
                <w:noProof/>
                <w:color w:val="FFFFFF" w:themeColor="background1"/>
                <w:sz w:val="24"/>
                <w:szCs w:val="24"/>
                <w:lang w:eastAsia="fr-FR"/>
              </w:rPr>
              <w:t>BG</w:t>
            </w:r>
          </w:p>
        </w:tc>
        <w:tc>
          <w:tcPr>
            <w:tcW w:w="0" w:type="auto"/>
            <w:noWrap/>
            <w:hideMark/>
          </w:tcPr>
          <w:p>
            <w:pPr>
              <w:spacing w:after="120"/>
              <w:jc w:val="both"/>
              <w:textAlignment w:val="baseline"/>
              <w:rPr>
                <w:noProof/>
                <w:sz w:val="24"/>
                <w:szCs w:val="24"/>
                <w:lang w:eastAsia="fr-FR"/>
              </w:rPr>
            </w:pPr>
            <w:r>
              <w:rPr>
                <w:noProof/>
                <w:sz w:val="24"/>
                <w:szCs w:val="24"/>
                <w:lang w:eastAsia="fr-FR"/>
              </w:rPr>
              <w:t>H, J, N</w:t>
            </w:r>
          </w:p>
        </w:tc>
        <w:tc>
          <w:tcPr>
            <w:tcW w:w="0" w:type="auto"/>
            <w:noWrap/>
            <w:hideMark/>
          </w:tcPr>
          <w:p>
            <w:pPr>
              <w:spacing w:after="120"/>
              <w:jc w:val="both"/>
              <w:textAlignment w:val="baseline"/>
              <w:rPr>
                <w:noProof/>
                <w:sz w:val="24"/>
                <w:szCs w:val="24"/>
                <w:lang w:eastAsia="fr-FR"/>
              </w:rPr>
            </w:pPr>
            <w:r>
              <w:rPr>
                <w:noProof/>
                <w:sz w:val="24"/>
                <w:szCs w:val="24"/>
                <w:lang w:eastAsia="fr-FR"/>
              </w:rPr>
              <w:t>E</w:t>
            </w:r>
          </w:p>
        </w:tc>
        <w:tc>
          <w:tcPr>
            <w:tcW w:w="0" w:type="auto"/>
            <w:noWrap/>
            <w:hideMark/>
          </w:tcPr>
          <w:p>
            <w:pPr>
              <w:spacing w:after="120"/>
              <w:jc w:val="both"/>
              <w:textAlignment w:val="baseline"/>
              <w:rPr>
                <w:noProof/>
                <w:sz w:val="24"/>
                <w:szCs w:val="24"/>
                <w:lang w:eastAsia="fr-FR"/>
              </w:rPr>
            </w:pPr>
            <w:r>
              <w:rPr>
                <w:noProof/>
                <w:sz w:val="24"/>
                <w:szCs w:val="24"/>
                <w:lang w:eastAsia="fr-FR"/>
              </w:rPr>
              <w:t>C</w:t>
            </w:r>
          </w:p>
        </w:tc>
      </w:tr>
      <w:tr>
        <w:trPr>
          <w:trHeight w:hRule="exact" w:val="284"/>
          <w:jc w:val="center"/>
        </w:trPr>
        <w:tc>
          <w:tcPr>
            <w:tcW w:w="0" w:type="auto"/>
            <w:shd w:val="clear" w:color="auto" w:fill="1F497D" w:themeFill="text2"/>
            <w:noWrap/>
            <w:hideMark/>
          </w:tcPr>
          <w:p>
            <w:pPr>
              <w:spacing w:after="120"/>
              <w:jc w:val="both"/>
              <w:textAlignment w:val="baseline"/>
              <w:rPr>
                <w:noProof/>
                <w:color w:val="FFFFFF" w:themeColor="background1"/>
                <w:sz w:val="24"/>
                <w:szCs w:val="24"/>
                <w:lang w:eastAsia="fr-FR"/>
              </w:rPr>
            </w:pPr>
            <w:r>
              <w:rPr>
                <w:noProof/>
                <w:color w:val="FFFFFF" w:themeColor="background1"/>
                <w:sz w:val="24"/>
                <w:szCs w:val="24"/>
                <w:lang w:eastAsia="fr-FR"/>
              </w:rPr>
              <w:t>CY</w:t>
            </w:r>
          </w:p>
        </w:tc>
        <w:tc>
          <w:tcPr>
            <w:tcW w:w="0" w:type="auto"/>
            <w:noWrap/>
            <w:hideMark/>
          </w:tcPr>
          <w:p>
            <w:pPr>
              <w:spacing w:after="120"/>
              <w:jc w:val="both"/>
              <w:textAlignment w:val="baseline"/>
              <w:rPr>
                <w:noProof/>
                <w:sz w:val="24"/>
                <w:szCs w:val="24"/>
                <w:lang w:eastAsia="fr-FR"/>
              </w:rPr>
            </w:pPr>
            <w:r>
              <w:rPr>
                <w:noProof/>
                <w:sz w:val="24"/>
                <w:szCs w:val="24"/>
                <w:lang w:eastAsia="fr-FR"/>
              </w:rPr>
              <w:t>C</w:t>
            </w:r>
          </w:p>
        </w:tc>
        <w:tc>
          <w:tcPr>
            <w:tcW w:w="0" w:type="auto"/>
            <w:noWrap/>
            <w:hideMark/>
          </w:tcPr>
          <w:p>
            <w:pPr>
              <w:spacing w:after="120"/>
              <w:jc w:val="both"/>
              <w:textAlignment w:val="baseline"/>
              <w:rPr>
                <w:noProof/>
                <w:sz w:val="24"/>
                <w:szCs w:val="24"/>
                <w:lang w:eastAsia="fr-FR"/>
              </w:rPr>
            </w:pPr>
            <w:r>
              <w:rPr>
                <w:noProof/>
                <w:sz w:val="24"/>
                <w:szCs w:val="24"/>
                <w:lang w:eastAsia="fr-FR"/>
              </w:rPr>
              <w:t>K, M, N</w:t>
            </w:r>
          </w:p>
        </w:tc>
        <w:tc>
          <w:tcPr>
            <w:tcW w:w="0" w:type="auto"/>
            <w:noWrap/>
            <w:hideMark/>
          </w:tcPr>
          <w:p>
            <w:pPr>
              <w:spacing w:after="120"/>
              <w:jc w:val="both"/>
              <w:textAlignment w:val="baseline"/>
              <w:rPr>
                <w:noProof/>
                <w:sz w:val="24"/>
                <w:szCs w:val="24"/>
                <w:lang w:eastAsia="fr-FR"/>
              </w:rPr>
            </w:pPr>
            <w:r>
              <w:rPr>
                <w:noProof/>
                <w:sz w:val="24"/>
                <w:szCs w:val="24"/>
                <w:lang w:eastAsia="fr-FR"/>
              </w:rPr>
              <w:t>M, Q</w:t>
            </w:r>
          </w:p>
        </w:tc>
      </w:tr>
      <w:tr>
        <w:trPr>
          <w:trHeight w:hRule="exact" w:val="284"/>
          <w:jc w:val="center"/>
        </w:trPr>
        <w:tc>
          <w:tcPr>
            <w:tcW w:w="0" w:type="auto"/>
            <w:shd w:val="clear" w:color="auto" w:fill="1F497D" w:themeFill="text2"/>
            <w:noWrap/>
            <w:hideMark/>
          </w:tcPr>
          <w:p>
            <w:pPr>
              <w:spacing w:after="120"/>
              <w:jc w:val="both"/>
              <w:textAlignment w:val="baseline"/>
              <w:rPr>
                <w:noProof/>
                <w:color w:val="FFFFFF" w:themeColor="background1"/>
                <w:sz w:val="24"/>
                <w:szCs w:val="24"/>
                <w:lang w:eastAsia="fr-FR"/>
              </w:rPr>
            </w:pPr>
            <w:r>
              <w:rPr>
                <w:noProof/>
                <w:color w:val="FFFFFF" w:themeColor="background1"/>
                <w:sz w:val="24"/>
                <w:szCs w:val="24"/>
                <w:lang w:eastAsia="fr-FR"/>
              </w:rPr>
              <w:t>CZ</w:t>
            </w:r>
          </w:p>
        </w:tc>
        <w:tc>
          <w:tcPr>
            <w:tcW w:w="0" w:type="auto"/>
            <w:noWrap/>
            <w:hideMark/>
          </w:tcPr>
          <w:p>
            <w:pPr>
              <w:spacing w:after="120"/>
              <w:jc w:val="both"/>
              <w:textAlignment w:val="baseline"/>
              <w:rPr>
                <w:noProof/>
                <w:sz w:val="24"/>
                <w:szCs w:val="24"/>
                <w:lang w:eastAsia="fr-FR"/>
              </w:rPr>
            </w:pPr>
            <w:r>
              <w:rPr>
                <w:noProof/>
                <w:sz w:val="24"/>
                <w:szCs w:val="24"/>
                <w:lang w:eastAsia="fr-FR"/>
              </w:rPr>
              <w:t xml:space="preserve">H, J, N </w:t>
            </w:r>
          </w:p>
        </w:tc>
        <w:tc>
          <w:tcPr>
            <w:tcW w:w="0" w:type="auto"/>
            <w:noWrap/>
            <w:hideMark/>
          </w:tcPr>
          <w:p>
            <w:pPr>
              <w:spacing w:after="120"/>
              <w:jc w:val="both"/>
              <w:textAlignment w:val="baseline"/>
              <w:rPr>
                <w:noProof/>
                <w:sz w:val="24"/>
                <w:szCs w:val="24"/>
                <w:lang w:eastAsia="fr-FR"/>
              </w:rPr>
            </w:pPr>
            <w:r>
              <w:rPr>
                <w:noProof/>
                <w:sz w:val="24"/>
                <w:szCs w:val="24"/>
                <w:lang w:eastAsia="fr-FR"/>
              </w:rPr>
              <w:t>C</w:t>
            </w:r>
          </w:p>
        </w:tc>
        <w:tc>
          <w:tcPr>
            <w:tcW w:w="0" w:type="auto"/>
            <w:noWrap/>
            <w:hideMark/>
          </w:tcPr>
          <w:p>
            <w:pPr>
              <w:spacing w:after="120"/>
              <w:jc w:val="both"/>
              <w:textAlignment w:val="baseline"/>
              <w:rPr>
                <w:noProof/>
                <w:sz w:val="24"/>
                <w:szCs w:val="24"/>
                <w:lang w:eastAsia="fr-FR"/>
              </w:rPr>
            </w:pPr>
            <w:r>
              <w:rPr>
                <w:noProof/>
                <w:sz w:val="24"/>
                <w:szCs w:val="24"/>
                <w:lang w:eastAsia="fr-FR"/>
              </w:rPr>
              <w:t>C, J</w:t>
            </w:r>
          </w:p>
        </w:tc>
      </w:tr>
      <w:tr>
        <w:trPr>
          <w:trHeight w:hRule="exact" w:val="284"/>
          <w:jc w:val="center"/>
        </w:trPr>
        <w:tc>
          <w:tcPr>
            <w:tcW w:w="0" w:type="auto"/>
            <w:shd w:val="clear" w:color="auto" w:fill="1F497D" w:themeFill="text2"/>
            <w:noWrap/>
            <w:hideMark/>
          </w:tcPr>
          <w:p>
            <w:pPr>
              <w:spacing w:after="120"/>
              <w:jc w:val="both"/>
              <w:textAlignment w:val="baseline"/>
              <w:rPr>
                <w:noProof/>
                <w:color w:val="FFFFFF" w:themeColor="background1"/>
                <w:sz w:val="24"/>
                <w:szCs w:val="24"/>
                <w:lang w:eastAsia="fr-FR"/>
              </w:rPr>
            </w:pPr>
            <w:r>
              <w:rPr>
                <w:noProof/>
                <w:color w:val="FFFFFF" w:themeColor="background1"/>
                <w:sz w:val="24"/>
                <w:szCs w:val="24"/>
                <w:lang w:eastAsia="fr-FR"/>
              </w:rPr>
              <w:t>DE</w:t>
            </w:r>
          </w:p>
        </w:tc>
        <w:tc>
          <w:tcPr>
            <w:tcW w:w="0" w:type="auto"/>
            <w:noWrap/>
            <w:hideMark/>
          </w:tcPr>
          <w:p>
            <w:pPr>
              <w:spacing w:after="120"/>
              <w:jc w:val="both"/>
              <w:textAlignment w:val="baseline"/>
              <w:rPr>
                <w:noProof/>
                <w:sz w:val="24"/>
                <w:szCs w:val="24"/>
                <w:lang w:eastAsia="fr-FR"/>
              </w:rPr>
            </w:pPr>
            <w:r>
              <w:rPr>
                <w:noProof/>
                <w:sz w:val="24"/>
                <w:szCs w:val="24"/>
                <w:lang w:eastAsia="fr-FR"/>
              </w:rPr>
              <w:t>K, M</w:t>
            </w:r>
          </w:p>
        </w:tc>
        <w:tc>
          <w:tcPr>
            <w:tcW w:w="0" w:type="auto"/>
            <w:noWrap/>
            <w:hideMark/>
          </w:tcPr>
          <w:p>
            <w:pPr>
              <w:spacing w:after="120"/>
              <w:jc w:val="both"/>
              <w:textAlignment w:val="baseline"/>
              <w:rPr>
                <w:noProof/>
                <w:sz w:val="24"/>
                <w:szCs w:val="24"/>
                <w:lang w:eastAsia="fr-FR"/>
              </w:rPr>
            </w:pPr>
            <w:r>
              <w:rPr>
                <w:noProof/>
                <w:sz w:val="24"/>
                <w:szCs w:val="24"/>
                <w:lang w:eastAsia="fr-FR"/>
              </w:rPr>
              <w:t>M</w:t>
            </w:r>
          </w:p>
        </w:tc>
        <w:tc>
          <w:tcPr>
            <w:tcW w:w="0" w:type="auto"/>
            <w:noWrap/>
            <w:hideMark/>
          </w:tcPr>
          <w:p>
            <w:pPr>
              <w:spacing w:after="120"/>
              <w:jc w:val="both"/>
              <w:textAlignment w:val="baseline"/>
              <w:rPr>
                <w:noProof/>
                <w:sz w:val="24"/>
                <w:szCs w:val="24"/>
                <w:lang w:eastAsia="fr-FR"/>
              </w:rPr>
            </w:pPr>
            <w:r>
              <w:rPr>
                <w:noProof/>
                <w:sz w:val="24"/>
                <w:szCs w:val="24"/>
                <w:lang w:eastAsia="fr-FR"/>
              </w:rPr>
              <w:t>C</w:t>
            </w:r>
          </w:p>
        </w:tc>
      </w:tr>
      <w:tr>
        <w:trPr>
          <w:trHeight w:hRule="exact" w:val="284"/>
          <w:jc w:val="center"/>
        </w:trPr>
        <w:tc>
          <w:tcPr>
            <w:tcW w:w="0" w:type="auto"/>
            <w:shd w:val="clear" w:color="auto" w:fill="1F497D" w:themeFill="text2"/>
            <w:noWrap/>
            <w:hideMark/>
          </w:tcPr>
          <w:p>
            <w:pPr>
              <w:spacing w:after="120"/>
              <w:jc w:val="both"/>
              <w:textAlignment w:val="baseline"/>
              <w:rPr>
                <w:noProof/>
                <w:color w:val="FFFFFF" w:themeColor="background1"/>
                <w:sz w:val="24"/>
                <w:szCs w:val="24"/>
                <w:lang w:eastAsia="fr-FR"/>
              </w:rPr>
            </w:pPr>
            <w:r>
              <w:rPr>
                <w:noProof/>
                <w:color w:val="FFFFFF" w:themeColor="background1"/>
                <w:sz w:val="24"/>
                <w:szCs w:val="24"/>
                <w:lang w:eastAsia="fr-FR"/>
              </w:rPr>
              <w:t>EE</w:t>
            </w:r>
          </w:p>
        </w:tc>
        <w:tc>
          <w:tcPr>
            <w:tcW w:w="0" w:type="auto"/>
            <w:noWrap/>
            <w:hideMark/>
          </w:tcPr>
          <w:p>
            <w:pPr>
              <w:spacing w:after="120"/>
              <w:jc w:val="both"/>
              <w:textAlignment w:val="baseline"/>
              <w:rPr>
                <w:noProof/>
                <w:sz w:val="24"/>
                <w:szCs w:val="24"/>
                <w:lang w:eastAsia="fr-FR"/>
              </w:rPr>
            </w:pPr>
            <w:r>
              <w:rPr>
                <w:noProof/>
                <w:sz w:val="24"/>
                <w:szCs w:val="24"/>
                <w:lang w:eastAsia="fr-FR"/>
              </w:rPr>
              <w:t>H, J, N</w:t>
            </w:r>
          </w:p>
        </w:tc>
        <w:tc>
          <w:tcPr>
            <w:tcW w:w="0" w:type="auto"/>
            <w:noWrap/>
            <w:hideMark/>
          </w:tcPr>
          <w:p>
            <w:pPr>
              <w:spacing w:after="120"/>
              <w:jc w:val="both"/>
              <w:textAlignment w:val="baseline"/>
              <w:rPr>
                <w:noProof/>
                <w:sz w:val="24"/>
                <w:szCs w:val="24"/>
                <w:lang w:eastAsia="fr-FR"/>
              </w:rPr>
            </w:pPr>
            <w:r>
              <w:rPr>
                <w:noProof/>
                <w:sz w:val="24"/>
                <w:szCs w:val="24"/>
                <w:lang w:eastAsia="fr-FR"/>
              </w:rPr>
              <w:t>C</w:t>
            </w:r>
          </w:p>
        </w:tc>
        <w:tc>
          <w:tcPr>
            <w:tcW w:w="0" w:type="auto"/>
            <w:noWrap/>
            <w:hideMark/>
          </w:tcPr>
          <w:p>
            <w:pPr>
              <w:spacing w:after="120"/>
              <w:jc w:val="both"/>
              <w:textAlignment w:val="baseline"/>
              <w:rPr>
                <w:noProof/>
                <w:sz w:val="24"/>
                <w:szCs w:val="24"/>
                <w:lang w:eastAsia="fr-FR"/>
              </w:rPr>
            </w:pPr>
            <w:r>
              <w:rPr>
                <w:noProof/>
                <w:sz w:val="24"/>
                <w:szCs w:val="24"/>
                <w:lang w:eastAsia="fr-FR"/>
              </w:rPr>
              <w:t>C</w:t>
            </w:r>
          </w:p>
        </w:tc>
      </w:tr>
      <w:tr>
        <w:trPr>
          <w:trHeight w:hRule="exact" w:val="284"/>
          <w:jc w:val="center"/>
        </w:trPr>
        <w:tc>
          <w:tcPr>
            <w:tcW w:w="0" w:type="auto"/>
            <w:shd w:val="clear" w:color="auto" w:fill="1F497D" w:themeFill="text2"/>
            <w:noWrap/>
            <w:hideMark/>
          </w:tcPr>
          <w:p>
            <w:pPr>
              <w:spacing w:after="120"/>
              <w:jc w:val="both"/>
              <w:textAlignment w:val="baseline"/>
              <w:rPr>
                <w:noProof/>
                <w:color w:val="FFFFFF" w:themeColor="background1"/>
                <w:sz w:val="24"/>
                <w:szCs w:val="24"/>
                <w:lang w:eastAsia="fr-FR"/>
              </w:rPr>
            </w:pPr>
            <w:r>
              <w:rPr>
                <w:noProof/>
                <w:color w:val="FFFFFF" w:themeColor="background1"/>
                <w:sz w:val="24"/>
                <w:szCs w:val="24"/>
                <w:lang w:eastAsia="fr-FR"/>
              </w:rPr>
              <w:t>ES</w:t>
            </w:r>
          </w:p>
        </w:tc>
        <w:tc>
          <w:tcPr>
            <w:tcW w:w="0" w:type="auto"/>
            <w:noWrap/>
            <w:hideMark/>
          </w:tcPr>
          <w:p>
            <w:pPr>
              <w:spacing w:after="120"/>
              <w:jc w:val="both"/>
              <w:textAlignment w:val="baseline"/>
              <w:rPr>
                <w:noProof/>
                <w:sz w:val="24"/>
                <w:szCs w:val="24"/>
                <w:lang w:eastAsia="fr-FR"/>
              </w:rPr>
            </w:pPr>
            <w:r>
              <w:rPr>
                <w:noProof/>
                <w:sz w:val="24"/>
                <w:szCs w:val="24"/>
                <w:lang w:eastAsia="fr-FR"/>
              </w:rPr>
              <w:t>R, S</w:t>
            </w:r>
          </w:p>
        </w:tc>
        <w:tc>
          <w:tcPr>
            <w:tcW w:w="0" w:type="auto"/>
            <w:noWrap/>
            <w:hideMark/>
          </w:tcPr>
          <w:p>
            <w:pPr>
              <w:spacing w:after="120"/>
              <w:jc w:val="both"/>
              <w:textAlignment w:val="baseline"/>
              <w:rPr>
                <w:noProof/>
                <w:sz w:val="24"/>
                <w:szCs w:val="24"/>
                <w:lang w:eastAsia="fr-FR"/>
              </w:rPr>
            </w:pPr>
            <w:r>
              <w:rPr>
                <w:noProof/>
                <w:sz w:val="24"/>
                <w:szCs w:val="24"/>
                <w:lang w:eastAsia="fr-FR"/>
              </w:rPr>
              <w:t>C</w:t>
            </w:r>
          </w:p>
        </w:tc>
        <w:tc>
          <w:tcPr>
            <w:tcW w:w="0" w:type="auto"/>
            <w:noWrap/>
            <w:hideMark/>
          </w:tcPr>
          <w:p>
            <w:pPr>
              <w:spacing w:after="120"/>
              <w:jc w:val="both"/>
              <w:textAlignment w:val="baseline"/>
              <w:rPr>
                <w:noProof/>
                <w:sz w:val="24"/>
                <w:szCs w:val="24"/>
                <w:lang w:eastAsia="fr-FR"/>
              </w:rPr>
            </w:pPr>
            <w:r>
              <w:rPr>
                <w:noProof/>
                <w:sz w:val="24"/>
                <w:szCs w:val="24"/>
                <w:lang w:eastAsia="fr-FR"/>
              </w:rPr>
              <w:t>N</w:t>
            </w:r>
          </w:p>
        </w:tc>
      </w:tr>
      <w:tr>
        <w:trPr>
          <w:trHeight w:hRule="exact" w:val="284"/>
          <w:jc w:val="center"/>
        </w:trPr>
        <w:tc>
          <w:tcPr>
            <w:tcW w:w="0" w:type="auto"/>
            <w:shd w:val="clear" w:color="auto" w:fill="1F497D" w:themeFill="text2"/>
            <w:noWrap/>
            <w:hideMark/>
          </w:tcPr>
          <w:p>
            <w:pPr>
              <w:spacing w:after="120"/>
              <w:jc w:val="both"/>
              <w:textAlignment w:val="baseline"/>
              <w:rPr>
                <w:noProof/>
                <w:color w:val="FFFFFF" w:themeColor="background1"/>
                <w:sz w:val="24"/>
                <w:szCs w:val="24"/>
                <w:lang w:eastAsia="fr-FR"/>
              </w:rPr>
            </w:pPr>
            <w:r>
              <w:rPr>
                <w:noProof/>
                <w:color w:val="FFFFFF" w:themeColor="background1"/>
                <w:sz w:val="24"/>
                <w:szCs w:val="24"/>
                <w:lang w:eastAsia="fr-FR"/>
              </w:rPr>
              <w:t>FI</w:t>
            </w:r>
          </w:p>
        </w:tc>
        <w:tc>
          <w:tcPr>
            <w:tcW w:w="0" w:type="auto"/>
            <w:noWrap/>
            <w:hideMark/>
          </w:tcPr>
          <w:p>
            <w:pPr>
              <w:spacing w:after="120"/>
              <w:jc w:val="both"/>
              <w:textAlignment w:val="baseline"/>
              <w:rPr>
                <w:noProof/>
                <w:sz w:val="24"/>
                <w:szCs w:val="24"/>
                <w:lang w:eastAsia="fr-FR"/>
              </w:rPr>
            </w:pPr>
            <w:r>
              <w:rPr>
                <w:noProof/>
                <w:sz w:val="24"/>
                <w:szCs w:val="24"/>
                <w:lang w:eastAsia="fr-FR"/>
              </w:rPr>
              <w:t>K, M, N</w:t>
            </w:r>
          </w:p>
        </w:tc>
        <w:tc>
          <w:tcPr>
            <w:tcW w:w="0" w:type="auto"/>
            <w:noWrap/>
            <w:hideMark/>
          </w:tcPr>
          <w:p>
            <w:pPr>
              <w:spacing w:after="120"/>
              <w:jc w:val="both"/>
              <w:textAlignment w:val="baseline"/>
              <w:rPr>
                <w:noProof/>
                <w:sz w:val="24"/>
                <w:szCs w:val="24"/>
                <w:lang w:eastAsia="fr-FR"/>
              </w:rPr>
            </w:pPr>
            <w:r>
              <w:rPr>
                <w:noProof/>
                <w:sz w:val="24"/>
                <w:szCs w:val="24"/>
                <w:lang w:eastAsia="fr-FR"/>
              </w:rPr>
              <w:t>M, Q</w:t>
            </w:r>
          </w:p>
        </w:tc>
        <w:tc>
          <w:tcPr>
            <w:tcW w:w="0" w:type="auto"/>
            <w:noWrap/>
            <w:hideMark/>
          </w:tcPr>
          <w:p>
            <w:pPr>
              <w:spacing w:after="120"/>
              <w:jc w:val="both"/>
              <w:textAlignment w:val="baseline"/>
              <w:rPr>
                <w:noProof/>
                <w:sz w:val="24"/>
                <w:szCs w:val="24"/>
                <w:lang w:eastAsia="fr-FR"/>
              </w:rPr>
            </w:pPr>
            <w:r>
              <w:rPr>
                <w:noProof/>
                <w:sz w:val="24"/>
                <w:szCs w:val="24"/>
                <w:lang w:eastAsia="fr-FR"/>
              </w:rPr>
              <w:t>N</w:t>
            </w:r>
          </w:p>
        </w:tc>
      </w:tr>
      <w:tr>
        <w:trPr>
          <w:trHeight w:hRule="exact" w:val="284"/>
          <w:jc w:val="center"/>
        </w:trPr>
        <w:tc>
          <w:tcPr>
            <w:tcW w:w="0" w:type="auto"/>
            <w:shd w:val="clear" w:color="auto" w:fill="1F497D" w:themeFill="text2"/>
            <w:noWrap/>
            <w:hideMark/>
          </w:tcPr>
          <w:p>
            <w:pPr>
              <w:spacing w:after="120"/>
              <w:jc w:val="both"/>
              <w:textAlignment w:val="baseline"/>
              <w:rPr>
                <w:noProof/>
                <w:color w:val="FFFFFF" w:themeColor="background1"/>
                <w:sz w:val="24"/>
                <w:szCs w:val="24"/>
                <w:lang w:eastAsia="fr-FR"/>
              </w:rPr>
            </w:pPr>
            <w:r>
              <w:rPr>
                <w:noProof/>
                <w:color w:val="FFFFFF" w:themeColor="background1"/>
                <w:sz w:val="24"/>
                <w:szCs w:val="24"/>
                <w:lang w:eastAsia="fr-FR"/>
              </w:rPr>
              <w:t>FR</w:t>
            </w:r>
          </w:p>
        </w:tc>
        <w:tc>
          <w:tcPr>
            <w:tcW w:w="0" w:type="auto"/>
            <w:noWrap/>
            <w:hideMark/>
          </w:tcPr>
          <w:p>
            <w:pPr>
              <w:spacing w:after="120"/>
              <w:jc w:val="both"/>
              <w:textAlignment w:val="baseline"/>
              <w:rPr>
                <w:noProof/>
                <w:sz w:val="24"/>
                <w:szCs w:val="24"/>
                <w:lang w:eastAsia="fr-FR"/>
              </w:rPr>
            </w:pPr>
            <w:r>
              <w:rPr>
                <w:noProof/>
                <w:sz w:val="24"/>
                <w:szCs w:val="24"/>
                <w:lang w:eastAsia="fr-FR"/>
              </w:rPr>
              <w:t>C</w:t>
            </w:r>
          </w:p>
        </w:tc>
        <w:tc>
          <w:tcPr>
            <w:tcW w:w="0" w:type="auto"/>
            <w:noWrap/>
            <w:hideMark/>
          </w:tcPr>
          <w:p>
            <w:pPr>
              <w:spacing w:after="120"/>
              <w:jc w:val="both"/>
              <w:textAlignment w:val="baseline"/>
              <w:rPr>
                <w:noProof/>
                <w:sz w:val="24"/>
                <w:szCs w:val="24"/>
                <w:lang w:eastAsia="fr-FR"/>
              </w:rPr>
            </w:pPr>
            <w:r>
              <w:rPr>
                <w:noProof/>
                <w:sz w:val="24"/>
                <w:szCs w:val="24"/>
                <w:lang w:eastAsia="fr-FR"/>
              </w:rPr>
              <w:t>N</w:t>
            </w:r>
          </w:p>
        </w:tc>
        <w:tc>
          <w:tcPr>
            <w:tcW w:w="0" w:type="auto"/>
            <w:noWrap/>
            <w:hideMark/>
          </w:tcPr>
          <w:p>
            <w:pPr>
              <w:spacing w:after="120"/>
              <w:jc w:val="both"/>
              <w:textAlignment w:val="baseline"/>
              <w:rPr>
                <w:noProof/>
                <w:sz w:val="24"/>
                <w:szCs w:val="24"/>
                <w:lang w:eastAsia="fr-FR"/>
              </w:rPr>
            </w:pPr>
            <w:r>
              <w:rPr>
                <w:noProof/>
                <w:sz w:val="24"/>
                <w:szCs w:val="24"/>
                <w:lang w:eastAsia="fr-FR"/>
              </w:rPr>
              <w:t>R, S</w:t>
            </w:r>
          </w:p>
        </w:tc>
      </w:tr>
      <w:tr>
        <w:trPr>
          <w:trHeight w:hRule="exact" w:val="284"/>
          <w:jc w:val="center"/>
        </w:trPr>
        <w:tc>
          <w:tcPr>
            <w:tcW w:w="0" w:type="auto"/>
            <w:shd w:val="clear" w:color="auto" w:fill="1F497D" w:themeFill="text2"/>
            <w:noWrap/>
            <w:hideMark/>
          </w:tcPr>
          <w:p>
            <w:pPr>
              <w:spacing w:after="120"/>
              <w:jc w:val="both"/>
              <w:textAlignment w:val="baseline"/>
              <w:rPr>
                <w:noProof/>
                <w:color w:val="FFFFFF" w:themeColor="background1"/>
                <w:sz w:val="24"/>
                <w:szCs w:val="24"/>
                <w:lang w:eastAsia="fr-FR"/>
              </w:rPr>
            </w:pPr>
            <w:r>
              <w:rPr>
                <w:noProof/>
                <w:color w:val="FFFFFF" w:themeColor="background1"/>
                <w:sz w:val="24"/>
                <w:szCs w:val="24"/>
                <w:lang w:eastAsia="fr-FR"/>
              </w:rPr>
              <w:t>HU</w:t>
            </w:r>
          </w:p>
        </w:tc>
        <w:tc>
          <w:tcPr>
            <w:tcW w:w="0" w:type="auto"/>
            <w:noWrap/>
            <w:hideMark/>
          </w:tcPr>
          <w:p>
            <w:pPr>
              <w:spacing w:after="120"/>
              <w:jc w:val="both"/>
              <w:textAlignment w:val="baseline"/>
              <w:rPr>
                <w:noProof/>
                <w:sz w:val="24"/>
                <w:szCs w:val="24"/>
                <w:lang w:eastAsia="fr-FR"/>
              </w:rPr>
            </w:pPr>
            <w:r>
              <w:rPr>
                <w:noProof/>
                <w:sz w:val="24"/>
                <w:szCs w:val="24"/>
                <w:lang w:eastAsia="fr-FR"/>
              </w:rPr>
              <w:t>C</w:t>
            </w:r>
          </w:p>
        </w:tc>
        <w:tc>
          <w:tcPr>
            <w:tcW w:w="0" w:type="auto"/>
            <w:noWrap/>
            <w:hideMark/>
          </w:tcPr>
          <w:p>
            <w:pPr>
              <w:spacing w:after="120"/>
              <w:jc w:val="both"/>
              <w:textAlignment w:val="baseline"/>
              <w:rPr>
                <w:noProof/>
                <w:sz w:val="24"/>
                <w:szCs w:val="24"/>
                <w:lang w:eastAsia="fr-FR"/>
              </w:rPr>
            </w:pPr>
            <w:r>
              <w:rPr>
                <w:noProof/>
                <w:sz w:val="24"/>
                <w:szCs w:val="24"/>
                <w:lang w:eastAsia="fr-FR"/>
              </w:rPr>
              <w:t>C</w:t>
            </w:r>
          </w:p>
        </w:tc>
        <w:tc>
          <w:tcPr>
            <w:tcW w:w="0" w:type="auto"/>
            <w:noWrap/>
            <w:hideMark/>
          </w:tcPr>
          <w:p>
            <w:pPr>
              <w:spacing w:after="120"/>
              <w:jc w:val="both"/>
              <w:textAlignment w:val="baseline"/>
              <w:rPr>
                <w:noProof/>
                <w:sz w:val="24"/>
                <w:szCs w:val="24"/>
                <w:lang w:eastAsia="fr-FR"/>
              </w:rPr>
            </w:pPr>
            <w:r>
              <w:rPr>
                <w:noProof/>
                <w:sz w:val="24"/>
                <w:szCs w:val="24"/>
                <w:lang w:eastAsia="fr-FR"/>
              </w:rPr>
              <w:t>C</w:t>
            </w:r>
          </w:p>
        </w:tc>
      </w:tr>
      <w:tr>
        <w:trPr>
          <w:trHeight w:hRule="exact" w:val="284"/>
          <w:jc w:val="center"/>
        </w:trPr>
        <w:tc>
          <w:tcPr>
            <w:tcW w:w="0" w:type="auto"/>
            <w:shd w:val="clear" w:color="auto" w:fill="1F497D" w:themeFill="text2"/>
            <w:noWrap/>
            <w:hideMark/>
          </w:tcPr>
          <w:p>
            <w:pPr>
              <w:spacing w:after="120"/>
              <w:jc w:val="both"/>
              <w:textAlignment w:val="baseline"/>
              <w:rPr>
                <w:noProof/>
                <w:color w:val="FFFFFF" w:themeColor="background1"/>
                <w:sz w:val="24"/>
                <w:szCs w:val="24"/>
                <w:lang w:eastAsia="fr-FR"/>
              </w:rPr>
            </w:pPr>
            <w:r>
              <w:rPr>
                <w:noProof/>
                <w:color w:val="FFFFFF" w:themeColor="background1"/>
                <w:sz w:val="24"/>
                <w:szCs w:val="24"/>
                <w:lang w:eastAsia="fr-FR"/>
              </w:rPr>
              <w:t>IT</w:t>
            </w:r>
          </w:p>
        </w:tc>
        <w:tc>
          <w:tcPr>
            <w:tcW w:w="0" w:type="auto"/>
            <w:noWrap/>
            <w:hideMark/>
          </w:tcPr>
          <w:p>
            <w:pPr>
              <w:spacing w:after="120"/>
              <w:jc w:val="both"/>
              <w:textAlignment w:val="baseline"/>
              <w:rPr>
                <w:noProof/>
                <w:sz w:val="24"/>
                <w:szCs w:val="24"/>
                <w:lang w:eastAsia="fr-FR"/>
              </w:rPr>
            </w:pPr>
            <w:r>
              <w:rPr>
                <w:noProof/>
                <w:sz w:val="24"/>
                <w:szCs w:val="24"/>
                <w:lang w:eastAsia="fr-FR"/>
              </w:rPr>
              <w:t>M, Q</w:t>
            </w:r>
          </w:p>
        </w:tc>
        <w:tc>
          <w:tcPr>
            <w:tcW w:w="0" w:type="auto"/>
            <w:noWrap/>
            <w:hideMark/>
          </w:tcPr>
          <w:p>
            <w:pPr>
              <w:spacing w:after="120"/>
              <w:jc w:val="both"/>
              <w:textAlignment w:val="baseline"/>
              <w:rPr>
                <w:noProof/>
                <w:sz w:val="24"/>
                <w:szCs w:val="24"/>
                <w:lang w:eastAsia="fr-FR"/>
              </w:rPr>
            </w:pPr>
            <w:r>
              <w:rPr>
                <w:noProof/>
                <w:sz w:val="24"/>
                <w:szCs w:val="24"/>
                <w:lang w:eastAsia="fr-FR"/>
              </w:rPr>
              <w:t>R, S</w:t>
            </w:r>
          </w:p>
        </w:tc>
        <w:tc>
          <w:tcPr>
            <w:tcW w:w="0" w:type="auto"/>
            <w:noWrap/>
            <w:hideMark/>
          </w:tcPr>
          <w:p>
            <w:pPr>
              <w:spacing w:after="120"/>
              <w:jc w:val="both"/>
              <w:textAlignment w:val="baseline"/>
              <w:rPr>
                <w:noProof/>
                <w:sz w:val="24"/>
                <w:szCs w:val="24"/>
                <w:lang w:eastAsia="fr-FR"/>
              </w:rPr>
            </w:pPr>
            <w:r>
              <w:rPr>
                <w:noProof/>
                <w:sz w:val="24"/>
                <w:szCs w:val="24"/>
                <w:lang w:eastAsia="fr-FR"/>
              </w:rPr>
              <w:t>C</w:t>
            </w:r>
          </w:p>
        </w:tc>
      </w:tr>
      <w:tr>
        <w:trPr>
          <w:trHeight w:hRule="exact" w:val="284"/>
          <w:jc w:val="center"/>
        </w:trPr>
        <w:tc>
          <w:tcPr>
            <w:tcW w:w="0" w:type="auto"/>
            <w:shd w:val="clear" w:color="auto" w:fill="1F497D" w:themeFill="text2"/>
            <w:noWrap/>
            <w:hideMark/>
          </w:tcPr>
          <w:p>
            <w:pPr>
              <w:spacing w:after="120"/>
              <w:jc w:val="both"/>
              <w:textAlignment w:val="baseline"/>
              <w:rPr>
                <w:noProof/>
                <w:color w:val="FFFFFF" w:themeColor="background1"/>
                <w:sz w:val="24"/>
                <w:szCs w:val="24"/>
                <w:lang w:eastAsia="fr-FR"/>
              </w:rPr>
            </w:pPr>
            <w:r>
              <w:rPr>
                <w:noProof/>
                <w:color w:val="FFFFFF" w:themeColor="background1"/>
                <w:sz w:val="24"/>
                <w:szCs w:val="24"/>
                <w:lang w:eastAsia="fr-FR"/>
              </w:rPr>
              <w:t>LT</w:t>
            </w:r>
          </w:p>
        </w:tc>
        <w:tc>
          <w:tcPr>
            <w:tcW w:w="0" w:type="auto"/>
            <w:noWrap/>
            <w:hideMark/>
          </w:tcPr>
          <w:p>
            <w:pPr>
              <w:spacing w:after="120"/>
              <w:jc w:val="both"/>
              <w:textAlignment w:val="baseline"/>
              <w:rPr>
                <w:noProof/>
                <w:sz w:val="24"/>
                <w:szCs w:val="24"/>
                <w:lang w:eastAsia="fr-FR"/>
              </w:rPr>
            </w:pPr>
            <w:r>
              <w:rPr>
                <w:noProof/>
                <w:sz w:val="24"/>
                <w:szCs w:val="24"/>
                <w:lang w:eastAsia="fr-FR"/>
              </w:rPr>
              <w:t>H, J, N</w:t>
            </w:r>
          </w:p>
        </w:tc>
        <w:tc>
          <w:tcPr>
            <w:tcW w:w="0" w:type="auto"/>
            <w:noWrap/>
            <w:hideMark/>
          </w:tcPr>
          <w:p>
            <w:pPr>
              <w:spacing w:after="120"/>
              <w:jc w:val="both"/>
              <w:textAlignment w:val="baseline"/>
              <w:rPr>
                <w:noProof/>
                <w:sz w:val="24"/>
                <w:szCs w:val="24"/>
                <w:lang w:eastAsia="fr-FR"/>
              </w:rPr>
            </w:pPr>
            <w:r>
              <w:rPr>
                <w:noProof/>
                <w:sz w:val="24"/>
                <w:szCs w:val="24"/>
                <w:lang w:eastAsia="fr-FR"/>
              </w:rPr>
              <w:t>C</w:t>
            </w:r>
          </w:p>
        </w:tc>
        <w:tc>
          <w:tcPr>
            <w:tcW w:w="0" w:type="auto"/>
            <w:noWrap/>
            <w:hideMark/>
          </w:tcPr>
          <w:p>
            <w:pPr>
              <w:spacing w:after="120"/>
              <w:jc w:val="both"/>
              <w:textAlignment w:val="baseline"/>
              <w:rPr>
                <w:noProof/>
                <w:sz w:val="24"/>
                <w:szCs w:val="24"/>
                <w:lang w:eastAsia="fr-FR"/>
              </w:rPr>
            </w:pPr>
            <w:r>
              <w:rPr>
                <w:noProof/>
                <w:sz w:val="24"/>
                <w:szCs w:val="24"/>
                <w:lang w:eastAsia="fr-FR"/>
              </w:rPr>
              <w:t>M, Q</w:t>
            </w:r>
          </w:p>
        </w:tc>
      </w:tr>
      <w:tr>
        <w:trPr>
          <w:trHeight w:hRule="exact" w:val="284"/>
          <w:jc w:val="center"/>
        </w:trPr>
        <w:tc>
          <w:tcPr>
            <w:tcW w:w="0" w:type="auto"/>
            <w:shd w:val="clear" w:color="auto" w:fill="1F497D" w:themeFill="text2"/>
            <w:noWrap/>
            <w:hideMark/>
          </w:tcPr>
          <w:p>
            <w:pPr>
              <w:spacing w:after="120"/>
              <w:jc w:val="both"/>
              <w:textAlignment w:val="baseline"/>
              <w:rPr>
                <w:noProof/>
                <w:color w:val="FFFFFF" w:themeColor="background1"/>
                <w:sz w:val="24"/>
                <w:szCs w:val="24"/>
                <w:lang w:eastAsia="fr-FR"/>
              </w:rPr>
            </w:pPr>
            <w:r>
              <w:rPr>
                <w:noProof/>
                <w:color w:val="FFFFFF" w:themeColor="background1"/>
                <w:sz w:val="24"/>
                <w:szCs w:val="24"/>
                <w:lang w:eastAsia="fr-FR"/>
              </w:rPr>
              <w:t>LU</w:t>
            </w:r>
          </w:p>
        </w:tc>
        <w:tc>
          <w:tcPr>
            <w:tcW w:w="0" w:type="auto"/>
            <w:noWrap/>
            <w:hideMark/>
          </w:tcPr>
          <w:p>
            <w:pPr>
              <w:spacing w:after="120"/>
              <w:jc w:val="both"/>
              <w:textAlignment w:val="baseline"/>
              <w:rPr>
                <w:noProof/>
                <w:sz w:val="24"/>
                <w:szCs w:val="24"/>
                <w:lang w:eastAsia="fr-FR"/>
              </w:rPr>
            </w:pPr>
            <w:r>
              <w:rPr>
                <w:noProof/>
                <w:sz w:val="24"/>
                <w:szCs w:val="24"/>
                <w:lang w:eastAsia="fr-FR"/>
              </w:rPr>
              <w:t>N</w:t>
            </w:r>
          </w:p>
        </w:tc>
        <w:tc>
          <w:tcPr>
            <w:tcW w:w="0" w:type="auto"/>
            <w:noWrap/>
            <w:hideMark/>
          </w:tcPr>
          <w:p>
            <w:pPr>
              <w:spacing w:after="120"/>
              <w:jc w:val="both"/>
              <w:textAlignment w:val="baseline"/>
              <w:rPr>
                <w:noProof/>
                <w:sz w:val="24"/>
                <w:szCs w:val="24"/>
                <w:lang w:eastAsia="fr-FR"/>
              </w:rPr>
            </w:pPr>
            <w:r>
              <w:rPr>
                <w:noProof/>
                <w:sz w:val="24"/>
                <w:szCs w:val="24"/>
                <w:lang w:eastAsia="fr-FR"/>
              </w:rPr>
              <w:t>K, M, Q</w:t>
            </w:r>
          </w:p>
        </w:tc>
        <w:tc>
          <w:tcPr>
            <w:tcW w:w="0" w:type="auto"/>
            <w:noWrap/>
            <w:hideMark/>
          </w:tcPr>
          <w:p>
            <w:pPr>
              <w:spacing w:after="120"/>
              <w:jc w:val="both"/>
              <w:textAlignment w:val="baseline"/>
              <w:rPr>
                <w:noProof/>
                <w:sz w:val="24"/>
                <w:szCs w:val="24"/>
                <w:lang w:eastAsia="fr-FR"/>
              </w:rPr>
            </w:pPr>
            <w:r>
              <w:rPr>
                <w:noProof/>
                <w:sz w:val="24"/>
                <w:szCs w:val="24"/>
                <w:lang w:eastAsia="fr-FR"/>
              </w:rPr>
              <w:t>I</w:t>
            </w:r>
          </w:p>
        </w:tc>
      </w:tr>
      <w:tr>
        <w:trPr>
          <w:trHeight w:hRule="exact" w:val="284"/>
          <w:jc w:val="center"/>
        </w:trPr>
        <w:tc>
          <w:tcPr>
            <w:tcW w:w="0" w:type="auto"/>
            <w:shd w:val="clear" w:color="auto" w:fill="1F497D" w:themeFill="text2"/>
            <w:noWrap/>
            <w:hideMark/>
          </w:tcPr>
          <w:p>
            <w:pPr>
              <w:spacing w:after="120"/>
              <w:jc w:val="both"/>
              <w:textAlignment w:val="baseline"/>
              <w:rPr>
                <w:noProof/>
                <w:color w:val="FFFFFF" w:themeColor="background1"/>
                <w:sz w:val="24"/>
                <w:szCs w:val="24"/>
                <w:lang w:eastAsia="fr-FR"/>
              </w:rPr>
            </w:pPr>
            <w:r>
              <w:rPr>
                <w:noProof/>
                <w:color w:val="FFFFFF" w:themeColor="background1"/>
                <w:sz w:val="24"/>
                <w:szCs w:val="24"/>
                <w:lang w:eastAsia="fr-FR"/>
              </w:rPr>
              <w:t>LV</w:t>
            </w:r>
          </w:p>
        </w:tc>
        <w:tc>
          <w:tcPr>
            <w:tcW w:w="0" w:type="auto"/>
            <w:noWrap/>
            <w:hideMark/>
          </w:tcPr>
          <w:p>
            <w:pPr>
              <w:spacing w:after="120"/>
              <w:jc w:val="both"/>
              <w:textAlignment w:val="baseline"/>
              <w:rPr>
                <w:noProof/>
                <w:sz w:val="24"/>
                <w:szCs w:val="24"/>
                <w:lang w:eastAsia="fr-FR"/>
              </w:rPr>
            </w:pPr>
            <w:r>
              <w:rPr>
                <w:noProof/>
                <w:sz w:val="24"/>
                <w:szCs w:val="24"/>
                <w:lang w:eastAsia="fr-FR"/>
              </w:rPr>
              <w:t xml:space="preserve">H, J, N </w:t>
            </w:r>
          </w:p>
        </w:tc>
        <w:tc>
          <w:tcPr>
            <w:tcW w:w="0" w:type="auto"/>
            <w:noWrap/>
            <w:hideMark/>
          </w:tcPr>
          <w:p>
            <w:pPr>
              <w:spacing w:after="120"/>
              <w:jc w:val="both"/>
              <w:textAlignment w:val="baseline"/>
              <w:rPr>
                <w:noProof/>
                <w:sz w:val="24"/>
                <w:szCs w:val="24"/>
                <w:lang w:eastAsia="fr-FR"/>
              </w:rPr>
            </w:pPr>
            <w:r>
              <w:rPr>
                <w:noProof/>
                <w:sz w:val="24"/>
                <w:szCs w:val="24"/>
                <w:lang w:eastAsia="fr-FR"/>
              </w:rPr>
              <w:t>D, E</w:t>
            </w:r>
          </w:p>
        </w:tc>
        <w:tc>
          <w:tcPr>
            <w:tcW w:w="0" w:type="auto"/>
            <w:noWrap/>
            <w:hideMark/>
          </w:tcPr>
          <w:p>
            <w:pPr>
              <w:spacing w:after="120"/>
              <w:jc w:val="both"/>
              <w:textAlignment w:val="baseline"/>
              <w:rPr>
                <w:noProof/>
                <w:sz w:val="24"/>
                <w:szCs w:val="24"/>
                <w:lang w:eastAsia="fr-FR"/>
              </w:rPr>
            </w:pPr>
            <w:r>
              <w:rPr>
                <w:noProof/>
                <w:sz w:val="24"/>
                <w:szCs w:val="24"/>
                <w:lang w:eastAsia="fr-FR"/>
              </w:rPr>
              <w:t>N</w:t>
            </w:r>
          </w:p>
        </w:tc>
      </w:tr>
      <w:tr>
        <w:trPr>
          <w:trHeight w:hRule="exact" w:val="284"/>
          <w:jc w:val="center"/>
        </w:trPr>
        <w:tc>
          <w:tcPr>
            <w:tcW w:w="0" w:type="auto"/>
            <w:shd w:val="clear" w:color="auto" w:fill="1F497D" w:themeFill="text2"/>
            <w:noWrap/>
            <w:hideMark/>
          </w:tcPr>
          <w:p>
            <w:pPr>
              <w:spacing w:after="120"/>
              <w:jc w:val="both"/>
              <w:textAlignment w:val="baseline"/>
              <w:rPr>
                <w:noProof/>
                <w:color w:val="FFFFFF" w:themeColor="background1"/>
                <w:sz w:val="24"/>
                <w:szCs w:val="24"/>
                <w:lang w:eastAsia="fr-FR"/>
              </w:rPr>
            </w:pPr>
            <w:r>
              <w:rPr>
                <w:noProof/>
                <w:color w:val="FFFFFF" w:themeColor="background1"/>
                <w:sz w:val="24"/>
                <w:szCs w:val="24"/>
                <w:lang w:eastAsia="fr-FR"/>
              </w:rPr>
              <w:t>MT</w:t>
            </w:r>
          </w:p>
        </w:tc>
        <w:tc>
          <w:tcPr>
            <w:tcW w:w="0" w:type="auto"/>
            <w:noWrap/>
            <w:hideMark/>
          </w:tcPr>
          <w:p>
            <w:pPr>
              <w:spacing w:after="120"/>
              <w:jc w:val="both"/>
              <w:textAlignment w:val="baseline"/>
              <w:rPr>
                <w:noProof/>
                <w:sz w:val="24"/>
                <w:szCs w:val="24"/>
                <w:lang w:eastAsia="fr-FR"/>
              </w:rPr>
            </w:pPr>
            <w:r>
              <w:rPr>
                <w:noProof/>
                <w:sz w:val="24"/>
                <w:szCs w:val="24"/>
                <w:lang w:eastAsia="fr-FR"/>
              </w:rPr>
              <w:t>M, Q</w:t>
            </w:r>
          </w:p>
        </w:tc>
        <w:tc>
          <w:tcPr>
            <w:tcW w:w="0" w:type="auto"/>
            <w:noWrap/>
            <w:hideMark/>
          </w:tcPr>
          <w:p>
            <w:pPr>
              <w:spacing w:after="120"/>
              <w:jc w:val="both"/>
              <w:textAlignment w:val="baseline"/>
              <w:rPr>
                <w:noProof/>
                <w:sz w:val="24"/>
                <w:szCs w:val="24"/>
                <w:lang w:eastAsia="fr-FR"/>
              </w:rPr>
            </w:pPr>
            <w:r>
              <w:rPr>
                <w:noProof/>
                <w:sz w:val="24"/>
                <w:szCs w:val="24"/>
                <w:lang w:eastAsia="fr-FR"/>
              </w:rPr>
              <w:t>P</w:t>
            </w:r>
          </w:p>
        </w:tc>
        <w:tc>
          <w:tcPr>
            <w:tcW w:w="0" w:type="auto"/>
            <w:noWrap/>
            <w:hideMark/>
          </w:tcPr>
          <w:p>
            <w:pPr>
              <w:spacing w:after="120"/>
              <w:jc w:val="both"/>
              <w:textAlignment w:val="baseline"/>
              <w:rPr>
                <w:noProof/>
                <w:sz w:val="24"/>
                <w:szCs w:val="24"/>
                <w:lang w:eastAsia="fr-FR"/>
              </w:rPr>
            </w:pPr>
            <w:r>
              <w:rPr>
                <w:noProof/>
                <w:sz w:val="24"/>
                <w:szCs w:val="24"/>
                <w:lang w:eastAsia="fr-FR"/>
              </w:rPr>
              <w:t>I</w:t>
            </w:r>
          </w:p>
        </w:tc>
      </w:tr>
      <w:tr>
        <w:trPr>
          <w:trHeight w:hRule="exact" w:val="284"/>
          <w:jc w:val="center"/>
        </w:trPr>
        <w:tc>
          <w:tcPr>
            <w:tcW w:w="0" w:type="auto"/>
            <w:shd w:val="clear" w:color="auto" w:fill="1F497D" w:themeFill="text2"/>
            <w:noWrap/>
            <w:hideMark/>
          </w:tcPr>
          <w:p>
            <w:pPr>
              <w:spacing w:after="120"/>
              <w:jc w:val="both"/>
              <w:textAlignment w:val="baseline"/>
              <w:rPr>
                <w:noProof/>
                <w:color w:val="FFFFFF" w:themeColor="background1"/>
                <w:sz w:val="24"/>
                <w:szCs w:val="24"/>
                <w:lang w:eastAsia="fr-FR"/>
              </w:rPr>
            </w:pPr>
            <w:r>
              <w:rPr>
                <w:noProof/>
                <w:color w:val="FFFFFF" w:themeColor="background1"/>
                <w:sz w:val="24"/>
                <w:szCs w:val="24"/>
                <w:lang w:eastAsia="fr-FR"/>
              </w:rPr>
              <w:t>NL</w:t>
            </w:r>
          </w:p>
        </w:tc>
        <w:tc>
          <w:tcPr>
            <w:tcW w:w="0" w:type="auto"/>
            <w:noWrap/>
            <w:hideMark/>
          </w:tcPr>
          <w:p>
            <w:pPr>
              <w:spacing w:after="120"/>
              <w:jc w:val="both"/>
              <w:textAlignment w:val="baseline"/>
              <w:rPr>
                <w:noProof/>
                <w:sz w:val="24"/>
                <w:szCs w:val="24"/>
                <w:lang w:eastAsia="fr-FR"/>
              </w:rPr>
            </w:pPr>
            <w:r>
              <w:rPr>
                <w:noProof/>
                <w:sz w:val="24"/>
                <w:szCs w:val="24"/>
                <w:lang w:eastAsia="fr-FR"/>
              </w:rPr>
              <w:t>C</w:t>
            </w:r>
          </w:p>
        </w:tc>
        <w:tc>
          <w:tcPr>
            <w:tcW w:w="0" w:type="auto"/>
            <w:noWrap/>
            <w:hideMark/>
          </w:tcPr>
          <w:p>
            <w:pPr>
              <w:spacing w:after="120"/>
              <w:jc w:val="both"/>
              <w:textAlignment w:val="baseline"/>
              <w:rPr>
                <w:noProof/>
                <w:sz w:val="24"/>
                <w:szCs w:val="24"/>
                <w:lang w:eastAsia="fr-FR"/>
              </w:rPr>
            </w:pPr>
            <w:r>
              <w:rPr>
                <w:noProof/>
                <w:sz w:val="24"/>
                <w:szCs w:val="24"/>
                <w:lang w:eastAsia="fr-FR"/>
              </w:rPr>
              <w:t>H, J, N</w:t>
            </w:r>
          </w:p>
        </w:tc>
        <w:tc>
          <w:tcPr>
            <w:tcW w:w="0" w:type="auto"/>
            <w:noWrap/>
            <w:hideMark/>
          </w:tcPr>
          <w:p>
            <w:pPr>
              <w:spacing w:after="120"/>
              <w:jc w:val="both"/>
              <w:textAlignment w:val="baseline"/>
              <w:rPr>
                <w:noProof/>
                <w:sz w:val="24"/>
                <w:szCs w:val="24"/>
                <w:lang w:eastAsia="fr-FR"/>
              </w:rPr>
            </w:pPr>
            <w:r>
              <w:rPr>
                <w:noProof/>
                <w:sz w:val="24"/>
                <w:szCs w:val="24"/>
                <w:lang w:eastAsia="fr-FR"/>
              </w:rPr>
              <w:t>K, M, N</w:t>
            </w:r>
          </w:p>
        </w:tc>
      </w:tr>
      <w:tr>
        <w:trPr>
          <w:trHeight w:hRule="exact" w:val="284"/>
          <w:jc w:val="center"/>
        </w:trPr>
        <w:tc>
          <w:tcPr>
            <w:tcW w:w="0" w:type="auto"/>
            <w:shd w:val="clear" w:color="auto" w:fill="1F497D" w:themeFill="text2"/>
            <w:noWrap/>
            <w:hideMark/>
          </w:tcPr>
          <w:p>
            <w:pPr>
              <w:spacing w:after="120"/>
              <w:jc w:val="both"/>
              <w:textAlignment w:val="baseline"/>
              <w:rPr>
                <w:noProof/>
                <w:color w:val="FFFFFF" w:themeColor="background1"/>
                <w:sz w:val="24"/>
                <w:szCs w:val="24"/>
                <w:lang w:eastAsia="fr-FR"/>
              </w:rPr>
            </w:pPr>
            <w:r>
              <w:rPr>
                <w:noProof/>
                <w:color w:val="FFFFFF" w:themeColor="background1"/>
                <w:sz w:val="24"/>
                <w:szCs w:val="24"/>
                <w:lang w:eastAsia="fr-FR"/>
              </w:rPr>
              <w:t>NO</w:t>
            </w:r>
          </w:p>
        </w:tc>
        <w:tc>
          <w:tcPr>
            <w:tcW w:w="0" w:type="auto"/>
            <w:noWrap/>
            <w:hideMark/>
          </w:tcPr>
          <w:p>
            <w:pPr>
              <w:spacing w:after="120"/>
              <w:jc w:val="both"/>
              <w:textAlignment w:val="baseline"/>
              <w:rPr>
                <w:noProof/>
                <w:sz w:val="24"/>
                <w:szCs w:val="24"/>
                <w:lang w:eastAsia="fr-FR"/>
              </w:rPr>
            </w:pPr>
            <w:r>
              <w:rPr>
                <w:noProof/>
                <w:sz w:val="24"/>
                <w:szCs w:val="24"/>
                <w:lang w:eastAsia="fr-FR"/>
              </w:rPr>
              <w:t>R, S</w:t>
            </w:r>
          </w:p>
        </w:tc>
        <w:tc>
          <w:tcPr>
            <w:tcW w:w="0" w:type="auto"/>
            <w:noWrap/>
            <w:hideMark/>
          </w:tcPr>
          <w:p>
            <w:pPr>
              <w:spacing w:after="120"/>
              <w:jc w:val="both"/>
              <w:textAlignment w:val="baseline"/>
              <w:rPr>
                <w:noProof/>
                <w:sz w:val="24"/>
                <w:szCs w:val="24"/>
                <w:lang w:eastAsia="fr-FR"/>
              </w:rPr>
            </w:pPr>
            <w:r>
              <w:rPr>
                <w:noProof/>
                <w:sz w:val="24"/>
                <w:szCs w:val="24"/>
                <w:lang w:eastAsia="fr-FR"/>
              </w:rPr>
              <w:t>K, M, N</w:t>
            </w:r>
          </w:p>
        </w:tc>
        <w:tc>
          <w:tcPr>
            <w:tcW w:w="0" w:type="auto"/>
            <w:noWrap/>
            <w:hideMark/>
          </w:tcPr>
          <w:p>
            <w:pPr>
              <w:spacing w:after="120"/>
              <w:jc w:val="both"/>
              <w:textAlignment w:val="baseline"/>
              <w:rPr>
                <w:noProof/>
                <w:sz w:val="24"/>
                <w:szCs w:val="24"/>
                <w:lang w:eastAsia="fr-FR"/>
              </w:rPr>
            </w:pPr>
            <w:r>
              <w:rPr>
                <w:noProof/>
                <w:sz w:val="24"/>
                <w:szCs w:val="24"/>
                <w:lang w:eastAsia="fr-FR"/>
              </w:rPr>
              <w:t>C</w:t>
            </w:r>
          </w:p>
        </w:tc>
      </w:tr>
      <w:tr>
        <w:trPr>
          <w:trHeight w:hRule="exact" w:val="284"/>
          <w:jc w:val="center"/>
        </w:trPr>
        <w:tc>
          <w:tcPr>
            <w:tcW w:w="0" w:type="auto"/>
            <w:shd w:val="clear" w:color="auto" w:fill="1F497D" w:themeFill="text2"/>
            <w:noWrap/>
            <w:hideMark/>
          </w:tcPr>
          <w:p>
            <w:pPr>
              <w:spacing w:after="120"/>
              <w:jc w:val="both"/>
              <w:textAlignment w:val="baseline"/>
              <w:rPr>
                <w:noProof/>
                <w:color w:val="FFFFFF" w:themeColor="background1"/>
                <w:sz w:val="24"/>
                <w:szCs w:val="24"/>
                <w:lang w:eastAsia="fr-FR"/>
              </w:rPr>
            </w:pPr>
            <w:r>
              <w:rPr>
                <w:noProof/>
                <w:color w:val="FFFFFF" w:themeColor="background1"/>
                <w:sz w:val="24"/>
                <w:szCs w:val="24"/>
                <w:lang w:eastAsia="fr-FR"/>
              </w:rPr>
              <w:t>PL</w:t>
            </w:r>
          </w:p>
        </w:tc>
        <w:tc>
          <w:tcPr>
            <w:tcW w:w="0" w:type="auto"/>
            <w:noWrap/>
            <w:hideMark/>
          </w:tcPr>
          <w:p>
            <w:pPr>
              <w:spacing w:after="120"/>
              <w:jc w:val="both"/>
              <w:textAlignment w:val="baseline"/>
              <w:rPr>
                <w:noProof/>
                <w:sz w:val="24"/>
                <w:szCs w:val="24"/>
                <w:lang w:eastAsia="fr-FR"/>
              </w:rPr>
            </w:pPr>
            <w:r>
              <w:rPr>
                <w:noProof/>
                <w:sz w:val="24"/>
                <w:szCs w:val="24"/>
                <w:lang w:eastAsia="fr-FR"/>
              </w:rPr>
              <w:t>C</w:t>
            </w:r>
          </w:p>
        </w:tc>
        <w:tc>
          <w:tcPr>
            <w:tcW w:w="0" w:type="auto"/>
            <w:noWrap/>
            <w:hideMark/>
          </w:tcPr>
          <w:p>
            <w:pPr>
              <w:spacing w:after="120"/>
              <w:jc w:val="both"/>
              <w:textAlignment w:val="baseline"/>
              <w:rPr>
                <w:noProof/>
                <w:sz w:val="24"/>
                <w:szCs w:val="24"/>
                <w:lang w:eastAsia="fr-FR"/>
              </w:rPr>
            </w:pPr>
            <w:r>
              <w:rPr>
                <w:noProof/>
                <w:sz w:val="24"/>
                <w:szCs w:val="24"/>
                <w:lang w:eastAsia="fr-FR"/>
              </w:rPr>
              <w:t>H, J, N</w:t>
            </w:r>
          </w:p>
        </w:tc>
        <w:tc>
          <w:tcPr>
            <w:tcW w:w="0" w:type="auto"/>
            <w:noWrap/>
            <w:hideMark/>
          </w:tcPr>
          <w:p>
            <w:pPr>
              <w:spacing w:after="120"/>
              <w:jc w:val="both"/>
              <w:textAlignment w:val="baseline"/>
              <w:rPr>
                <w:noProof/>
                <w:sz w:val="24"/>
                <w:szCs w:val="24"/>
                <w:lang w:eastAsia="fr-FR"/>
              </w:rPr>
            </w:pPr>
            <w:r>
              <w:rPr>
                <w:noProof/>
                <w:sz w:val="24"/>
                <w:szCs w:val="24"/>
                <w:lang w:eastAsia="fr-FR"/>
              </w:rPr>
              <w:t>C</w:t>
            </w:r>
          </w:p>
        </w:tc>
      </w:tr>
      <w:tr>
        <w:trPr>
          <w:trHeight w:hRule="exact" w:val="284"/>
          <w:jc w:val="center"/>
        </w:trPr>
        <w:tc>
          <w:tcPr>
            <w:tcW w:w="0" w:type="auto"/>
            <w:shd w:val="clear" w:color="auto" w:fill="1F497D" w:themeFill="text2"/>
            <w:noWrap/>
            <w:hideMark/>
          </w:tcPr>
          <w:p>
            <w:pPr>
              <w:spacing w:after="120"/>
              <w:jc w:val="both"/>
              <w:textAlignment w:val="baseline"/>
              <w:rPr>
                <w:noProof/>
                <w:color w:val="FFFFFF" w:themeColor="background1"/>
                <w:sz w:val="24"/>
                <w:szCs w:val="24"/>
                <w:lang w:eastAsia="fr-FR"/>
              </w:rPr>
            </w:pPr>
            <w:r>
              <w:rPr>
                <w:noProof/>
                <w:color w:val="FFFFFF" w:themeColor="background1"/>
                <w:sz w:val="24"/>
                <w:szCs w:val="24"/>
                <w:lang w:eastAsia="fr-FR"/>
              </w:rPr>
              <w:t>PT</w:t>
            </w:r>
          </w:p>
        </w:tc>
        <w:tc>
          <w:tcPr>
            <w:tcW w:w="0" w:type="auto"/>
            <w:noWrap/>
            <w:hideMark/>
          </w:tcPr>
          <w:p>
            <w:pPr>
              <w:spacing w:after="120"/>
              <w:jc w:val="both"/>
              <w:textAlignment w:val="baseline"/>
              <w:rPr>
                <w:noProof/>
                <w:sz w:val="24"/>
                <w:szCs w:val="24"/>
                <w:lang w:eastAsia="fr-FR"/>
              </w:rPr>
            </w:pPr>
            <w:r>
              <w:rPr>
                <w:noProof/>
                <w:sz w:val="24"/>
                <w:szCs w:val="24"/>
                <w:lang w:eastAsia="fr-FR"/>
              </w:rPr>
              <w:t>N</w:t>
            </w:r>
          </w:p>
        </w:tc>
        <w:tc>
          <w:tcPr>
            <w:tcW w:w="0" w:type="auto"/>
            <w:noWrap/>
            <w:hideMark/>
          </w:tcPr>
          <w:p>
            <w:pPr>
              <w:spacing w:after="120"/>
              <w:jc w:val="both"/>
              <w:textAlignment w:val="baseline"/>
              <w:rPr>
                <w:noProof/>
                <w:sz w:val="24"/>
                <w:szCs w:val="24"/>
                <w:lang w:eastAsia="fr-FR"/>
              </w:rPr>
            </w:pPr>
            <w:r>
              <w:rPr>
                <w:noProof/>
                <w:sz w:val="24"/>
                <w:szCs w:val="24"/>
                <w:lang w:eastAsia="fr-FR"/>
              </w:rPr>
              <w:t>C</w:t>
            </w:r>
          </w:p>
        </w:tc>
        <w:tc>
          <w:tcPr>
            <w:tcW w:w="0" w:type="auto"/>
            <w:noWrap/>
            <w:hideMark/>
          </w:tcPr>
          <w:p>
            <w:pPr>
              <w:spacing w:after="120"/>
              <w:jc w:val="both"/>
              <w:textAlignment w:val="baseline"/>
              <w:rPr>
                <w:noProof/>
                <w:sz w:val="24"/>
                <w:szCs w:val="24"/>
                <w:lang w:eastAsia="fr-FR"/>
              </w:rPr>
            </w:pPr>
            <w:r>
              <w:rPr>
                <w:noProof/>
                <w:sz w:val="24"/>
                <w:szCs w:val="24"/>
                <w:lang w:eastAsia="fr-FR"/>
              </w:rPr>
              <w:t>R, S</w:t>
            </w:r>
          </w:p>
        </w:tc>
      </w:tr>
      <w:tr>
        <w:trPr>
          <w:trHeight w:hRule="exact" w:val="284"/>
          <w:jc w:val="center"/>
        </w:trPr>
        <w:tc>
          <w:tcPr>
            <w:tcW w:w="0" w:type="auto"/>
            <w:shd w:val="clear" w:color="auto" w:fill="1F497D" w:themeFill="text2"/>
            <w:noWrap/>
            <w:hideMark/>
          </w:tcPr>
          <w:p>
            <w:pPr>
              <w:spacing w:after="120"/>
              <w:jc w:val="both"/>
              <w:textAlignment w:val="baseline"/>
              <w:rPr>
                <w:noProof/>
                <w:color w:val="FFFFFF" w:themeColor="background1"/>
                <w:sz w:val="24"/>
                <w:szCs w:val="24"/>
                <w:lang w:eastAsia="fr-FR"/>
              </w:rPr>
            </w:pPr>
            <w:r>
              <w:rPr>
                <w:noProof/>
                <w:color w:val="FFFFFF" w:themeColor="background1"/>
                <w:sz w:val="24"/>
                <w:szCs w:val="24"/>
                <w:lang w:eastAsia="fr-FR"/>
              </w:rPr>
              <w:t>RO</w:t>
            </w:r>
          </w:p>
        </w:tc>
        <w:tc>
          <w:tcPr>
            <w:tcW w:w="0" w:type="auto"/>
            <w:noWrap/>
            <w:hideMark/>
          </w:tcPr>
          <w:p>
            <w:pPr>
              <w:spacing w:after="120"/>
              <w:jc w:val="both"/>
              <w:textAlignment w:val="baseline"/>
              <w:rPr>
                <w:noProof/>
                <w:sz w:val="24"/>
                <w:szCs w:val="24"/>
                <w:lang w:eastAsia="fr-FR"/>
              </w:rPr>
            </w:pPr>
            <w:r>
              <w:rPr>
                <w:noProof/>
                <w:sz w:val="24"/>
                <w:szCs w:val="24"/>
                <w:lang w:eastAsia="fr-FR"/>
              </w:rPr>
              <w:t>C, J</w:t>
            </w:r>
          </w:p>
        </w:tc>
        <w:tc>
          <w:tcPr>
            <w:tcW w:w="0" w:type="auto"/>
            <w:noWrap/>
            <w:hideMark/>
          </w:tcPr>
          <w:p>
            <w:pPr>
              <w:spacing w:after="120"/>
              <w:jc w:val="both"/>
              <w:textAlignment w:val="baseline"/>
              <w:rPr>
                <w:noProof/>
                <w:sz w:val="24"/>
                <w:szCs w:val="24"/>
                <w:lang w:eastAsia="fr-FR"/>
              </w:rPr>
            </w:pPr>
            <w:r>
              <w:rPr>
                <w:noProof/>
                <w:sz w:val="24"/>
                <w:szCs w:val="24"/>
                <w:lang w:eastAsia="fr-FR"/>
              </w:rPr>
              <w:t>C</w:t>
            </w:r>
          </w:p>
        </w:tc>
        <w:tc>
          <w:tcPr>
            <w:tcW w:w="0" w:type="auto"/>
            <w:noWrap/>
            <w:hideMark/>
          </w:tcPr>
          <w:p>
            <w:pPr>
              <w:spacing w:after="120"/>
              <w:jc w:val="both"/>
              <w:textAlignment w:val="baseline"/>
              <w:rPr>
                <w:noProof/>
                <w:sz w:val="24"/>
                <w:szCs w:val="24"/>
                <w:lang w:eastAsia="fr-FR"/>
              </w:rPr>
            </w:pPr>
            <w:r>
              <w:rPr>
                <w:noProof/>
                <w:sz w:val="24"/>
                <w:szCs w:val="24"/>
                <w:lang w:eastAsia="fr-FR"/>
              </w:rPr>
              <w:t>C</w:t>
            </w:r>
          </w:p>
        </w:tc>
      </w:tr>
      <w:tr>
        <w:trPr>
          <w:trHeight w:hRule="exact" w:val="284"/>
          <w:jc w:val="center"/>
        </w:trPr>
        <w:tc>
          <w:tcPr>
            <w:tcW w:w="0" w:type="auto"/>
            <w:shd w:val="clear" w:color="auto" w:fill="1F497D" w:themeFill="text2"/>
            <w:noWrap/>
            <w:hideMark/>
          </w:tcPr>
          <w:p>
            <w:pPr>
              <w:spacing w:after="120"/>
              <w:jc w:val="both"/>
              <w:textAlignment w:val="baseline"/>
              <w:rPr>
                <w:noProof/>
                <w:color w:val="FFFFFF" w:themeColor="background1"/>
                <w:sz w:val="24"/>
                <w:szCs w:val="24"/>
                <w:lang w:eastAsia="fr-FR"/>
              </w:rPr>
            </w:pPr>
            <w:r>
              <w:rPr>
                <w:noProof/>
                <w:color w:val="FFFFFF" w:themeColor="background1"/>
                <w:sz w:val="24"/>
                <w:szCs w:val="24"/>
                <w:lang w:eastAsia="fr-FR"/>
              </w:rPr>
              <w:t>SE</w:t>
            </w:r>
          </w:p>
        </w:tc>
        <w:tc>
          <w:tcPr>
            <w:tcW w:w="0" w:type="auto"/>
            <w:noWrap/>
            <w:hideMark/>
          </w:tcPr>
          <w:p>
            <w:pPr>
              <w:spacing w:after="120"/>
              <w:jc w:val="both"/>
              <w:textAlignment w:val="baseline"/>
              <w:rPr>
                <w:noProof/>
                <w:sz w:val="24"/>
                <w:szCs w:val="24"/>
                <w:lang w:eastAsia="fr-FR"/>
              </w:rPr>
            </w:pPr>
            <w:r>
              <w:rPr>
                <w:noProof/>
                <w:sz w:val="24"/>
                <w:szCs w:val="24"/>
                <w:lang w:eastAsia="fr-FR"/>
              </w:rPr>
              <w:t>K, M, N</w:t>
            </w:r>
          </w:p>
        </w:tc>
        <w:tc>
          <w:tcPr>
            <w:tcW w:w="0" w:type="auto"/>
            <w:noWrap/>
            <w:hideMark/>
          </w:tcPr>
          <w:p>
            <w:pPr>
              <w:spacing w:after="120"/>
              <w:jc w:val="both"/>
              <w:textAlignment w:val="baseline"/>
              <w:rPr>
                <w:noProof/>
                <w:sz w:val="24"/>
                <w:szCs w:val="24"/>
                <w:lang w:eastAsia="fr-FR"/>
              </w:rPr>
            </w:pPr>
            <w:r>
              <w:rPr>
                <w:noProof/>
                <w:sz w:val="24"/>
                <w:szCs w:val="24"/>
                <w:lang w:eastAsia="fr-FR"/>
              </w:rPr>
              <w:t xml:space="preserve">H, J, N </w:t>
            </w:r>
          </w:p>
        </w:tc>
        <w:tc>
          <w:tcPr>
            <w:tcW w:w="0" w:type="auto"/>
            <w:noWrap/>
            <w:hideMark/>
          </w:tcPr>
          <w:p>
            <w:pPr>
              <w:spacing w:after="120"/>
              <w:jc w:val="both"/>
              <w:textAlignment w:val="baseline"/>
              <w:rPr>
                <w:noProof/>
                <w:sz w:val="24"/>
                <w:szCs w:val="24"/>
                <w:lang w:eastAsia="fr-FR"/>
              </w:rPr>
            </w:pPr>
            <w:r>
              <w:rPr>
                <w:noProof/>
                <w:sz w:val="24"/>
                <w:szCs w:val="24"/>
                <w:lang w:eastAsia="fr-FR"/>
              </w:rPr>
              <w:t>R, S</w:t>
            </w:r>
          </w:p>
        </w:tc>
      </w:tr>
      <w:tr>
        <w:trPr>
          <w:trHeight w:hRule="exact" w:val="284"/>
          <w:jc w:val="center"/>
        </w:trPr>
        <w:tc>
          <w:tcPr>
            <w:tcW w:w="0" w:type="auto"/>
            <w:shd w:val="clear" w:color="auto" w:fill="1F497D" w:themeFill="text2"/>
            <w:noWrap/>
            <w:hideMark/>
          </w:tcPr>
          <w:p>
            <w:pPr>
              <w:spacing w:after="120"/>
              <w:jc w:val="both"/>
              <w:textAlignment w:val="baseline"/>
              <w:rPr>
                <w:noProof/>
                <w:color w:val="FFFFFF" w:themeColor="background1"/>
                <w:sz w:val="24"/>
                <w:szCs w:val="24"/>
                <w:lang w:eastAsia="fr-FR"/>
              </w:rPr>
            </w:pPr>
            <w:r>
              <w:rPr>
                <w:noProof/>
                <w:color w:val="FFFFFF" w:themeColor="background1"/>
                <w:sz w:val="24"/>
                <w:szCs w:val="24"/>
                <w:lang w:eastAsia="fr-FR"/>
              </w:rPr>
              <w:t>SI</w:t>
            </w:r>
          </w:p>
        </w:tc>
        <w:tc>
          <w:tcPr>
            <w:tcW w:w="0" w:type="auto"/>
            <w:noWrap/>
            <w:hideMark/>
          </w:tcPr>
          <w:p>
            <w:pPr>
              <w:spacing w:after="120"/>
              <w:jc w:val="both"/>
              <w:textAlignment w:val="baseline"/>
              <w:rPr>
                <w:noProof/>
                <w:sz w:val="24"/>
                <w:szCs w:val="24"/>
                <w:lang w:eastAsia="fr-FR"/>
              </w:rPr>
            </w:pPr>
            <w:r>
              <w:rPr>
                <w:noProof/>
                <w:sz w:val="24"/>
                <w:szCs w:val="24"/>
                <w:lang w:eastAsia="fr-FR"/>
              </w:rPr>
              <w:t>C</w:t>
            </w:r>
          </w:p>
        </w:tc>
        <w:tc>
          <w:tcPr>
            <w:tcW w:w="0" w:type="auto"/>
            <w:noWrap/>
            <w:hideMark/>
          </w:tcPr>
          <w:p>
            <w:pPr>
              <w:spacing w:after="120"/>
              <w:jc w:val="both"/>
              <w:textAlignment w:val="baseline"/>
              <w:rPr>
                <w:noProof/>
                <w:sz w:val="24"/>
                <w:szCs w:val="24"/>
                <w:lang w:eastAsia="fr-FR"/>
              </w:rPr>
            </w:pPr>
            <w:r>
              <w:rPr>
                <w:noProof/>
                <w:sz w:val="24"/>
                <w:szCs w:val="24"/>
                <w:lang w:eastAsia="fr-FR"/>
              </w:rPr>
              <w:t>R, S</w:t>
            </w:r>
          </w:p>
        </w:tc>
        <w:tc>
          <w:tcPr>
            <w:tcW w:w="0" w:type="auto"/>
            <w:noWrap/>
            <w:hideMark/>
          </w:tcPr>
          <w:p>
            <w:pPr>
              <w:spacing w:after="120"/>
              <w:jc w:val="both"/>
              <w:textAlignment w:val="baseline"/>
              <w:rPr>
                <w:noProof/>
                <w:sz w:val="24"/>
                <w:szCs w:val="24"/>
                <w:lang w:eastAsia="fr-FR"/>
              </w:rPr>
            </w:pPr>
            <w:r>
              <w:rPr>
                <w:noProof/>
                <w:sz w:val="24"/>
                <w:szCs w:val="24"/>
                <w:lang w:eastAsia="fr-FR"/>
              </w:rPr>
              <w:t>C</w:t>
            </w:r>
          </w:p>
        </w:tc>
      </w:tr>
      <w:tr>
        <w:trPr>
          <w:trHeight w:hRule="exact" w:val="284"/>
          <w:jc w:val="center"/>
        </w:trPr>
        <w:tc>
          <w:tcPr>
            <w:tcW w:w="0" w:type="auto"/>
            <w:shd w:val="clear" w:color="auto" w:fill="1F497D" w:themeFill="text2"/>
            <w:noWrap/>
            <w:hideMark/>
          </w:tcPr>
          <w:p>
            <w:pPr>
              <w:spacing w:after="120"/>
              <w:jc w:val="both"/>
              <w:textAlignment w:val="baseline"/>
              <w:rPr>
                <w:noProof/>
                <w:color w:val="FFFFFF" w:themeColor="background1"/>
                <w:sz w:val="24"/>
                <w:szCs w:val="24"/>
                <w:lang w:eastAsia="fr-FR"/>
              </w:rPr>
            </w:pPr>
            <w:r>
              <w:rPr>
                <w:noProof/>
                <w:color w:val="FFFFFF" w:themeColor="background1"/>
                <w:sz w:val="24"/>
                <w:szCs w:val="24"/>
                <w:lang w:eastAsia="fr-FR"/>
              </w:rPr>
              <w:t>SK</w:t>
            </w:r>
          </w:p>
        </w:tc>
        <w:tc>
          <w:tcPr>
            <w:tcW w:w="0" w:type="auto"/>
            <w:noWrap/>
            <w:hideMark/>
          </w:tcPr>
          <w:p>
            <w:pPr>
              <w:spacing w:after="120"/>
              <w:jc w:val="both"/>
              <w:textAlignment w:val="baseline"/>
              <w:rPr>
                <w:noProof/>
                <w:sz w:val="24"/>
                <w:szCs w:val="24"/>
                <w:lang w:eastAsia="fr-FR"/>
              </w:rPr>
            </w:pPr>
            <w:r>
              <w:rPr>
                <w:noProof/>
                <w:sz w:val="24"/>
                <w:szCs w:val="24"/>
                <w:lang w:eastAsia="fr-FR"/>
              </w:rPr>
              <w:t>H, J, N</w:t>
            </w:r>
          </w:p>
        </w:tc>
        <w:tc>
          <w:tcPr>
            <w:tcW w:w="0" w:type="auto"/>
            <w:noWrap/>
            <w:hideMark/>
          </w:tcPr>
          <w:p>
            <w:pPr>
              <w:spacing w:after="120"/>
              <w:jc w:val="both"/>
              <w:textAlignment w:val="baseline"/>
              <w:rPr>
                <w:noProof/>
                <w:sz w:val="24"/>
                <w:szCs w:val="24"/>
                <w:lang w:eastAsia="fr-FR"/>
              </w:rPr>
            </w:pPr>
            <w:r>
              <w:rPr>
                <w:noProof/>
                <w:sz w:val="24"/>
                <w:szCs w:val="24"/>
                <w:lang w:eastAsia="fr-FR"/>
              </w:rPr>
              <w:t>C</w:t>
            </w:r>
          </w:p>
        </w:tc>
        <w:tc>
          <w:tcPr>
            <w:tcW w:w="0" w:type="auto"/>
            <w:noWrap/>
            <w:hideMark/>
          </w:tcPr>
          <w:p>
            <w:pPr>
              <w:spacing w:after="120"/>
              <w:jc w:val="both"/>
              <w:textAlignment w:val="baseline"/>
              <w:rPr>
                <w:noProof/>
                <w:sz w:val="24"/>
                <w:szCs w:val="24"/>
                <w:lang w:eastAsia="fr-FR"/>
              </w:rPr>
            </w:pPr>
            <w:r>
              <w:rPr>
                <w:noProof/>
                <w:sz w:val="24"/>
                <w:szCs w:val="24"/>
                <w:lang w:eastAsia="fr-FR"/>
              </w:rPr>
              <w:t>C</w:t>
            </w:r>
          </w:p>
        </w:tc>
      </w:tr>
      <w:tr>
        <w:trPr>
          <w:trHeight w:hRule="exact" w:val="284"/>
          <w:jc w:val="center"/>
        </w:trPr>
        <w:tc>
          <w:tcPr>
            <w:tcW w:w="0" w:type="auto"/>
            <w:shd w:val="clear" w:color="auto" w:fill="1F497D" w:themeFill="text2"/>
            <w:noWrap/>
            <w:hideMark/>
          </w:tcPr>
          <w:p>
            <w:pPr>
              <w:spacing w:after="120"/>
              <w:jc w:val="both"/>
              <w:textAlignment w:val="baseline"/>
              <w:rPr>
                <w:noProof/>
                <w:color w:val="FFFFFF" w:themeColor="background1"/>
                <w:sz w:val="24"/>
                <w:szCs w:val="24"/>
                <w:lang w:eastAsia="fr-FR"/>
              </w:rPr>
            </w:pPr>
            <w:r>
              <w:rPr>
                <w:noProof/>
                <w:color w:val="FFFFFF" w:themeColor="background1"/>
                <w:sz w:val="24"/>
                <w:szCs w:val="24"/>
                <w:lang w:eastAsia="fr-FR"/>
              </w:rPr>
              <w:t>UK</w:t>
            </w:r>
          </w:p>
        </w:tc>
        <w:tc>
          <w:tcPr>
            <w:tcW w:w="0" w:type="auto"/>
            <w:noWrap/>
            <w:hideMark/>
          </w:tcPr>
          <w:p>
            <w:pPr>
              <w:spacing w:after="120"/>
              <w:jc w:val="both"/>
              <w:textAlignment w:val="baseline"/>
              <w:rPr>
                <w:noProof/>
                <w:sz w:val="24"/>
                <w:szCs w:val="24"/>
                <w:lang w:eastAsia="fr-FR"/>
              </w:rPr>
            </w:pPr>
            <w:r>
              <w:rPr>
                <w:noProof/>
                <w:sz w:val="24"/>
                <w:szCs w:val="24"/>
                <w:lang w:eastAsia="fr-FR"/>
              </w:rPr>
              <w:t>K, M, N</w:t>
            </w:r>
          </w:p>
        </w:tc>
        <w:tc>
          <w:tcPr>
            <w:tcW w:w="0" w:type="auto"/>
            <w:noWrap/>
            <w:hideMark/>
          </w:tcPr>
          <w:p>
            <w:pPr>
              <w:spacing w:after="120"/>
              <w:jc w:val="both"/>
              <w:textAlignment w:val="baseline"/>
              <w:rPr>
                <w:noProof/>
                <w:sz w:val="24"/>
                <w:szCs w:val="24"/>
                <w:lang w:eastAsia="fr-FR"/>
              </w:rPr>
            </w:pPr>
            <w:r>
              <w:rPr>
                <w:noProof/>
                <w:sz w:val="24"/>
                <w:szCs w:val="24"/>
                <w:lang w:eastAsia="fr-FR"/>
              </w:rPr>
              <w:t>P</w:t>
            </w:r>
          </w:p>
        </w:tc>
        <w:tc>
          <w:tcPr>
            <w:tcW w:w="0" w:type="auto"/>
            <w:noWrap/>
            <w:hideMark/>
          </w:tcPr>
          <w:p>
            <w:pPr>
              <w:spacing w:after="120"/>
              <w:jc w:val="both"/>
              <w:textAlignment w:val="baseline"/>
              <w:rPr>
                <w:noProof/>
                <w:sz w:val="24"/>
                <w:szCs w:val="24"/>
                <w:lang w:eastAsia="fr-FR"/>
              </w:rPr>
            </w:pPr>
            <w:r>
              <w:rPr>
                <w:noProof/>
                <w:sz w:val="24"/>
                <w:szCs w:val="24"/>
                <w:lang w:eastAsia="fr-FR"/>
              </w:rPr>
              <w:t>F</w:t>
            </w:r>
          </w:p>
        </w:tc>
      </w:tr>
    </w:tbl>
    <w:p>
      <w:pPr>
        <w:spacing w:after="120" w:line="240" w:lineRule="auto"/>
        <w:jc w:val="both"/>
        <w:textAlignment w:val="baseline"/>
        <w:rPr>
          <w:rFonts w:ascii="Times New Roman" w:eastAsia="Times New Roman" w:hAnsi="Times New Roman" w:cs="Times New Roman"/>
          <w:noProof/>
          <w:sz w:val="20"/>
          <w:szCs w:val="20"/>
          <w:lang w:eastAsia="fr-FR"/>
        </w:rPr>
      </w:pPr>
      <w:r>
        <w:rPr>
          <w:noProof/>
        </w:rPr>
        <w:br/>
      </w:r>
      <w:r>
        <w:rPr>
          <w:rFonts w:ascii="Times New Roman" w:eastAsia="Times New Roman" w:hAnsi="Times New Roman" w:cs="Times New Roman"/>
          <w:noProof/>
          <w:sz w:val="20"/>
          <w:szCs w:val="20"/>
          <w:lang w:eastAsia="fr-FR"/>
        </w:rPr>
        <w:t xml:space="preserve">* </w:t>
      </w:r>
      <w:r>
        <w:rPr>
          <w:rFonts w:ascii="Times New Roman" w:eastAsia="Times New Roman" w:hAnsi="Times New Roman" w:cs="Times New Roman"/>
          <w:i/>
          <w:iCs/>
          <w:noProof/>
          <w:sz w:val="20"/>
          <w:szCs w:val="20"/>
          <w:lang w:eastAsia="fr-FR"/>
        </w:rPr>
        <w:t>Sections to which the divisions with the largest, second largest and third largest gender pay gap refer to (based on NACE rev. 2); Sources: SES 2014.</w:t>
      </w:r>
      <w:r>
        <w:rPr>
          <w:rFonts w:ascii="Times New Roman" w:eastAsia="Times New Roman" w:hAnsi="Times New Roman" w:cs="Times New Roman"/>
          <w:noProof/>
          <w:sz w:val="20"/>
          <w:szCs w:val="20"/>
          <w:lang w:eastAsia="fr-FR"/>
        </w:rPr>
        <w:t xml:space="preserve"> </w:t>
      </w:r>
    </w:p>
    <w:p>
      <w:pPr>
        <w:jc w:val="both"/>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As Table 1 shows, among sections with the largest gender pay gap on the country level, section N ‘Administrative and Support Service Activities’ is most frequently named (12 counts), followed by sections J ‘Information and Communication’ and C ‘Manufacturing’ (7 counts each). Sections H ‘Transportation and Storage’ and M ‘Professional, Scientific and Technical Activities’ rank fourth (6 counts each). Section K ‘Financial and Insurance Activities’ (4 counts), S ‘Other Service Activities’ and Q ‘Human Health and Social Work Activities’ follow with 2 counts each. For the second and third largest gaps, the same sections prove to be relevant. Additionally, sections E ‘Water Supply, Sewerage, Waste Management and Remediation Activities’, D ‘Electricity, Gas, Steam and Air Conditioning Supply’, P ‘Education’, F ‘Construction’ and I ‘Accommodation and Food Service Activities’ were named a few times (maximum 2 counts each). Further, section H is among the Top 5 sections with the highest gaps in both studies.</w:t>
      </w:r>
    </w:p>
    <w:p>
      <w:pPr>
        <w:jc w:val="both"/>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 xml:space="preserve">The decomposition of pay gaps at sectoral level shows that the </w:t>
      </w:r>
      <w:r>
        <w:rPr>
          <w:rFonts w:ascii="Times New Roman" w:eastAsia="Times New Roman" w:hAnsi="Times New Roman" w:cs="Times New Roman"/>
          <w:b/>
          <w:bCs/>
          <w:noProof/>
          <w:sz w:val="24"/>
          <w:szCs w:val="24"/>
          <w:lang w:eastAsia="fr-FR"/>
        </w:rPr>
        <w:t xml:space="preserve">unexplained part </w:t>
      </w:r>
      <w:r>
        <w:rPr>
          <w:rFonts w:ascii="Times New Roman" w:eastAsia="Times New Roman" w:hAnsi="Times New Roman" w:cs="Times New Roman"/>
          <w:noProof/>
          <w:sz w:val="24"/>
          <w:szCs w:val="24"/>
          <w:lang w:eastAsia="fr-FR"/>
        </w:rPr>
        <w:t xml:space="preserve">is a major </w:t>
      </w:r>
      <w:r>
        <w:rPr>
          <w:rFonts w:ascii="Times New Roman" w:eastAsia="Times New Roman" w:hAnsi="Times New Roman" w:cs="Times New Roman"/>
          <w:b/>
          <w:bCs/>
          <w:noProof/>
          <w:sz w:val="24"/>
          <w:szCs w:val="24"/>
          <w:lang w:eastAsia="fr-FR"/>
        </w:rPr>
        <w:t>driver of sector-specific gaps</w:t>
      </w:r>
      <w:r>
        <w:rPr>
          <w:rFonts w:ascii="Times New Roman" w:eastAsia="Times New Roman" w:hAnsi="Times New Roman" w:cs="Times New Roman"/>
          <w:noProof/>
          <w:sz w:val="24"/>
          <w:szCs w:val="24"/>
          <w:lang w:eastAsia="fr-FR"/>
        </w:rPr>
        <w:t xml:space="preserve">. A second major driver is </w:t>
      </w:r>
      <w:r>
        <w:rPr>
          <w:rFonts w:ascii="Times New Roman" w:eastAsia="Times New Roman" w:hAnsi="Times New Roman" w:cs="Times New Roman"/>
          <w:b/>
          <w:bCs/>
          <w:noProof/>
          <w:sz w:val="24"/>
          <w:szCs w:val="24"/>
          <w:lang w:eastAsia="fr-FR"/>
        </w:rPr>
        <w:t>occupation</w:t>
      </w:r>
      <w:r>
        <w:rPr>
          <w:rFonts w:ascii="Times New Roman" w:eastAsia="Times New Roman" w:hAnsi="Times New Roman" w:cs="Times New Roman"/>
          <w:noProof/>
          <w:sz w:val="24"/>
          <w:szCs w:val="24"/>
          <w:lang w:eastAsia="fr-FR"/>
        </w:rPr>
        <w:t>. Since occupation and sector have high correlation, usually the association of occupation with the pay gap is often not visible in statistical analysis. The analysis conducted for this section however shows occupation to be highly relevant for the gender pay differential within sectors.</w:t>
      </w:r>
    </w:p>
    <w:p>
      <w:pPr>
        <w:jc w:val="both"/>
        <w:rPr>
          <w:rFonts w:ascii="Times New Roman" w:hAnsi="Times New Roman" w:cs="Times New Roman"/>
          <w:noProof/>
          <w:sz w:val="24"/>
          <w:szCs w:val="24"/>
        </w:rPr>
      </w:pPr>
      <w:r>
        <w:rPr>
          <w:rStyle w:val="normaltextrun"/>
          <w:rFonts w:ascii="Times New Roman" w:hAnsi="Times New Roman" w:cs="Times New Roman"/>
          <w:noProof/>
          <w:sz w:val="24"/>
          <w:szCs w:val="24"/>
        </w:rPr>
        <w:t xml:space="preserve">The </w:t>
      </w:r>
      <w:r>
        <w:rPr>
          <w:rStyle w:val="normaltextrun"/>
          <w:rFonts w:ascii="Times New Roman" w:hAnsi="Times New Roman" w:cs="Times New Roman"/>
          <w:b/>
          <w:bCs/>
          <w:noProof/>
          <w:sz w:val="24"/>
          <w:szCs w:val="24"/>
        </w:rPr>
        <w:t>participation of women and men in cash bonus payments</w:t>
      </w:r>
      <w:r>
        <w:rPr>
          <w:rStyle w:val="normaltextrun"/>
          <w:rFonts w:ascii="Times New Roman" w:hAnsi="Times New Roman" w:cs="Times New Roman"/>
          <w:noProof/>
          <w:sz w:val="24"/>
          <w:szCs w:val="24"/>
        </w:rPr>
        <w:t xml:space="preserve"> shows a geographical divide. There are 11 countries where more men than women receive monetary fringe benefits (9 within the EU:  BE, DE, ES, FI, FR, NL, RO, SE, SK and 2 outside the EU: NO and UK). Interestingly, only one Eastern European country (RO) is among those countries where men are advantaged in access to bonuses. The much higher participation of men in cash fringe benefits in the Nordic countries NO and SE as well as the UK is striking. In 11 other countries, the opposite holds true (BG, CY, CZ, EE, HU, IT, LT, LV, MT, PL and SI). Countries where women are advantaged belong to Eastern and Southern Europe without exception. In two countries (LU and PT), gender parity in participation is observed. The level of participation differs tremendously between countries. While only 9% to 19% of women and men receive cash bonuses in SE, this applies to 98% to 99% in IT.</w:t>
      </w:r>
      <w:r>
        <w:rPr>
          <w:rStyle w:val="eop"/>
          <w:rFonts w:ascii="Times New Roman" w:hAnsi="Times New Roman" w:cs="Times New Roman"/>
          <w:noProof/>
          <w:sz w:val="24"/>
          <w:szCs w:val="24"/>
        </w:rPr>
        <w:t xml:space="preserve"> </w:t>
      </w:r>
    </w:p>
    <w:p>
      <w:pPr>
        <w:jc w:val="both"/>
        <w:rPr>
          <w:rStyle w:val="eop"/>
          <w:rFonts w:ascii="Times New Roman" w:hAnsi="Times New Roman" w:cs="Times New Roman"/>
          <w:noProof/>
          <w:sz w:val="24"/>
          <w:szCs w:val="24"/>
        </w:rPr>
      </w:pPr>
      <w:r>
        <w:rPr>
          <w:rStyle w:val="normaltextrun"/>
          <w:rFonts w:ascii="Times New Roman" w:hAnsi="Times New Roman" w:cs="Times New Roman"/>
          <w:noProof/>
          <w:sz w:val="24"/>
          <w:szCs w:val="24"/>
        </w:rPr>
        <w:t>However, for those women and men who receive monetary fringe benefits, gender gaps in monetary fringe benefits are much higher than gender gaps in (regular) wages (Figure 4). Only in CY and FR is the magnitude of gaps roughly the same. In 22 countries, the magnitude is 1.5 to 10 times higher for fringe gaps than for wage gaps. Analogous to wages, gender gaps in monetary fringe benefits also vary notably across countries, althought the country order is different.</w:t>
      </w:r>
      <w:r>
        <w:rPr>
          <w:rStyle w:val="eop"/>
          <w:rFonts w:ascii="Times New Roman" w:hAnsi="Times New Roman" w:cs="Times New Roman"/>
          <w:noProof/>
          <w:sz w:val="24"/>
          <w:szCs w:val="24"/>
        </w:rPr>
        <w:t xml:space="preserve"> </w:t>
      </w:r>
    </w:p>
    <w:p>
      <w:pPr>
        <w:pStyle w:val="paragraph"/>
        <w:keepNext/>
        <w:spacing w:before="0" w:beforeAutospacing="0" w:after="0" w:afterAutospacing="0"/>
        <w:jc w:val="both"/>
        <w:textAlignment w:val="baseline"/>
        <w:rPr>
          <w:noProof/>
          <w:lang w:val="en-GB"/>
        </w:rPr>
      </w:pPr>
      <w:r>
        <w:rPr>
          <w:rStyle w:val="normaltextrun"/>
          <w:b/>
          <w:bCs/>
          <w:noProof/>
          <w:lang w:val="en-GB"/>
        </w:rPr>
        <w:t>Figure 4:</w:t>
      </w:r>
      <w:r>
        <w:rPr>
          <w:rStyle w:val="normaltextrun"/>
          <w:noProof/>
          <w:lang w:val="en-GB"/>
        </w:rPr>
        <w:t xml:space="preserve"> Unadjusted gender pay gaps in terms of monetary fringe benefits (in %)</w:t>
      </w:r>
      <w:r>
        <w:rPr>
          <w:rStyle w:val="eop"/>
          <w:noProof/>
          <w:lang w:val="en-GB"/>
        </w:rPr>
        <w:t xml:space="preserve"> </w:t>
      </w:r>
    </w:p>
    <w:p>
      <w:pPr>
        <w:pStyle w:val="paragraph"/>
        <w:spacing w:before="0" w:beforeAutospacing="0" w:after="0" w:afterAutospacing="0"/>
        <w:jc w:val="both"/>
        <w:textAlignment w:val="baseline"/>
        <w:rPr>
          <w:noProof/>
          <w:lang w:val="en-GB"/>
        </w:rPr>
      </w:pPr>
      <w:r>
        <w:rPr>
          <w:noProof/>
          <w:lang w:val="en-GB" w:eastAsia="en-GB"/>
        </w:rPr>
        <w:drawing>
          <wp:inline distT="0" distB="0" distL="0" distR="0">
            <wp:extent cx="5367556" cy="2633980"/>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73">
                      <a:extLst>
                        <a:ext uri="{28A0092B-C50C-407E-A947-70E740481C1C}">
                          <a14:useLocalDpi xmlns:a14="http://schemas.microsoft.com/office/drawing/2010/main" val="0"/>
                        </a:ext>
                      </a:extLst>
                    </a:blip>
                    <a:stretch>
                      <a:fillRect/>
                    </a:stretch>
                  </pic:blipFill>
                  <pic:spPr>
                    <a:xfrm>
                      <a:off x="0" y="0"/>
                      <a:ext cx="5367556" cy="2633980"/>
                    </a:xfrm>
                    <a:prstGeom prst="rect">
                      <a:avLst/>
                    </a:prstGeom>
                  </pic:spPr>
                </pic:pic>
              </a:graphicData>
            </a:graphic>
          </wp:inline>
        </w:drawing>
      </w:r>
      <w:r>
        <w:rPr>
          <w:rStyle w:val="eop"/>
          <w:noProof/>
          <w:lang w:val="en-GB"/>
        </w:rPr>
        <w:t xml:space="preserve"> </w:t>
      </w:r>
    </w:p>
    <w:p>
      <w:pPr>
        <w:pStyle w:val="paragraph"/>
        <w:spacing w:before="0" w:beforeAutospacing="0" w:after="0" w:afterAutospacing="0"/>
        <w:jc w:val="both"/>
        <w:textAlignment w:val="baseline"/>
        <w:rPr>
          <w:rStyle w:val="normaltextrun"/>
          <w:noProof/>
          <w:lang w:val="en-GB"/>
        </w:rPr>
      </w:pPr>
    </w:p>
    <w:p>
      <w:pPr>
        <w:pStyle w:val="paragraph"/>
        <w:spacing w:before="0" w:beforeAutospacing="0" w:after="120" w:afterAutospacing="0"/>
        <w:jc w:val="both"/>
        <w:textAlignment w:val="baseline"/>
        <w:rPr>
          <w:noProof/>
          <w:lang w:val="en-GB"/>
        </w:rPr>
      </w:pPr>
      <w:r>
        <w:rPr>
          <w:rStyle w:val="normaltextrun"/>
          <w:noProof/>
          <w:lang w:val="en-GB"/>
        </w:rPr>
        <w:t>Further analysis shows provides some more detailed insights:</w:t>
      </w:r>
      <w:r>
        <w:rPr>
          <w:rStyle w:val="eop"/>
          <w:noProof/>
          <w:lang w:val="en-GB"/>
        </w:rPr>
        <w:t xml:space="preserve"> </w:t>
      </w:r>
    </w:p>
    <w:p>
      <w:pPr>
        <w:pStyle w:val="paragraph"/>
        <w:numPr>
          <w:ilvl w:val="0"/>
          <w:numId w:val="22"/>
        </w:numPr>
        <w:spacing w:before="0" w:beforeAutospacing="0" w:after="120" w:afterAutospacing="0"/>
        <w:jc w:val="both"/>
        <w:textAlignment w:val="baseline"/>
        <w:rPr>
          <w:noProof/>
          <w:lang w:val="en-GB"/>
        </w:rPr>
      </w:pPr>
      <w:r>
        <w:rPr>
          <w:rStyle w:val="normaltextrun"/>
          <w:noProof/>
          <w:lang w:val="en-GB"/>
        </w:rPr>
        <w:t>Among graduates, cash bonus gaps tend to be even larger than wage gaps (this applies to EE, ES, LT and LV, with the only exception being RO). At the same time, cash bonus gaps seem to be less important than wage gaps among the medium educated groups (as shown in the BG, HU, MT, NL, NO, SE and UK) and low educated groups (as shown in IT, LU, MT, NL and SI). Note that this information does not relate to magnitude in absolute numbers, but to the relative size of gaps across educational groups.</w:t>
      </w:r>
      <w:r>
        <w:rPr>
          <w:rStyle w:val="eop"/>
          <w:noProof/>
          <w:lang w:val="en-GB"/>
        </w:rPr>
        <w:t xml:space="preserve"> </w:t>
      </w:r>
    </w:p>
    <w:p>
      <w:pPr>
        <w:pStyle w:val="paragraph"/>
        <w:numPr>
          <w:ilvl w:val="0"/>
          <w:numId w:val="22"/>
        </w:numPr>
        <w:spacing w:before="0" w:beforeAutospacing="0" w:after="120" w:afterAutospacing="0"/>
        <w:jc w:val="both"/>
        <w:textAlignment w:val="baseline"/>
        <w:rPr>
          <w:noProof/>
          <w:lang w:val="en-GB"/>
        </w:rPr>
      </w:pPr>
      <w:r>
        <w:rPr>
          <w:rStyle w:val="normaltextrun"/>
          <w:noProof/>
          <w:lang w:val="en-GB"/>
        </w:rPr>
        <w:t>The very young (aged 14 to 19) tend to be less affected by gender gaps in terms of cash bonuses compared to gender wage gaps. On the contrary, older employees aged 50 or older seem to be more affected by cash bonus gaps compared to wage gaps.</w:t>
      </w:r>
      <w:r>
        <w:rPr>
          <w:rStyle w:val="eop"/>
          <w:noProof/>
          <w:lang w:val="en-GB"/>
        </w:rPr>
        <w:t xml:space="preserve"> </w:t>
      </w:r>
    </w:p>
    <w:p>
      <w:pPr>
        <w:pStyle w:val="paragraph"/>
        <w:numPr>
          <w:ilvl w:val="0"/>
          <w:numId w:val="22"/>
        </w:numPr>
        <w:spacing w:before="0" w:beforeAutospacing="0" w:after="120" w:afterAutospacing="0"/>
        <w:jc w:val="both"/>
        <w:textAlignment w:val="baseline"/>
        <w:rPr>
          <w:rStyle w:val="eop"/>
          <w:noProof/>
          <w:lang w:val="en-GB"/>
        </w:rPr>
      </w:pPr>
      <w:r>
        <w:rPr>
          <w:rStyle w:val="normaltextrun"/>
          <w:noProof/>
          <w:lang w:val="en-GB"/>
        </w:rPr>
        <w:t>Occupational patterns in cash bonus payments resemble those in wages throughout countries. However, in half of the countries, negative bonus gaps are higher than wage gaps and/or the number of occupations in which women have a lead over men in terms of bonuses is higher than the respective number of occupations where this is the case for wages.</w:t>
      </w:r>
      <w:r>
        <w:rPr>
          <w:rStyle w:val="eop"/>
          <w:noProof/>
          <w:lang w:val="en-GB"/>
        </w:rPr>
        <w:t xml:space="preserve"> </w:t>
      </w:r>
    </w:p>
    <w:p>
      <w:pPr>
        <w:rPr>
          <w:rFonts w:ascii="Times New Roman" w:hAnsi="Times New Roman" w:cs="Times New Roman"/>
          <w:b/>
          <w:noProof/>
          <w:sz w:val="24"/>
          <w:szCs w:val="20"/>
        </w:rPr>
      </w:pPr>
      <w:bookmarkStart w:id="7475" w:name="_Toc49805521"/>
      <w:bookmarkEnd w:id="7468"/>
      <w:bookmarkEnd w:id="7469"/>
      <w:bookmarkEnd w:id="7470"/>
      <w:bookmarkEnd w:id="7471"/>
      <w:bookmarkEnd w:id="7472"/>
      <w:bookmarkEnd w:id="7473"/>
      <w:bookmarkEnd w:id="7474"/>
    </w:p>
    <w:p>
      <w:pPr>
        <w:pStyle w:val="Heading3"/>
        <w:numPr>
          <w:ilvl w:val="0"/>
          <w:numId w:val="57"/>
        </w:numPr>
        <w:ind w:left="426" w:hanging="426"/>
        <w:rPr>
          <w:b/>
          <w:noProof/>
        </w:rPr>
      </w:pPr>
      <w:r>
        <w:rPr>
          <w:b/>
          <w:noProof/>
        </w:rPr>
        <w:t>Overview of existing pay transparency measures in the Member States</w:t>
      </w:r>
      <w:bookmarkEnd w:id="7475"/>
      <w:r>
        <w:rPr>
          <w:b/>
          <w:noProof/>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The following overview is based on information mainly gathered through various studies and reports of the European Equality Law Network, the study carried out for this impact assessment, and the 2020 Eurofound report. It inevitably presents a simplified overview of what can be complex measures at national level, focussing only on elements considered relevant for the present initiative and without taking into account the broad variety of modalities related to the implementation of the measures concerned.</w:t>
      </w:r>
    </w:p>
    <w:p>
      <w:pPr>
        <w:jc w:val="both"/>
        <w:rPr>
          <w:rFonts w:ascii="Times New Roman" w:hAnsi="Times New Roman" w:cs="Times New Roman"/>
          <w:b/>
          <w:bCs/>
          <w:noProof/>
          <w:sz w:val="24"/>
          <w:szCs w:val="24"/>
        </w:rPr>
      </w:pPr>
      <w:r>
        <w:rPr>
          <w:rFonts w:ascii="Times New Roman" w:hAnsi="Times New Roman" w:cs="Times New Roman"/>
          <w:b/>
          <w:bCs/>
          <w:noProof/>
          <w:sz w:val="24"/>
          <w:szCs w:val="24"/>
        </w:rPr>
        <w:t>Table 2:</w:t>
      </w:r>
      <w:r>
        <w:rPr>
          <w:rFonts w:ascii="Times New Roman" w:eastAsia="Times New Roman" w:hAnsi="Times New Roman" w:cs="Times New Roman"/>
          <w:noProof/>
          <w:sz w:val="20"/>
          <w:szCs w:val="20"/>
          <w:lang w:eastAsia="fr-FR"/>
        </w:rPr>
        <w:t xml:space="preserve"> </w:t>
      </w:r>
      <w:r>
        <w:rPr>
          <w:rFonts w:ascii="Times New Roman" w:eastAsia="Times New Roman" w:hAnsi="Times New Roman" w:cs="Times New Roman"/>
          <w:b/>
          <w:bCs/>
          <w:noProof/>
          <w:sz w:val="24"/>
          <w:szCs w:val="24"/>
          <w:lang w:eastAsia="fr-FR"/>
        </w:rPr>
        <w:t>Overview of existing pay transparency measures in the Member States</w:t>
      </w:r>
    </w:p>
    <w:tbl>
      <w:tblPr>
        <w:tblW w:w="5000" w:type="pct"/>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152"/>
        <w:gridCol w:w="3164"/>
        <w:gridCol w:w="3416"/>
      </w:tblGrid>
      <w:tr>
        <w:trPr>
          <w:trHeight w:val="337"/>
        </w:trPr>
        <w:tc>
          <w:tcPr>
            <w:tcW w:w="1232" w:type="pct"/>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pPr>
              <w:keepNext/>
              <w:spacing w:after="0" w:line="240" w:lineRule="auto"/>
              <w:jc w:val="center"/>
              <w:textAlignment w:val="baseline"/>
              <w:rPr>
                <w:rFonts w:ascii="Times New Roman" w:eastAsia="Times New Roman" w:hAnsi="Times New Roman" w:cs="Times New Roman"/>
                <w:noProof/>
                <w:sz w:val="20"/>
                <w:szCs w:val="20"/>
                <w:lang w:eastAsia="fr-FR"/>
              </w:rPr>
            </w:pPr>
          </w:p>
        </w:tc>
        <w:tc>
          <w:tcPr>
            <w:tcW w:w="3768" w:type="pct"/>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pPr>
              <w:keepNext/>
              <w:spacing w:after="0" w:line="240" w:lineRule="auto"/>
              <w:jc w:val="center"/>
              <w:textAlignment w:val="baseline"/>
              <w:rPr>
                <w:rFonts w:ascii="Times New Roman" w:eastAsia="Times New Roman" w:hAnsi="Times New Roman" w:cs="Times New Roman"/>
                <w:noProof/>
                <w:sz w:val="20"/>
                <w:szCs w:val="20"/>
                <w:lang w:eastAsia="fr-FR"/>
              </w:rPr>
            </w:pPr>
          </w:p>
        </w:tc>
      </w:tr>
      <w:tr>
        <w:trPr>
          <w:trHeight w:val="270"/>
        </w:trPr>
        <w:tc>
          <w:tcPr>
            <w:tcW w:w="1232" w:type="pct"/>
            <w:vMerge/>
            <w:tcMar>
              <w:top w:w="57" w:type="dxa"/>
              <w:left w:w="57" w:type="dxa"/>
              <w:bottom w:w="57" w:type="dxa"/>
              <w:right w:w="57" w:type="dxa"/>
            </w:tcMar>
            <w:vAlign w:val="center"/>
            <w:hideMark/>
          </w:tcPr>
          <w:p>
            <w:pPr>
              <w:keepNext/>
              <w:spacing w:after="0" w:line="240" w:lineRule="auto"/>
              <w:jc w:val="center"/>
              <w:rPr>
                <w:rFonts w:ascii="Times New Roman" w:eastAsia="Times New Roman" w:hAnsi="Times New Roman" w:cs="Times New Roman"/>
                <w:noProof/>
                <w:sz w:val="20"/>
                <w:szCs w:val="20"/>
                <w:lang w:eastAsia="fr-FR"/>
              </w:rPr>
            </w:pPr>
          </w:p>
        </w:tc>
        <w:tc>
          <w:tcPr>
            <w:tcW w:w="1812" w:type="pc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pPr>
              <w:keepNext/>
              <w:spacing w:after="0" w:line="240" w:lineRule="auto"/>
              <w:jc w:val="center"/>
              <w:textAlignment w:val="baseline"/>
              <w:rPr>
                <w:rFonts w:ascii="Times New Roman" w:eastAsia="Times New Roman" w:hAnsi="Times New Roman" w:cs="Times New Roman"/>
                <w:noProof/>
                <w:sz w:val="20"/>
                <w:szCs w:val="20"/>
                <w:lang w:eastAsia="fr-FR"/>
              </w:rPr>
            </w:pPr>
            <w:r>
              <w:rPr>
                <w:rFonts w:ascii="Times New Roman" w:eastAsia="Times New Roman" w:hAnsi="Times New Roman" w:cs="Times New Roman"/>
                <w:noProof/>
                <w:sz w:val="20"/>
                <w:szCs w:val="20"/>
                <w:lang w:eastAsia="fr-FR"/>
              </w:rPr>
              <w:t>Right/obligation in place in some form</w:t>
            </w:r>
          </w:p>
        </w:tc>
        <w:tc>
          <w:tcPr>
            <w:tcW w:w="1956" w:type="pc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pPr>
              <w:keepNext/>
              <w:spacing w:after="0" w:line="240" w:lineRule="auto"/>
              <w:jc w:val="center"/>
              <w:textAlignment w:val="baseline"/>
              <w:rPr>
                <w:rFonts w:ascii="Times New Roman" w:eastAsia="Times New Roman" w:hAnsi="Times New Roman" w:cs="Times New Roman"/>
                <w:noProof/>
                <w:sz w:val="20"/>
                <w:szCs w:val="20"/>
                <w:lang w:eastAsia="fr-FR"/>
              </w:rPr>
            </w:pPr>
            <w:r>
              <w:rPr>
                <w:rFonts w:ascii="Times New Roman" w:eastAsia="Times New Roman" w:hAnsi="Times New Roman" w:cs="Times New Roman"/>
                <w:noProof/>
                <w:sz w:val="20"/>
                <w:szCs w:val="20"/>
                <w:lang w:eastAsia="fr-FR"/>
              </w:rPr>
              <w:t xml:space="preserve">Right/obligation not in place </w:t>
            </w:r>
          </w:p>
        </w:tc>
      </w:tr>
      <w:tr>
        <w:trPr>
          <w:trHeight w:val="759"/>
        </w:trPr>
        <w:tc>
          <w:tcPr>
            <w:tcW w:w="1232" w:type="pc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pPr>
              <w:keepNext/>
              <w:spacing w:after="0" w:line="240" w:lineRule="auto"/>
              <w:jc w:val="center"/>
              <w:textAlignment w:val="baseline"/>
              <w:rPr>
                <w:rFonts w:ascii="Times New Roman" w:eastAsia="Times New Roman" w:hAnsi="Times New Roman" w:cs="Times New Roman"/>
                <w:noProof/>
                <w:sz w:val="20"/>
                <w:szCs w:val="20"/>
                <w:lang w:eastAsia="fr-FR"/>
              </w:rPr>
            </w:pPr>
            <w:r>
              <w:rPr>
                <w:rFonts w:ascii="Times New Roman" w:eastAsia="Times New Roman" w:hAnsi="Times New Roman" w:cs="Times New Roman"/>
                <w:noProof/>
                <w:sz w:val="20"/>
                <w:szCs w:val="20"/>
                <w:lang w:eastAsia="fr-FR"/>
              </w:rPr>
              <w:t>Right to request information on pay</w:t>
            </w:r>
            <w:r>
              <w:rPr>
                <w:rStyle w:val="FootnoteReference"/>
                <w:rFonts w:ascii="Times New Roman" w:eastAsia="Times New Roman" w:hAnsi="Times New Roman" w:cs="Times New Roman"/>
                <w:noProof/>
                <w:sz w:val="20"/>
                <w:szCs w:val="20"/>
                <w:lang w:eastAsia="fr-FR"/>
              </w:rPr>
              <w:footnoteReference w:id="219"/>
            </w:r>
          </w:p>
        </w:tc>
        <w:tc>
          <w:tcPr>
            <w:tcW w:w="1812" w:type="pc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pPr>
              <w:keepNext/>
              <w:spacing w:after="0" w:line="240" w:lineRule="auto"/>
              <w:jc w:val="both"/>
              <w:textAlignment w:val="baseline"/>
              <w:rPr>
                <w:rFonts w:ascii="Times New Roman" w:eastAsia="Times New Roman" w:hAnsi="Times New Roman" w:cs="Times New Roman"/>
                <w:noProof/>
                <w:sz w:val="20"/>
                <w:szCs w:val="20"/>
                <w:lang w:val="fr-BE" w:eastAsia="fr-FR"/>
              </w:rPr>
            </w:pPr>
            <w:r>
              <w:rPr>
                <w:rFonts w:ascii="Times New Roman" w:eastAsia="Times New Roman" w:hAnsi="Times New Roman" w:cs="Times New Roman"/>
                <w:noProof/>
                <w:sz w:val="20"/>
                <w:szCs w:val="20"/>
                <w:lang w:val="fr-BE" w:eastAsia="fr-FR"/>
              </w:rPr>
              <w:t>CY, DE, ES, FI, IE, LV, PT, NL, RO, SE</w:t>
            </w:r>
          </w:p>
          <w:p>
            <w:pPr>
              <w:keepNext/>
              <w:spacing w:after="0" w:line="240" w:lineRule="auto"/>
              <w:jc w:val="both"/>
              <w:textAlignment w:val="baseline"/>
              <w:rPr>
                <w:rFonts w:ascii="Times New Roman" w:eastAsia="Times New Roman" w:hAnsi="Times New Roman" w:cs="Times New Roman"/>
                <w:noProof/>
                <w:sz w:val="20"/>
                <w:szCs w:val="20"/>
                <w:lang w:val="fr-BE" w:eastAsia="fr-FR"/>
              </w:rPr>
            </w:pPr>
          </w:p>
        </w:tc>
        <w:tc>
          <w:tcPr>
            <w:tcW w:w="1956" w:type="pc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pPr>
              <w:keepNext/>
              <w:spacing w:after="0" w:line="240" w:lineRule="auto"/>
              <w:jc w:val="both"/>
              <w:textAlignment w:val="baseline"/>
              <w:rPr>
                <w:rFonts w:ascii="Times New Roman" w:eastAsia="Times New Roman" w:hAnsi="Times New Roman" w:cs="Times New Roman"/>
                <w:noProof/>
                <w:sz w:val="20"/>
                <w:szCs w:val="20"/>
                <w:lang w:eastAsia="fr-FR"/>
              </w:rPr>
            </w:pPr>
            <w:r>
              <w:rPr>
                <w:rFonts w:ascii="Times New Roman" w:eastAsia="Times New Roman" w:hAnsi="Times New Roman" w:cs="Times New Roman"/>
                <w:noProof/>
                <w:sz w:val="20"/>
                <w:szCs w:val="20"/>
                <w:lang w:eastAsia="fr-FR"/>
              </w:rPr>
              <w:t xml:space="preserve">AT, BE, BG, CZ, EE, EL, FR, HR, HU, IT, LT, LU, MT, NL, PL, SI, SK  </w:t>
            </w:r>
          </w:p>
          <w:p>
            <w:pPr>
              <w:keepNext/>
              <w:spacing w:after="0" w:line="240" w:lineRule="auto"/>
              <w:jc w:val="both"/>
              <w:textAlignment w:val="baseline"/>
              <w:rPr>
                <w:rFonts w:ascii="Times New Roman" w:eastAsia="Times New Roman" w:hAnsi="Times New Roman" w:cs="Times New Roman"/>
                <w:noProof/>
                <w:sz w:val="20"/>
                <w:szCs w:val="20"/>
                <w:lang w:eastAsia="fr-FR"/>
              </w:rPr>
            </w:pPr>
          </w:p>
          <w:p>
            <w:pPr>
              <w:keepNext/>
              <w:spacing w:after="0" w:line="240" w:lineRule="auto"/>
              <w:jc w:val="both"/>
              <w:textAlignment w:val="baseline"/>
              <w:rPr>
                <w:rFonts w:ascii="Times New Roman" w:eastAsia="Times New Roman" w:hAnsi="Times New Roman" w:cs="Times New Roman"/>
                <w:noProof/>
                <w:sz w:val="20"/>
                <w:szCs w:val="20"/>
                <w:lang w:eastAsia="fr-FR"/>
              </w:rPr>
            </w:pPr>
          </w:p>
        </w:tc>
      </w:tr>
      <w:tr>
        <w:trPr>
          <w:trHeight w:val="389"/>
        </w:trPr>
        <w:tc>
          <w:tcPr>
            <w:tcW w:w="1232" w:type="pc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pPr>
              <w:keepNext/>
              <w:spacing w:after="0" w:line="240" w:lineRule="auto"/>
              <w:jc w:val="center"/>
              <w:textAlignment w:val="baseline"/>
              <w:rPr>
                <w:rFonts w:ascii="Times New Roman" w:eastAsia="Times New Roman" w:hAnsi="Times New Roman" w:cs="Times New Roman"/>
                <w:noProof/>
                <w:sz w:val="20"/>
                <w:szCs w:val="20"/>
                <w:lang w:eastAsia="fr-FR"/>
              </w:rPr>
            </w:pPr>
            <w:r>
              <w:rPr>
                <w:rFonts w:ascii="Times New Roman" w:eastAsia="Times New Roman" w:hAnsi="Times New Roman" w:cs="Times New Roman"/>
                <w:noProof/>
                <w:sz w:val="20"/>
                <w:szCs w:val="20"/>
                <w:lang w:eastAsia="fr-FR"/>
              </w:rPr>
              <w:t>Pay Reporting</w:t>
            </w:r>
          </w:p>
        </w:tc>
        <w:tc>
          <w:tcPr>
            <w:tcW w:w="1812" w:type="pc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pPr>
              <w:keepNext/>
              <w:spacing w:after="0" w:line="240" w:lineRule="auto"/>
              <w:jc w:val="both"/>
              <w:textAlignment w:val="baseline"/>
              <w:rPr>
                <w:rFonts w:ascii="Times New Roman" w:eastAsia="Times New Roman" w:hAnsi="Times New Roman" w:cs="Times New Roman"/>
                <w:noProof/>
                <w:sz w:val="20"/>
                <w:szCs w:val="20"/>
                <w:lang w:val="en-US" w:eastAsia="fr-FR"/>
              </w:rPr>
            </w:pPr>
            <w:r>
              <w:rPr>
                <w:rFonts w:ascii="Times New Roman" w:eastAsia="Times New Roman" w:hAnsi="Times New Roman" w:cs="Times New Roman"/>
                <w:noProof/>
                <w:sz w:val="20"/>
                <w:szCs w:val="20"/>
                <w:lang w:val="en-US" w:eastAsia="fr-FR"/>
              </w:rPr>
              <w:t>AT, BE, DE, DK, ES, FR, IT, LT, LU, NL, PT</w:t>
            </w:r>
          </w:p>
        </w:tc>
        <w:tc>
          <w:tcPr>
            <w:tcW w:w="1956" w:type="pc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pPr>
              <w:keepNext/>
              <w:spacing w:after="0" w:line="240" w:lineRule="auto"/>
              <w:jc w:val="both"/>
              <w:textAlignment w:val="baseline"/>
              <w:rPr>
                <w:rFonts w:ascii="Times New Roman" w:hAnsi="Times New Roman"/>
                <w:noProof/>
                <w:sz w:val="20"/>
                <w:lang w:val="it-IT"/>
              </w:rPr>
            </w:pPr>
            <w:r>
              <w:rPr>
                <w:rFonts w:ascii="Times New Roman" w:hAnsi="Times New Roman"/>
                <w:noProof/>
                <w:sz w:val="20"/>
                <w:lang w:val="it-IT"/>
              </w:rPr>
              <w:t>CZ, FI, EE, HR, IE, BG, CY, EL, HU, LV, MT, PL, RO, SE, SI, SK</w:t>
            </w:r>
          </w:p>
        </w:tc>
      </w:tr>
      <w:tr>
        <w:trPr>
          <w:trHeight w:val="581"/>
        </w:trPr>
        <w:tc>
          <w:tcPr>
            <w:tcW w:w="1232" w:type="pc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pPr>
              <w:keepNext/>
              <w:spacing w:after="0" w:line="240" w:lineRule="auto"/>
              <w:jc w:val="center"/>
              <w:textAlignment w:val="baseline"/>
              <w:rPr>
                <w:rFonts w:ascii="Times New Roman" w:eastAsia="Times New Roman" w:hAnsi="Times New Roman" w:cs="Times New Roman"/>
                <w:noProof/>
                <w:sz w:val="20"/>
                <w:szCs w:val="20"/>
                <w:lang w:eastAsia="fr-FR"/>
              </w:rPr>
            </w:pPr>
            <w:r>
              <w:rPr>
                <w:rFonts w:ascii="Times New Roman" w:eastAsia="Times New Roman" w:hAnsi="Times New Roman" w:cs="Times New Roman"/>
                <w:noProof/>
                <w:sz w:val="20"/>
                <w:szCs w:val="20"/>
                <w:lang w:eastAsia="fr-FR"/>
              </w:rPr>
              <w:t>Joint Pay Assessment (or Pay audit)</w:t>
            </w:r>
          </w:p>
        </w:tc>
        <w:tc>
          <w:tcPr>
            <w:tcW w:w="1812" w:type="pc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pPr>
              <w:keepNext/>
              <w:spacing w:after="0" w:line="240" w:lineRule="auto"/>
              <w:jc w:val="both"/>
              <w:textAlignment w:val="baseline"/>
              <w:rPr>
                <w:rFonts w:ascii="Times New Roman" w:eastAsia="Times New Roman" w:hAnsi="Times New Roman" w:cs="Times New Roman"/>
                <w:noProof/>
                <w:sz w:val="20"/>
                <w:szCs w:val="20"/>
                <w:lang w:val="fr-FR" w:eastAsia="fr-FR"/>
              </w:rPr>
            </w:pPr>
            <w:r>
              <w:rPr>
                <w:rFonts w:ascii="Times New Roman" w:eastAsia="Times New Roman" w:hAnsi="Times New Roman" w:cs="Times New Roman"/>
                <w:noProof/>
                <w:sz w:val="20"/>
                <w:szCs w:val="20"/>
                <w:lang w:val="fr-FR" w:eastAsia="fr-FR"/>
              </w:rPr>
              <w:t>BE, DK, DE, ES, FI, FR, PT, SE</w:t>
            </w:r>
          </w:p>
        </w:tc>
        <w:tc>
          <w:tcPr>
            <w:tcW w:w="1956" w:type="pc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pPr>
              <w:keepNext/>
              <w:spacing w:after="0" w:line="240" w:lineRule="auto"/>
              <w:jc w:val="both"/>
              <w:textAlignment w:val="baseline"/>
              <w:rPr>
                <w:rFonts w:ascii="Times New Roman" w:eastAsia="Times New Roman" w:hAnsi="Times New Roman" w:cs="Times New Roman"/>
                <w:noProof/>
                <w:sz w:val="20"/>
                <w:szCs w:val="20"/>
                <w:lang w:eastAsia="fr-FR"/>
              </w:rPr>
            </w:pPr>
            <w:r>
              <w:rPr>
                <w:rFonts w:ascii="Times New Roman" w:hAnsi="Times New Roman" w:cs="Times New Roman"/>
                <w:noProof/>
                <w:sz w:val="20"/>
                <w:szCs w:val="20"/>
              </w:rPr>
              <w:t>AT, BG, CY, CZ, EE, EL, HR, HU, IE, IT, LT, LU, LV, MT, NL, PL, RO, SI, SK</w:t>
            </w:r>
          </w:p>
        </w:tc>
      </w:tr>
    </w:tbl>
    <w:p>
      <w:pPr>
        <w:rPr>
          <w:rFonts w:ascii="Calibri" w:hAnsi="Calibri" w:cs="Calibri"/>
          <w:noProof/>
        </w:rPr>
      </w:pPr>
    </w:p>
    <w:p>
      <w:pPr>
        <w:pStyle w:val="Heading3"/>
        <w:numPr>
          <w:ilvl w:val="0"/>
          <w:numId w:val="57"/>
        </w:numPr>
        <w:ind w:left="426" w:hanging="426"/>
        <w:rPr>
          <w:b/>
          <w:noProof/>
        </w:rPr>
      </w:pPr>
      <w:r>
        <w:rPr>
          <w:noProof/>
          <w:lang w:val="en-US"/>
        </w:rPr>
        <w:br w:type="page"/>
      </w:r>
      <w:bookmarkStart w:id="7476" w:name="_Toc49527910"/>
      <w:bookmarkStart w:id="7477" w:name="_Toc49530032"/>
      <w:bookmarkStart w:id="7478" w:name="_Toc49530696"/>
      <w:bookmarkStart w:id="7479" w:name="_Toc49695995"/>
      <w:bookmarkStart w:id="7480" w:name="_Toc49532646"/>
      <w:bookmarkStart w:id="7481" w:name="_Toc49695818"/>
      <w:bookmarkStart w:id="7482" w:name="_Toc49805522"/>
      <w:r>
        <w:rPr>
          <w:b/>
          <w:noProof/>
        </w:rPr>
        <w:t>Theoretical outputs/outcomes/impacts of pay transparency</w:t>
      </w:r>
      <w:bookmarkEnd w:id="7476"/>
      <w:bookmarkEnd w:id="7477"/>
      <w:bookmarkEnd w:id="7478"/>
      <w:bookmarkEnd w:id="7479"/>
      <w:bookmarkEnd w:id="7480"/>
      <w:bookmarkEnd w:id="7481"/>
      <w:bookmarkEnd w:id="7482"/>
      <w:r>
        <w:rPr>
          <w:b/>
          <w:noProof/>
        </w:rPr>
        <w:t xml:space="preserve"> </w:t>
      </w:r>
    </w:p>
    <w:p>
      <w:pPr>
        <w:spacing w:line="240" w:lineRule="auto"/>
        <w:jc w:val="both"/>
        <w:rPr>
          <w:rFonts w:ascii="Times New Roman" w:hAnsi="Times New Roman" w:cs="Times New Roman"/>
          <w:noProof/>
          <w:sz w:val="24"/>
          <w:szCs w:val="24"/>
        </w:rPr>
      </w:pPr>
      <w:r>
        <w:rPr>
          <w:rStyle w:val="normaltextrun"/>
          <w:rFonts w:ascii="Times New Roman" w:hAnsi="Times New Roman" w:cs="Times New Roman"/>
          <w:noProof/>
          <w:sz w:val="24"/>
          <w:szCs w:val="24"/>
        </w:rPr>
        <w:t xml:space="preserve">Only few studies, mostly related to the Anglo-Saxon world, explore the impact of pay </w:t>
      </w:r>
      <w:r>
        <w:rPr>
          <w:rFonts w:ascii="Times New Roman" w:hAnsi="Times New Roman" w:cs="Times New Roman"/>
          <w:noProof/>
          <w:sz w:val="24"/>
          <w:szCs w:val="24"/>
        </w:rPr>
        <w:t>transparency</w:t>
      </w:r>
      <w:r>
        <w:rPr>
          <w:rStyle w:val="normaltextrun"/>
          <w:rFonts w:ascii="Times New Roman" w:hAnsi="Times New Roman" w:cs="Times New Roman"/>
          <w:noProof/>
          <w:sz w:val="24"/>
          <w:szCs w:val="24"/>
        </w:rPr>
        <w:t xml:space="preserve"> laws on employer and employee behaviour and outcomes and even less directly focus on the gender wage gap. </w:t>
      </w:r>
      <w:r>
        <w:rPr>
          <w:rStyle w:val="eop"/>
          <w:rFonts w:ascii="Times New Roman" w:hAnsi="Times New Roman" w:cs="Times New Roman"/>
          <w:noProof/>
          <w:sz w:val="24"/>
          <w:szCs w:val="24"/>
        </w:rPr>
        <w:t>Nevertheless, some studies find statistically significant reductions of around 2-3 p.p. of the reference gender wage gap due to pay transparency measures</w:t>
      </w:r>
      <w:r>
        <w:rPr>
          <w:rStyle w:val="FootnoteReference"/>
          <w:rFonts w:ascii="Times New Roman" w:hAnsi="Times New Roman" w:cs="Times New Roman"/>
          <w:noProof/>
          <w:sz w:val="24"/>
          <w:szCs w:val="24"/>
        </w:rPr>
        <w:footnoteReference w:id="220"/>
      </w:r>
      <w:r>
        <w:rPr>
          <w:rStyle w:val="eop"/>
          <w:rFonts w:ascii="Times New Roman" w:hAnsi="Times New Roman" w:cs="Times New Roman"/>
          <w:noProof/>
          <w:sz w:val="24"/>
          <w:szCs w:val="24"/>
        </w:rPr>
        <w:t xml:space="preserve">. </w:t>
      </w:r>
    </w:p>
    <w:p>
      <w:pPr>
        <w:spacing w:line="240" w:lineRule="auto"/>
        <w:jc w:val="both"/>
        <w:rPr>
          <w:rStyle w:val="eop"/>
          <w:rFonts w:ascii="Times New Roman" w:hAnsi="Times New Roman" w:cs="Times New Roman"/>
          <w:noProof/>
          <w:sz w:val="24"/>
          <w:szCs w:val="24"/>
        </w:rPr>
      </w:pPr>
      <w:r>
        <w:rPr>
          <w:rStyle w:val="eop"/>
          <w:rFonts w:ascii="Times New Roman" w:hAnsi="Times New Roman" w:cs="Times New Roman"/>
          <w:noProof/>
          <w:sz w:val="24"/>
          <w:szCs w:val="24"/>
        </w:rPr>
        <w:t xml:space="preserve">The literature review shows that the effect of transparency measures on the gender pay gap and firm outcomes is ultimately an empirical question. The effects depend on the kind of measure that is taken, the involved sanctions and their enforcement, the targeted group of workers, the institutional and labour market settings in the respective country, and the time window that is taken into consideration. </w:t>
      </w:r>
    </w:p>
    <w:p>
      <w:pPr>
        <w:pStyle w:val="paragraph"/>
        <w:spacing w:before="0" w:beforeAutospacing="0" w:after="0" w:afterAutospacing="0"/>
        <w:jc w:val="both"/>
        <w:textAlignment w:val="baseline"/>
        <w:rPr>
          <w:rStyle w:val="normaltextrun"/>
          <w:rFonts w:asciiTheme="minorHAnsi" w:eastAsiaTheme="minorEastAsia" w:hAnsiTheme="minorHAnsi" w:cstheme="minorBidi"/>
          <w:noProof/>
          <w:sz w:val="22"/>
          <w:szCs w:val="22"/>
          <w:lang w:val="en-GB" w:eastAsia="en-US"/>
        </w:rPr>
      </w:pPr>
      <w:r>
        <w:rPr>
          <w:rStyle w:val="normaltextrun"/>
          <w:noProof/>
          <w:lang w:val="en-GB"/>
        </w:rPr>
        <w:t>The expected effects can be tentatively summarised as follows:</w:t>
      </w:r>
    </w:p>
    <w:p>
      <w:pPr>
        <w:pStyle w:val="paragraph"/>
        <w:spacing w:before="0" w:beforeAutospacing="0" w:after="0" w:afterAutospacing="0"/>
        <w:jc w:val="both"/>
        <w:textAlignment w:val="baseline"/>
        <w:rPr>
          <w:rStyle w:val="normaltextrun"/>
          <w:noProof/>
          <w:lang w:val="en-GB"/>
        </w:rPr>
      </w:pPr>
    </w:p>
    <w:p>
      <w:pPr>
        <w:pStyle w:val="paragraph"/>
        <w:spacing w:before="0" w:beforeAutospacing="0" w:after="120" w:afterAutospacing="0"/>
        <w:jc w:val="both"/>
        <w:textAlignment w:val="baseline"/>
        <w:rPr>
          <w:noProof/>
          <w:lang w:val="en-GB"/>
        </w:rPr>
      </w:pPr>
      <w:r>
        <w:rPr>
          <w:rStyle w:val="normaltextrun"/>
          <w:b/>
          <w:bCs/>
          <w:noProof/>
          <w:lang w:val="en-GB"/>
        </w:rPr>
        <w:t>First, pay transparency should decrease the scope for taste-based discrimination</w:t>
      </w:r>
      <w:r>
        <w:rPr>
          <w:rStyle w:val="normaltextrun"/>
          <w:noProof/>
          <w:lang w:val="en-GB"/>
        </w:rPr>
        <w:t xml:space="preserve">. Since firms exhibiting large pay gaps are liable to suffer reputational damage in the eyes of consumers, investors and potential employees employers who ‘prefer’ to pay more a specific group suffer economic damages </w:t>
      </w:r>
      <w:r>
        <w:rPr>
          <w:noProof/>
          <w:lang w:val="en-GB"/>
        </w:rPr>
        <w:t>(Bryson, A., et al., 2020</w:t>
      </w:r>
      <w:r>
        <w:rPr>
          <w:rStyle w:val="FootnoteReference"/>
          <w:noProof/>
          <w:lang w:val="en-GB"/>
        </w:rPr>
        <w:footnoteReference w:id="221"/>
      </w:r>
      <w:r>
        <w:rPr>
          <w:noProof/>
          <w:lang w:val="en-GB"/>
        </w:rPr>
        <w:t>)</w:t>
      </w:r>
      <w:r>
        <w:rPr>
          <w:rStyle w:val="normaltextrun"/>
          <w:noProof/>
          <w:lang w:val="en-GB"/>
        </w:rPr>
        <w:t>.</w:t>
      </w:r>
      <w:r>
        <w:rPr>
          <w:rStyle w:val="eop"/>
          <w:noProof/>
          <w:lang w:val="en-GB"/>
        </w:rPr>
        <w:t xml:space="preserve"> </w:t>
      </w:r>
    </w:p>
    <w:p>
      <w:pPr>
        <w:pStyle w:val="paragraph"/>
        <w:spacing w:before="0" w:beforeAutospacing="0" w:after="120" w:afterAutospacing="0"/>
        <w:jc w:val="both"/>
        <w:textAlignment w:val="baseline"/>
        <w:rPr>
          <w:noProof/>
          <w:lang w:val="en-GB"/>
        </w:rPr>
      </w:pPr>
      <w:r>
        <w:rPr>
          <w:rStyle w:val="normaltextrun"/>
          <w:b/>
          <w:bCs/>
          <w:noProof/>
          <w:lang w:val="en-GB"/>
        </w:rPr>
        <w:t>Second, pay transparency arguably decreases the scope for statistical discrimination</w:t>
      </w:r>
      <w:r>
        <w:rPr>
          <w:rStyle w:val="normaltextrun"/>
          <w:noProof/>
          <w:lang w:val="en-GB"/>
        </w:rPr>
        <w:t>. Transparent mechanisms of wage setting will highlight wage determinant, e.g. tenure, type of education, skills particularly for managerial positions and, in the long term will see behavioural changes to unfold.</w:t>
      </w:r>
      <w:r>
        <w:rPr>
          <w:rStyle w:val="eop"/>
          <w:noProof/>
          <w:lang w:val="en-GB"/>
        </w:rPr>
        <w:t xml:space="preserve"> </w:t>
      </w:r>
    </w:p>
    <w:p>
      <w:pPr>
        <w:pStyle w:val="paragraph"/>
        <w:spacing w:before="0" w:beforeAutospacing="0" w:after="0" w:afterAutospacing="0"/>
        <w:jc w:val="both"/>
        <w:textAlignment w:val="baseline"/>
        <w:rPr>
          <w:noProof/>
          <w:lang w:val="en-GB"/>
        </w:rPr>
      </w:pPr>
      <w:r>
        <w:rPr>
          <w:rStyle w:val="normaltextrun"/>
          <w:b/>
          <w:bCs/>
          <w:noProof/>
          <w:lang w:val="en-GB"/>
        </w:rPr>
        <w:t>Third, pay transparency may combat wage discrimination in monopsonistic labour markets and</w:t>
      </w:r>
      <w:r>
        <w:rPr>
          <w:noProof/>
          <w:lang w:val="en-GB"/>
        </w:rPr>
        <w:t xml:space="preserve"> improve </w:t>
      </w:r>
      <w:r>
        <w:rPr>
          <w:b/>
          <w:noProof/>
          <w:lang w:val="en-GB"/>
        </w:rPr>
        <w:t>overall efﬁciency in labor markets</w:t>
      </w:r>
      <w:r>
        <w:rPr>
          <w:rStyle w:val="normaltextrun"/>
          <w:noProof/>
          <w:lang w:val="en-GB"/>
        </w:rPr>
        <w:t>. Information on wages that effectively circulates among peer workers can reveal monopolistic profits. Further, due to the fact that in monopsonistic markets, it is labour supply, not demand, that defines effective employment, female employment deductions in the course of reform-driven wage increases should be circumvented (depending on the structure of the local labour market).</w:t>
      </w:r>
      <w:r>
        <w:rPr>
          <w:rStyle w:val="eop"/>
          <w:noProof/>
          <w:lang w:val="en-GB"/>
        </w:rPr>
        <w:t xml:space="preserve"> This is because in general pay transparency should allow </w:t>
      </w:r>
      <w:r>
        <w:rPr>
          <w:noProof/>
          <w:lang w:val="en-GB"/>
        </w:rPr>
        <w:t xml:space="preserve">smarter job searching and improve the quality of job matches, and therefore it may lead to shorter unemployment spells for workers. Moreover, information about job application processes improves the </w:t>
      </w:r>
      <w:r>
        <w:rPr>
          <w:b/>
          <w:noProof/>
          <w:lang w:val="en-GB"/>
        </w:rPr>
        <w:t>diversity of applicant</w:t>
      </w:r>
      <w:r>
        <w:rPr>
          <w:noProof/>
          <w:lang w:val="en-GB"/>
        </w:rPr>
        <w:t xml:space="preserve"> pools by boosting in particular the number of female job applicants. </w:t>
      </w:r>
    </w:p>
    <w:p>
      <w:pPr>
        <w:pStyle w:val="paragraph"/>
        <w:spacing w:before="0" w:beforeAutospacing="0" w:after="120" w:afterAutospacing="0"/>
        <w:jc w:val="both"/>
        <w:textAlignment w:val="baseline"/>
        <w:rPr>
          <w:noProof/>
          <w:lang w:val="en-GB"/>
        </w:rPr>
      </w:pPr>
      <w:r>
        <w:rPr>
          <w:rStyle w:val="normaltextrun"/>
          <w:b/>
          <w:bCs/>
          <w:noProof/>
          <w:lang w:val="en-GB"/>
        </w:rPr>
        <w:t>Fourth</w:t>
      </w:r>
      <w:r>
        <w:rPr>
          <w:rStyle w:val="normaltextrun"/>
          <w:noProof/>
          <w:lang w:val="en-GB"/>
        </w:rPr>
        <w:t xml:space="preserve">, </w:t>
      </w:r>
      <w:r>
        <w:rPr>
          <w:rStyle w:val="normaltextrun"/>
          <w:b/>
          <w:bCs/>
          <w:noProof/>
          <w:lang w:val="en-GB"/>
        </w:rPr>
        <w:t>fairer compensation should in principle increase women’s attachment to the  labour market</w:t>
      </w:r>
      <w:r>
        <w:rPr>
          <w:rStyle w:val="normaltextrun"/>
          <w:noProof/>
          <w:lang w:val="en-GB"/>
        </w:rPr>
        <w:t xml:space="preserve"> in multiple dimensions (employment, hours of work and managerial positions).</w:t>
      </w:r>
    </w:p>
    <w:p>
      <w:pPr>
        <w:pStyle w:val="paragraph"/>
        <w:spacing w:before="0" w:beforeAutospacing="0" w:after="120" w:afterAutospacing="0"/>
        <w:jc w:val="both"/>
        <w:textAlignment w:val="baseline"/>
        <w:rPr>
          <w:noProof/>
          <w:lang w:val="en-GB"/>
        </w:rPr>
      </w:pPr>
      <w:r>
        <w:rPr>
          <w:rStyle w:val="normaltextrun"/>
          <w:noProof/>
          <w:lang w:val="en-GB"/>
        </w:rPr>
        <w:t xml:space="preserve">Theoretically, the design of the measures must include: full and anonymous disclosure, information on pay criteria and automatic disclosure. To reach the goal to reduce the gender wage gap, pay transparency measures have to be accompanied by policies that support women’s awareness on the matter and, second, equip them with better negotiation skills, as well as strong enforcement mechanisms. </w:t>
      </w:r>
      <w:r>
        <w:rPr>
          <w:rStyle w:val="eop"/>
          <w:noProof/>
          <w:lang w:val="en-GB"/>
        </w:rPr>
        <w:t>Moreover, i</w:t>
      </w:r>
      <w:r>
        <w:rPr>
          <w:rStyle w:val="normaltextrun"/>
          <w:noProof/>
          <w:lang w:val="en-GB"/>
        </w:rPr>
        <w:t>f well-designed, pay transparency measures could support other measures promoting gender equality in the labour market such as female quotas for board members or measures to better reconcile work and family tasks.</w:t>
      </w:r>
      <w:r>
        <w:rPr>
          <w:rStyle w:val="eop"/>
          <w:noProof/>
          <w:lang w:val="en-GB"/>
        </w:rPr>
        <w:t xml:space="preserve"> </w:t>
      </w:r>
    </w:p>
    <w:p>
      <w:pPr>
        <w:pStyle w:val="paragraph"/>
        <w:spacing w:before="0" w:beforeAutospacing="0" w:after="0" w:afterAutospacing="0"/>
        <w:jc w:val="both"/>
        <w:textAlignment w:val="baseline"/>
        <w:rPr>
          <w:noProof/>
          <w:lang w:val="en-GB"/>
        </w:rPr>
      </w:pPr>
      <w:r>
        <w:rPr>
          <w:noProof/>
          <w:lang w:val="en-GB"/>
        </w:rPr>
        <w:t xml:space="preserve">Finally, potential costs for companies are expected to be low and decreasing after initial years. Eurofound carried out a </w:t>
      </w:r>
      <w:r>
        <w:rPr>
          <w:rStyle w:val="normaltextrun"/>
          <w:noProof/>
          <w:lang w:val="en-GB"/>
        </w:rPr>
        <w:t>review</w:t>
      </w:r>
      <w:r>
        <w:rPr>
          <w:noProof/>
          <w:lang w:val="en-GB"/>
        </w:rPr>
        <w:t xml:space="preserve"> on these aspects that confirms this expectation based on a review among its network and targeted interviews. </w:t>
      </w:r>
    </w:p>
    <w:p>
      <w:pPr>
        <w:pStyle w:val="paragraph"/>
        <w:spacing w:before="0" w:beforeAutospacing="0" w:after="0" w:afterAutospacing="0"/>
        <w:jc w:val="both"/>
        <w:textAlignment w:val="baseline"/>
        <w:rPr>
          <w:noProof/>
          <w:lang w:val="en-GB"/>
        </w:rPr>
      </w:pPr>
    </w:p>
    <w:p>
      <w:pPr>
        <w:pStyle w:val="Heading3"/>
        <w:numPr>
          <w:ilvl w:val="0"/>
          <w:numId w:val="57"/>
        </w:numPr>
        <w:ind w:left="426" w:hanging="426"/>
        <w:rPr>
          <w:b/>
          <w:noProof/>
        </w:rPr>
      </w:pPr>
      <w:bookmarkStart w:id="7483" w:name="_Toc49527911"/>
      <w:bookmarkStart w:id="7484" w:name="_Toc49530033"/>
      <w:bookmarkStart w:id="7485" w:name="_Toc49530697"/>
      <w:bookmarkStart w:id="7486" w:name="_Toc49532647"/>
      <w:bookmarkStart w:id="7487" w:name="_Toc49695819"/>
      <w:bookmarkStart w:id="7488" w:name="_Toc49695996"/>
      <w:bookmarkStart w:id="7489" w:name="_Toc49805523"/>
      <w:r>
        <w:rPr>
          <w:b/>
          <w:noProof/>
        </w:rPr>
        <w:t>Behavioural effects of pay transparency</w:t>
      </w:r>
      <w:bookmarkEnd w:id="7483"/>
      <w:bookmarkEnd w:id="7484"/>
      <w:bookmarkEnd w:id="7485"/>
      <w:bookmarkEnd w:id="7486"/>
      <w:bookmarkEnd w:id="7487"/>
      <w:bookmarkEnd w:id="7488"/>
      <w:bookmarkEnd w:id="7489"/>
    </w:p>
    <w:p>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By favouring unawareness, pay opacity influences employees behaviour e.g. as for salary/rise negotiations and acceptance of a lower wage, also depending on their risk aversion (Eckel and Shurchkov, 2018</w:t>
      </w:r>
      <w:r>
        <w:rPr>
          <w:rStyle w:val="FootnoteReference"/>
          <w:rFonts w:ascii="Times New Roman" w:eastAsia="Times New Roman" w:hAnsi="Times New Roman" w:cs="Times New Roman"/>
          <w:noProof/>
          <w:sz w:val="24"/>
          <w:szCs w:val="24"/>
        </w:rPr>
        <w:footnoteReference w:id="222"/>
      </w:r>
      <w:r>
        <w:rPr>
          <w:rFonts w:ascii="Times New Roman" w:eastAsia="Times New Roman" w:hAnsi="Times New Roman" w:cs="Times New Roman"/>
          <w:noProof/>
          <w:sz w:val="24"/>
          <w:szCs w:val="24"/>
        </w:rPr>
        <w:t>, Kim, 2015; Burn and Kettler, 2019</w:t>
      </w:r>
      <w:r>
        <w:rPr>
          <w:rStyle w:val="FootnoteReference"/>
          <w:rFonts w:ascii="Times New Roman" w:eastAsia="Times New Roman" w:hAnsi="Times New Roman" w:cs="Times New Roman"/>
          <w:noProof/>
          <w:sz w:val="24"/>
          <w:szCs w:val="24"/>
        </w:rPr>
        <w:footnoteReference w:id="223"/>
      </w:r>
      <w:r>
        <w:rPr>
          <w:rFonts w:ascii="Times New Roman" w:eastAsia="Times New Roman" w:hAnsi="Times New Roman" w:cs="Times New Roman"/>
          <w:noProof/>
          <w:sz w:val="24"/>
          <w:szCs w:val="24"/>
        </w:rPr>
        <w:t xml:space="preserve">; Bennedsen et al., 2019). Experimental bargaining studies show that offers become more egalitarian under transparency </w:t>
      </w:r>
      <w:r>
        <w:rPr>
          <w:rFonts w:ascii="Times New Roman" w:hAnsi="Times New Roman" w:cs="Times New Roman"/>
          <w:noProof/>
          <w:sz w:val="24"/>
          <w:szCs w:val="24"/>
        </w:rPr>
        <w:t>(Bohnet and Zeckhauser, 2004</w:t>
      </w:r>
      <w:r>
        <w:rPr>
          <w:rStyle w:val="FootnoteReference"/>
          <w:rFonts w:ascii="Times New Roman" w:hAnsi="Times New Roman" w:cs="Times New Roman"/>
          <w:noProof/>
          <w:sz w:val="24"/>
          <w:szCs w:val="24"/>
        </w:rPr>
        <w:footnoteReference w:id="224"/>
      </w:r>
      <w:r>
        <w:rPr>
          <w:rFonts w:ascii="Times New Roman" w:hAnsi="Times New Roman" w:cs="Times New Roman"/>
          <w:noProof/>
          <w:sz w:val="24"/>
          <w:szCs w:val="24"/>
        </w:rPr>
        <w:t xml:space="preserve">; </w:t>
      </w:r>
      <w:r>
        <w:rPr>
          <w:rFonts w:ascii="Times New Roman" w:eastAsia="Times New Roman" w:hAnsi="Times New Roman" w:cs="Times New Roman"/>
          <w:noProof/>
          <w:sz w:val="24"/>
          <w:szCs w:val="24"/>
        </w:rPr>
        <w:t>Cullen and Pakzad-Hurson, 2019)</w:t>
      </w:r>
      <w:r>
        <w:rPr>
          <w:rFonts w:ascii="Times New Roman" w:hAnsi="Times New Roman" w:cs="Times New Roman"/>
          <w:noProof/>
          <w:sz w:val="24"/>
          <w:szCs w:val="24"/>
          <w:shd w:val="clear" w:color="auto" w:fill="FFFFFF"/>
        </w:rPr>
        <w:t>.</w:t>
      </w:r>
      <w:r>
        <w:rPr>
          <w:rFonts w:ascii="Times New Roman" w:eastAsia="Times New Roman" w:hAnsi="Times New Roman" w:cs="Times New Roman"/>
          <w:noProof/>
          <w:sz w:val="24"/>
          <w:szCs w:val="24"/>
        </w:rPr>
        <w:t xml:space="preserve"> Measures mandating the employers to report gender pay information publicly seems the most effective in terms of wage offers and the implementation of transparency measures (</w:t>
      </w:r>
      <w:r>
        <w:rPr>
          <w:rFonts w:ascii="Times New Roman" w:hAnsi="Times New Roman" w:cs="Times New Roman"/>
          <w:noProof/>
          <w:sz w:val="24"/>
          <w:szCs w:val="24"/>
        </w:rPr>
        <w:t>Werner, 2019</w:t>
      </w:r>
      <w:r>
        <w:rPr>
          <w:rStyle w:val="FootnoteReference"/>
          <w:rFonts w:ascii="Times New Roman" w:hAnsi="Times New Roman" w:cs="Times New Roman"/>
          <w:noProof/>
          <w:sz w:val="24"/>
          <w:szCs w:val="24"/>
        </w:rPr>
        <w:footnoteReference w:id="225"/>
      </w:r>
      <w:r>
        <w:rPr>
          <w:rFonts w:ascii="Times New Roman" w:hAnsi="Times New Roman" w:cs="Times New Roman"/>
          <w:noProof/>
          <w:sz w:val="24"/>
          <w:szCs w:val="24"/>
        </w:rPr>
        <w:t>)</w:t>
      </w:r>
      <w:r>
        <w:rPr>
          <w:rFonts w:ascii="Times New Roman" w:eastAsia="Times New Roman" w:hAnsi="Times New Roman" w:cs="Times New Roman"/>
          <w:noProof/>
          <w:sz w:val="24"/>
          <w:szCs w:val="24"/>
        </w:rPr>
        <w:t>.</w:t>
      </w:r>
    </w:p>
    <w:p>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Pay transparency measures enable workers to observe discriminatory pay. The workers who become aware that they receive a lower wage than co-workers might reduce their effort level </w:t>
      </w:r>
      <w:r>
        <w:rPr>
          <w:rFonts w:ascii="Times New Roman" w:hAnsi="Times New Roman" w:cs="Times New Roman"/>
          <w:noProof/>
          <w:sz w:val="24"/>
          <w:szCs w:val="24"/>
        </w:rPr>
        <w:t>(Clark et al., 2010</w:t>
      </w:r>
      <w:r>
        <w:rPr>
          <w:rStyle w:val="FootnoteReference"/>
          <w:rFonts w:ascii="Times New Roman" w:hAnsi="Times New Roman" w:cs="Times New Roman"/>
          <w:noProof/>
          <w:sz w:val="24"/>
          <w:szCs w:val="24"/>
        </w:rPr>
        <w:footnoteReference w:id="226"/>
      </w:r>
      <w:r>
        <w:rPr>
          <w:rFonts w:ascii="Times New Roman" w:hAnsi="Times New Roman" w:cs="Times New Roman"/>
          <w:noProof/>
          <w:sz w:val="24"/>
          <w:szCs w:val="24"/>
        </w:rPr>
        <w:t>; Gächterand Thöni, 2010</w:t>
      </w:r>
      <w:r>
        <w:rPr>
          <w:rStyle w:val="FootnoteReference"/>
          <w:rFonts w:ascii="Times New Roman" w:hAnsi="Times New Roman" w:cs="Times New Roman"/>
          <w:noProof/>
          <w:sz w:val="24"/>
          <w:szCs w:val="24"/>
        </w:rPr>
        <w:footnoteReference w:id="227"/>
      </w:r>
      <w:r>
        <w:rPr>
          <w:rFonts w:ascii="Times New Roman" w:hAnsi="Times New Roman" w:cs="Times New Roman"/>
          <w:noProof/>
          <w:sz w:val="24"/>
          <w:szCs w:val="24"/>
        </w:rPr>
        <w:t>; Greiner et al., 2011</w:t>
      </w:r>
      <w:r>
        <w:rPr>
          <w:rStyle w:val="FootnoteReference"/>
          <w:rFonts w:ascii="Times New Roman" w:hAnsi="Times New Roman" w:cs="Times New Roman"/>
          <w:noProof/>
          <w:sz w:val="24"/>
          <w:szCs w:val="24"/>
        </w:rPr>
        <w:footnoteReference w:id="228"/>
      </w:r>
      <w:r>
        <w:rPr>
          <w:rFonts w:ascii="Times New Roman" w:hAnsi="Times New Roman" w:cs="Times New Roman"/>
          <w:noProof/>
          <w:sz w:val="24"/>
          <w:szCs w:val="24"/>
        </w:rPr>
        <w:t>; Charness et al., 2016</w:t>
      </w:r>
      <w:r>
        <w:rPr>
          <w:rStyle w:val="FootnoteReference"/>
          <w:rFonts w:ascii="Times New Roman" w:hAnsi="Times New Roman" w:cs="Times New Roman"/>
          <w:noProof/>
          <w:sz w:val="24"/>
          <w:szCs w:val="24"/>
        </w:rPr>
        <w:footnoteReference w:id="229"/>
      </w:r>
      <w:r>
        <w:rPr>
          <w:rFonts w:ascii="Times New Roman" w:hAnsi="Times New Roman" w:cs="Times New Roman"/>
          <w:noProof/>
          <w:sz w:val="24"/>
          <w:szCs w:val="24"/>
        </w:rPr>
        <w:t>)</w:t>
      </w:r>
      <w:r>
        <w:rPr>
          <w:rFonts w:ascii="Times New Roman" w:eastAsia="Times New Roman" w:hAnsi="Times New Roman" w:cs="Times New Roman"/>
          <w:noProof/>
          <w:sz w:val="24"/>
          <w:szCs w:val="24"/>
        </w:rPr>
        <w:t xml:space="preserve"> and labor supply </w:t>
      </w:r>
      <w:r>
        <w:rPr>
          <w:rFonts w:ascii="Times New Roman" w:hAnsi="Times New Roman" w:cs="Times New Roman"/>
          <w:noProof/>
          <w:sz w:val="24"/>
          <w:szCs w:val="24"/>
        </w:rPr>
        <w:t>(Bracha et al., 2015</w:t>
      </w:r>
      <w:r>
        <w:rPr>
          <w:rStyle w:val="FootnoteReference"/>
          <w:rFonts w:ascii="Times New Roman" w:hAnsi="Times New Roman" w:cs="Times New Roman"/>
          <w:noProof/>
          <w:sz w:val="24"/>
          <w:szCs w:val="24"/>
        </w:rPr>
        <w:footnoteReference w:id="230"/>
      </w:r>
      <w:r>
        <w:rPr>
          <w:rFonts w:ascii="Times New Roman" w:hAnsi="Times New Roman" w:cs="Times New Roman"/>
          <w:noProof/>
          <w:sz w:val="24"/>
          <w:szCs w:val="24"/>
        </w:rPr>
        <w:t>; Bosmans et al., 2020</w:t>
      </w:r>
      <w:r>
        <w:rPr>
          <w:rStyle w:val="FootnoteReference"/>
          <w:rFonts w:ascii="Times New Roman" w:hAnsi="Times New Roman" w:cs="Times New Roman"/>
          <w:noProof/>
          <w:sz w:val="24"/>
          <w:szCs w:val="24"/>
        </w:rPr>
        <w:footnoteReference w:id="231"/>
      </w:r>
      <w:r>
        <w:rPr>
          <w:rFonts w:ascii="Times New Roman" w:hAnsi="Times New Roman" w:cs="Times New Roman"/>
          <w:noProof/>
          <w:sz w:val="24"/>
          <w:szCs w:val="24"/>
        </w:rPr>
        <w:t>)</w:t>
      </w:r>
      <w:r>
        <w:rPr>
          <w:rFonts w:ascii="Times New Roman" w:eastAsia="Times New Roman" w:hAnsi="Times New Roman" w:cs="Times New Roman"/>
          <w:noProof/>
          <w:sz w:val="24"/>
          <w:szCs w:val="24"/>
        </w:rPr>
        <w:t xml:space="preserve">. They also become more likely to quit </w:t>
      </w:r>
      <w:r>
        <w:rPr>
          <w:rFonts w:ascii="Times New Roman" w:hAnsi="Times New Roman" w:cs="Times New Roman"/>
          <w:noProof/>
          <w:sz w:val="24"/>
          <w:szCs w:val="24"/>
        </w:rPr>
        <w:t>(Card, et al., 2012</w:t>
      </w:r>
      <w:r>
        <w:rPr>
          <w:rStyle w:val="FootnoteReference"/>
          <w:rFonts w:ascii="Times New Roman" w:hAnsi="Times New Roman" w:cs="Times New Roman"/>
          <w:noProof/>
          <w:sz w:val="24"/>
          <w:szCs w:val="24"/>
        </w:rPr>
        <w:footnoteReference w:id="232"/>
      </w:r>
      <w:r>
        <w:rPr>
          <w:rFonts w:ascii="Times New Roman" w:hAnsi="Times New Roman" w:cs="Times New Roman"/>
          <w:noProof/>
          <w:sz w:val="24"/>
          <w:szCs w:val="24"/>
        </w:rPr>
        <w:t xml:space="preserve">) </w:t>
      </w:r>
      <w:r>
        <w:rPr>
          <w:rFonts w:ascii="Times New Roman" w:eastAsia="Times New Roman" w:hAnsi="Times New Roman" w:cs="Times New Roman"/>
          <w:noProof/>
          <w:sz w:val="24"/>
          <w:szCs w:val="24"/>
        </w:rPr>
        <w:t xml:space="preserve">or initiate collusion with colleagues </w:t>
      </w:r>
      <w:r>
        <w:rPr>
          <w:rFonts w:ascii="Times New Roman" w:hAnsi="Times New Roman" w:cs="Times New Roman"/>
          <w:noProof/>
          <w:sz w:val="24"/>
          <w:szCs w:val="24"/>
        </w:rPr>
        <w:t>(Maas and Yin, 2018</w:t>
      </w:r>
      <w:r>
        <w:rPr>
          <w:rStyle w:val="FootnoteReference"/>
          <w:rFonts w:ascii="Times New Roman" w:hAnsi="Times New Roman" w:cs="Times New Roman"/>
          <w:noProof/>
          <w:sz w:val="24"/>
          <w:szCs w:val="24"/>
        </w:rPr>
        <w:footnoteReference w:id="233"/>
      </w:r>
      <w:r>
        <w:rPr>
          <w:rFonts w:ascii="Times New Roman" w:hAnsi="Times New Roman" w:cs="Times New Roman"/>
          <w:noProof/>
          <w:sz w:val="24"/>
          <w:szCs w:val="24"/>
        </w:rPr>
        <w:t>)</w:t>
      </w:r>
      <w:r>
        <w:rPr>
          <w:rFonts w:ascii="Times New Roman" w:eastAsia="Times New Roman" w:hAnsi="Times New Roman" w:cs="Times New Roman"/>
          <w:noProof/>
          <w:sz w:val="24"/>
          <w:szCs w:val="24"/>
        </w:rPr>
        <w:t xml:space="preserve">. The transparency of pay disparity also harms cooperation among peers </w:t>
      </w:r>
      <w:r>
        <w:rPr>
          <w:rFonts w:ascii="Times New Roman" w:hAnsi="Times New Roman" w:cs="Times New Roman"/>
          <w:noProof/>
          <w:sz w:val="24"/>
          <w:szCs w:val="24"/>
        </w:rPr>
        <w:t>(Breza et al., 2018</w:t>
      </w:r>
      <w:r>
        <w:rPr>
          <w:rStyle w:val="FootnoteReference"/>
          <w:rFonts w:ascii="Times New Roman" w:hAnsi="Times New Roman" w:cs="Times New Roman"/>
          <w:noProof/>
          <w:sz w:val="24"/>
          <w:szCs w:val="24"/>
        </w:rPr>
        <w:footnoteReference w:id="234"/>
      </w:r>
      <w:r>
        <w:rPr>
          <w:rFonts w:ascii="Times New Roman" w:hAnsi="Times New Roman" w:cs="Times New Roman"/>
          <w:noProof/>
          <w:sz w:val="24"/>
          <w:szCs w:val="24"/>
        </w:rPr>
        <w:t>; Bamberger and Belogolovsky, 2017</w:t>
      </w:r>
      <w:r>
        <w:rPr>
          <w:rStyle w:val="FootnoteReference"/>
          <w:rFonts w:ascii="Times New Roman" w:hAnsi="Times New Roman" w:cs="Times New Roman"/>
          <w:noProof/>
          <w:sz w:val="24"/>
          <w:szCs w:val="24"/>
        </w:rPr>
        <w:footnoteReference w:id="235"/>
      </w:r>
      <w:r>
        <w:rPr>
          <w:rFonts w:ascii="Times New Roman" w:hAnsi="Times New Roman" w:cs="Times New Roman"/>
          <w:noProof/>
          <w:sz w:val="24"/>
          <w:szCs w:val="24"/>
        </w:rPr>
        <w:t>)</w:t>
      </w:r>
      <w:r>
        <w:rPr>
          <w:rFonts w:ascii="Times New Roman" w:eastAsia="Times New Roman" w:hAnsi="Times New Roman" w:cs="Times New Roman"/>
          <w:noProof/>
          <w:sz w:val="24"/>
          <w:szCs w:val="24"/>
        </w:rPr>
        <w:t>. However, since the evidence indicate that pay transparency encourages employers to offer equal wages, we speculate that the adverse impact of the policy that emerges due to the observed discrimination may disappear in the long run.</w:t>
      </w:r>
    </w:p>
    <w:p>
      <w:pPr>
        <w:spacing w:line="240" w:lineRule="auto"/>
        <w:jc w:val="both"/>
        <w:rPr>
          <w:noProof/>
        </w:rPr>
      </w:pPr>
      <w:r>
        <w:rPr>
          <w:rFonts w:ascii="Times New Roman" w:hAnsi="Times New Roman" w:cs="Times New Roman"/>
          <w:noProof/>
          <w:sz w:val="24"/>
          <w:szCs w:val="24"/>
        </w:rPr>
        <w:t>Fair compensation practices increase the reputational capital of companies and facilitate attracting and retaining the best talent, avoding the costs of high turnover</w:t>
      </w:r>
      <w:r>
        <w:rPr>
          <w:rStyle w:val="FootnoteReference"/>
          <w:rFonts w:ascii="Times New Roman" w:hAnsi="Times New Roman" w:cs="Times New Roman"/>
          <w:noProof/>
          <w:sz w:val="24"/>
          <w:szCs w:val="24"/>
        </w:rPr>
        <w:footnoteReference w:id="236"/>
      </w:r>
      <w:r>
        <w:rPr>
          <w:rFonts w:ascii="Times New Roman" w:hAnsi="Times New Roman" w:cs="Times New Roman"/>
          <w:noProof/>
          <w:sz w:val="24"/>
          <w:szCs w:val="24"/>
        </w:rPr>
        <w:t>. Employees can accept differences in pay if these are explained to them in a fair context of clear information sharing on the criteria behind remuneration. The literature in the compensation field supports salary transparency because it has been found to foster greater trust in management, enhance employee engagement, encourage extra effort by employees, reduce turnover, and contribute to competitive advantage in the labour market.</w:t>
      </w:r>
      <w:r>
        <w:rPr>
          <w:rStyle w:val="FootnoteReference"/>
          <w:noProof/>
        </w:rPr>
        <w:footnoteReference w:id="237"/>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Employees that feel they receive a fair compensation will feel valued and likely to be more productive.</w:t>
      </w:r>
      <w:r>
        <w:rPr>
          <w:noProof/>
          <w:vertAlign w:val="superscript"/>
        </w:rPr>
        <w:footnoteReference w:id="238"/>
      </w:r>
      <w:r>
        <w:rPr>
          <w:noProof/>
          <w:vertAlign w:val="superscript"/>
        </w:rPr>
        <w:t>-</w:t>
      </w:r>
      <w:r>
        <w:rPr>
          <w:rStyle w:val="FootnoteReference"/>
          <w:noProof/>
        </w:rPr>
        <w:footnoteReference w:id="239"/>
      </w:r>
      <w:r>
        <w:rPr>
          <w:rFonts w:ascii="Times New Roman" w:hAnsi="Times New Roman" w:cs="Times New Roman"/>
          <w:noProof/>
          <w:sz w:val="24"/>
          <w:szCs w:val="24"/>
        </w:rPr>
        <w:t xml:space="preserve"> </w:t>
      </w:r>
      <w:r>
        <w:rPr>
          <w:rFonts w:ascii="Times New Roman" w:hAnsi="Times New Roman" w:cs="Times New Roman"/>
          <w:noProof/>
          <w:color w:val="000000" w:themeColor="text1"/>
          <w:sz w:val="24"/>
          <w:szCs w:val="24"/>
        </w:rPr>
        <w:t>A large survey by PayScale (71,000 U.S. employees) found that workers who are paid less than the market rate for their jobs were more satisfied if their employer was transparent about their pay, even more if someone talked to them about compensation and the reasoning behind it: their job satisfaction doubled, rising from 40 percent to 82 percent.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Pay confidentiality erodes trust in the management: employees might question the wage distribution even if it is fair, i.e. accurately reflects differences in productivity. As a consequence, their motivation can be affected. Moreover, this inefficiency on the labour market will prevent employees to maximise their value on the market and the employer to find the best fit for the job.</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On the other hand, pay confidentiality makes it easier for companies to avoid direct conflicts and HR managers will not feel compelled to keep pay differences artificially low and maintain a larger margin to compensate the top talents. Indeed, high performers desire pay confidentiality more than low performers (Schuster&amp; Colletti, 1973</w:t>
      </w:r>
      <w:r>
        <w:rPr>
          <w:rStyle w:val="FootnoteReference"/>
          <w:rFonts w:ascii="Times New Roman" w:hAnsi="Times New Roman" w:cs="Times New Roman"/>
          <w:noProof/>
          <w:sz w:val="24"/>
          <w:szCs w:val="24"/>
        </w:rPr>
        <w:footnoteReference w:id="240"/>
      </w:r>
      <w:r>
        <w:rPr>
          <w:rFonts w:ascii="Times New Roman" w:hAnsi="Times New Roman" w:cs="Times New Roman"/>
          <w:noProof/>
          <w:sz w:val="24"/>
          <w:szCs w:val="24"/>
        </w:rPr>
        <w:t>) because they think to be (rightly) paid more than others, and want to avoid conflicts (and are not interested in other salaries because they think those are lower). For the same reasons, they prefer avoiding shrinking of the wage range (again because they think to be on the upper end). Finally, for very specialised companies, pay confidentiality can reduce turn-over and improve the return of costly specialised training; on the other side, employees with firm specific skills (that cannot be sold outside) will not find comparable pay information on the market and therefore can only guess that they are being paid fairly.</w:t>
      </w:r>
    </w:p>
    <w:p>
      <w:pPr>
        <w:pStyle w:val="Heading3"/>
        <w:numPr>
          <w:ilvl w:val="0"/>
          <w:numId w:val="57"/>
        </w:numPr>
        <w:ind w:left="426" w:hanging="426"/>
        <w:rPr>
          <w:b/>
          <w:noProof/>
        </w:rPr>
      </w:pPr>
      <w:bookmarkStart w:id="7490" w:name="_Toc49527912"/>
      <w:bookmarkStart w:id="7491" w:name="_Toc49530034"/>
      <w:bookmarkStart w:id="7492" w:name="_Toc49530698"/>
      <w:bookmarkStart w:id="7493" w:name="_Toc49532648"/>
      <w:bookmarkStart w:id="7494" w:name="_Toc49695820"/>
      <w:bookmarkStart w:id="7495" w:name="_Toc49695997"/>
      <w:bookmarkStart w:id="7496" w:name="_Toc49805524"/>
      <w:r>
        <w:rPr>
          <w:b/>
          <w:noProof/>
        </w:rPr>
        <w:t>Summary</w:t>
      </w:r>
      <w:r>
        <w:rPr>
          <w:noProof/>
        </w:rPr>
        <w:t xml:space="preserve"> </w:t>
      </w:r>
      <w:r>
        <w:rPr>
          <w:b/>
          <w:noProof/>
        </w:rPr>
        <w:t>of trends pre- and post-COVID-19 crisis</w:t>
      </w:r>
      <w:bookmarkEnd w:id="7490"/>
      <w:bookmarkEnd w:id="7491"/>
      <w:bookmarkEnd w:id="7492"/>
      <w:bookmarkEnd w:id="7493"/>
      <w:bookmarkEnd w:id="7494"/>
      <w:bookmarkEnd w:id="7495"/>
      <w:bookmarkEnd w:id="7496"/>
    </w:p>
    <w:p>
      <w:pPr>
        <w:spacing w:after="0" w:line="240" w:lineRule="auto"/>
        <w:jc w:val="both"/>
        <w:textAlignment w:val="baseline"/>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Trends pre and post-COVID pandemic in female pay and employment and in women’s potential contributions to more resilient and productive societies</w:t>
      </w:r>
      <w:r>
        <w:rPr>
          <w:rFonts w:ascii="Calibri" w:eastAsia="Times New Roman" w:hAnsi="Calibri" w:cs="Calibri"/>
          <w:noProof/>
          <w:lang w:eastAsia="fr-FR"/>
        </w:rPr>
        <w:t xml:space="preserve"> </w:t>
      </w:r>
    </w:p>
    <w:p>
      <w:pPr>
        <w:spacing w:after="0" w:line="240" w:lineRule="auto"/>
        <w:jc w:val="both"/>
        <w:textAlignment w:val="baseline"/>
        <w:rPr>
          <w:rFonts w:ascii="Segoe UI" w:eastAsia="Times New Roman" w:hAnsi="Segoe UI" w:cs="Segoe UI"/>
          <w:noProof/>
          <w:sz w:val="18"/>
          <w:szCs w:val="18"/>
          <w:lang w:eastAsia="fr-FR"/>
        </w:rPr>
      </w:pPr>
    </w:p>
    <w:tbl>
      <w:tblPr>
        <w:tblW w:w="860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2"/>
        <w:gridCol w:w="3780"/>
        <w:gridCol w:w="3270"/>
      </w:tblGrid>
      <w:tr>
        <w:tc>
          <w:tcPr>
            <w:tcW w:w="1552" w:type="dxa"/>
            <w:tcBorders>
              <w:top w:val="single" w:sz="6" w:space="0" w:color="auto"/>
              <w:left w:val="single" w:sz="6" w:space="0" w:color="auto"/>
              <w:bottom w:val="single" w:sz="6" w:space="0" w:color="auto"/>
              <w:right w:val="single" w:sz="6" w:space="0" w:color="auto"/>
            </w:tcBorders>
            <w:shd w:val="clear" w:color="auto" w:fill="9BBB59" w:themeFill="accent3"/>
            <w:tcMar>
              <w:top w:w="57" w:type="dxa"/>
              <w:left w:w="57" w:type="dxa"/>
              <w:bottom w:w="57" w:type="dxa"/>
              <w:right w:w="57" w:type="dxa"/>
            </w:tcMar>
            <w:hideMark/>
          </w:tcPr>
          <w:p>
            <w:pPr>
              <w:spacing w:after="0" w:line="240" w:lineRule="auto"/>
              <w:ind w:left="360"/>
              <w:textAlignment w:val="baseline"/>
              <w:rPr>
                <w:rFonts w:ascii="Times New Roman" w:eastAsia="Times New Roman" w:hAnsi="Times New Roman" w:cs="Times New Roman"/>
                <w:noProof/>
                <w:sz w:val="20"/>
                <w:szCs w:val="20"/>
                <w:lang w:eastAsia="fr-FR"/>
              </w:rPr>
            </w:pPr>
          </w:p>
        </w:tc>
        <w:tc>
          <w:tcPr>
            <w:tcW w:w="3780" w:type="dxa"/>
            <w:tcBorders>
              <w:top w:val="single" w:sz="6" w:space="0" w:color="auto"/>
              <w:left w:val="nil"/>
              <w:bottom w:val="single" w:sz="6" w:space="0" w:color="auto"/>
              <w:right w:val="single" w:sz="6" w:space="0" w:color="auto"/>
            </w:tcBorders>
            <w:shd w:val="clear" w:color="auto" w:fill="9BBB59" w:themeFill="accent3"/>
            <w:tcMar>
              <w:top w:w="57" w:type="dxa"/>
              <w:left w:w="57" w:type="dxa"/>
              <w:bottom w:w="57" w:type="dxa"/>
              <w:right w:w="57" w:type="dxa"/>
            </w:tcMar>
            <w:hideMark/>
          </w:tcPr>
          <w:p>
            <w:pPr>
              <w:spacing w:after="0" w:line="240" w:lineRule="auto"/>
              <w:jc w:val="center"/>
              <w:textAlignment w:val="baseline"/>
              <w:rPr>
                <w:rFonts w:ascii="Times New Roman" w:eastAsia="Times New Roman" w:hAnsi="Times New Roman" w:cs="Times New Roman"/>
                <w:noProof/>
                <w:sz w:val="20"/>
                <w:szCs w:val="20"/>
                <w:lang w:eastAsia="fr-FR"/>
              </w:rPr>
            </w:pPr>
            <w:r>
              <w:rPr>
                <w:rFonts w:ascii="Times New Roman" w:eastAsia="Times New Roman" w:hAnsi="Times New Roman" w:cs="Times New Roman"/>
                <w:noProof/>
                <w:sz w:val="20"/>
                <w:szCs w:val="20"/>
                <w:lang w:eastAsia="fr-FR"/>
              </w:rPr>
              <w:t>Pre COVID-19 pandemic</w:t>
            </w:r>
          </w:p>
        </w:tc>
        <w:tc>
          <w:tcPr>
            <w:tcW w:w="3270" w:type="dxa"/>
            <w:tcBorders>
              <w:top w:val="single" w:sz="6" w:space="0" w:color="auto"/>
              <w:left w:val="nil"/>
              <w:bottom w:val="single" w:sz="6" w:space="0" w:color="auto"/>
              <w:right w:val="single" w:sz="6" w:space="0" w:color="auto"/>
            </w:tcBorders>
            <w:shd w:val="clear" w:color="auto" w:fill="9BBB59" w:themeFill="accent3"/>
            <w:tcMar>
              <w:top w:w="57" w:type="dxa"/>
              <w:left w:w="57" w:type="dxa"/>
              <w:bottom w:w="57" w:type="dxa"/>
              <w:right w:w="57" w:type="dxa"/>
            </w:tcMar>
            <w:hideMark/>
          </w:tcPr>
          <w:p>
            <w:pPr>
              <w:spacing w:after="0" w:line="240" w:lineRule="auto"/>
              <w:jc w:val="center"/>
              <w:textAlignment w:val="baseline"/>
              <w:rPr>
                <w:rFonts w:ascii="Times New Roman" w:eastAsia="Times New Roman" w:hAnsi="Times New Roman" w:cs="Times New Roman"/>
                <w:noProof/>
                <w:sz w:val="20"/>
                <w:szCs w:val="20"/>
                <w:lang w:eastAsia="fr-FR"/>
              </w:rPr>
            </w:pPr>
            <w:r>
              <w:rPr>
                <w:rFonts w:ascii="Times New Roman" w:eastAsia="Times New Roman" w:hAnsi="Times New Roman" w:cs="Times New Roman"/>
                <w:noProof/>
                <w:sz w:val="20"/>
                <w:szCs w:val="20"/>
                <w:lang w:eastAsia="fr-FR"/>
              </w:rPr>
              <w:t>Post COVID-19 pandemic</w:t>
            </w:r>
          </w:p>
        </w:tc>
      </w:tr>
      <w:tr>
        <w:tc>
          <w:tcPr>
            <w:tcW w:w="8602" w:type="dxa"/>
            <w:gridSpan w:val="3"/>
            <w:tcBorders>
              <w:top w:val="nil"/>
              <w:left w:val="single" w:sz="6" w:space="0" w:color="auto"/>
              <w:bottom w:val="single" w:sz="6" w:space="0" w:color="auto"/>
              <w:right w:val="single" w:sz="6" w:space="0" w:color="auto"/>
            </w:tcBorders>
            <w:shd w:val="clear" w:color="auto" w:fill="C2D69B" w:themeFill="accent3" w:themeFillTint="99"/>
            <w:tcMar>
              <w:top w:w="57" w:type="dxa"/>
              <w:left w:w="57" w:type="dxa"/>
              <w:bottom w:w="57" w:type="dxa"/>
              <w:right w:w="57" w:type="dxa"/>
            </w:tcMar>
            <w:hideMark/>
          </w:tcPr>
          <w:p>
            <w:pPr>
              <w:numPr>
                <w:ilvl w:val="0"/>
                <w:numId w:val="2"/>
              </w:numPr>
              <w:spacing w:after="0" w:line="240" w:lineRule="auto"/>
              <w:jc w:val="both"/>
              <w:textAlignment w:val="baseline"/>
              <w:rPr>
                <w:rFonts w:ascii="Times New Roman" w:eastAsia="Times New Roman" w:hAnsi="Times New Roman" w:cs="Times New Roman"/>
                <w:b/>
                <w:noProof/>
                <w:sz w:val="20"/>
                <w:szCs w:val="20"/>
                <w:lang w:eastAsia="fr-FR"/>
              </w:rPr>
            </w:pPr>
            <w:r>
              <w:rPr>
                <w:rFonts w:ascii="Times New Roman" w:eastAsia="Times New Roman" w:hAnsi="Times New Roman" w:cs="Times New Roman"/>
                <w:b/>
                <w:bCs/>
                <w:noProof/>
                <w:sz w:val="20"/>
                <w:szCs w:val="20"/>
                <w:lang w:eastAsia="fr-FR"/>
              </w:rPr>
              <w:t xml:space="preserve">Trends in gender pay gap and gender-related wage discrimination </w:t>
            </w:r>
            <w:r>
              <w:rPr>
                <w:rFonts w:ascii="Times New Roman" w:eastAsia="Times New Roman" w:hAnsi="Times New Roman" w:cs="Times New Roman"/>
                <w:b/>
                <w:noProof/>
                <w:sz w:val="20"/>
                <w:szCs w:val="20"/>
                <w:lang w:eastAsia="fr-FR"/>
              </w:rPr>
              <w:t xml:space="preserve"> </w:t>
            </w:r>
          </w:p>
        </w:tc>
      </w:tr>
      <w:tr>
        <w:tc>
          <w:tcPr>
            <w:tcW w:w="1552" w:type="dxa"/>
            <w:tcBorders>
              <w:top w:val="nil"/>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pPr>
              <w:spacing w:after="0" w:line="240" w:lineRule="auto"/>
              <w:textAlignment w:val="baseline"/>
              <w:rPr>
                <w:rFonts w:ascii="Times New Roman" w:eastAsia="Times New Roman" w:hAnsi="Times New Roman" w:cs="Times New Roman"/>
                <w:noProof/>
                <w:sz w:val="20"/>
                <w:szCs w:val="20"/>
                <w:lang w:eastAsia="fr-FR"/>
              </w:rPr>
            </w:pPr>
            <w:r>
              <w:rPr>
                <w:rFonts w:ascii="Times New Roman" w:eastAsia="Times New Roman" w:hAnsi="Times New Roman" w:cs="Times New Roman"/>
                <w:noProof/>
                <w:sz w:val="20"/>
                <w:szCs w:val="20"/>
                <w:lang w:eastAsia="fr-FR"/>
              </w:rPr>
              <w:t xml:space="preserve">Gender pay gap </w:t>
            </w:r>
          </w:p>
        </w:tc>
        <w:tc>
          <w:tcPr>
            <w:tcW w:w="3780" w:type="dxa"/>
            <w:tcBorders>
              <w:top w:val="nil"/>
              <w:left w:val="nil"/>
              <w:bottom w:val="single" w:sz="6" w:space="0" w:color="auto"/>
              <w:right w:val="single" w:sz="6" w:space="0" w:color="auto"/>
            </w:tcBorders>
            <w:shd w:val="clear" w:color="auto" w:fill="auto"/>
            <w:tcMar>
              <w:top w:w="57" w:type="dxa"/>
              <w:left w:w="57" w:type="dxa"/>
              <w:bottom w:w="57" w:type="dxa"/>
              <w:right w:w="57" w:type="dxa"/>
            </w:tcMar>
            <w:hideMark/>
          </w:tcPr>
          <w:p>
            <w:pPr>
              <w:spacing w:after="0" w:line="240" w:lineRule="auto"/>
              <w:jc w:val="both"/>
              <w:textAlignment w:val="baseline"/>
              <w:rPr>
                <w:rFonts w:ascii="Times New Roman" w:eastAsia="Times New Roman" w:hAnsi="Times New Roman" w:cs="Times New Roman"/>
                <w:noProof/>
                <w:sz w:val="20"/>
                <w:szCs w:val="20"/>
                <w:lang w:eastAsia="fr-FR"/>
              </w:rPr>
            </w:pPr>
            <w:r>
              <w:rPr>
                <w:rFonts w:ascii="Times New Roman" w:eastAsia="Times New Roman" w:hAnsi="Times New Roman" w:cs="Times New Roman"/>
                <w:noProof/>
                <w:sz w:val="20"/>
                <w:szCs w:val="20"/>
                <w:lang w:eastAsia="fr-FR"/>
              </w:rPr>
              <w:t xml:space="preserve">Slight overall narrowing; variations among member states and size of gender pay gap may be lower due to higher female employment gaps (composition effects) </w:t>
            </w:r>
          </w:p>
        </w:tc>
        <w:tc>
          <w:tcPr>
            <w:tcW w:w="3270" w:type="dxa"/>
            <w:tcBorders>
              <w:top w:val="nil"/>
              <w:left w:val="nil"/>
              <w:bottom w:val="single" w:sz="6" w:space="0" w:color="auto"/>
              <w:right w:val="single" w:sz="6" w:space="0" w:color="auto"/>
            </w:tcBorders>
            <w:shd w:val="clear" w:color="auto" w:fill="auto"/>
            <w:tcMar>
              <w:top w:w="57" w:type="dxa"/>
              <w:left w:w="57" w:type="dxa"/>
              <w:bottom w:w="57" w:type="dxa"/>
              <w:right w:w="57" w:type="dxa"/>
            </w:tcMar>
            <w:hideMark/>
          </w:tcPr>
          <w:p>
            <w:pPr>
              <w:spacing w:after="0" w:line="240" w:lineRule="auto"/>
              <w:jc w:val="both"/>
              <w:textAlignment w:val="baseline"/>
              <w:rPr>
                <w:rFonts w:ascii="Times New Roman" w:eastAsia="Times New Roman" w:hAnsi="Times New Roman" w:cs="Times New Roman"/>
                <w:noProof/>
                <w:sz w:val="20"/>
                <w:szCs w:val="20"/>
                <w:lang w:eastAsia="fr-FR"/>
              </w:rPr>
            </w:pPr>
            <w:r>
              <w:rPr>
                <w:rFonts w:ascii="Times New Roman" w:eastAsia="Times New Roman" w:hAnsi="Times New Roman" w:cs="Times New Roman"/>
                <w:noProof/>
                <w:sz w:val="20"/>
                <w:szCs w:val="20"/>
                <w:lang w:eastAsia="fr-FR"/>
              </w:rPr>
              <w:t xml:space="preserve">Trends difficult to predict as may narrow if more low paid women lose work. There may be benefits for some women if COVID-19 leads to an upward valuation of care work. </w:t>
            </w:r>
          </w:p>
        </w:tc>
      </w:tr>
      <w:tr>
        <w:tc>
          <w:tcPr>
            <w:tcW w:w="1552" w:type="dxa"/>
            <w:tcBorders>
              <w:top w:val="nil"/>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pPr>
              <w:spacing w:after="0" w:line="240" w:lineRule="auto"/>
              <w:textAlignment w:val="baseline"/>
              <w:rPr>
                <w:rFonts w:ascii="Times New Roman" w:eastAsia="Times New Roman" w:hAnsi="Times New Roman" w:cs="Times New Roman"/>
                <w:noProof/>
                <w:sz w:val="20"/>
                <w:szCs w:val="20"/>
                <w:lang w:eastAsia="fr-FR"/>
              </w:rPr>
            </w:pPr>
            <w:r>
              <w:rPr>
                <w:rFonts w:ascii="Times New Roman" w:eastAsia="Times New Roman" w:hAnsi="Times New Roman" w:cs="Times New Roman"/>
                <w:noProof/>
                <w:sz w:val="20"/>
                <w:szCs w:val="20"/>
                <w:lang w:eastAsia="fr-FR"/>
              </w:rPr>
              <w:t xml:space="preserve">Trends in wage setting </w:t>
            </w:r>
          </w:p>
        </w:tc>
        <w:tc>
          <w:tcPr>
            <w:tcW w:w="3780" w:type="dxa"/>
            <w:tcBorders>
              <w:top w:val="nil"/>
              <w:left w:val="nil"/>
              <w:bottom w:val="single" w:sz="6" w:space="0" w:color="auto"/>
              <w:right w:val="single" w:sz="6" w:space="0" w:color="auto"/>
            </w:tcBorders>
            <w:shd w:val="clear" w:color="auto" w:fill="auto"/>
            <w:tcMar>
              <w:top w:w="57" w:type="dxa"/>
              <w:left w:w="57" w:type="dxa"/>
              <w:bottom w:w="57" w:type="dxa"/>
              <w:right w:w="57" w:type="dxa"/>
            </w:tcMar>
            <w:hideMark/>
          </w:tcPr>
          <w:p>
            <w:pPr>
              <w:spacing w:after="0" w:line="240" w:lineRule="auto"/>
              <w:jc w:val="both"/>
              <w:textAlignment w:val="baseline"/>
              <w:rPr>
                <w:rFonts w:ascii="Times New Roman" w:eastAsia="Times New Roman" w:hAnsi="Times New Roman" w:cs="Times New Roman"/>
                <w:noProof/>
                <w:sz w:val="20"/>
                <w:szCs w:val="20"/>
                <w:lang w:eastAsia="fr-FR"/>
              </w:rPr>
            </w:pPr>
            <w:r>
              <w:rPr>
                <w:rFonts w:ascii="Times New Roman" w:eastAsia="Times New Roman" w:hAnsi="Times New Roman" w:cs="Times New Roman"/>
                <w:noProof/>
                <w:sz w:val="20"/>
                <w:szCs w:val="20"/>
                <w:lang w:eastAsia="fr-FR"/>
              </w:rPr>
              <w:t xml:space="preserve">Reduction in coverage of collective bargaining associated with decline in extension of legal collective agreements </w:t>
            </w:r>
          </w:p>
          <w:p>
            <w:pPr>
              <w:spacing w:after="0" w:line="240" w:lineRule="auto"/>
              <w:jc w:val="both"/>
              <w:textAlignment w:val="baseline"/>
              <w:rPr>
                <w:rFonts w:ascii="Times New Roman" w:eastAsia="Times New Roman" w:hAnsi="Times New Roman" w:cs="Times New Roman"/>
                <w:noProof/>
                <w:sz w:val="20"/>
                <w:szCs w:val="20"/>
                <w:lang w:eastAsia="fr-FR"/>
              </w:rPr>
            </w:pPr>
            <w:r>
              <w:rPr>
                <w:rFonts w:ascii="Times New Roman" w:eastAsia="Times New Roman" w:hAnsi="Times New Roman" w:cs="Times New Roman"/>
                <w:noProof/>
                <w:sz w:val="20"/>
                <w:szCs w:val="20"/>
                <w:lang w:eastAsia="fr-FR"/>
              </w:rPr>
              <w:t>Rise in minimum wages as percent of median wages (46.4% to 50.6% 2008 to 2019</w:t>
            </w:r>
            <w:r>
              <w:rPr>
                <w:rFonts w:ascii="Times New Roman" w:eastAsia="Times New Roman" w:hAnsi="Times New Roman" w:cs="Times New Roman"/>
                <w:noProof/>
                <w:sz w:val="20"/>
                <w:szCs w:val="20"/>
                <w:vertAlign w:val="superscript"/>
                <w:lang w:eastAsia="fr-FR"/>
              </w:rPr>
              <w:t>a</w:t>
            </w:r>
            <w:r>
              <w:rPr>
                <w:rFonts w:ascii="Times New Roman" w:eastAsia="Times New Roman" w:hAnsi="Times New Roman" w:cs="Times New Roman"/>
                <w:noProof/>
                <w:sz w:val="20"/>
                <w:szCs w:val="20"/>
                <w:lang w:eastAsia="fr-FR"/>
              </w:rPr>
              <w:t xml:space="preserve">) </w:t>
            </w:r>
          </w:p>
        </w:tc>
        <w:tc>
          <w:tcPr>
            <w:tcW w:w="3270" w:type="dxa"/>
            <w:tcBorders>
              <w:top w:val="nil"/>
              <w:left w:val="nil"/>
              <w:bottom w:val="single" w:sz="6" w:space="0" w:color="auto"/>
              <w:right w:val="single" w:sz="6" w:space="0" w:color="auto"/>
            </w:tcBorders>
            <w:shd w:val="clear" w:color="auto" w:fill="auto"/>
            <w:tcMar>
              <w:top w:w="57" w:type="dxa"/>
              <w:left w:w="57" w:type="dxa"/>
              <w:bottom w:w="57" w:type="dxa"/>
              <w:right w:w="57" w:type="dxa"/>
            </w:tcMar>
            <w:hideMark/>
          </w:tcPr>
          <w:p>
            <w:pPr>
              <w:spacing w:after="0" w:line="240" w:lineRule="auto"/>
              <w:jc w:val="both"/>
              <w:textAlignment w:val="baseline"/>
              <w:rPr>
                <w:rFonts w:ascii="Times New Roman" w:eastAsia="Times New Roman" w:hAnsi="Times New Roman" w:cs="Times New Roman"/>
                <w:noProof/>
                <w:sz w:val="20"/>
                <w:szCs w:val="20"/>
                <w:lang w:eastAsia="fr-FR"/>
              </w:rPr>
            </w:pPr>
            <w:r>
              <w:rPr>
                <w:rFonts w:ascii="Times New Roman" w:eastAsia="Times New Roman" w:hAnsi="Times New Roman" w:cs="Times New Roman"/>
                <w:noProof/>
                <w:sz w:val="20"/>
                <w:szCs w:val="20"/>
                <w:lang w:eastAsia="fr-FR"/>
              </w:rPr>
              <w:t xml:space="preserve">Recognition of value of key workers could prompt changes in value attached to key worker jobs; alternatively crisis may lead to lower increase in pay including minimum wages or even pay cuts </w:t>
            </w:r>
          </w:p>
        </w:tc>
      </w:tr>
      <w:tr>
        <w:tc>
          <w:tcPr>
            <w:tcW w:w="1552" w:type="dxa"/>
            <w:tcBorders>
              <w:top w:val="nil"/>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pPr>
              <w:spacing w:after="0" w:line="240" w:lineRule="auto"/>
              <w:textAlignment w:val="baseline"/>
              <w:rPr>
                <w:rFonts w:ascii="Times New Roman" w:eastAsia="Times New Roman" w:hAnsi="Times New Roman" w:cs="Times New Roman"/>
                <w:noProof/>
                <w:sz w:val="20"/>
                <w:szCs w:val="20"/>
                <w:lang w:eastAsia="fr-FR"/>
              </w:rPr>
            </w:pPr>
            <w:r>
              <w:rPr>
                <w:rFonts w:ascii="Times New Roman" w:eastAsia="Times New Roman" w:hAnsi="Times New Roman" w:cs="Times New Roman"/>
                <w:noProof/>
                <w:sz w:val="20"/>
                <w:szCs w:val="20"/>
                <w:lang w:eastAsia="fr-FR"/>
              </w:rPr>
              <w:t xml:space="preserve">Gender-related wage discrimination </w:t>
            </w:r>
          </w:p>
        </w:tc>
        <w:tc>
          <w:tcPr>
            <w:tcW w:w="3780" w:type="dxa"/>
            <w:tcBorders>
              <w:top w:val="nil"/>
              <w:left w:val="nil"/>
              <w:bottom w:val="single" w:sz="6" w:space="0" w:color="auto"/>
              <w:right w:val="single" w:sz="6" w:space="0" w:color="auto"/>
            </w:tcBorders>
            <w:shd w:val="clear" w:color="auto" w:fill="auto"/>
            <w:tcMar>
              <w:top w:w="57" w:type="dxa"/>
              <w:left w:w="57" w:type="dxa"/>
              <w:bottom w:w="57" w:type="dxa"/>
              <w:right w:w="57" w:type="dxa"/>
            </w:tcMar>
            <w:hideMark/>
          </w:tcPr>
          <w:p>
            <w:pPr>
              <w:spacing w:after="0" w:line="240" w:lineRule="auto"/>
              <w:jc w:val="both"/>
              <w:textAlignment w:val="baseline"/>
              <w:rPr>
                <w:rFonts w:ascii="Times New Roman" w:eastAsia="Times New Roman" w:hAnsi="Times New Roman" w:cs="Times New Roman"/>
                <w:noProof/>
                <w:sz w:val="20"/>
                <w:szCs w:val="20"/>
                <w:lang w:eastAsia="fr-FR"/>
              </w:rPr>
            </w:pPr>
            <w:r>
              <w:rPr>
                <w:rFonts w:ascii="Times New Roman" w:eastAsia="Times New Roman" w:hAnsi="Times New Roman" w:cs="Times New Roman"/>
                <w:noProof/>
                <w:sz w:val="20"/>
                <w:szCs w:val="20"/>
                <w:lang w:eastAsia="fr-FR"/>
              </w:rPr>
              <w:t xml:space="preserve">Evidence is variable across countries; higher minimum wages may have reduced some undervaluation but growth of individualised pay and bonuses may have increased scope for gender pay discrimination </w:t>
            </w:r>
          </w:p>
        </w:tc>
        <w:tc>
          <w:tcPr>
            <w:tcW w:w="3270" w:type="dxa"/>
            <w:tcBorders>
              <w:top w:val="nil"/>
              <w:left w:val="nil"/>
              <w:bottom w:val="single" w:sz="6" w:space="0" w:color="auto"/>
              <w:right w:val="single" w:sz="6" w:space="0" w:color="auto"/>
            </w:tcBorders>
            <w:shd w:val="clear" w:color="auto" w:fill="auto"/>
            <w:tcMar>
              <w:top w:w="57" w:type="dxa"/>
              <w:left w:w="57" w:type="dxa"/>
              <w:bottom w:w="57" w:type="dxa"/>
              <w:right w:w="57" w:type="dxa"/>
            </w:tcMar>
            <w:hideMark/>
          </w:tcPr>
          <w:p>
            <w:pPr>
              <w:spacing w:after="0" w:line="240" w:lineRule="auto"/>
              <w:jc w:val="both"/>
              <w:textAlignment w:val="baseline"/>
              <w:rPr>
                <w:rFonts w:ascii="Times New Roman" w:eastAsia="Times New Roman" w:hAnsi="Times New Roman" w:cs="Times New Roman"/>
                <w:noProof/>
                <w:sz w:val="20"/>
                <w:szCs w:val="20"/>
                <w:lang w:eastAsia="fr-FR"/>
              </w:rPr>
            </w:pPr>
            <w:r>
              <w:rPr>
                <w:rFonts w:ascii="Times New Roman" w:eastAsia="Times New Roman" w:hAnsi="Times New Roman" w:cs="Times New Roman"/>
                <w:noProof/>
                <w:sz w:val="20"/>
                <w:szCs w:val="20"/>
                <w:lang w:eastAsia="fr-FR"/>
              </w:rPr>
              <w:t xml:space="preserve">Trends may be variable – lower minimum wages or constraints on public sector pay could increase undervaluation but recession could reduce bonuses. High unemployment may lead to lower bargaining power, less focus on equality issues </w:t>
            </w:r>
          </w:p>
        </w:tc>
      </w:tr>
      <w:tr>
        <w:tc>
          <w:tcPr>
            <w:tcW w:w="8602" w:type="dxa"/>
            <w:gridSpan w:val="3"/>
            <w:tcBorders>
              <w:top w:val="nil"/>
              <w:left w:val="single" w:sz="6" w:space="0" w:color="auto"/>
              <w:bottom w:val="single" w:sz="6" w:space="0" w:color="auto"/>
              <w:right w:val="single" w:sz="6" w:space="0" w:color="auto"/>
            </w:tcBorders>
            <w:shd w:val="clear" w:color="auto" w:fill="C2D69B" w:themeFill="accent3" w:themeFillTint="99"/>
            <w:tcMar>
              <w:top w:w="57" w:type="dxa"/>
              <w:left w:w="57" w:type="dxa"/>
              <w:bottom w:w="57" w:type="dxa"/>
              <w:right w:w="57" w:type="dxa"/>
            </w:tcMar>
            <w:hideMark/>
          </w:tcPr>
          <w:p>
            <w:pPr>
              <w:numPr>
                <w:ilvl w:val="0"/>
                <w:numId w:val="3"/>
              </w:numPr>
              <w:spacing w:after="0" w:line="240" w:lineRule="auto"/>
              <w:jc w:val="both"/>
              <w:textAlignment w:val="baseline"/>
              <w:rPr>
                <w:rFonts w:ascii="Times New Roman" w:eastAsia="Times New Roman" w:hAnsi="Times New Roman" w:cs="Times New Roman"/>
                <w:b/>
                <w:noProof/>
                <w:sz w:val="20"/>
                <w:szCs w:val="20"/>
                <w:lang w:eastAsia="fr-FR"/>
              </w:rPr>
            </w:pPr>
            <w:r>
              <w:rPr>
                <w:rFonts w:ascii="Times New Roman" w:eastAsia="Times New Roman" w:hAnsi="Times New Roman" w:cs="Times New Roman"/>
                <w:b/>
                <w:bCs/>
                <w:noProof/>
                <w:sz w:val="20"/>
                <w:szCs w:val="20"/>
                <w:lang w:eastAsia="fr-FR"/>
              </w:rPr>
              <w:t xml:space="preserve">Trends related to household division of labour and female employment </w:t>
            </w:r>
            <w:r>
              <w:rPr>
                <w:rFonts w:ascii="Times New Roman" w:eastAsia="Times New Roman" w:hAnsi="Times New Roman" w:cs="Times New Roman"/>
                <w:b/>
                <w:noProof/>
                <w:sz w:val="20"/>
                <w:szCs w:val="20"/>
                <w:lang w:eastAsia="fr-FR"/>
              </w:rPr>
              <w:t xml:space="preserve"> </w:t>
            </w:r>
          </w:p>
        </w:tc>
      </w:tr>
      <w:tr>
        <w:tc>
          <w:tcPr>
            <w:tcW w:w="1552" w:type="dxa"/>
            <w:tcBorders>
              <w:top w:val="nil"/>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pPr>
              <w:spacing w:after="0" w:line="240" w:lineRule="auto"/>
              <w:textAlignment w:val="baseline"/>
              <w:rPr>
                <w:rFonts w:ascii="Times New Roman" w:eastAsia="Times New Roman" w:hAnsi="Times New Roman" w:cs="Times New Roman"/>
                <w:noProof/>
                <w:sz w:val="20"/>
                <w:szCs w:val="20"/>
                <w:lang w:eastAsia="fr-FR"/>
              </w:rPr>
            </w:pPr>
            <w:r>
              <w:rPr>
                <w:rFonts w:ascii="Times New Roman" w:eastAsia="Times New Roman" w:hAnsi="Times New Roman" w:cs="Times New Roman"/>
                <w:noProof/>
                <w:sz w:val="20"/>
                <w:szCs w:val="20"/>
                <w:lang w:eastAsia="fr-FR"/>
              </w:rPr>
              <w:t xml:space="preserve">Gender division of labour and women’s economic independence </w:t>
            </w:r>
          </w:p>
        </w:tc>
        <w:tc>
          <w:tcPr>
            <w:tcW w:w="3780" w:type="dxa"/>
            <w:tcBorders>
              <w:top w:val="nil"/>
              <w:left w:val="nil"/>
              <w:bottom w:val="single" w:sz="6" w:space="0" w:color="auto"/>
              <w:right w:val="single" w:sz="6" w:space="0" w:color="auto"/>
            </w:tcBorders>
            <w:shd w:val="clear" w:color="auto" w:fill="auto"/>
            <w:tcMar>
              <w:top w:w="57" w:type="dxa"/>
              <w:left w:w="57" w:type="dxa"/>
              <w:bottom w:w="57" w:type="dxa"/>
              <w:right w:w="57" w:type="dxa"/>
            </w:tcMar>
            <w:hideMark/>
          </w:tcPr>
          <w:p>
            <w:pPr>
              <w:spacing w:after="0" w:line="240" w:lineRule="auto"/>
              <w:jc w:val="both"/>
              <w:textAlignment w:val="baseline"/>
              <w:rPr>
                <w:rFonts w:ascii="Times New Roman" w:eastAsia="Times New Roman" w:hAnsi="Times New Roman" w:cs="Times New Roman"/>
                <w:noProof/>
                <w:sz w:val="20"/>
                <w:szCs w:val="20"/>
                <w:lang w:eastAsia="fr-FR"/>
              </w:rPr>
            </w:pPr>
            <w:r>
              <w:rPr>
                <w:rFonts w:ascii="Times New Roman" w:eastAsia="Times New Roman" w:hAnsi="Times New Roman" w:cs="Times New Roman"/>
                <w:noProof/>
                <w:sz w:val="20"/>
                <w:szCs w:val="20"/>
                <w:lang w:eastAsia="fr-FR"/>
              </w:rPr>
              <w:t xml:space="preserve">High but stable gender gap in care activities/ improvements in women’s financial resources </w:t>
            </w:r>
          </w:p>
        </w:tc>
        <w:tc>
          <w:tcPr>
            <w:tcW w:w="3270" w:type="dxa"/>
            <w:tcBorders>
              <w:top w:val="nil"/>
              <w:left w:val="nil"/>
              <w:bottom w:val="single" w:sz="6" w:space="0" w:color="auto"/>
              <w:right w:val="single" w:sz="6" w:space="0" w:color="auto"/>
            </w:tcBorders>
            <w:shd w:val="clear" w:color="auto" w:fill="auto"/>
            <w:tcMar>
              <w:top w:w="57" w:type="dxa"/>
              <w:left w:w="57" w:type="dxa"/>
              <w:bottom w:w="57" w:type="dxa"/>
              <w:right w:w="57" w:type="dxa"/>
            </w:tcMar>
            <w:hideMark/>
          </w:tcPr>
          <w:p>
            <w:pPr>
              <w:spacing w:after="0" w:line="240" w:lineRule="auto"/>
              <w:jc w:val="both"/>
              <w:textAlignment w:val="baseline"/>
              <w:rPr>
                <w:rFonts w:ascii="Times New Roman" w:eastAsia="Times New Roman" w:hAnsi="Times New Roman" w:cs="Times New Roman"/>
                <w:noProof/>
                <w:sz w:val="20"/>
                <w:szCs w:val="20"/>
                <w:lang w:eastAsia="fr-FR"/>
              </w:rPr>
            </w:pPr>
            <w:r>
              <w:rPr>
                <w:rFonts w:ascii="Times New Roman" w:eastAsia="Times New Roman" w:hAnsi="Times New Roman" w:cs="Times New Roman"/>
                <w:noProof/>
                <w:sz w:val="20"/>
                <w:szCs w:val="20"/>
                <w:lang w:eastAsia="fr-FR"/>
              </w:rPr>
              <w:t xml:space="preserve">Mixed possible trends in opportunities for sharing care (could be positive from increased telework, but negative if care provision declines) </w:t>
            </w:r>
          </w:p>
          <w:p>
            <w:pPr>
              <w:spacing w:after="0" w:line="240" w:lineRule="auto"/>
              <w:jc w:val="both"/>
              <w:textAlignment w:val="baseline"/>
              <w:rPr>
                <w:rFonts w:ascii="Times New Roman" w:eastAsia="Times New Roman" w:hAnsi="Times New Roman" w:cs="Times New Roman"/>
                <w:noProof/>
                <w:sz w:val="20"/>
                <w:szCs w:val="20"/>
                <w:lang w:eastAsia="fr-FR"/>
              </w:rPr>
            </w:pPr>
            <w:r>
              <w:rPr>
                <w:rFonts w:ascii="Times New Roman" w:eastAsia="Times New Roman" w:hAnsi="Times New Roman" w:cs="Times New Roman"/>
                <w:noProof/>
                <w:sz w:val="20"/>
                <w:szCs w:val="20"/>
                <w:lang w:eastAsia="fr-FR"/>
              </w:rPr>
              <w:t xml:space="preserve">Women’s access to financial resources may decline if face disproportionate loss of employment. </w:t>
            </w:r>
          </w:p>
        </w:tc>
      </w:tr>
      <w:tr>
        <w:tc>
          <w:tcPr>
            <w:tcW w:w="1552" w:type="dxa"/>
            <w:tcBorders>
              <w:top w:val="nil"/>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pPr>
              <w:spacing w:after="0" w:line="240" w:lineRule="auto"/>
              <w:textAlignment w:val="baseline"/>
              <w:rPr>
                <w:rFonts w:ascii="Times New Roman" w:eastAsia="Times New Roman" w:hAnsi="Times New Roman" w:cs="Times New Roman"/>
                <w:noProof/>
                <w:sz w:val="20"/>
                <w:szCs w:val="20"/>
                <w:lang w:eastAsia="fr-FR"/>
              </w:rPr>
            </w:pPr>
            <w:r>
              <w:rPr>
                <w:rFonts w:ascii="Times New Roman" w:eastAsia="Times New Roman" w:hAnsi="Times New Roman" w:cs="Times New Roman"/>
                <w:noProof/>
                <w:sz w:val="20"/>
                <w:szCs w:val="20"/>
                <w:lang w:eastAsia="fr-FR"/>
              </w:rPr>
              <w:t xml:space="preserve">Female employment rates </w:t>
            </w:r>
          </w:p>
        </w:tc>
        <w:tc>
          <w:tcPr>
            <w:tcW w:w="3780" w:type="dxa"/>
            <w:tcBorders>
              <w:top w:val="nil"/>
              <w:left w:val="nil"/>
              <w:bottom w:val="single" w:sz="6" w:space="0" w:color="auto"/>
              <w:right w:val="single" w:sz="6" w:space="0" w:color="auto"/>
            </w:tcBorders>
            <w:shd w:val="clear" w:color="auto" w:fill="auto"/>
            <w:tcMar>
              <w:top w:w="57" w:type="dxa"/>
              <w:left w:w="57" w:type="dxa"/>
              <w:bottom w:w="57" w:type="dxa"/>
              <w:right w:w="57" w:type="dxa"/>
            </w:tcMar>
            <w:hideMark/>
          </w:tcPr>
          <w:p>
            <w:pPr>
              <w:spacing w:after="0" w:line="240" w:lineRule="auto"/>
              <w:jc w:val="both"/>
              <w:textAlignment w:val="baseline"/>
              <w:rPr>
                <w:rFonts w:ascii="Times New Roman" w:eastAsia="Times New Roman" w:hAnsi="Times New Roman" w:cs="Times New Roman"/>
                <w:noProof/>
                <w:sz w:val="20"/>
                <w:szCs w:val="20"/>
                <w:lang w:eastAsia="fr-FR"/>
              </w:rPr>
            </w:pPr>
            <w:r>
              <w:rPr>
                <w:rFonts w:ascii="Times New Roman" w:eastAsia="Times New Roman" w:hAnsi="Times New Roman" w:cs="Times New Roman"/>
                <w:noProof/>
                <w:sz w:val="20"/>
                <w:szCs w:val="20"/>
                <w:lang w:eastAsia="fr-FR"/>
              </w:rPr>
              <w:t xml:space="preserve">Steady increase and closing of gender employment gaps- headcount and FTE but declining rates among lower educated. </w:t>
            </w:r>
          </w:p>
        </w:tc>
        <w:tc>
          <w:tcPr>
            <w:tcW w:w="3270" w:type="dxa"/>
            <w:tcBorders>
              <w:top w:val="nil"/>
              <w:left w:val="nil"/>
              <w:bottom w:val="single" w:sz="6" w:space="0" w:color="auto"/>
              <w:right w:val="single" w:sz="6" w:space="0" w:color="auto"/>
            </w:tcBorders>
            <w:shd w:val="clear" w:color="auto" w:fill="auto"/>
            <w:tcMar>
              <w:top w:w="57" w:type="dxa"/>
              <w:left w:w="57" w:type="dxa"/>
              <w:bottom w:w="57" w:type="dxa"/>
              <w:right w:w="57" w:type="dxa"/>
            </w:tcMar>
            <w:hideMark/>
          </w:tcPr>
          <w:p>
            <w:pPr>
              <w:spacing w:after="0" w:line="240" w:lineRule="auto"/>
              <w:jc w:val="both"/>
              <w:textAlignment w:val="baseline"/>
              <w:rPr>
                <w:rFonts w:ascii="Times New Roman" w:eastAsia="Times New Roman" w:hAnsi="Times New Roman" w:cs="Times New Roman"/>
                <w:noProof/>
                <w:sz w:val="20"/>
                <w:szCs w:val="20"/>
                <w:lang w:eastAsia="fr-FR"/>
              </w:rPr>
            </w:pPr>
            <w:r>
              <w:rPr>
                <w:rFonts w:ascii="Times New Roman" w:eastAsia="Times New Roman" w:hAnsi="Times New Roman" w:cs="Times New Roman"/>
                <w:noProof/>
                <w:sz w:val="20"/>
                <w:szCs w:val="20"/>
                <w:lang w:eastAsia="fr-FR"/>
              </w:rPr>
              <w:t xml:space="preserve">Likely reversal in levels of female employment rate and risk of widening gender employment gap </w:t>
            </w:r>
          </w:p>
        </w:tc>
      </w:tr>
      <w:tr>
        <w:tc>
          <w:tcPr>
            <w:tcW w:w="1552" w:type="dxa"/>
            <w:tcBorders>
              <w:top w:val="nil"/>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pPr>
              <w:spacing w:after="0" w:line="240" w:lineRule="auto"/>
              <w:textAlignment w:val="baseline"/>
              <w:rPr>
                <w:rFonts w:ascii="Times New Roman" w:eastAsia="Times New Roman" w:hAnsi="Times New Roman" w:cs="Times New Roman"/>
                <w:noProof/>
                <w:sz w:val="20"/>
                <w:szCs w:val="20"/>
                <w:lang w:eastAsia="fr-FR"/>
              </w:rPr>
            </w:pPr>
            <w:r>
              <w:rPr>
                <w:rFonts w:ascii="Times New Roman" w:eastAsia="Times New Roman" w:hAnsi="Times New Roman" w:cs="Times New Roman"/>
                <w:noProof/>
                <w:sz w:val="20"/>
                <w:szCs w:val="20"/>
                <w:lang w:eastAsia="fr-FR"/>
              </w:rPr>
              <w:t xml:space="preserve">Adoption of new technologies </w:t>
            </w:r>
          </w:p>
        </w:tc>
        <w:tc>
          <w:tcPr>
            <w:tcW w:w="3780" w:type="dxa"/>
            <w:tcBorders>
              <w:top w:val="nil"/>
              <w:left w:val="nil"/>
              <w:bottom w:val="single" w:sz="6" w:space="0" w:color="auto"/>
              <w:right w:val="single" w:sz="6" w:space="0" w:color="auto"/>
            </w:tcBorders>
            <w:shd w:val="clear" w:color="auto" w:fill="auto"/>
            <w:tcMar>
              <w:top w:w="57" w:type="dxa"/>
              <w:left w:w="57" w:type="dxa"/>
              <w:bottom w:w="57" w:type="dxa"/>
              <w:right w:w="57" w:type="dxa"/>
            </w:tcMar>
            <w:hideMark/>
          </w:tcPr>
          <w:p>
            <w:pPr>
              <w:spacing w:after="0" w:line="240" w:lineRule="auto"/>
              <w:jc w:val="both"/>
              <w:textAlignment w:val="baseline"/>
              <w:rPr>
                <w:rFonts w:ascii="Times New Roman" w:eastAsia="Times New Roman" w:hAnsi="Times New Roman" w:cs="Times New Roman"/>
                <w:noProof/>
                <w:sz w:val="20"/>
                <w:szCs w:val="20"/>
                <w:lang w:eastAsia="fr-FR"/>
              </w:rPr>
            </w:pPr>
            <w:r>
              <w:rPr>
                <w:rFonts w:ascii="Times New Roman" w:eastAsia="Times New Roman" w:hAnsi="Times New Roman" w:cs="Times New Roman"/>
                <w:noProof/>
                <w:sz w:val="20"/>
                <w:szCs w:val="20"/>
                <w:lang w:eastAsia="fr-FR"/>
              </w:rPr>
              <w:t xml:space="preserve">Risks of job displacement for routinised jobs (impact on lower educated) but women’s employment prospects potentially protected in areas where social skills important. </w:t>
            </w:r>
          </w:p>
        </w:tc>
        <w:tc>
          <w:tcPr>
            <w:tcW w:w="3270" w:type="dxa"/>
            <w:tcBorders>
              <w:top w:val="nil"/>
              <w:left w:val="nil"/>
              <w:bottom w:val="single" w:sz="6" w:space="0" w:color="auto"/>
              <w:right w:val="single" w:sz="6" w:space="0" w:color="auto"/>
            </w:tcBorders>
            <w:shd w:val="clear" w:color="auto" w:fill="auto"/>
            <w:tcMar>
              <w:top w:w="57" w:type="dxa"/>
              <w:left w:w="57" w:type="dxa"/>
              <w:bottom w:w="57" w:type="dxa"/>
              <w:right w:w="57" w:type="dxa"/>
            </w:tcMar>
            <w:hideMark/>
          </w:tcPr>
          <w:p>
            <w:pPr>
              <w:spacing w:after="0" w:line="240" w:lineRule="auto"/>
              <w:jc w:val="both"/>
              <w:textAlignment w:val="baseline"/>
              <w:rPr>
                <w:rFonts w:ascii="Times New Roman" w:eastAsia="Times New Roman" w:hAnsi="Times New Roman" w:cs="Times New Roman"/>
                <w:noProof/>
                <w:sz w:val="20"/>
                <w:szCs w:val="20"/>
                <w:lang w:eastAsia="fr-FR"/>
              </w:rPr>
            </w:pPr>
            <w:r>
              <w:rPr>
                <w:rFonts w:ascii="Times New Roman" w:eastAsia="Times New Roman" w:hAnsi="Times New Roman" w:cs="Times New Roman"/>
                <w:noProof/>
                <w:sz w:val="20"/>
                <w:szCs w:val="20"/>
                <w:lang w:eastAsia="fr-FR"/>
              </w:rPr>
              <w:t xml:space="preserve">Risks to jobs if automation accelerated in key service areas/ reduction in face to face work but also wider opportunities for flexible working arrangements/teleworking </w:t>
            </w:r>
          </w:p>
        </w:tc>
      </w:tr>
      <w:tr>
        <w:tc>
          <w:tcPr>
            <w:tcW w:w="1552" w:type="dxa"/>
            <w:tcBorders>
              <w:top w:val="nil"/>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pPr>
              <w:spacing w:after="0" w:line="240" w:lineRule="auto"/>
              <w:textAlignment w:val="baseline"/>
              <w:rPr>
                <w:rFonts w:ascii="Times New Roman" w:eastAsia="Times New Roman" w:hAnsi="Times New Roman" w:cs="Times New Roman"/>
                <w:noProof/>
                <w:sz w:val="20"/>
                <w:szCs w:val="20"/>
                <w:lang w:eastAsia="fr-FR"/>
              </w:rPr>
            </w:pPr>
            <w:r>
              <w:rPr>
                <w:rFonts w:ascii="Times New Roman" w:eastAsia="Times New Roman" w:hAnsi="Times New Roman" w:cs="Times New Roman"/>
                <w:noProof/>
                <w:sz w:val="20"/>
                <w:szCs w:val="20"/>
                <w:lang w:eastAsia="fr-FR"/>
              </w:rPr>
              <w:t xml:space="preserve">Public services and childcare infrastructure </w:t>
            </w:r>
          </w:p>
        </w:tc>
        <w:tc>
          <w:tcPr>
            <w:tcW w:w="3780" w:type="dxa"/>
            <w:tcBorders>
              <w:top w:val="nil"/>
              <w:left w:val="nil"/>
              <w:bottom w:val="single" w:sz="6" w:space="0" w:color="auto"/>
              <w:right w:val="single" w:sz="6" w:space="0" w:color="auto"/>
            </w:tcBorders>
            <w:shd w:val="clear" w:color="auto" w:fill="auto"/>
            <w:tcMar>
              <w:top w:w="57" w:type="dxa"/>
              <w:left w:w="57" w:type="dxa"/>
              <w:bottom w:w="57" w:type="dxa"/>
              <w:right w:w="57" w:type="dxa"/>
            </w:tcMar>
            <w:hideMark/>
          </w:tcPr>
          <w:p>
            <w:pPr>
              <w:spacing w:after="0" w:line="240" w:lineRule="auto"/>
              <w:jc w:val="both"/>
              <w:textAlignment w:val="baseline"/>
              <w:rPr>
                <w:rFonts w:ascii="Times New Roman" w:eastAsia="Times New Roman" w:hAnsi="Times New Roman" w:cs="Times New Roman"/>
                <w:noProof/>
                <w:sz w:val="20"/>
                <w:szCs w:val="20"/>
                <w:lang w:eastAsia="fr-FR"/>
              </w:rPr>
            </w:pPr>
            <w:r>
              <w:rPr>
                <w:rFonts w:ascii="Times New Roman" w:eastAsia="Times New Roman" w:hAnsi="Times New Roman" w:cs="Times New Roman"/>
                <w:noProof/>
                <w:sz w:val="20"/>
                <w:szCs w:val="20"/>
                <w:lang w:eastAsia="fr-FR"/>
              </w:rPr>
              <w:t xml:space="preserve">Barcelona childcare targets met for EU as a whole but only in 13 member states, with affordability and accessibility still an issue. </w:t>
            </w:r>
          </w:p>
          <w:p>
            <w:pPr>
              <w:spacing w:after="0" w:line="240" w:lineRule="auto"/>
              <w:jc w:val="both"/>
              <w:textAlignment w:val="baseline"/>
              <w:rPr>
                <w:rFonts w:ascii="Times New Roman" w:eastAsia="Times New Roman" w:hAnsi="Times New Roman" w:cs="Times New Roman"/>
                <w:noProof/>
                <w:sz w:val="20"/>
                <w:szCs w:val="20"/>
                <w:lang w:eastAsia="fr-FR"/>
              </w:rPr>
            </w:pPr>
            <w:r>
              <w:rPr>
                <w:rFonts w:ascii="Times New Roman" w:eastAsia="Times New Roman" w:hAnsi="Times New Roman" w:cs="Times New Roman"/>
                <w:noProof/>
                <w:sz w:val="20"/>
                <w:szCs w:val="20"/>
                <w:lang w:eastAsia="fr-FR"/>
              </w:rPr>
              <w:t xml:space="preserve">Provision of public services on which women rely more than men eroded under austerity measures post the financial crash in 2008 </w:t>
            </w:r>
          </w:p>
        </w:tc>
        <w:tc>
          <w:tcPr>
            <w:tcW w:w="3270" w:type="dxa"/>
            <w:tcBorders>
              <w:top w:val="nil"/>
              <w:left w:val="nil"/>
              <w:bottom w:val="single" w:sz="6" w:space="0" w:color="auto"/>
              <w:right w:val="single" w:sz="6" w:space="0" w:color="auto"/>
            </w:tcBorders>
            <w:shd w:val="clear" w:color="auto" w:fill="auto"/>
            <w:tcMar>
              <w:top w:w="57" w:type="dxa"/>
              <w:left w:w="57" w:type="dxa"/>
              <w:bottom w:w="57" w:type="dxa"/>
              <w:right w:w="57" w:type="dxa"/>
            </w:tcMar>
            <w:hideMark/>
          </w:tcPr>
          <w:p>
            <w:pPr>
              <w:spacing w:after="0" w:line="240" w:lineRule="auto"/>
              <w:jc w:val="both"/>
              <w:textAlignment w:val="baseline"/>
              <w:rPr>
                <w:rFonts w:ascii="Times New Roman" w:eastAsia="Times New Roman" w:hAnsi="Times New Roman" w:cs="Times New Roman"/>
                <w:noProof/>
                <w:sz w:val="20"/>
                <w:szCs w:val="20"/>
                <w:lang w:eastAsia="fr-FR"/>
              </w:rPr>
            </w:pPr>
            <w:r>
              <w:rPr>
                <w:rFonts w:ascii="Times New Roman" w:eastAsia="Times New Roman" w:hAnsi="Times New Roman" w:cs="Times New Roman"/>
                <w:noProof/>
                <w:sz w:val="20"/>
                <w:szCs w:val="20"/>
                <w:lang w:eastAsia="fr-FR"/>
              </w:rPr>
              <w:t xml:space="preserve">Risk of return to austerity and negative impact on public service provision including childcare (and longterm care) </w:t>
            </w:r>
          </w:p>
        </w:tc>
      </w:tr>
      <w:tr>
        <w:tc>
          <w:tcPr>
            <w:tcW w:w="8602" w:type="dxa"/>
            <w:gridSpan w:val="3"/>
            <w:tcBorders>
              <w:top w:val="nil"/>
              <w:left w:val="single" w:sz="6" w:space="0" w:color="auto"/>
              <w:bottom w:val="single" w:sz="6" w:space="0" w:color="auto"/>
              <w:right w:val="single" w:sz="6" w:space="0" w:color="auto"/>
            </w:tcBorders>
            <w:shd w:val="clear" w:color="auto" w:fill="C2D69B" w:themeFill="accent3" w:themeFillTint="99"/>
            <w:tcMar>
              <w:top w:w="57" w:type="dxa"/>
              <w:left w:w="57" w:type="dxa"/>
              <w:bottom w:w="57" w:type="dxa"/>
              <w:right w:w="57" w:type="dxa"/>
            </w:tcMar>
            <w:hideMark/>
          </w:tcPr>
          <w:p>
            <w:pPr>
              <w:numPr>
                <w:ilvl w:val="0"/>
                <w:numId w:val="3"/>
              </w:numPr>
              <w:spacing w:after="0" w:line="240" w:lineRule="auto"/>
              <w:jc w:val="both"/>
              <w:textAlignment w:val="baseline"/>
              <w:rPr>
                <w:rFonts w:ascii="Times New Roman" w:eastAsia="Times New Roman" w:hAnsi="Times New Roman" w:cs="Times New Roman"/>
                <w:noProof/>
                <w:sz w:val="20"/>
                <w:szCs w:val="20"/>
                <w:lang w:eastAsia="fr-FR"/>
              </w:rPr>
            </w:pPr>
            <w:r>
              <w:rPr>
                <w:rFonts w:ascii="Times New Roman" w:eastAsia="Times New Roman" w:hAnsi="Times New Roman" w:cs="Times New Roman"/>
                <w:b/>
                <w:bCs/>
                <w:noProof/>
                <w:sz w:val="20"/>
                <w:szCs w:val="20"/>
                <w:lang w:eastAsia="fr-FR"/>
              </w:rPr>
              <w:t xml:space="preserve">Trends towards a more resilient economy and society </w:t>
            </w:r>
          </w:p>
        </w:tc>
      </w:tr>
      <w:tr>
        <w:tc>
          <w:tcPr>
            <w:tcW w:w="1552" w:type="dxa"/>
            <w:tcBorders>
              <w:top w:val="nil"/>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pPr>
              <w:spacing w:after="0" w:line="240" w:lineRule="auto"/>
              <w:textAlignment w:val="baseline"/>
              <w:rPr>
                <w:rFonts w:ascii="Times New Roman" w:eastAsia="Times New Roman" w:hAnsi="Times New Roman" w:cs="Times New Roman"/>
                <w:noProof/>
                <w:sz w:val="20"/>
                <w:szCs w:val="20"/>
                <w:lang w:eastAsia="fr-FR"/>
              </w:rPr>
            </w:pPr>
            <w:r>
              <w:rPr>
                <w:rFonts w:ascii="Times New Roman" w:eastAsia="Times New Roman" w:hAnsi="Times New Roman" w:cs="Times New Roman"/>
                <w:noProof/>
                <w:sz w:val="20"/>
                <w:szCs w:val="20"/>
                <w:lang w:eastAsia="fr-FR"/>
              </w:rPr>
              <w:t xml:space="preserve">Supporting an ageing population </w:t>
            </w:r>
          </w:p>
        </w:tc>
        <w:tc>
          <w:tcPr>
            <w:tcW w:w="3780" w:type="dxa"/>
            <w:tcBorders>
              <w:top w:val="nil"/>
              <w:left w:val="nil"/>
              <w:bottom w:val="single" w:sz="6" w:space="0" w:color="auto"/>
              <w:right w:val="single" w:sz="6" w:space="0" w:color="auto"/>
            </w:tcBorders>
            <w:shd w:val="clear" w:color="auto" w:fill="auto"/>
            <w:tcMar>
              <w:top w:w="57" w:type="dxa"/>
              <w:left w:w="57" w:type="dxa"/>
              <w:bottom w:w="57" w:type="dxa"/>
              <w:right w:w="57" w:type="dxa"/>
            </w:tcMar>
            <w:hideMark/>
          </w:tcPr>
          <w:p>
            <w:pPr>
              <w:spacing w:after="0" w:line="240" w:lineRule="auto"/>
              <w:jc w:val="both"/>
              <w:textAlignment w:val="baseline"/>
              <w:rPr>
                <w:rFonts w:ascii="Times New Roman" w:eastAsia="Times New Roman" w:hAnsi="Times New Roman" w:cs="Times New Roman"/>
                <w:noProof/>
                <w:sz w:val="20"/>
                <w:szCs w:val="20"/>
                <w:lang w:eastAsia="fr-FR"/>
              </w:rPr>
            </w:pPr>
            <w:r>
              <w:rPr>
                <w:rFonts w:ascii="Times New Roman" w:eastAsia="Times New Roman" w:hAnsi="Times New Roman" w:cs="Times New Roman"/>
                <w:noProof/>
                <w:sz w:val="20"/>
                <w:szCs w:val="20"/>
                <w:lang w:eastAsia="fr-FR"/>
              </w:rPr>
              <w:t xml:space="preserve">High increase in employment rates of older workers particularly women and small improvement in gender pension gap </w:t>
            </w:r>
          </w:p>
        </w:tc>
        <w:tc>
          <w:tcPr>
            <w:tcW w:w="3270" w:type="dxa"/>
            <w:tcBorders>
              <w:top w:val="nil"/>
              <w:left w:val="nil"/>
              <w:bottom w:val="single" w:sz="6" w:space="0" w:color="auto"/>
              <w:right w:val="single" w:sz="6" w:space="0" w:color="auto"/>
            </w:tcBorders>
            <w:shd w:val="clear" w:color="auto" w:fill="auto"/>
            <w:tcMar>
              <w:top w:w="57" w:type="dxa"/>
              <w:left w:w="57" w:type="dxa"/>
              <w:bottom w:w="57" w:type="dxa"/>
              <w:right w:w="57" w:type="dxa"/>
            </w:tcMar>
            <w:hideMark/>
          </w:tcPr>
          <w:p>
            <w:pPr>
              <w:spacing w:after="0" w:line="240" w:lineRule="auto"/>
              <w:jc w:val="both"/>
              <w:textAlignment w:val="baseline"/>
              <w:rPr>
                <w:rFonts w:ascii="Times New Roman" w:eastAsia="Times New Roman" w:hAnsi="Times New Roman" w:cs="Times New Roman"/>
                <w:noProof/>
                <w:sz w:val="20"/>
                <w:szCs w:val="20"/>
                <w:lang w:eastAsia="fr-FR"/>
              </w:rPr>
            </w:pPr>
            <w:r>
              <w:rPr>
                <w:rFonts w:ascii="Times New Roman" w:eastAsia="Times New Roman" w:hAnsi="Times New Roman" w:cs="Times New Roman"/>
                <w:noProof/>
                <w:sz w:val="20"/>
                <w:szCs w:val="20"/>
                <w:lang w:eastAsia="fr-FR"/>
              </w:rPr>
              <w:t xml:space="preserve">Likely halting in increased employment rate for older workers including women and risk to pension improvements for both women and men - trends in gap depend on employment trends </w:t>
            </w:r>
          </w:p>
        </w:tc>
      </w:tr>
      <w:tr>
        <w:tc>
          <w:tcPr>
            <w:tcW w:w="1552" w:type="dxa"/>
            <w:tcBorders>
              <w:top w:val="nil"/>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pPr>
              <w:spacing w:after="0" w:line="240" w:lineRule="auto"/>
              <w:textAlignment w:val="baseline"/>
              <w:rPr>
                <w:rFonts w:ascii="Times New Roman" w:eastAsia="Times New Roman" w:hAnsi="Times New Roman" w:cs="Times New Roman"/>
                <w:noProof/>
                <w:sz w:val="20"/>
                <w:szCs w:val="20"/>
                <w:lang w:eastAsia="fr-FR"/>
              </w:rPr>
            </w:pPr>
            <w:r>
              <w:rPr>
                <w:rFonts w:ascii="Times New Roman" w:eastAsia="Times New Roman" w:hAnsi="Times New Roman" w:cs="Times New Roman"/>
                <w:noProof/>
                <w:sz w:val="20"/>
                <w:szCs w:val="20"/>
                <w:lang w:eastAsia="fr-FR"/>
              </w:rPr>
              <w:t xml:space="preserve">Poverty rates and women’s employment </w:t>
            </w:r>
          </w:p>
        </w:tc>
        <w:tc>
          <w:tcPr>
            <w:tcW w:w="3780" w:type="dxa"/>
            <w:tcBorders>
              <w:top w:val="nil"/>
              <w:left w:val="nil"/>
              <w:bottom w:val="single" w:sz="6" w:space="0" w:color="auto"/>
              <w:right w:val="single" w:sz="6" w:space="0" w:color="auto"/>
            </w:tcBorders>
            <w:shd w:val="clear" w:color="auto" w:fill="auto"/>
            <w:tcMar>
              <w:top w:w="57" w:type="dxa"/>
              <w:left w:w="57" w:type="dxa"/>
              <w:bottom w:w="57" w:type="dxa"/>
              <w:right w:w="57" w:type="dxa"/>
            </w:tcMar>
            <w:hideMark/>
          </w:tcPr>
          <w:p>
            <w:pPr>
              <w:spacing w:after="0" w:line="240" w:lineRule="auto"/>
              <w:jc w:val="both"/>
              <w:textAlignment w:val="baseline"/>
              <w:rPr>
                <w:rFonts w:ascii="Times New Roman" w:eastAsia="Times New Roman" w:hAnsi="Times New Roman" w:cs="Times New Roman"/>
                <w:noProof/>
                <w:sz w:val="20"/>
                <w:szCs w:val="20"/>
                <w:lang w:eastAsia="fr-FR"/>
              </w:rPr>
            </w:pPr>
            <w:r>
              <w:rPr>
                <w:rFonts w:ascii="Times New Roman" w:eastAsia="Times New Roman" w:hAnsi="Times New Roman" w:cs="Times New Roman"/>
                <w:noProof/>
                <w:sz w:val="20"/>
                <w:szCs w:val="20"/>
                <w:lang w:eastAsia="fr-FR"/>
              </w:rPr>
              <w:t xml:space="preserve">Stable but still higher risk of poverty than men since 2012 and still higher than 2005. </w:t>
            </w:r>
          </w:p>
          <w:p>
            <w:pPr>
              <w:spacing w:after="0" w:line="240" w:lineRule="auto"/>
              <w:jc w:val="both"/>
              <w:textAlignment w:val="baseline"/>
              <w:rPr>
                <w:rFonts w:ascii="Times New Roman" w:eastAsia="Times New Roman" w:hAnsi="Times New Roman" w:cs="Times New Roman"/>
                <w:noProof/>
                <w:sz w:val="20"/>
                <w:szCs w:val="20"/>
                <w:lang w:eastAsia="fr-FR"/>
              </w:rPr>
            </w:pPr>
            <w:r>
              <w:rPr>
                <w:rFonts w:ascii="Times New Roman" w:eastAsia="Times New Roman" w:hAnsi="Times New Roman" w:cs="Times New Roman"/>
                <w:noProof/>
                <w:sz w:val="20"/>
                <w:szCs w:val="20"/>
                <w:lang w:eastAsia="fr-FR"/>
              </w:rPr>
              <w:t xml:space="preserve">Small decline in children at risk of poverty and social inclusion </w:t>
            </w:r>
          </w:p>
        </w:tc>
        <w:tc>
          <w:tcPr>
            <w:tcW w:w="3270" w:type="dxa"/>
            <w:tcBorders>
              <w:top w:val="nil"/>
              <w:left w:val="nil"/>
              <w:bottom w:val="single" w:sz="6" w:space="0" w:color="auto"/>
              <w:right w:val="single" w:sz="6" w:space="0" w:color="auto"/>
            </w:tcBorders>
            <w:shd w:val="clear" w:color="auto" w:fill="auto"/>
            <w:tcMar>
              <w:top w:w="57" w:type="dxa"/>
              <w:left w:w="57" w:type="dxa"/>
              <w:bottom w:w="57" w:type="dxa"/>
              <w:right w:w="57" w:type="dxa"/>
            </w:tcMar>
            <w:hideMark/>
          </w:tcPr>
          <w:p>
            <w:pPr>
              <w:spacing w:after="0" w:line="240" w:lineRule="auto"/>
              <w:jc w:val="both"/>
              <w:textAlignment w:val="baseline"/>
              <w:rPr>
                <w:rFonts w:ascii="Times New Roman" w:eastAsia="Times New Roman" w:hAnsi="Times New Roman" w:cs="Times New Roman"/>
                <w:noProof/>
                <w:sz w:val="20"/>
                <w:szCs w:val="20"/>
                <w:lang w:eastAsia="fr-FR"/>
              </w:rPr>
            </w:pPr>
            <w:r>
              <w:rPr>
                <w:rFonts w:ascii="Times New Roman" w:eastAsia="Times New Roman" w:hAnsi="Times New Roman" w:cs="Times New Roman"/>
                <w:noProof/>
                <w:sz w:val="20"/>
                <w:szCs w:val="20"/>
                <w:lang w:eastAsia="fr-FR"/>
              </w:rPr>
              <w:t xml:space="preserve">Overall increased risk of poverty- impact by gender depends upon trends in employment. </w:t>
            </w:r>
          </w:p>
        </w:tc>
      </w:tr>
      <w:tr>
        <w:tc>
          <w:tcPr>
            <w:tcW w:w="1552" w:type="dxa"/>
            <w:tcBorders>
              <w:top w:val="nil"/>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pPr>
              <w:spacing w:after="0" w:line="240" w:lineRule="auto"/>
              <w:textAlignment w:val="baseline"/>
              <w:rPr>
                <w:rFonts w:ascii="Times New Roman" w:eastAsia="Times New Roman" w:hAnsi="Times New Roman" w:cs="Times New Roman"/>
                <w:noProof/>
                <w:sz w:val="20"/>
                <w:szCs w:val="20"/>
                <w:lang w:eastAsia="fr-FR"/>
              </w:rPr>
            </w:pPr>
            <w:r>
              <w:rPr>
                <w:rFonts w:ascii="Times New Roman" w:eastAsia="Times New Roman" w:hAnsi="Times New Roman" w:cs="Times New Roman"/>
                <w:noProof/>
                <w:sz w:val="20"/>
                <w:szCs w:val="20"/>
                <w:lang w:eastAsia="fr-FR"/>
              </w:rPr>
              <w:t xml:space="preserve">Trends in productivity </w:t>
            </w:r>
          </w:p>
        </w:tc>
        <w:tc>
          <w:tcPr>
            <w:tcW w:w="3780" w:type="dxa"/>
            <w:tcBorders>
              <w:top w:val="nil"/>
              <w:left w:val="nil"/>
              <w:bottom w:val="single" w:sz="6" w:space="0" w:color="auto"/>
              <w:right w:val="single" w:sz="6" w:space="0" w:color="auto"/>
            </w:tcBorders>
            <w:shd w:val="clear" w:color="auto" w:fill="auto"/>
            <w:tcMar>
              <w:top w:w="57" w:type="dxa"/>
              <w:left w:w="57" w:type="dxa"/>
              <w:bottom w:w="57" w:type="dxa"/>
              <w:right w:w="57" w:type="dxa"/>
            </w:tcMar>
            <w:hideMark/>
          </w:tcPr>
          <w:p>
            <w:pPr>
              <w:spacing w:after="0" w:line="240" w:lineRule="auto"/>
              <w:jc w:val="both"/>
              <w:textAlignment w:val="baseline"/>
              <w:rPr>
                <w:rFonts w:ascii="Times New Roman" w:eastAsia="Times New Roman" w:hAnsi="Times New Roman" w:cs="Times New Roman"/>
                <w:noProof/>
                <w:sz w:val="20"/>
                <w:szCs w:val="20"/>
                <w:lang w:eastAsia="fr-FR"/>
              </w:rPr>
            </w:pPr>
            <w:r>
              <w:rPr>
                <w:rFonts w:ascii="Times New Roman" w:eastAsia="Times New Roman" w:hAnsi="Times New Roman" w:cs="Times New Roman"/>
                <w:noProof/>
                <w:sz w:val="20"/>
                <w:szCs w:val="20"/>
                <w:lang w:eastAsia="fr-FR"/>
              </w:rPr>
              <w:t>Sluggish productivity growth post financial crisis and even before associated with switch to services and other factors</w:t>
            </w:r>
            <w:r>
              <w:rPr>
                <w:rFonts w:ascii="Times New Roman" w:eastAsia="Times New Roman" w:hAnsi="Times New Roman" w:cs="Times New Roman"/>
                <w:noProof/>
                <w:sz w:val="20"/>
                <w:szCs w:val="20"/>
                <w:vertAlign w:val="superscript"/>
                <w:lang w:eastAsia="fr-FR"/>
              </w:rPr>
              <w:t>b</w:t>
            </w:r>
            <w:r>
              <w:rPr>
                <w:rFonts w:ascii="Times New Roman" w:eastAsia="Times New Roman" w:hAnsi="Times New Roman" w:cs="Times New Roman"/>
                <w:noProof/>
                <w:sz w:val="20"/>
                <w:szCs w:val="20"/>
                <w:lang w:eastAsia="fr-FR"/>
              </w:rPr>
              <w:t xml:space="preserve"> </w:t>
            </w:r>
          </w:p>
        </w:tc>
        <w:tc>
          <w:tcPr>
            <w:tcW w:w="3270" w:type="dxa"/>
            <w:tcBorders>
              <w:top w:val="nil"/>
              <w:left w:val="nil"/>
              <w:bottom w:val="single" w:sz="6" w:space="0" w:color="auto"/>
              <w:right w:val="single" w:sz="6" w:space="0" w:color="auto"/>
            </w:tcBorders>
            <w:shd w:val="clear" w:color="auto" w:fill="auto"/>
            <w:tcMar>
              <w:top w:w="57" w:type="dxa"/>
              <w:left w:w="57" w:type="dxa"/>
              <w:bottom w:w="57" w:type="dxa"/>
              <w:right w:w="57" w:type="dxa"/>
            </w:tcMar>
            <w:hideMark/>
          </w:tcPr>
          <w:p>
            <w:pPr>
              <w:spacing w:after="0" w:line="240" w:lineRule="auto"/>
              <w:jc w:val="both"/>
              <w:textAlignment w:val="baseline"/>
              <w:rPr>
                <w:rFonts w:ascii="Times New Roman" w:eastAsia="Times New Roman" w:hAnsi="Times New Roman" w:cs="Times New Roman"/>
                <w:noProof/>
                <w:sz w:val="20"/>
                <w:szCs w:val="20"/>
                <w:lang w:eastAsia="fr-FR"/>
              </w:rPr>
            </w:pPr>
            <w:r>
              <w:rPr>
                <w:rFonts w:ascii="Times New Roman" w:eastAsia="Times New Roman" w:hAnsi="Times New Roman" w:cs="Times New Roman"/>
                <w:noProof/>
                <w:sz w:val="20"/>
                <w:szCs w:val="20"/>
                <w:lang w:eastAsia="fr-FR"/>
              </w:rPr>
              <w:t xml:space="preserve">Move to reduce direct labour contact in services could increase productivity but, at least temporarily, at expense of jobs. However the crisis may lead to postponement of investments. </w:t>
            </w:r>
          </w:p>
        </w:tc>
      </w:tr>
      <w:tr>
        <w:tc>
          <w:tcPr>
            <w:tcW w:w="1552" w:type="dxa"/>
            <w:tcBorders>
              <w:top w:val="nil"/>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pPr>
              <w:keepNext/>
              <w:spacing w:after="0" w:line="240" w:lineRule="auto"/>
              <w:textAlignment w:val="baseline"/>
              <w:rPr>
                <w:rFonts w:ascii="Times New Roman" w:eastAsia="Times New Roman" w:hAnsi="Times New Roman" w:cs="Times New Roman"/>
                <w:noProof/>
                <w:sz w:val="20"/>
                <w:szCs w:val="20"/>
                <w:lang w:eastAsia="fr-FR"/>
              </w:rPr>
            </w:pPr>
            <w:r>
              <w:rPr>
                <w:rFonts w:ascii="Times New Roman" w:eastAsia="Times New Roman" w:hAnsi="Times New Roman" w:cs="Times New Roman"/>
                <w:noProof/>
                <w:sz w:val="20"/>
                <w:szCs w:val="20"/>
                <w:lang w:eastAsia="fr-FR"/>
              </w:rPr>
              <w:t xml:space="preserve">Effective utilisation of female talent </w:t>
            </w:r>
          </w:p>
        </w:tc>
        <w:tc>
          <w:tcPr>
            <w:tcW w:w="3780" w:type="dxa"/>
            <w:tcBorders>
              <w:top w:val="nil"/>
              <w:left w:val="nil"/>
              <w:bottom w:val="single" w:sz="6" w:space="0" w:color="auto"/>
              <w:right w:val="single" w:sz="6" w:space="0" w:color="auto"/>
            </w:tcBorders>
            <w:shd w:val="clear" w:color="auto" w:fill="auto"/>
            <w:tcMar>
              <w:top w:w="57" w:type="dxa"/>
              <w:left w:w="57" w:type="dxa"/>
              <w:bottom w:w="57" w:type="dxa"/>
              <w:right w:w="57" w:type="dxa"/>
            </w:tcMar>
            <w:hideMark/>
          </w:tcPr>
          <w:p>
            <w:pPr>
              <w:keepNext/>
              <w:spacing w:after="0" w:line="240" w:lineRule="auto"/>
              <w:jc w:val="both"/>
              <w:textAlignment w:val="baseline"/>
              <w:rPr>
                <w:rFonts w:ascii="Times New Roman" w:eastAsia="Times New Roman" w:hAnsi="Times New Roman" w:cs="Times New Roman"/>
                <w:noProof/>
                <w:sz w:val="20"/>
                <w:szCs w:val="20"/>
                <w:lang w:eastAsia="fr-FR"/>
              </w:rPr>
            </w:pPr>
            <w:r>
              <w:rPr>
                <w:rFonts w:ascii="Times New Roman" w:eastAsia="Times New Roman" w:hAnsi="Times New Roman" w:cs="Times New Roman"/>
                <w:noProof/>
                <w:sz w:val="20"/>
                <w:szCs w:val="20"/>
                <w:lang w:eastAsia="fr-FR"/>
              </w:rPr>
              <w:t xml:space="preserve">Women have been investing more in their education and achieving more entry into high level jobs, potentially boosting firm performance but also facing glass ceilings such that the gender pay gap is largest among graduates in all countries </w:t>
            </w:r>
          </w:p>
        </w:tc>
        <w:tc>
          <w:tcPr>
            <w:tcW w:w="3270" w:type="dxa"/>
            <w:tcBorders>
              <w:top w:val="nil"/>
              <w:left w:val="nil"/>
              <w:bottom w:val="single" w:sz="6" w:space="0" w:color="auto"/>
              <w:right w:val="single" w:sz="6" w:space="0" w:color="auto"/>
            </w:tcBorders>
            <w:shd w:val="clear" w:color="auto" w:fill="auto"/>
            <w:tcMar>
              <w:top w:w="57" w:type="dxa"/>
              <w:left w:w="57" w:type="dxa"/>
              <w:bottom w:w="57" w:type="dxa"/>
              <w:right w:w="57" w:type="dxa"/>
            </w:tcMar>
            <w:hideMark/>
          </w:tcPr>
          <w:p>
            <w:pPr>
              <w:keepNext/>
              <w:spacing w:after="0" w:line="240" w:lineRule="auto"/>
              <w:jc w:val="both"/>
              <w:textAlignment w:val="baseline"/>
              <w:rPr>
                <w:rFonts w:ascii="Times New Roman" w:eastAsia="Times New Roman" w:hAnsi="Times New Roman" w:cs="Times New Roman"/>
                <w:noProof/>
                <w:sz w:val="20"/>
                <w:szCs w:val="20"/>
                <w:lang w:eastAsia="fr-FR"/>
              </w:rPr>
            </w:pPr>
            <w:r>
              <w:rPr>
                <w:rFonts w:ascii="Times New Roman" w:eastAsia="Times New Roman" w:hAnsi="Times New Roman" w:cs="Times New Roman"/>
                <w:noProof/>
                <w:sz w:val="20"/>
                <w:szCs w:val="20"/>
                <w:lang w:eastAsia="fr-FR"/>
              </w:rPr>
              <w:t xml:space="preserve">The expansion of telework may enable women to access more high level jobs or could lead to new forms of segregation possibly further depressing women’s pay in higher level jobs. </w:t>
            </w:r>
          </w:p>
        </w:tc>
      </w:tr>
    </w:tbl>
    <w:p>
      <w:pPr>
        <w:keepNext/>
        <w:spacing w:after="0" w:line="240" w:lineRule="auto"/>
        <w:jc w:val="both"/>
        <w:rPr>
          <w:rFonts w:ascii="Times New Roman" w:hAnsi="Times New Roman" w:cs="Times New Roman"/>
          <w:i/>
          <w:noProof/>
          <w:sz w:val="24"/>
          <w:szCs w:val="24"/>
          <w:lang w:val="de-DE"/>
        </w:rPr>
      </w:pPr>
      <w:r>
        <w:rPr>
          <w:rFonts w:ascii="Times New Roman" w:hAnsi="Times New Roman" w:cs="Times New Roman"/>
          <w:i/>
          <w:noProof/>
          <w:sz w:val="16"/>
          <w:szCs w:val="16"/>
          <w:vertAlign w:val="superscript"/>
          <w:lang w:val="de-DE"/>
        </w:rPr>
        <w:t>a</w:t>
      </w:r>
      <w:r>
        <w:rPr>
          <w:rFonts w:ascii="Times New Roman" w:hAnsi="Times New Roman" w:cs="Times New Roman"/>
          <w:i/>
          <w:noProof/>
          <w:sz w:val="24"/>
          <w:szCs w:val="24"/>
          <w:lang w:val="de-DE"/>
        </w:rPr>
        <w:t xml:space="preserve"> </w:t>
      </w:r>
      <w:r>
        <w:rPr>
          <w:rFonts w:ascii="Times New Roman" w:hAnsi="Times New Roman" w:cs="Times New Roman"/>
          <w:i/>
          <w:noProof/>
          <w:sz w:val="16"/>
          <w:szCs w:val="16"/>
          <w:lang w:val="de-DE"/>
        </w:rPr>
        <w:t>Schulten, T. and Luebker, 2019.</w:t>
      </w:r>
      <w:r>
        <w:rPr>
          <w:rFonts w:ascii="Times New Roman" w:hAnsi="Times New Roman" w:cs="Times New Roman"/>
          <w:i/>
          <w:noProof/>
          <w:sz w:val="24"/>
          <w:szCs w:val="24"/>
          <w:lang w:val="de-DE"/>
        </w:rPr>
        <w:t xml:space="preserve"> </w:t>
      </w:r>
    </w:p>
    <w:p>
      <w:pPr>
        <w:keepNext/>
        <w:spacing w:after="0" w:line="240" w:lineRule="auto"/>
        <w:jc w:val="both"/>
        <w:rPr>
          <w:rFonts w:ascii="Times New Roman" w:hAnsi="Times New Roman" w:cs="Times New Roman"/>
          <w:i/>
          <w:noProof/>
          <w:sz w:val="16"/>
          <w:szCs w:val="16"/>
          <w:lang w:val="de-DE"/>
        </w:rPr>
      </w:pPr>
      <w:r>
        <w:rPr>
          <w:rFonts w:ascii="Times New Roman" w:hAnsi="Times New Roman" w:cs="Times New Roman"/>
          <w:i/>
          <w:noProof/>
          <w:sz w:val="16"/>
          <w:szCs w:val="16"/>
          <w:vertAlign w:val="superscript"/>
          <w:lang w:val="de-DE"/>
        </w:rPr>
        <w:t>b</w:t>
      </w:r>
      <w:r>
        <w:rPr>
          <w:rFonts w:ascii="Times New Roman" w:hAnsi="Times New Roman" w:cs="Times New Roman"/>
          <w:i/>
          <w:noProof/>
          <w:sz w:val="24"/>
          <w:szCs w:val="24"/>
          <w:lang w:val="de-DE"/>
        </w:rPr>
        <w:t xml:space="preserve"> </w:t>
      </w:r>
      <w:r>
        <w:rPr>
          <w:rFonts w:ascii="Times New Roman" w:hAnsi="Times New Roman" w:cs="Times New Roman"/>
          <w:i/>
          <w:noProof/>
          <w:sz w:val="16"/>
          <w:szCs w:val="16"/>
          <w:lang w:val="de-DE"/>
        </w:rPr>
        <w:t>Bauer, P. et al., 2020</w:t>
      </w:r>
    </w:p>
    <w:p>
      <w:pPr>
        <w:jc w:val="both"/>
        <w:rPr>
          <w:rFonts w:ascii="Times New Roman" w:hAnsi="Times New Roman" w:cs="Times New Roman"/>
          <w:noProof/>
          <w:sz w:val="24"/>
          <w:szCs w:val="24"/>
          <w:lang w:val="de-DE"/>
        </w:rPr>
      </w:pPr>
    </w:p>
    <w:p>
      <w:pPr>
        <w:rPr>
          <w:rFonts w:ascii="Times New Roman" w:eastAsia="Times New Roman" w:hAnsi="Times New Roman" w:cs="Times New Roman"/>
          <w:noProof/>
          <w:lang w:val="de-DE" w:eastAsia="fr-FR"/>
        </w:rPr>
      </w:pPr>
      <w:r>
        <w:rPr>
          <w:noProof/>
          <w:lang w:val="de-DE"/>
        </w:rPr>
        <w:br w:type="page"/>
      </w:r>
    </w:p>
    <w:p>
      <w:pPr>
        <w:pStyle w:val="paragraph"/>
        <w:spacing w:before="0" w:beforeAutospacing="0" w:after="0" w:afterAutospacing="0"/>
        <w:jc w:val="both"/>
        <w:textAlignment w:val="baseline"/>
        <w:rPr>
          <w:noProof/>
          <w:sz w:val="22"/>
          <w:szCs w:val="22"/>
          <w:lang w:val="de-DE"/>
        </w:rPr>
      </w:pPr>
    </w:p>
    <w:p>
      <w:pPr>
        <w:pStyle w:val="Heading3"/>
        <w:numPr>
          <w:ilvl w:val="0"/>
          <w:numId w:val="57"/>
        </w:numPr>
        <w:ind w:left="426" w:hanging="426"/>
        <w:rPr>
          <w:b/>
          <w:noProof/>
        </w:rPr>
      </w:pPr>
      <w:bookmarkStart w:id="7497" w:name="_Toc49527913"/>
      <w:bookmarkStart w:id="7498" w:name="_Toc49530035"/>
      <w:bookmarkStart w:id="7499" w:name="_Toc49530699"/>
      <w:bookmarkStart w:id="7500" w:name="_Toc49532649"/>
      <w:bookmarkStart w:id="7501" w:name="_Toc49695821"/>
      <w:bookmarkStart w:id="7502" w:name="_Toc49695998"/>
      <w:bookmarkStart w:id="7503" w:name="_Toc49805525"/>
      <w:r>
        <w:rPr>
          <w:b/>
          <w:noProof/>
        </w:rPr>
        <w:t>Experts’ recommendations on priority actions</w:t>
      </w:r>
      <w:bookmarkEnd w:id="7497"/>
      <w:bookmarkEnd w:id="7498"/>
      <w:bookmarkEnd w:id="7499"/>
      <w:bookmarkEnd w:id="7500"/>
      <w:bookmarkEnd w:id="7501"/>
      <w:bookmarkEnd w:id="7502"/>
      <w:bookmarkEnd w:id="7503"/>
    </w:p>
    <w:tbl>
      <w:tblPr>
        <w:tblStyle w:val="TableGrid"/>
        <w:tblW w:w="0" w:type="auto"/>
        <w:tblInd w:w="390" w:type="dxa"/>
        <w:tblLook w:val="04A0" w:firstRow="1" w:lastRow="0" w:firstColumn="1" w:lastColumn="0" w:noHBand="0" w:noVBand="1"/>
      </w:tblPr>
      <w:tblGrid>
        <w:gridCol w:w="5562"/>
        <w:gridCol w:w="2882"/>
      </w:tblGrid>
      <w:tr>
        <w:tc>
          <w:tcPr>
            <w:tcW w:w="8672" w:type="dxa"/>
            <w:gridSpan w:val="2"/>
            <w:shd w:val="clear" w:color="auto" w:fill="D6E3BC" w:themeFill="accent3" w:themeFillTint="66"/>
          </w:tcPr>
          <w:p>
            <w:pPr>
              <w:ind w:left="390"/>
              <w:jc w:val="center"/>
              <w:textAlignment w:val="baseline"/>
              <w:rPr>
                <w:noProof/>
                <w:sz w:val="24"/>
                <w:szCs w:val="24"/>
                <w:lang w:eastAsia="fr-FR"/>
              </w:rPr>
            </w:pPr>
            <w:r>
              <w:rPr>
                <w:noProof/>
                <w:sz w:val="24"/>
                <w:szCs w:val="24"/>
                <w:lang w:eastAsia="fr-FR"/>
              </w:rPr>
              <w:t>Experts’ Recommendations on priority actions</w:t>
            </w:r>
          </w:p>
          <w:p>
            <w:pPr>
              <w:ind w:left="390"/>
              <w:jc w:val="center"/>
              <w:textAlignment w:val="baseline"/>
              <w:rPr>
                <w:noProof/>
                <w:sz w:val="24"/>
                <w:szCs w:val="24"/>
                <w:lang w:eastAsia="fr-FR"/>
              </w:rPr>
            </w:pPr>
          </w:p>
        </w:tc>
      </w:tr>
      <w:tr>
        <w:tc>
          <w:tcPr>
            <w:tcW w:w="8672" w:type="dxa"/>
            <w:gridSpan w:val="2"/>
          </w:tcPr>
          <w:p>
            <w:pPr>
              <w:numPr>
                <w:ilvl w:val="0"/>
                <w:numId w:val="4"/>
              </w:numPr>
              <w:ind w:left="390" w:firstLine="0"/>
              <w:jc w:val="both"/>
              <w:textAlignment w:val="baseline"/>
              <w:rPr>
                <w:noProof/>
                <w:lang w:eastAsia="fr-FR"/>
              </w:rPr>
            </w:pPr>
            <w:r>
              <w:rPr>
                <w:noProof/>
                <w:lang w:eastAsia="fr-FR"/>
              </w:rPr>
              <w:t xml:space="preserve">Improvements to </w:t>
            </w:r>
            <w:r>
              <w:rPr>
                <w:b/>
                <w:bCs/>
                <w:noProof/>
                <w:lang w:eastAsia="fr-FR"/>
              </w:rPr>
              <w:t>procedures</w:t>
            </w:r>
            <w:r>
              <w:rPr>
                <w:noProof/>
                <w:lang w:eastAsia="fr-FR"/>
              </w:rPr>
              <w:t xml:space="preserve">:  </w:t>
            </w:r>
          </w:p>
        </w:tc>
      </w:tr>
      <w:tr>
        <w:tc>
          <w:tcPr>
            <w:tcW w:w="5701" w:type="dxa"/>
          </w:tcPr>
          <w:p>
            <w:pPr>
              <w:jc w:val="both"/>
              <w:textAlignment w:val="baseline"/>
              <w:rPr>
                <w:noProof/>
                <w:lang w:eastAsia="fr-FR"/>
              </w:rPr>
            </w:pPr>
            <w:r>
              <w:rPr>
                <w:noProof/>
                <w:lang w:eastAsia="fr-FR"/>
              </w:rPr>
              <w:t>Simplification of the process</w:t>
            </w:r>
          </w:p>
        </w:tc>
        <w:tc>
          <w:tcPr>
            <w:tcW w:w="2971" w:type="dxa"/>
          </w:tcPr>
          <w:p>
            <w:pPr>
              <w:jc w:val="both"/>
              <w:textAlignment w:val="baseline"/>
              <w:rPr>
                <w:noProof/>
                <w:lang w:eastAsia="fr-FR"/>
              </w:rPr>
            </w:pPr>
            <w:r>
              <w:rPr>
                <w:noProof/>
                <w:lang w:eastAsia="fr-FR"/>
              </w:rPr>
              <w:t>NL</w:t>
            </w:r>
          </w:p>
        </w:tc>
      </w:tr>
      <w:tr>
        <w:tc>
          <w:tcPr>
            <w:tcW w:w="5701" w:type="dxa"/>
          </w:tcPr>
          <w:p>
            <w:pPr>
              <w:jc w:val="both"/>
              <w:textAlignment w:val="baseline"/>
              <w:rPr>
                <w:noProof/>
                <w:lang w:eastAsia="fr-FR"/>
              </w:rPr>
            </w:pPr>
            <w:r>
              <w:rPr>
                <w:noProof/>
                <w:lang w:eastAsia="fr-FR"/>
              </w:rPr>
              <w:t xml:space="preserve">Shortening the legal procedures </w:t>
            </w:r>
          </w:p>
        </w:tc>
        <w:tc>
          <w:tcPr>
            <w:tcW w:w="2971" w:type="dxa"/>
          </w:tcPr>
          <w:p>
            <w:pPr>
              <w:jc w:val="both"/>
              <w:textAlignment w:val="baseline"/>
              <w:rPr>
                <w:noProof/>
                <w:lang w:eastAsia="fr-FR"/>
              </w:rPr>
            </w:pPr>
            <w:r>
              <w:rPr>
                <w:noProof/>
                <w:lang w:eastAsia="fr-FR"/>
              </w:rPr>
              <w:t>AT, CY, LV</w:t>
            </w:r>
          </w:p>
        </w:tc>
      </w:tr>
      <w:tr>
        <w:tc>
          <w:tcPr>
            <w:tcW w:w="5701" w:type="dxa"/>
          </w:tcPr>
          <w:p>
            <w:pPr>
              <w:jc w:val="both"/>
              <w:textAlignment w:val="baseline"/>
              <w:rPr>
                <w:noProof/>
                <w:lang w:eastAsia="fr-FR"/>
              </w:rPr>
            </w:pPr>
            <w:r>
              <w:rPr>
                <w:noProof/>
                <w:lang w:eastAsia="fr-FR"/>
              </w:rPr>
              <w:t>Clearer rules on the division of the burden of proof</w:t>
            </w:r>
          </w:p>
        </w:tc>
        <w:tc>
          <w:tcPr>
            <w:tcW w:w="2971" w:type="dxa"/>
          </w:tcPr>
          <w:p>
            <w:pPr>
              <w:jc w:val="both"/>
              <w:textAlignment w:val="baseline"/>
              <w:rPr>
                <w:noProof/>
                <w:lang w:eastAsia="fr-FR"/>
              </w:rPr>
            </w:pPr>
            <w:r>
              <w:rPr>
                <w:noProof/>
                <w:lang w:eastAsia="fr-FR"/>
              </w:rPr>
              <w:t>LV, NL</w:t>
            </w:r>
          </w:p>
        </w:tc>
      </w:tr>
      <w:tr>
        <w:tc>
          <w:tcPr>
            <w:tcW w:w="5701" w:type="dxa"/>
          </w:tcPr>
          <w:p>
            <w:pPr>
              <w:jc w:val="both"/>
              <w:textAlignment w:val="baseline"/>
              <w:rPr>
                <w:noProof/>
                <w:lang w:eastAsia="fr-FR"/>
              </w:rPr>
            </w:pPr>
            <w:r>
              <w:rPr>
                <w:noProof/>
                <w:lang w:eastAsia="fr-FR"/>
              </w:rPr>
              <w:t>Lower costs for procedures</w:t>
            </w:r>
          </w:p>
        </w:tc>
        <w:tc>
          <w:tcPr>
            <w:tcW w:w="2971" w:type="dxa"/>
          </w:tcPr>
          <w:p>
            <w:pPr>
              <w:jc w:val="both"/>
              <w:textAlignment w:val="baseline"/>
              <w:rPr>
                <w:noProof/>
                <w:lang w:eastAsia="fr-FR"/>
              </w:rPr>
            </w:pPr>
            <w:r>
              <w:rPr>
                <w:noProof/>
                <w:lang w:eastAsia="fr-FR"/>
              </w:rPr>
              <w:t xml:space="preserve">NL </w:t>
            </w:r>
          </w:p>
        </w:tc>
      </w:tr>
      <w:tr>
        <w:tc>
          <w:tcPr>
            <w:tcW w:w="5701" w:type="dxa"/>
          </w:tcPr>
          <w:p>
            <w:pPr>
              <w:jc w:val="both"/>
              <w:textAlignment w:val="baseline"/>
              <w:rPr>
                <w:noProof/>
                <w:lang w:eastAsia="fr-FR"/>
              </w:rPr>
            </w:pPr>
            <w:r>
              <w:rPr>
                <w:noProof/>
                <w:lang w:eastAsia="fr-FR"/>
              </w:rPr>
              <w:t xml:space="preserve">Longer limitation periods </w:t>
            </w:r>
          </w:p>
        </w:tc>
        <w:tc>
          <w:tcPr>
            <w:tcW w:w="2971" w:type="dxa"/>
          </w:tcPr>
          <w:p>
            <w:pPr>
              <w:jc w:val="both"/>
              <w:textAlignment w:val="baseline"/>
              <w:rPr>
                <w:noProof/>
                <w:lang w:eastAsia="fr-FR"/>
              </w:rPr>
            </w:pPr>
            <w:r>
              <w:rPr>
                <w:noProof/>
                <w:lang w:eastAsia="fr-FR"/>
              </w:rPr>
              <w:t xml:space="preserve">CY, HU, LV </w:t>
            </w:r>
          </w:p>
        </w:tc>
      </w:tr>
      <w:tr>
        <w:tc>
          <w:tcPr>
            <w:tcW w:w="5701" w:type="dxa"/>
          </w:tcPr>
          <w:p>
            <w:pPr>
              <w:jc w:val="both"/>
              <w:textAlignment w:val="baseline"/>
              <w:rPr>
                <w:noProof/>
                <w:lang w:eastAsia="fr-FR"/>
              </w:rPr>
            </w:pPr>
            <w:r>
              <w:rPr>
                <w:noProof/>
                <w:lang w:eastAsia="fr-FR"/>
              </w:rPr>
              <w:t>Improve access to information to prove a claim</w:t>
            </w:r>
          </w:p>
        </w:tc>
        <w:tc>
          <w:tcPr>
            <w:tcW w:w="2971" w:type="dxa"/>
          </w:tcPr>
          <w:p>
            <w:pPr>
              <w:jc w:val="both"/>
              <w:textAlignment w:val="baseline"/>
              <w:rPr>
                <w:noProof/>
                <w:lang w:eastAsia="fr-FR"/>
              </w:rPr>
            </w:pPr>
            <w:r>
              <w:rPr>
                <w:noProof/>
                <w:lang w:eastAsia="fr-FR"/>
              </w:rPr>
              <w:t xml:space="preserve">NL, RO </w:t>
            </w:r>
          </w:p>
        </w:tc>
      </w:tr>
      <w:tr>
        <w:tc>
          <w:tcPr>
            <w:tcW w:w="5701" w:type="dxa"/>
          </w:tcPr>
          <w:p>
            <w:pPr>
              <w:jc w:val="both"/>
              <w:textAlignment w:val="baseline"/>
              <w:rPr>
                <w:noProof/>
                <w:lang w:eastAsia="fr-FR"/>
              </w:rPr>
            </w:pPr>
            <w:r>
              <w:rPr>
                <w:noProof/>
                <w:lang w:eastAsia="fr-FR"/>
              </w:rPr>
              <w:t xml:space="preserve">Standard pay information and IT processing </w:t>
            </w:r>
          </w:p>
        </w:tc>
        <w:tc>
          <w:tcPr>
            <w:tcW w:w="2971" w:type="dxa"/>
          </w:tcPr>
          <w:p>
            <w:pPr>
              <w:jc w:val="both"/>
              <w:textAlignment w:val="baseline"/>
              <w:rPr>
                <w:noProof/>
                <w:lang w:eastAsia="fr-FR"/>
              </w:rPr>
            </w:pPr>
            <w:r>
              <w:rPr>
                <w:noProof/>
                <w:lang w:eastAsia="fr-FR"/>
              </w:rPr>
              <w:t>ES, IE</w:t>
            </w:r>
          </w:p>
        </w:tc>
      </w:tr>
      <w:tr>
        <w:tc>
          <w:tcPr>
            <w:tcW w:w="5701" w:type="dxa"/>
          </w:tcPr>
          <w:p>
            <w:pPr>
              <w:jc w:val="both"/>
              <w:textAlignment w:val="baseline"/>
              <w:rPr>
                <w:noProof/>
                <w:lang w:eastAsia="fr-FR"/>
              </w:rPr>
            </w:pPr>
          </w:p>
        </w:tc>
        <w:tc>
          <w:tcPr>
            <w:tcW w:w="2971" w:type="dxa"/>
          </w:tcPr>
          <w:p>
            <w:pPr>
              <w:jc w:val="both"/>
              <w:textAlignment w:val="baseline"/>
              <w:rPr>
                <w:noProof/>
                <w:lang w:eastAsia="fr-FR"/>
              </w:rPr>
            </w:pPr>
          </w:p>
        </w:tc>
      </w:tr>
      <w:tr>
        <w:trPr>
          <w:trHeight w:val="242"/>
        </w:trPr>
        <w:tc>
          <w:tcPr>
            <w:tcW w:w="8672" w:type="dxa"/>
            <w:gridSpan w:val="2"/>
            <w:shd w:val="clear" w:color="auto" w:fill="D6E3BC" w:themeFill="accent3" w:themeFillTint="66"/>
          </w:tcPr>
          <w:p>
            <w:pPr>
              <w:numPr>
                <w:ilvl w:val="0"/>
                <w:numId w:val="4"/>
              </w:numPr>
              <w:ind w:left="390" w:firstLine="0"/>
              <w:jc w:val="both"/>
              <w:textAlignment w:val="baseline"/>
              <w:rPr>
                <w:noProof/>
                <w:lang w:eastAsia="fr-FR"/>
              </w:rPr>
            </w:pPr>
            <w:r>
              <w:rPr>
                <w:noProof/>
                <w:lang w:eastAsia="fr-FR"/>
              </w:rPr>
              <w:t xml:space="preserve">Improvements to </w:t>
            </w:r>
            <w:r>
              <w:rPr>
                <w:b/>
                <w:bCs/>
                <w:noProof/>
                <w:lang w:eastAsia="fr-FR"/>
              </w:rPr>
              <w:t>Compensation rules</w:t>
            </w:r>
            <w:r>
              <w:rPr>
                <w:noProof/>
                <w:lang w:eastAsia="fr-FR"/>
              </w:rPr>
              <w:t xml:space="preserve">: </w:t>
            </w:r>
          </w:p>
        </w:tc>
      </w:tr>
      <w:tr>
        <w:tc>
          <w:tcPr>
            <w:tcW w:w="5701" w:type="dxa"/>
          </w:tcPr>
          <w:p>
            <w:pPr>
              <w:jc w:val="both"/>
              <w:textAlignment w:val="baseline"/>
              <w:rPr>
                <w:noProof/>
                <w:lang w:eastAsia="fr-FR"/>
              </w:rPr>
            </w:pPr>
            <w:r>
              <w:rPr>
                <w:noProof/>
                <w:lang w:eastAsia="fr-FR"/>
              </w:rPr>
              <w:t>Higher level of compensation</w:t>
            </w:r>
          </w:p>
        </w:tc>
        <w:tc>
          <w:tcPr>
            <w:tcW w:w="2971" w:type="dxa"/>
          </w:tcPr>
          <w:p>
            <w:pPr>
              <w:jc w:val="both"/>
              <w:textAlignment w:val="baseline"/>
              <w:rPr>
                <w:noProof/>
                <w:lang w:eastAsia="fr-FR"/>
              </w:rPr>
            </w:pPr>
            <w:r>
              <w:rPr>
                <w:noProof/>
                <w:lang w:eastAsia="fr-FR"/>
              </w:rPr>
              <w:t>AT, CZ, IE, IT, LV, NL, RO</w:t>
            </w:r>
          </w:p>
        </w:tc>
      </w:tr>
      <w:tr>
        <w:tc>
          <w:tcPr>
            <w:tcW w:w="5701" w:type="dxa"/>
          </w:tcPr>
          <w:p>
            <w:pPr>
              <w:jc w:val="both"/>
              <w:textAlignment w:val="baseline"/>
              <w:rPr>
                <w:noProof/>
                <w:lang w:eastAsia="fr-FR"/>
              </w:rPr>
            </w:pPr>
            <w:r>
              <w:rPr>
                <w:noProof/>
                <w:lang w:eastAsia="fr-FR"/>
              </w:rPr>
              <w:t>Compensation proportionate to size/ turnover</w:t>
            </w:r>
          </w:p>
        </w:tc>
        <w:tc>
          <w:tcPr>
            <w:tcW w:w="2971" w:type="dxa"/>
          </w:tcPr>
          <w:p>
            <w:pPr>
              <w:jc w:val="both"/>
              <w:textAlignment w:val="baseline"/>
              <w:rPr>
                <w:noProof/>
                <w:lang w:eastAsia="fr-FR"/>
              </w:rPr>
            </w:pPr>
            <w:r>
              <w:rPr>
                <w:noProof/>
                <w:lang w:eastAsia="fr-FR"/>
              </w:rPr>
              <w:t>CZ, EE, LV</w:t>
            </w:r>
          </w:p>
        </w:tc>
      </w:tr>
      <w:tr>
        <w:tc>
          <w:tcPr>
            <w:tcW w:w="5701" w:type="dxa"/>
          </w:tcPr>
          <w:p>
            <w:pPr>
              <w:jc w:val="both"/>
              <w:textAlignment w:val="baseline"/>
              <w:rPr>
                <w:noProof/>
                <w:lang w:eastAsia="fr-FR"/>
              </w:rPr>
            </w:pPr>
            <w:r>
              <w:rPr>
                <w:noProof/>
                <w:lang w:eastAsia="fr-FR"/>
              </w:rPr>
              <w:t>Reinforce rules against</w:t>
            </w:r>
            <w:r>
              <w:rPr>
                <w:b/>
                <w:bCs/>
                <w:noProof/>
                <w:u w:val="single"/>
                <w:lang w:eastAsia="fr-FR"/>
              </w:rPr>
              <w:t xml:space="preserve"> </w:t>
            </w:r>
            <w:r>
              <w:rPr>
                <w:b/>
                <w:bCs/>
                <w:noProof/>
                <w:lang w:eastAsia="fr-FR"/>
              </w:rPr>
              <w:t>v</w:t>
            </w:r>
            <w:r>
              <w:rPr>
                <w:noProof/>
                <w:lang w:eastAsia="fr-FR"/>
              </w:rPr>
              <w:t>ictimizatio</w:t>
            </w:r>
            <w:r>
              <w:rPr>
                <w:noProof/>
                <w:u w:val="single"/>
                <w:lang w:eastAsia="fr-FR"/>
              </w:rPr>
              <w:t>n</w:t>
            </w:r>
          </w:p>
        </w:tc>
        <w:tc>
          <w:tcPr>
            <w:tcW w:w="2971" w:type="dxa"/>
          </w:tcPr>
          <w:p>
            <w:pPr>
              <w:jc w:val="both"/>
              <w:textAlignment w:val="baseline"/>
              <w:rPr>
                <w:noProof/>
                <w:lang w:eastAsia="fr-FR"/>
              </w:rPr>
            </w:pPr>
            <w:r>
              <w:rPr>
                <w:noProof/>
                <w:lang w:eastAsia="fr-FR"/>
              </w:rPr>
              <w:t>EE, MT</w:t>
            </w:r>
          </w:p>
        </w:tc>
      </w:tr>
      <w:tr>
        <w:tc>
          <w:tcPr>
            <w:tcW w:w="5701" w:type="dxa"/>
          </w:tcPr>
          <w:p>
            <w:pPr>
              <w:jc w:val="both"/>
              <w:textAlignment w:val="baseline"/>
              <w:rPr>
                <w:noProof/>
                <w:lang w:eastAsia="fr-FR"/>
              </w:rPr>
            </w:pPr>
          </w:p>
        </w:tc>
        <w:tc>
          <w:tcPr>
            <w:tcW w:w="2971" w:type="dxa"/>
          </w:tcPr>
          <w:p>
            <w:pPr>
              <w:jc w:val="both"/>
              <w:textAlignment w:val="baseline"/>
              <w:rPr>
                <w:noProof/>
                <w:lang w:eastAsia="fr-FR"/>
              </w:rPr>
            </w:pPr>
          </w:p>
        </w:tc>
      </w:tr>
      <w:tr>
        <w:trPr>
          <w:trHeight w:val="372"/>
        </w:trPr>
        <w:tc>
          <w:tcPr>
            <w:tcW w:w="8672" w:type="dxa"/>
            <w:gridSpan w:val="2"/>
            <w:shd w:val="clear" w:color="auto" w:fill="D6E3BC" w:themeFill="accent3" w:themeFillTint="66"/>
          </w:tcPr>
          <w:p>
            <w:pPr>
              <w:numPr>
                <w:ilvl w:val="0"/>
                <w:numId w:val="4"/>
              </w:numPr>
              <w:ind w:left="390" w:firstLine="0"/>
              <w:jc w:val="both"/>
              <w:textAlignment w:val="baseline"/>
              <w:rPr>
                <w:noProof/>
                <w:lang w:eastAsia="fr-FR"/>
              </w:rPr>
            </w:pPr>
            <w:r>
              <w:rPr>
                <w:b/>
                <w:bCs/>
                <w:noProof/>
                <w:lang w:eastAsia="fr-FR"/>
              </w:rPr>
              <w:t>Effectiveness</w:t>
            </w:r>
            <w:r>
              <w:rPr>
                <w:noProof/>
                <w:lang w:eastAsia="fr-FR"/>
              </w:rPr>
              <w:t xml:space="preserve"> of the measure: </w:t>
            </w:r>
          </w:p>
        </w:tc>
      </w:tr>
      <w:tr>
        <w:tc>
          <w:tcPr>
            <w:tcW w:w="5701" w:type="dxa"/>
          </w:tcPr>
          <w:p>
            <w:pPr>
              <w:jc w:val="both"/>
              <w:textAlignment w:val="baseline"/>
              <w:rPr>
                <w:noProof/>
                <w:lang w:eastAsia="fr-FR"/>
              </w:rPr>
            </w:pPr>
            <w:r>
              <w:rPr>
                <w:noProof/>
                <w:lang w:eastAsia="fr-FR"/>
              </w:rPr>
              <w:t>Legally binding pay transparency measures</w:t>
            </w:r>
          </w:p>
        </w:tc>
        <w:tc>
          <w:tcPr>
            <w:tcW w:w="2971" w:type="dxa"/>
          </w:tcPr>
          <w:p>
            <w:pPr>
              <w:jc w:val="both"/>
              <w:textAlignment w:val="baseline"/>
              <w:rPr>
                <w:noProof/>
                <w:lang w:eastAsia="fr-FR"/>
              </w:rPr>
            </w:pPr>
            <w:r>
              <w:rPr>
                <w:noProof/>
                <w:lang w:eastAsia="fr-FR"/>
              </w:rPr>
              <w:t xml:space="preserve">BG, CY, DE, HR </w:t>
            </w:r>
          </w:p>
        </w:tc>
      </w:tr>
      <w:tr>
        <w:tc>
          <w:tcPr>
            <w:tcW w:w="5701" w:type="dxa"/>
          </w:tcPr>
          <w:p>
            <w:pPr>
              <w:jc w:val="both"/>
              <w:textAlignment w:val="baseline"/>
              <w:rPr>
                <w:noProof/>
                <w:lang w:eastAsia="fr-FR"/>
              </w:rPr>
            </w:pPr>
            <w:r>
              <w:rPr>
                <w:noProof/>
                <w:lang w:eastAsia="fr-FR"/>
              </w:rPr>
              <w:t xml:space="preserve">Allow collective claim /class actions </w:t>
            </w:r>
          </w:p>
        </w:tc>
        <w:tc>
          <w:tcPr>
            <w:tcW w:w="2971" w:type="dxa"/>
          </w:tcPr>
          <w:p>
            <w:pPr>
              <w:jc w:val="both"/>
              <w:textAlignment w:val="baseline"/>
              <w:rPr>
                <w:noProof/>
                <w:lang w:eastAsia="fr-FR"/>
              </w:rPr>
            </w:pPr>
            <w:r>
              <w:rPr>
                <w:noProof/>
                <w:lang w:eastAsia="fr-FR"/>
              </w:rPr>
              <w:t xml:space="preserve">DE, EE, FR </w:t>
            </w:r>
          </w:p>
        </w:tc>
      </w:tr>
      <w:tr>
        <w:tc>
          <w:tcPr>
            <w:tcW w:w="5701" w:type="dxa"/>
          </w:tcPr>
          <w:p>
            <w:pPr>
              <w:jc w:val="both"/>
              <w:textAlignment w:val="baseline"/>
              <w:rPr>
                <w:noProof/>
                <w:lang w:eastAsia="fr-FR"/>
              </w:rPr>
            </w:pPr>
            <w:r>
              <w:rPr>
                <w:noProof/>
                <w:lang w:eastAsia="fr-FR"/>
              </w:rPr>
              <w:t>Legal standing for NGO, equality commissioner, trade unions, etc. on behalf victims:</w:t>
            </w:r>
          </w:p>
        </w:tc>
        <w:tc>
          <w:tcPr>
            <w:tcW w:w="2971" w:type="dxa"/>
          </w:tcPr>
          <w:p>
            <w:pPr>
              <w:jc w:val="both"/>
              <w:textAlignment w:val="baseline"/>
              <w:rPr>
                <w:noProof/>
                <w:lang w:eastAsia="fr-FR"/>
              </w:rPr>
            </w:pPr>
            <w:r>
              <w:rPr>
                <w:noProof/>
                <w:lang w:eastAsia="fr-FR"/>
              </w:rPr>
              <w:t xml:space="preserve">CZ, HU, RO </w:t>
            </w:r>
          </w:p>
          <w:p>
            <w:pPr>
              <w:jc w:val="both"/>
              <w:textAlignment w:val="baseline"/>
              <w:rPr>
                <w:noProof/>
                <w:lang w:eastAsia="fr-FR"/>
              </w:rPr>
            </w:pPr>
          </w:p>
        </w:tc>
      </w:tr>
      <w:tr>
        <w:tc>
          <w:tcPr>
            <w:tcW w:w="5701" w:type="dxa"/>
          </w:tcPr>
          <w:p>
            <w:pPr>
              <w:jc w:val="both"/>
              <w:textAlignment w:val="baseline"/>
              <w:rPr>
                <w:noProof/>
                <w:lang w:eastAsia="fr-FR"/>
              </w:rPr>
            </w:pPr>
            <w:r>
              <w:rPr>
                <w:noProof/>
                <w:lang w:eastAsia="fr-FR"/>
              </w:rPr>
              <w:t>Legal standing for NGO, equality commissioner, trade unions, etc. in their own name</w:t>
            </w:r>
          </w:p>
        </w:tc>
        <w:tc>
          <w:tcPr>
            <w:tcW w:w="2971" w:type="dxa"/>
          </w:tcPr>
          <w:p>
            <w:pPr>
              <w:jc w:val="both"/>
              <w:textAlignment w:val="baseline"/>
              <w:rPr>
                <w:noProof/>
                <w:lang w:eastAsia="fr-FR"/>
              </w:rPr>
            </w:pPr>
            <w:r>
              <w:rPr>
                <w:noProof/>
                <w:lang w:eastAsia="fr-FR"/>
              </w:rPr>
              <w:t>EE</w:t>
            </w:r>
          </w:p>
        </w:tc>
      </w:tr>
      <w:tr>
        <w:tc>
          <w:tcPr>
            <w:tcW w:w="5701" w:type="dxa"/>
          </w:tcPr>
          <w:p>
            <w:pPr>
              <w:jc w:val="both"/>
              <w:textAlignment w:val="baseline"/>
              <w:rPr>
                <w:noProof/>
                <w:lang w:eastAsia="fr-FR"/>
              </w:rPr>
            </w:pPr>
            <w:r>
              <w:rPr>
                <w:noProof/>
                <w:lang w:eastAsia="fr-FR"/>
              </w:rPr>
              <w:t>Adequate resources to Labour inspectorates and monitoring bodies</w:t>
            </w:r>
          </w:p>
        </w:tc>
        <w:tc>
          <w:tcPr>
            <w:tcW w:w="2971" w:type="dxa"/>
          </w:tcPr>
          <w:p>
            <w:pPr>
              <w:jc w:val="both"/>
              <w:textAlignment w:val="baseline"/>
              <w:rPr>
                <w:noProof/>
                <w:lang w:eastAsia="fr-FR"/>
              </w:rPr>
            </w:pPr>
            <w:r>
              <w:rPr>
                <w:noProof/>
                <w:lang w:eastAsia="fr-FR"/>
              </w:rPr>
              <w:t xml:space="preserve">IT, LU, PL </w:t>
            </w:r>
          </w:p>
        </w:tc>
      </w:tr>
      <w:tr>
        <w:tc>
          <w:tcPr>
            <w:tcW w:w="5701" w:type="dxa"/>
          </w:tcPr>
          <w:p>
            <w:pPr>
              <w:jc w:val="both"/>
              <w:textAlignment w:val="baseline"/>
              <w:rPr>
                <w:noProof/>
                <w:lang w:eastAsia="fr-FR"/>
              </w:rPr>
            </w:pPr>
            <w:r>
              <w:rPr>
                <w:noProof/>
                <w:lang w:eastAsia="fr-FR"/>
              </w:rPr>
              <w:t>Awareness campaigns on equal pay rights and role of Labour inspectorate and other bodies</w:t>
            </w:r>
          </w:p>
        </w:tc>
        <w:tc>
          <w:tcPr>
            <w:tcW w:w="2971" w:type="dxa"/>
          </w:tcPr>
          <w:p>
            <w:pPr>
              <w:jc w:val="both"/>
              <w:textAlignment w:val="baseline"/>
              <w:rPr>
                <w:noProof/>
                <w:lang w:eastAsia="fr-FR"/>
              </w:rPr>
            </w:pPr>
            <w:r>
              <w:rPr>
                <w:noProof/>
                <w:lang w:eastAsia="fr-FR"/>
              </w:rPr>
              <w:t xml:space="preserve">RO </w:t>
            </w:r>
          </w:p>
        </w:tc>
      </w:tr>
      <w:tr>
        <w:tc>
          <w:tcPr>
            <w:tcW w:w="5701" w:type="dxa"/>
          </w:tcPr>
          <w:p>
            <w:pPr>
              <w:jc w:val="both"/>
              <w:textAlignment w:val="baseline"/>
              <w:rPr>
                <w:noProof/>
                <w:lang w:eastAsia="fr-FR"/>
              </w:rPr>
            </w:pPr>
            <w:r>
              <w:rPr>
                <w:noProof/>
                <w:lang w:eastAsia="fr-FR"/>
              </w:rPr>
              <w:t>Reinforce coordination and collaboration between labour inspectorates and other organisms</w:t>
            </w:r>
          </w:p>
        </w:tc>
        <w:tc>
          <w:tcPr>
            <w:tcW w:w="2971" w:type="dxa"/>
          </w:tcPr>
          <w:p>
            <w:pPr>
              <w:jc w:val="both"/>
              <w:textAlignment w:val="baseline"/>
              <w:rPr>
                <w:noProof/>
                <w:lang w:eastAsia="fr-FR"/>
              </w:rPr>
            </w:pPr>
            <w:r>
              <w:rPr>
                <w:noProof/>
                <w:lang w:eastAsia="fr-FR"/>
              </w:rPr>
              <w:t xml:space="preserve">IT </w:t>
            </w:r>
          </w:p>
          <w:p>
            <w:pPr>
              <w:jc w:val="both"/>
              <w:textAlignment w:val="baseline"/>
              <w:rPr>
                <w:noProof/>
                <w:lang w:eastAsia="fr-FR"/>
              </w:rPr>
            </w:pPr>
          </w:p>
        </w:tc>
      </w:tr>
      <w:tr>
        <w:tc>
          <w:tcPr>
            <w:tcW w:w="5701" w:type="dxa"/>
          </w:tcPr>
          <w:p>
            <w:pPr>
              <w:jc w:val="both"/>
              <w:textAlignment w:val="baseline"/>
              <w:rPr>
                <w:noProof/>
                <w:lang w:eastAsia="fr-FR"/>
              </w:rPr>
            </w:pPr>
            <w:r>
              <w:rPr>
                <w:noProof/>
                <w:lang w:eastAsia="fr-FR"/>
              </w:rPr>
              <w:t xml:space="preserve">Link pay transparency to the ability to win public contract/public procurement: </w:t>
            </w:r>
          </w:p>
        </w:tc>
        <w:tc>
          <w:tcPr>
            <w:tcW w:w="2971" w:type="dxa"/>
          </w:tcPr>
          <w:p>
            <w:pPr>
              <w:jc w:val="both"/>
              <w:textAlignment w:val="baseline"/>
              <w:rPr>
                <w:noProof/>
                <w:lang w:eastAsia="fr-FR"/>
              </w:rPr>
            </w:pPr>
            <w:r>
              <w:rPr>
                <w:noProof/>
                <w:lang w:eastAsia="fr-FR"/>
              </w:rPr>
              <w:t>FR</w:t>
            </w:r>
          </w:p>
        </w:tc>
      </w:tr>
      <w:tr>
        <w:tc>
          <w:tcPr>
            <w:tcW w:w="8672" w:type="dxa"/>
            <w:gridSpan w:val="2"/>
            <w:shd w:val="clear" w:color="auto" w:fill="D6E3BC" w:themeFill="accent3" w:themeFillTint="66"/>
          </w:tcPr>
          <w:p>
            <w:pPr>
              <w:numPr>
                <w:ilvl w:val="0"/>
                <w:numId w:val="4"/>
              </w:numPr>
              <w:ind w:left="390" w:firstLine="0"/>
              <w:jc w:val="both"/>
              <w:textAlignment w:val="baseline"/>
              <w:rPr>
                <w:noProof/>
                <w:lang w:eastAsia="fr-FR"/>
              </w:rPr>
            </w:pPr>
            <w:r>
              <w:rPr>
                <w:b/>
                <w:bCs/>
                <w:noProof/>
                <w:lang w:eastAsia="fr-FR"/>
              </w:rPr>
              <w:t xml:space="preserve">Avoid tick boxing </w:t>
            </w:r>
            <w:r>
              <w:rPr>
                <w:noProof/>
                <w:lang w:eastAsia="fr-FR"/>
              </w:rPr>
              <w:t>exercise</w:t>
            </w:r>
          </w:p>
        </w:tc>
      </w:tr>
      <w:tr>
        <w:tc>
          <w:tcPr>
            <w:tcW w:w="5701" w:type="dxa"/>
          </w:tcPr>
          <w:p>
            <w:pPr>
              <w:jc w:val="both"/>
              <w:textAlignment w:val="baseline"/>
              <w:rPr>
                <w:b/>
                <w:bCs/>
                <w:noProof/>
                <w:lang w:eastAsia="fr-FR"/>
              </w:rPr>
            </w:pPr>
            <w:r>
              <w:rPr>
                <w:noProof/>
                <w:lang w:eastAsia="fr-FR"/>
              </w:rPr>
              <w:t>Effective monitoring of the process and the outcome</w:t>
            </w:r>
          </w:p>
        </w:tc>
        <w:tc>
          <w:tcPr>
            <w:tcW w:w="2971" w:type="dxa"/>
          </w:tcPr>
          <w:p>
            <w:pPr>
              <w:jc w:val="both"/>
              <w:textAlignment w:val="baseline"/>
              <w:rPr>
                <w:noProof/>
                <w:lang w:val="fr-BE" w:eastAsia="fr-FR"/>
              </w:rPr>
            </w:pPr>
            <w:r>
              <w:rPr>
                <w:noProof/>
                <w:lang w:val="fr-BE" w:eastAsia="fr-FR"/>
              </w:rPr>
              <w:t>BE, DE, ES, PT, SK</w:t>
            </w:r>
          </w:p>
        </w:tc>
      </w:tr>
      <w:tr>
        <w:tc>
          <w:tcPr>
            <w:tcW w:w="5701" w:type="dxa"/>
          </w:tcPr>
          <w:p>
            <w:pPr>
              <w:jc w:val="both"/>
              <w:textAlignment w:val="baseline"/>
              <w:rPr>
                <w:noProof/>
                <w:lang w:eastAsia="fr-FR"/>
              </w:rPr>
            </w:pPr>
            <w:r>
              <w:rPr>
                <w:noProof/>
                <w:lang w:eastAsia="fr-FR"/>
              </w:rPr>
              <w:t>Assess feasibility and administrative capability</w:t>
            </w:r>
          </w:p>
        </w:tc>
        <w:tc>
          <w:tcPr>
            <w:tcW w:w="2971" w:type="dxa"/>
          </w:tcPr>
          <w:p>
            <w:pPr>
              <w:jc w:val="both"/>
              <w:textAlignment w:val="baseline"/>
              <w:rPr>
                <w:noProof/>
                <w:lang w:eastAsia="fr-FR"/>
              </w:rPr>
            </w:pPr>
            <w:r>
              <w:rPr>
                <w:noProof/>
                <w:lang w:eastAsia="fr-FR"/>
              </w:rPr>
              <w:t>EL, PT</w:t>
            </w:r>
          </w:p>
        </w:tc>
      </w:tr>
      <w:tr>
        <w:tc>
          <w:tcPr>
            <w:tcW w:w="5701" w:type="dxa"/>
          </w:tcPr>
          <w:p>
            <w:pPr>
              <w:jc w:val="both"/>
              <w:textAlignment w:val="baseline"/>
              <w:rPr>
                <w:noProof/>
                <w:lang w:eastAsia="fr-FR"/>
              </w:rPr>
            </w:pPr>
            <w:r>
              <w:rPr>
                <w:noProof/>
                <w:lang w:eastAsia="fr-FR"/>
              </w:rPr>
              <w:t>Independent audit</w:t>
            </w:r>
          </w:p>
        </w:tc>
        <w:tc>
          <w:tcPr>
            <w:tcW w:w="2971" w:type="dxa"/>
          </w:tcPr>
          <w:p>
            <w:pPr>
              <w:jc w:val="both"/>
              <w:textAlignment w:val="baseline"/>
              <w:rPr>
                <w:noProof/>
                <w:lang w:eastAsia="fr-FR"/>
              </w:rPr>
            </w:pPr>
            <w:r>
              <w:rPr>
                <w:noProof/>
                <w:lang w:eastAsia="fr-FR"/>
              </w:rPr>
              <w:t xml:space="preserve">FR </w:t>
            </w:r>
          </w:p>
        </w:tc>
      </w:tr>
      <w:tr>
        <w:tc>
          <w:tcPr>
            <w:tcW w:w="5701" w:type="dxa"/>
          </w:tcPr>
          <w:p>
            <w:pPr>
              <w:jc w:val="both"/>
              <w:textAlignment w:val="baseline"/>
              <w:rPr>
                <w:noProof/>
                <w:lang w:eastAsia="fr-FR"/>
              </w:rPr>
            </w:pPr>
            <w:r>
              <w:rPr>
                <w:noProof/>
                <w:lang w:eastAsia="fr-FR"/>
              </w:rPr>
              <w:t>Training of stakeholders</w:t>
            </w:r>
          </w:p>
        </w:tc>
        <w:tc>
          <w:tcPr>
            <w:tcW w:w="2971" w:type="dxa"/>
          </w:tcPr>
          <w:p>
            <w:pPr>
              <w:jc w:val="both"/>
              <w:textAlignment w:val="baseline"/>
              <w:rPr>
                <w:noProof/>
                <w:lang w:val="fr-BE" w:eastAsia="fr-FR"/>
              </w:rPr>
            </w:pPr>
            <w:r>
              <w:rPr>
                <w:noProof/>
                <w:lang w:val="fr-BE" w:eastAsia="fr-FR"/>
              </w:rPr>
              <w:t xml:space="preserve">CY, CZ, DE, HR, LU </w:t>
            </w:r>
          </w:p>
        </w:tc>
      </w:tr>
      <w:tr>
        <w:tc>
          <w:tcPr>
            <w:tcW w:w="5701" w:type="dxa"/>
          </w:tcPr>
          <w:p>
            <w:pPr>
              <w:jc w:val="both"/>
              <w:textAlignment w:val="baseline"/>
              <w:rPr>
                <w:noProof/>
                <w:lang w:eastAsia="fr-FR"/>
              </w:rPr>
            </w:pPr>
            <w:r>
              <w:rPr>
                <w:noProof/>
                <w:lang w:eastAsia="fr-FR"/>
              </w:rPr>
              <w:t>Adequate resources to labour inspectorates and other</w:t>
            </w:r>
          </w:p>
        </w:tc>
        <w:tc>
          <w:tcPr>
            <w:tcW w:w="2971" w:type="dxa"/>
          </w:tcPr>
          <w:p>
            <w:pPr>
              <w:jc w:val="both"/>
              <w:textAlignment w:val="baseline"/>
              <w:rPr>
                <w:noProof/>
                <w:lang w:eastAsia="fr-FR"/>
              </w:rPr>
            </w:pPr>
            <w:r>
              <w:rPr>
                <w:noProof/>
                <w:lang w:eastAsia="fr-FR"/>
              </w:rPr>
              <w:t>IT, PT</w:t>
            </w:r>
          </w:p>
        </w:tc>
      </w:tr>
      <w:tr>
        <w:tc>
          <w:tcPr>
            <w:tcW w:w="5701" w:type="dxa"/>
          </w:tcPr>
          <w:p>
            <w:pPr>
              <w:jc w:val="both"/>
              <w:textAlignment w:val="baseline"/>
              <w:rPr>
                <w:noProof/>
                <w:lang w:eastAsia="fr-FR"/>
              </w:rPr>
            </w:pPr>
          </w:p>
        </w:tc>
        <w:tc>
          <w:tcPr>
            <w:tcW w:w="2971" w:type="dxa"/>
          </w:tcPr>
          <w:p>
            <w:pPr>
              <w:jc w:val="both"/>
              <w:textAlignment w:val="baseline"/>
              <w:rPr>
                <w:noProof/>
                <w:lang w:eastAsia="fr-FR"/>
              </w:rPr>
            </w:pPr>
          </w:p>
        </w:tc>
      </w:tr>
      <w:tr>
        <w:tc>
          <w:tcPr>
            <w:tcW w:w="5701" w:type="dxa"/>
            <w:shd w:val="clear" w:color="auto" w:fill="D6E3BC" w:themeFill="accent3" w:themeFillTint="66"/>
          </w:tcPr>
          <w:p>
            <w:pPr>
              <w:numPr>
                <w:ilvl w:val="0"/>
                <w:numId w:val="4"/>
              </w:numPr>
              <w:ind w:left="390" w:firstLine="0"/>
              <w:jc w:val="both"/>
              <w:textAlignment w:val="baseline"/>
              <w:rPr>
                <w:noProof/>
                <w:lang w:eastAsia="fr-FR"/>
              </w:rPr>
            </w:pPr>
            <w:r>
              <w:rPr>
                <w:b/>
                <w:bCs/>
                <w:noProof/>
                <w:lang w:eastAsia="fr-FR"/>
              </w:rPr>
              <w:t>Scope</w:t>
            </w:r>
            <w:r>
              <w:rPr>
                <w:noProof/>
                <w:lang w:eastAsia="fr-FR"/>
              </w:rPr>
              <w:t xml:space="preserve"> of the measure: </w:t>
            </w:r>
          </w:p>
        </w:tc>
        <w:tc>
          <w:tcPr>
            <w:tcW w:w="2971" w:type="dxa"/>
            <w:shd w:val="clear" w:color="auto" w:fill="D6E3BC" w:themeFill="accent3" w:themeFillTint="66"/>
          </w:tcPr>
          <w:p>
            <w:pPr>
              <w:jc w:val="both"/>
              <w:textAlignment w:val="baseline"/>
              <w:rPr>
                <w:noProof/>
                <w:lang w:eastAsia="fr-FR"/>
              </w:rPr>
            </w:pPr>
          </w:p>
        </w:tc>
      </w:tr>
      <w:tr>
        <w:tc>
          <w:tcPr>
            <w:tcW w:w="5701" w:type="dxa"/>
          </w:tcPr>
          <w:p>
            <w:pPr>
              <w:jc w:val="both"/>
              <w:textAlignment w:val="baseline"/>
              <w:rPr>
                <w:noProof/>
                <w:lang w:eastAsia="fr-FR"/>
              </w:rPr>
            </w:pPr>
            <w:r>
              <w:rPr>
                <w:noProof/>
                <w:lang w:eastAsia="fr-FR"/>
              </w:rPr>
              <w:t>Public and the private sectors</w:t>
            </w:r>
          </w:p>
        </w:tc>
        <w:tc>
          <w:tcPr>
            <w:tcW w:w="2971" w:type="dxa"/>
          </w:tcPr>
          <w:p>
            <w:pPr>
              <w:jc w:val="both"/>
              <w:textAlignment w:val="baseline"/>
              <w:rPr>
                <w:noProof/>
                <w:lang w:eastAsia="fr-FR"/>
              </w:rPr>
            </w:pPr>
            <w:r>
              <w:rPr>
                <w:noProof/>
                <w:lang w:eastAsia="fr-FR"/>
              </w:rPr>
              <w:t xml:space="preserve">BG, FI </w:t>
            </w:r>
          </w:p>
        </w:tc>
      </w:tr>
      <w:tr>
        <w:tc>
          <w:tcPr>
            <w:tcW w:w="5701" w:type="dxa"/>
          </w:tcPr>
          <w:p>
            <w:pPr>
              <w:jc w:val="both"/>
              <w:textAlignment w:val="baseline"/>
              <w:rPr>
                <w:noProof/>
                <w:lang w:eastAsia="fr-FR"/>
              </w:rPr>
            </w:pPr>
            <w:r>
              <w:rPr>
                <w:noProof/>
                <w:lang w:eastAsia="fr-FR"/>
              </w:rPr>
              <w:t>Measures applied to all size of companies</w:t>
            </w:r>
          </w:p>
        </w:tc>
        <w:tc>
          <w:tcPr>
            <w:tcW w:w="2971" w:type="dxa"/>
          </w:tcPr>
          <w:p>
            <w:pPr>
              <w:jc w:val="both"/>
              <w:textAlignment w:val="baseline"/>
              <w:rPr>
                <w:noProof/>
                <w:lang w:eastAsia="fr-FR"/>
              </w:rPr>
            </w:pPr>
            <w:r>
              <w:rPr>
                <w:noProof/>
                <w:lang w:eastAsia="fr-FR"/>
              </w:rPr>
              <w:t xml:space="preserve">EL, IE, IT </w:t>
            </w:r>
          </w:p>
        </w:tc>
      </w:tr>
      <w:tr>
        <w:tc>
          <w:tcPr>
            <w:tcW w:w="5701" w:type="dxa"/>
          </w:tcPr>
          <w:p>
            <w:pPr>
              <w:jc w:val="both"/>
              <w:textAlignment w:val="baseline"/>
              <w:rPr>
                <w:noProof/>
                <w:lang w:eastAsia="fr-FR"/>
              </w:rPr>
            </w:pPr>
            <w:r>
              <w:rPr>
                <w:noProof/>
                <w:lang w:eastAsia="fr-FR"/>
              </w:rPr>
              <w:t>Broad definition of ‘employee’/’workers’</w:t>
            </w:r>
          </w:p>
        </w:tc>
        <w:tc>
          <w:tcPr>
            <w:tcW w:w="2971" w:type="dxa"/>
          </w:tcPr>
          <w:p>
            <w:pPr>
              <w:jc w:val="both"/>
              <w:textAlignment w:val="baseline"/>
              <w:rPr>
                <w:noProof/>
                <w:lang w:eastAsia="fr-FR"/>
              </w:rPr>
            </w:pPr>
            <w:r>
              <w:rPr>
                <w:noProof/>
                <w:lang w:eastAsia="fr-FR"/>
              </w:rPr>
              <w:t>IE</w:t>
            </w:r>
          </w:p>
        </w:tc>
      </w:tr>
      <w:tr>
        <w:tc>
          <w:tcPr>
            <w:tcW w:w="5701" w:type="dxa"/>
          </w:tcPr>
          <w:p>
            <w:pPr>
              <w:jc w:val="both"/>
              <w:textAlignment w:val="baseline"/>
              <w:rPr>
                <w:noProof/>
                <w:lang w:eastAsia="fr-FR"/>
              </w:rPr>
            </w:pPr>
            <w:r>
              <w:rPr>
                <w:noProof/>
                <w:lang w:eastAsia="fr-FR"/>
              </w:rPr>
              <w:t>Broad definition of pay</w:t>
            </w:r>
          </w:p>
        </w:tc>
        <w:tc>
          <w:tcPr>
            <w:tcW w:w="2971" w:type="dxa"/>
          </w:tcPr>
          <w:p>
            <w:pPr>
              <w:jc w:val="both"/>
              <w:textAlignment w:val="baseline"/>
              <w:rPr>
                <w:noProof/>
                <w:lang w:eastAsia="fr-FR"/>
              </w:rPr>
            </w:pPr>
            <w:r>
              <w:rPr>
                <w:noProof/>
                <w:lang w:eastAsia="fr-FR"/>
              </w:rPr>
              <w:t>IE</w:t>
            </w:r>
          </w:p>
        </w:tc>
      </w:tr>
    </w:tbl>
    <w:p>
      <w:pPr>
        <w:rPr>
          <w:rFonts w:ascii="Times New Roman" w:hAnsi="Times New Roman" w:cs="Times New Roman"/>
          <w:noProof/>
          <w:sz w:val="24"/>
          <w:szCs w:val="24"/>
        </w:rPr>
      </w:pPr>
    </w:p>
    <w:p>
      <w:pPr>
        <w:rPr>
          <w:rFonts w:ascii="Times New Roman" w:hAnsi="Times New Roman" w:cs="Times New Roman"/>
          <w:b/>
          <w:noProof/>
          <w:sz w:val="24"/>
          <w:szCs w:val="24"/>
        </w:rPr>
      </w:pPr>
      <w:bookmarkStart w:id="7504" w:name="_Toc49805526"/>
      <w:r>
        <w:rPr>
          <w:rFonts w:ascii="Times New Roman" w:hAnsi="Times New Roman" w:cs="Times New Roman"/>
          <w:b/>
          <w:noProof/>
          <w:sz w:val="24"/>
          <w:szCs w:val="24"/>
        </w:rPr>
        <w:br w:type="page"/>
      </w:r>
    </w:p>
    <w:bookmarkEnd w:id="7504"/>
    <w:p>
      <w:pPr>
        <w:rPr>
          <w:rFonts w:ascii="Times New Roman" w:hAnsi="Times New Roman" w:cs="Times New Roman"/>
          <w:noProof/>
          <w:sz w:val="24"/>
          <w:szCs w:val="24"/>
          <w:lang w:val="nl-BE"/>
        </w:rPr>
      </w:pPr>
    </w:p>
    <w:p>
      <w:pPr>
        <w:pStyle w:val="Heading3"/>
        <w:numPr>
          <w:ilvl w:val="0"/>
          <w:numId w:val="57"/>
        </w:numPr>
        <w:ind w:left="426" w:hanging="426"/>
        <w:rPr>
          <w:b/>
          <w:noProof/>
        </w:rPr>
      </w:pPr>
      <w:bookmarkStart w:id="7505" w:name="_Toc49805528"/>
      <w:r>
        <w:rPr>
          <w:b/>
          <w:bCs/>
          <w:noProof/>
        </w:rPr>
        <w:t>Indications of the change to the legal systems introduced by the initative</w:t>
      </w:r>
      <w:bookmarkEnd w:id="7505"/>
    </w:p>
    <w:p>
      <w:pPr>
        <w:autoSpaceDE w:val="0"/>
        <w:autoSpaceDN w:val="0"/>
        <w:adjustRightInd w:val="0"/>
        <w:spacing w:after="40" w:line="201" w:lineRule="atLeast"/>
        <w:jc w:val="both"/>
        <w:rPr>
          <w:rFonts w:ascii="Times New Roman" w:hAnsi="Times New Roman" w:cs="Times New Roman"/>
          <w:noProof/>
          <w:sz w:val="24"/>
          <w:szCs w:val="24"/>
        </w:rPr>
      </w:pPr>
      <w:r>
        <w:rPr>
          <w:rFonts w:ascii="Times New Roman" w:hAnsi="Times New Roman" w:cs="Times New Roman"/>
          <w:noProof/>
          <w:sz w:val="24"/>
          <w:szCs w:val="24"/>
        </w:rPr>
        <w:t>The table shows for each Member State whether the new initiative intervenes on an already (partly) regulated policy area. For countries that already have some legal provisions in this area, the table indicates changes the new initiative would require depending on the exact form the measures introduced by the initiative will take.</w:t>
      </w:r>
    </w:p>
    <w:p>
      <w:pPr>
        <w:autoSpaceDE w:val="0"/>
        <w:autoSpaceDN w:val="0"/>
        <w:adjustRightInd w:val="0"/>
        <w:spacing w:after="40" w:line="201"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This assessment was made by the country experts that conducted the country studies. The score provided here is the average of the individual scores for the four options assessed under Strand A. The average scores per option (across countries) are similar, with the exception of option 2 which has a higher average than the three other options. The assessment of the four options per country may also vary. </w:t>
      </w:r>
    </w:p>
    <w:p>
      <w:pPr>
        <w:rPr>
          <w:rFonts w:ascii="Times New Roman" w:hAnsi="Times New Roman" w:cs="Times New Roman"/>
          <w:noProof/>
          <w:sz w:val="24"/>
          <w:szCs w:val="24"/>
        </w:rPr>
      </w:pPr>
    </w:p>
    <w:tbl>
      <w:tblPr>
        <w:tblStyle w:val="GridTable5DarkAccent4"/>
        <w:tblW w:w="862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1"/>
        <w:gridCol w:w="1446"/>
        <w:gridCol w:w="5829"/>
        <w:gridCol w:w="222"/>
        <w:gridCol w:w="14"/>
      </w:tblGrid>
      <w:tr>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111" w:type="dxa"/>
            <w:hideMark/>
          </w:tcPr>
          <w:p>
            <w:pP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Acronym</w:t>
            </w:r>
          </w:p>
        </w:tc>
        <w:tc>
          <w:tcPr>
            <w:tcW w:w="1446" w:type="dxa"/>
            <w:hideMark/>
          </w:tcPr>
          <w:p>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Already regulated*</w:t>
            </w:r>
          </w:p>
        </w:tc>
        <w:tc>
          <w:tcPr>
            <w:tcW w:w="5829" w:type="dxa"/>
            <w:hideMark/>
          </w:tcPr>
          <w:p>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Conditions under which the initiative widens the scope of the existing Member State regulation</w:t>
            </w:r>
          </w:p>
        </w:tc>
        <w:tc>
          <w:tcPr>
            <w:tcW w:w="236" w:type="dxa"/>
            <w:gridSpan w:val="2"/>
            <w:hideMark/>
          </w:tcPr>
          <w:p>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r>
      <w:tr>
        <w:trPr>
          <w:gridAfter w:val="1"/>
          <w:cnfStyle w:val="000000100000" w:firstRow="0" w:lastRow="0" w:firstColumn="0" w:lastColumn="0" w:oddVBand="0" w:evenVBand="0" w:oddHBand="1" w:evenHBand="0" w:firstRowFirstColumn="0" w:firstRowLastColumn="0" w:lastRowFirstColumn="0" w:lastRowLastColumn="0"/>
          <w:wAfter w:w="14" w:type="dxa"/>
          <w:trHeight w:val="113"/>
        </w:trPr>
        <w:tc>
          <w:tcPr>
            <w:cnfStyle w:val="001000000000" w:firstRow="0" w:lastRow="0" w:firstColumn="1" w:lastColumn="0" w:oddVBand="0" w:evenVBand="0" w:oddHBand="0" w:evenHBand="0" w:firstRowFirstColumn="0" w:firstRowLastColumn="0" w:lastRowFirstColumn="0" w:lastRowLastColumn="0"/>
            <w:tcW w:w="1111" w:type="dxa"/>
            <w:hideMark/>
          </w:tcPr>
          <w:p>
            <w:pPr>
              <w:jc w:val="center"/>
              <w:rPr>
                <w:rFonts w:ascii="Times New Roman" w:eastAsia="Times New Roman" w:hAnsi="Times New Roman" w:cs="Times New Roman"/>
                <w:b w:val="0"/>
                <w:bCs w:val="0"/>
                <w:noProof/>
                <w:sz w:val="20"/>
                <w:szCs w:val="20"/>
                <w:lang w:eastAsia="en-GB"/>
              </w:rPr>
            </w:pPr>
            <w:r>
              <w:rPr>
                <w:rFonts w:ascii="Times New Roman" w:eastAsia="Times New Roman" w:hAnsi="Times New Roman" w:cs="Times New Roman"/>
                <w:noProof/>
                <w:sz w:val="20"/>
                <w:szCs w:val="20"/>
                <w:lang w:eastAsia="en-GB"/>
              </w:rPr>
              <w:t>AT</w:t>
            </w:r>
          </w:p>
        </w:tc>
        <w:tc>
          <w:tcPr>
            <w:tcW w:w="1446" w:type="dxa"/>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Yes</w:t>
            </w:r>
          </w:p>
        </w:tc>
        <w:tc>
          <w:tcPr>
            <w:tcW w:w="6051" w:type="dxa"/>
            <w:gridSpan w:val="2"/>
            <w:hideMark/>
          </w:tcPr>
          <w:p>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The regulation would apply to companies with less than 150 employees.</w:t>
            </w:r>
          </w:p>
          <w:p>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r>
      <w:tr>
        <w:trPr>
          <w:gridAfter w:val="1"/>
          <w:wAfter w:w="14" w:type="dxa"/>
          <w:trHeight w:val="113"/>
        </w:trPr>
        <w:tc>
          <w:tcPr>
            <w:cnfStyle w:val="001000000000" w:firstRow="0" w:lastRow="0" w:firstColumn="1" w:lastColumn="0" w:oddVBand="0" w:evenVBand="0" w:oddHBand="0" w:evenHBand="0" w:firstRowFirstColumn="0" w:firstRowLastColumn="0" w:lastRowFirstColumn="0" w:lastRowLastColumn="0"/>
            <w:tcW w:w="1111" w:type="dxa"/>
            <w:hideMark/>
          </w:tcPr>
          <w:p>
            <w:pPr>
              <w:jc w:val="center"/>
              <w:rPr>
                <w:rFonts w:ascii="Times New Roman" w:eastAsia="Times New Roman" w:hAnsi="Times New Roman" w:cs="Times New Roman"/>
                <w:b w:val="0"/>
                <w:bCs w:val="0"/>
                <w:noProof/>
                <w:sz w:val="20"/>
                <w:szCs w:val="20"/>
                <w:lang w:eastAsia="en-GB"/>
              </w:rPr>
            </w:pPr>
            <w:r>
              <w:rPr>
                <w:rFonts w:ascii="Times New Roman" w:eastAsia="Times New Roman" w:hAnsi="Times New Roman" w:cs="Times New Roman"/>
                <w:noProof/>
                <w:sz w:val="20"/>
                <w:szCs w:val="20"/>
                <w:lang w:eastAsia="en-GB"/>
              </w:rPr>
              <w:t>BE</w:t>
            </w:r>
          </w:p>
        </w:tc>
        <w:tc>
          <w:tcPr>
            <w:tcW w:w="1446"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Yes</w:t>
            </w:r>
          </w:p>
        </w:tc>
        <w:tc>
          <w:tcPr>
            <w:tcW w:w="6051" w:type="dxa"/>
            <w:gridSpan w:val="2"/>
            <w:hideMark/>
          </w:tcPr>
          <w:p>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(i) The pay reporting duties would apply to companies: both in the public and private sector; with less than 50 employees. (ii) The biennial pay audit applicable in this Member State wouldn’t be kept confidential and would be used for creating general statistics or national policy plans.</w:t>
            </w:r>
          </w:p>
        </w:tc>
      </w:tr>
      <w:tr>
        <w:trPr>
          <w:gridAfter w:val="1"/>
          <w:cnfStyle w:val="000000100000" w:firstRow="0" w:lastRow="0" w:firstColumn="0" w:lastColumn="0" w:oddVBand="0" w:evenVBand="0" w:oddHBand="1" w:evenHBand="0" w:firstRowFirstColumn="0" w:firstRowLastColumn="0" w:lastRowFirstColumn="0" w:lastRowLastColumn="0"/>
          <w:wAfter w:w="14" w:type="dxa"/>
          <w:trHeight w:val="113"/>
        </w:trPr>
        <w:tc>
          <w:tcPr>
            <w:cnfStyle w:val="001000000000" w:firstRow="0" w:lastRow="0" w:firstColumn="1" w:lastColumn="0" w:oddVBand="0" w:evenVBand="0" w:oddHBand="0" w:evenHBand="0" w:firstRowFirstColumn="0" w:firstRowLastColumn="0" w:lastRowFirstColumn="0" w:lastRowLastColumn="0"/>
            <w:tcW w:w="1111" w:type="dxa"/>
            <w:hideMark/>
          </w:tcPr>
          <w:p>
            <w:pPr>
              <w:jc w:val="center"/>
              <w:rPr>
                <w:rFonts w:ascii="Times New Roman" w:eastAsia="Times New Roman" w:hAnsi="Times New Roman" w:cs="Times New Roman"/>
                <w:b w:val="0"/>
                <w:bCs w:val="0"/>
                <w:noProof/>
                <w:sz w:val="20"/>
                <w:szCs w:val="20"/>
                <w:lang w:eastAsia="en-GB"/>
              </w:rPr>
            </w:pPr>
            <w:r>
              <w:rPr>
                <w:rFonts w:ascii="Times New Roman" w:eastAsia="Times New Roman" w:hAnsi="Times New Roman" w:cs="Times New Roman"/>
                <w:noProof/>
                <w:sz w:val="20"/>
                <w:szCs w:val="20"/>
                <w:lang w:eastAsia="en-GB"/>
              </w:rPr>
              <w:t>BG</w:t>
            </w:r>
          </w:p>
        </w:tc>
        <w:tc>
          <w:tcPr>
            <w:tcW w:w="1446" w:type="dxa"/>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No</w:t>
            </w:r>
          </w:p>
        </w:tc>
        <w:tc>
          <w:tcPr>
            <w:tcW w:w="6051" w:type="dxa"/>
            <w:gridSpan w:val="2"/>
          </w:tcPr>
          <w:p>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r>
      <w:tr>
        <w:trPr>
          <w:trHeight w:val="113"/>
        </w:trPr>
        <w:tc>
          <w:tcPr>
            <w:cnfStyle w:val="001000000000" w:firstRow="0" w:lastRow="0" w:firstColumn="1" w:lastColumn="0" w:oddVBand="0" w:evenVBand="0" w:oddHBand="0" w:evenHBand="0" w:firstRowFirstColumn="0" w:firstRowLastColumn="0" w:lastRowFirstColumn="0" w:lastRowLastColumn="0"/>
            <w:tcW w:w="1111" w:type="dxa"/>
            <w:hideMark/>
          </w:tcPr>
          <w:p>
            <w:pPr>
              <w:jc w:val="center"/>
              <w:rPr>
                <w:rFonts w:ascii="Times New Roman" w:eastAsia="Times New Roman" w:hAnsi="Times New Roman" w:cs="Times New Roman"/>
                <w:b w:val="0"/>
                <w:bCs w:val="0"/>
                <w:noProof/>
                <w:sz w:val="20"/>
                <w:szCs w:val="20"/>
                <w:lang w:eastAsia="en-GB"/>
              </w:rPr>
            </w:pPr>
            <w:r>
              <w:rPr>
                <w:rFonts w:ascii="Times New Roman" w:eastAsia="Times New Roman" w:hAnsi="Times New Roman" w:cs="Times New Roman"/>
                <w:noProof/>
                <w:sz w:val="20"/>
                <w:szCs w:val="20"/>
                <w:lang w:eastAsia="en-GB"/>
              </w:rPr>
              <w:t>CY</w:t>
            </w:r>
          </w:p>
        </w:tc>
        <w:tc>
          <w:tcPr>
            <w:tcW w:w="1446"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No</w:t>
            </w:r>
          </w:p>
        </w:tc>
        <w:tc>
          <w:tcPr>
            <w:tcW w:w="6065" w:type="dxa"/>
            <w:gridSpan w:val="3"/>
          </w:tcPr>
          <w:p>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r>
      <w:tr>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11" w:type="dxa"/>
            <w:hideMark/>
          </w:tcPr>
          <w:p>
            <w:pPr>
              <w:jc w:val="center"/>
              <w:rPr>
                <w:rFonts w:ascii="Times New Roman" w:eastAsia="Times New Roman" w:hAnsi="Times New Roman" w:cs="Times New Roman"/>
                <w:b w:val="0"/>
                <w:bCs w:val="0"/>
                <w:noProof/>
                <w:sz w:val="20"/>
                <w:szCs w:val="20"/>
                <w:lang w:eastAsia="en-GB"/>
              </w:rPr>
            </w:pPr>
            <w:r>
              <w:rPr>
                <w:rFonts w:ascii="Times New Roman" w:eastAsia="Times New Roman" w:hAnsi="Times New Roman" w:cs="Times New Roman"/>
                <w:noProof/>
                <w:sz w:val="20"/>
                <w:szCs w:val="20"/>
                <w:lang w:eastAsia="en-GB"/>
              </w:rPr>
              <w:t>CZ</w:t>
            </w:r>
          </w:p>
        </w:tc>
        <w:tc>
          <w:tcPr>
            <w:tcW w:w="1446" w:type="dxa"/>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No</w:t>
            </w:r>
          </w:p>
        </w:tc>
        <w:tc>
          <w:tcPr>
            <w:tcW w:w="6065" w:type="dxa"/>
            <w:gridSpan w:val="3"/>
          </w:tcPr>
          <w:p>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r>
      <w:tr>
        <w:trPr>
          <w:trHeight w:val="113"/>
        </w:trPr>
        <w:tc>
          <w:tcPr>
            <w:cnfStyle w:val="001000000000" w:firstRow="0" w:lastRow="0" w:firstColumn="1" w:lastColumn="0" w:oddVBand="0" w:evenVBand="0" w:oddHBand="0" w:evenHBand="0" w:firstRowFirstColumn="0" w:firstRowLastColumn="0" w:lastRowFirstColumn="0" w:lastRowLastColumn="0"/>
            <w:tcW w:w="1111" w:type="dxa"/>
            <w:hideMark/>
          </w:tcPr>
          <w:p>
            <w:pPr>
              <w:jc w:val="center"/>
              <w:rPr>
                <w:rFonts w:ascii="Times New Roman" w:eastAsia="Times New Roman" w:hAnsi="Times New Roman" w:cs="Times New Roman"/>
                <w:b w:val="0"/>
                <w:bCs w:val="0"/>
                <w:noProof/>
                <w:sz w:val="20"/>
                <w:szCs w:val="20"/>
                <w:lang w:eastAsia="en-GB"/>
              </w:rPr>
            </w:pPr>
            <w:r>
              <w:rPr>
                <w:rFonts w:ascii="Times New Roman" w:eastAsia="Times New Roman" w:hAnsi="Times New Roman" w:cs="Times New Roman"/>
                <w:noProof/>
                <w:sz w:val="20"/>
                <w:szCs w:val="20"/>
                <w:lang w:eastAsia="en-GB"/>
              </w:rPr>
              <w:t>DE</w:t>
            </w:r>
          </w:p>
        </w:tc>
        <w:tc>
          <w:tcPr>
            <w:tcW w:w="1446"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Yes</w:t>
            </w:r>
          </w:p>
        </w:tc>
        <w:tc>
          <w:tcPr>
            <w:tcW w:w="6065" w:type="dxa"/>
            <w:gridSpan w:val="3"/>
            <w:hideMark/>
          </w:tcPr>
          <w:p>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(i) The evaluation of pay schemes and equal pay at employer-level would be legally binding; (ii) The legal entitlement for information on pay differences would be extended to smaller companies with less than 200 employees.</w:t>
            </w:r>
          </w:p>
        </w:tc>
      </w:tr>
      <w:tr>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11" w:type="dxa"/>
            <w:hideMark/>
          </w:tcPr>
          <w:p>
            <w:pPr>
              <w:jc w:val="center"/>
              <w:rPr>
                <w:rFonts w:ascii="Times New Roman" w:eastAsia="Times New Roman" w:hAnsi="Times New Roman" w:cs="Times New Roman"/>
                <w:b w:val="0"/>
                <w:bCs w:val="0"/>
                <w:noProof/>
                <w:sz w:val="20"/>
                <w:szCs w:val="20"/>
                <w:lang w:eastAsia="en-GB"/>
              </w:rPr>
            </w:pPr>
            <w:r>
              <w:rPr>
                <w:rFonts w:ascii="Times New Roman" w:eastAsia="Times New Roman" w:hAnsi="Times New Roman" w:cs="Times New Roman"/>
                <w:noProof/>
                <w:sz w:val="20"/>
                <w:szCs w:val="20"/>
                <w:lang w:eastAsia="en-GB"/>
              </w:rPr>
              <w:t>DK</w:t>
            </w:r>
          </w:p>
        </w:tc>
        <w:tc>
          <w:tcPr>
            <w:tcW w:w="1446" w:type="dxa"/>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Yes</w:t>
            </w:r>
          </w:p>
        </w:tc>
        <w:tc>
          <w:tcPr>
            <w:tcW w:w="6065" w:type="dxa"/>
            <w:gridSpan w:val="3"/>
            <w:hideMark/>
          </w:tcPr>
          <w:p>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The initiative could improve the rather low degree of pay transparency, in particular in small companies, but also in workplaces where there are few employees within a certain job-category.</w:t>
            </w:r>
          </w:p>
        </w:tc>
      </w:tr>
      <w:tr>
        <w:trPr>
          <w:trHeight w:val="113"/>
        </w:trPr>
        <w:tc>
          <w:tcPr>
            <w:cnfStyle w:val="001000000000" w:firstRow="0" w:lastRow="0" w:firstColumn="1" w:lastColumn="0" w:oddVBand="0" w:evenVBand="0" w:oddHBand="0" w:evenHBand="0" w:firstRowFirstColumn="0" w:firstRowLastColumn="0" w:lastRowFirstColumn="0" w:lastRowLastColumn="0"/>
            <w:tcW w:w="1111" w:type="dxa"/>
            <w:hideMark/>
          </w:tcPr>
          <w:p>
            <w:pPr>
              <w:jc w:val="center"/>
              <w:rPr>
                <w:rFonts w:ascii="Times New Roman" w:eastAsia="Times New Roman" w:hAnsi="Times New Roman" w:cs="Times New Roman"/>
                <w:b w:val="0"/>
                <w:bCs w:val="0"/>
                <w:noProof/>
                <w:sz w:val="20"/>
                <w:szCs w:val="20"/>
                <w:lang w:eastAsia="en-GB"/>
              </w:rPr>
            </w:pPr>
            <w:r>
              <w:rPr>
                <w:rFonts w:ascii="Times New Roman" w:eastAsia="Times New Roman" w:hAnsi="Times New Roman" w:cs="Times New Roman"/>
                <w:noProof/>
                <w:sz w:val="20"/>
                <w:szCs w:val="20"/>
                <w:lang w:eastAsia="en-GB"/>
              </w:rPr>
              <w:t>EE</w:t>
            </w:r>
          </w:p>
        </w:tc>
        <w:tc>
          <w:tcPr>
            <w:tcW w:w="1446"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No</w:t>
            </w:r>
          </w:p>
        </w:tc>
        <w:tc>
          <w:tcPr>
            <w:tcW w:w="6065" w:type="dxa"/>
            <w:gridSpan w:val="3"/>
          </w:tcPr>
          <w:p>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r>
      <w:tr>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11" w:type="dxa"/>
            <w:hideMark/>
          </w:tcPr>
          <w:p>
            <w:pPr>
              <w:jc w:val="center"/>
              <w:rPr>
                <w:rFonts w:ascii="Times New Roman" w:eastAsia="Times New Roman" w:hAnsi="Times New Roman" w:cs="Times New Roman"/>
                <w:b w:val="0"/>
                <w:bCs w:val="0"/>
                <w:noProof/>
                <w:sz w:val="20"/>
                <w:szCs w:val="20"/>
                <w:lang w:eastAsia="en-GB"/>
              </w:rPr>
            </w:pPr>
            <w:r>
              <w:rPr>
                <w:rFonts w:ascii="Times New Roman" w:eastAsia="Times New Roman" w:hAnsi="Times New Roman" w:cs="Times New Roman"/>
                <w:noProof/>
                <w:sz w:val="20"/>
                <w:szCs w:val="20"/>
                <w:lang w:eastAsia="en-GB"/>
              </w:rPr>
              <w:t>EL</w:t>
            </w:r>
          </w:p>
        </w:tc>
        <w:tc>
          <w:tcPr>
            <w:tcW w:w="1446" w:type="dxa"/>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No</w:t>
            </w:r>
          </w:p>
        </w:tc>
        <w:tc>
          <w:tcPr>
            <w:tcW w:w="6065" w:type="dxa"/>
            <w:gridSpan w:val="3"/>
          </w:tcPr>
          <w:p>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r>
      <w:tr>
        <w:trPr>
          <w:trHeight w:val="113"/>
        </w:trPr>
        <w:tc>
          <w:tcPr>
            <w:cnfStyle w:val="001000000000" w:firstRow="0" w:lastRow="0" w:firstColumn="1" w:lastColumn="0" w:oddVBand="0" w:evenVBand="0" w:oddHBand="0" w:evenHBand="0" w:firstRowFirstColumn="0" w:firstRowLastColumn="0" w:lastRowFirstColumn="0" w:lastRowLastColumn="0"/>
            <w:tcW w:w="1111" w:type="dxa"/>
            <w:hideMark/>
          </w:tcPr>
          <w:p>
            <w:pPr>
              <w:jc w:val="center"/>
              <w:rPr>
                <w:rFonts w:ascii="Times New Roman" w:eastAsia="Times New Roman" w:hAnsi="Times New Roman" w:cs="Times New Roman"/>
                <w:b w:val="0"/>
                <w:bCs w:val="0"/>
                <w:noProof/>
                <w:sz w:val="20"/>
                <w:szCs w:val="20"/>
                <w:lang w:eastAsia="en-GB"/>
              </w:rPr>
            </w:pPr>
            <w:r>
              <w:rPr>
                <w:rFonts w:ascii="Times New Roman" w:eastAsia="Times New Roman" w:hAnsi="Times New Roman" w:cs="Times New Roman"/>
                <w:noProof/>
                <w:sz w:val="20"/>
                <w:szCs w:val="20"/>
                <w:lang w:eastAsia="en-GB"/>
              </w:rPr>
              <w:t>ES</w:t>
            </w:r>
          </w:p>
        </w:tc>
        <w:tc>
          <w:tcPr>
            <w:tcW w:w="1446"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Yes</w:t>
            </w:r>
          </w:p>
        </w:tc>
        <w:tc>
          <w:tcPr>
            <w:tcW w:w="6065" w:type="dxa"/>
            <w:gridSpan w:val="3"/>
            <w:hideMark/>
          </w:tcPr>
          <w:p>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Pay audit would be conducted also in employer with less than 50 employees; under the condition that it would improve monitoring on pay transparency in all the companies.</w:t>
            </w:r>
          </w:p>
        </w:tc>
      </w:tr>
      <w:tr>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11" w:type="dxa"/>
            <w:hideMark/>
          </w:tcPr>
          <w:p>
            <w:pPr>
              <w:jc w:val="center"/>
              <w:rPr>
                <w:rFonts w:ascii="Times New Roman" w:eastAsia="Times New Roman" w:hAnsi="Times New Roman" w:cs="Times New Roman"/>
                <w:b w:val="0"/>
                <w:bCs w:val="0"/>
                <w:noProof/>
                <w:sz w:val="20"/>
                <w:szCs w:val="20"/>
                <w:lang w:eastAsia="en-GB"/>
              </w:rPr>
            </w:pPr>
            <w:r>
              <w:rPr>
                <w:rFonts w:ascii="Times New Roman" w:eastAsia="Times New Roman" w:hAnsi="Times New Roman" w:cs="Times New Roman"/>
                <w:noProof/>
                <w:sz w:val="20"/>
                <w:szCs w:val="20"/>
                <w:lang w:eastAsia="en-GB"/>
              </w:rPr>
              <w:t>FI</w:t>
            </w:r>
          </w:p>
        </w:tc>
        <w:tc>
          <w:tcPr>
            <w:tcW w:w="1446" w:type="dxa"/>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Yes</w:t>
            </w:r>
          </w:p>
        </w:tc>
        <w:tc>
          <w:tcPr>
            <w:tcW w:w="6065" w:type="dxa"/>
            <w:gridSpan w:val="3"/>
            <w:hideMark/>
          </w:tcPr>
          <w:p>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(i) The regulation (pay reporting and audit obligations) would apply to companies with less than 30 employees. (ii) The regulation would ensure the accessibility to pay information for employees and their representatives. Under the condition that pay transparency would be guaranteed in private companies, too.</w:t>
            </w:r>
          </w:p>
        </w:tc>
      </w:tr>
      <w:tr>
        <w:trPr>
          <w:trHeight w:val="113"/>
        </w:trPr>
        <w:tc>
          <w:tcPr>
            <w:cnfStyle w:val="001000000000" w:firstRow="0" w:lastRow="0" w:firstColumn="1" w:lastColumn="0" w:oddVBand="0" w:evenVBand="0" w:oddHBand="0" w:evenHBand="0" w:firstRowFirstColumn="0" w:firstRowLastColumn="0" w:lastRowFirstColumn="0" w:lastRowLastColumn="0"/>
            <w:tcW w:w="1111" w:type="dxa"/>
            <w:hideMark/>
          </w:tcPr>
          <w:p>
            <w:pPr>
              <w:jc w:val="center"/>
              <w:rPr>
                <w:rFonts w:ascii="Times New Roman" w:eastAsia="Times New Roman" w:hAnsi="Times New Roman" w:cs="Times New Roman"/>
                <w:b w:val="0"/>
                <w:bCs w:val="0"/>
                <w:noProof/>
                <w:sz w:val="20"/>
                <w:szCs w:val="20"/>
                <w:lang w:eastAsia="en-GB"/>
              </w:rPr>
            </w:pPr>
            <w:r>
              <w:rPr>
                <w:rFonts w:ascii="Times New Roman" w:eastAsia="Times New Roman" w:hAnsi="Times New Roman" w:cs="Times New Roman"/>
                <w:noProof/>
                <w:sz w:val="20"/>
                <w:szCs w:val="20"/>
                <w:lang w:eastAsia="en-GB"/>
              </w:rPr>
              <w:t>FR</w:t>
            </w:r>
          </w:p>
        </w:tc>
        <w:tc>
          <w:tcPr>
            <w:tcW w:w="1446"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Yes</w:t>
            </w:r>
          </w:p>
        </w:tc>
        <w:tc>
          <w:tcPr>
            <w:tcW w:w="6065" w:type="dxa"/>
            <w:gridSpan w:val="3"/>
            <w:hideMark/>
          </w:tcPr>
          <w:p>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(i) Pay transparency would be compulsory. (ii) The regulation would ensure pay transparency (reporting duties, collective bargaining, etc.) in companies with less than 50 employees.</w:t>
            </w:r>
          </w:p>
        </w:tc>
      </w:tr>
      <w:tr>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11" w:type="dxa"/>
            <w:hideMark/>
          </w:tcPr>
          <w:p>
            <w:pPr>
              <w:jc w:val="center"/>
              <w:rPr>
                <w:rFonts w:ascii="Times New Roman" w:eastAsia="Times New Roman" w:hAnsi="Times New Roman" w:cs="Times New Roman"/>
                <w:b w:val="0"/>
                <w:bCs w:val="0"/>
                <w:noProof/>
                <w:sz w:val="20"/>
                <w:szCs w:val="20"/>
                <w:lang w:eastAsia="en-GB"/>
              </w:rPr>
            </w:pPr>
            <w:r>
              <w:rPr>
                <w:rFonts w:ascii="Times New Roman" w:eastAsia="Times New Roman" w:hAnsi="Times New Roman" w:cs="Times New Roman"/>
                <w:noProof/>
                <w:sz w:val="20"/>
                <w:szCs w:val="20"/>
                <w:lang w:eastAsia="en-GB"/>
              </w:rPr>
              <w:t>HR</w:t>
            </w:r>
          </w:p>
        </w:tc>
        <w:tc>
          <w:tcPr>
            <w:tcW w:w="1446" w:type="dxa"/>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Yes</w:t>
            </w:r>
          </w:p>
        </w:tc>
        <w:tc>
          <w:tcPr>
            <w:tcW w:w="6065" w:type="dxa"/>
            <w:gridSpan w:val="3"/>
            <w:hideMark/>
          </w:tcPr>
          <w:p>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Pay transparency would be compulsory and that public discussions, campaigns and trainings on pay transparency would be ensured for public administrations of employees, trade unions, lawyers, judges in order to improve their awareness of gender based discrimination in pay.</w:t>
            </w:r>
          </w:p>
        </w:tc>
      </w:tr>
      <w:tr>
        <w:trPr>
          <w:trHeight w:val="113"/>
        </w:trPr>
        <w:tc>
          <w:tcPr>
            <w:cnfStyle w:val="001000000000" w:firstRow="0" w:lastRow="0" w:firstColumn="1" w:lastColumn="0" w:oddVBand="0" w:evenVBand="0" w:oddHBand="0" w:evenHBand="0" w:firstRowFirstColumn="0" w:firstRowLastColumn="0" w:lastRowFirstColumn="0" w:lastRowLastColumn="0"/>
            <w:tcW w:w="1111" w:type="dxa"/>
            <w:hideMark/>
          </w:tcPr>
          <w:p>
            <w:pPr>
              <w:jc w:val="center"/>
              <w:rPr>
                <w:rFonts w:ascii="Times New Roman" w:eastAsia="Times New Roman" w:hAnsi="Times New Roman" w:cs="Times New Roman"/>
                <w:b w:val="0"/>
                <w:bCs w:val="0"/>
                <w:noProof/>
                <w:sz w:val="20"/>
                <w:szCs w:val="20"/>
                <w:lang w:eastAsia="en-GB"/>
              </w:rPr>
            </w:pPr>
            <w:r>
              <w:rPr>
                <w:rFonts w:ascii="Times New Roman" w:eastAsia="Times New Roman" w:hAnsi="Times New Roman" w:cs="Times New Roman"/>
                <w:noProof/>
                <w:sz w:val="20"/>
                <w:szCs w:val="20"/>
                <w:lang w:eastAsia="en-GB"/>
              </w:rPr>
              <w:t>HU</w:t>
            </w:r>
          </w:p>
        </w:tc>
        <w:tc>
          <w:tcPr>
            <w:tcW w:w="1446"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Yes</w:t>
            </w:r>
          </w:p>
        </w:tc>
        <w:tc>
          <w:tcPr>
            <w:tcW w:w="6065" w:type="dxa"/>
            <w:gridSpan w:val="3"/>
            <w:hideMark/>
          </w:tcPr>
          <w:p>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Since, according to the national expert, as the number of cases reported to the Equal Treatment Authority are decreasing ‘the visibility of advocacy efforts to achieve gender equality and the infringement activity have decreased’ (see national fiche), the proposed measures would improve such aspects.</w:t>
            </w:r>
          </w:p>
        </w:tc>
      </w:tr>
      <w:tr>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11" w:type="dxa"/>
            <w:hideMark/>
          </w:tcPr>
          <w:p>
            <w:pPr>
              <w:jc w:val="center"/>
              <w:rPr>
                <w:rFonts w:ascii="Times New Roman" w:eastAsia="Times New Roman" w:hAnsi="Times New Roman" w:cs="Times New Roman"/>
                <w:b w:val="0"/>
                <w:bCs w:val="0"/>
                <w:noProof/>
                <w:sz w:val="20"/>
                <w:szCs w:val="20"/>
                <w:lang w:eastAsia="en-GB"/>
              </w:rPr>
            </w:pPr>
            <w:r>
              <w:rPr>
                <w:rFonts w:ascii="Times New Roman" w:eastAsia="Times New Roman" w:hAnsi="Times New Roman" w:cs="Times New Roman"/>
                <w:noProof/>
                <w:sz w:val="20"/>
                <w:szCs w:val="20"/>
                <w:lang w:eastAsia="en-GB"/>
              </w:rPr>
              <w:t>IE</w:t>
            </w:r>
          </w:p>
        </w:tc>
        <w:tc>
          <w:tcPr>
            <w:tcW w:w="1446" w:type="dxa"/>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Yes</w:t>
            </w:r>
          </w:p>
        </w:tc>
        <w:tc>
          <w:tcPr>
            <w:tcW w:w="6065" w:type="dxa"/>
            <w:gridSpan w:val="3"/>
            <w:hideMark/>
          </w:tcPr>
          <w:p>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 xml:space="preserve">Adopt binding transparency measures. Under the conditions to address discrimination in wage collective bargaining. </w:t>
            </w:r>
          </w:p>
        </w:tc>
      </w:tr>
      <w:tr>
        <w:trPr>
          <w:trHeight w:val="113"/>
        </w:trPr>
        <w:tc>
          <w:tcPr>
            <w:cnfStyle w:val="001000000000" w:firstRow="0" w:lastRow="0" w:firstColumn="1" w:lastColumn="0" w:oddVBand="0" w:evenVBand="0" w:oddHBand="0" w:evenHBand="0" w:firstRowFirstColumn="0" w:firstRowLastColumn="0" w:lastRowFirstColumn="0" w:lastRowLastColumn="0"/>
            <w:tcW w:w="1111" w:type="dxa"/>
            <w:hideMark/>
          </w:tcPr>
          <w:p>
            <w:pPr>
              <w:jc w:val="center"/>
              <w:rPr>
                <w:rFonts w:ascii="Times New Roman" w:eastAsia="Times New Roman" w:hAnsi="Times New Roman" w:cs="Times New Roman"/>
                <w:b w:val="0"/>
                <w:bCs w:val="0"/>
                <w:noProof/>
                <w:sz w:val="20"/>
                <w:szCs w:val="20"/>
                <w:lang w:eastAsia="en-GB"/>
              </w:rPr>
            </w:pPr>
            <w:r>
              <w:rPr>
                <w:rFonts w:ascii="Times New Roman" w:eastAsia="Times New Roman" w:hAnsi="Times New Roman" w:cs="Times New Roman"/>
                <w:noProof/>
                <w:sz w:val="20"/>
                <w:szCs w:val="20"/>
                <w:lang w:eastAsia="en-GB"/>
              </w:rPr>
              <w:t>IT</w:t>
            </w:r>
          </w:p>
        </w:tc>
        <w:tc>
          <w:tcPr>
            <w:tcW w:w="1446"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Yes</w:t>
            </w:r>
          </w:p>
        </w:tc>
        <w:tc>
          <w:tcPr>
            <w:tcW w:w="6065" w:type="dxa"/>
            <w:gridSpan w:val="3"/>
            <w:hideMark/>
          </w:tcPr>
          <w:p>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Recognise reporting duties also in companies with less than 100 employees.</w:t>
            </w:r>
          </w:p>
        </w:tc>
      </w:tr>
      <w:tr>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11" w:type="dxa"/>
            <w:hideMark/>
          </w:tcPr>
          <w:p>
            <w:pPr>
              <w:jc w:val="center"/>
              <w:rPr>
                <w:rFonts w:ascii="Times New Roman" w:eastAsia="Times New Roman" w:hAnsi="Times New Roman" w:cs="Times New Roman"/>
                <w:b w:val="0"/>
                <w:bCs w:val="0"/>
                <w:noProof/>
                <w:sz w:val="20"/>
                <w:szCs w:val="20"/>
                <w:lang w:eastAsia="en-GB"/>
              </w:rPr>
            </w:pPr>
            <w:r>
              <w:rPr>
                <w:rFonts w:ascii="Times New Roman" w:eastAsia="Times New Roman" w:hAnsi="Times New Roman" w:cs="Times New Roman"/>
                <w:noProof/>
                <w:sz w:val="20"/>
                <w:szCs w:val="20"/>
                <w:lang w:eastAsia="en-GB"/>
              </w:rPr>
              <w:t>LT</w:t>
            </w:r>
          </w:p>
        </w:tc>
        <w:tc>
          <w:tcPr>
            <w:tcW w:w="1446" w:type="dxa"/>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Yes</w:t>
            </w:r>
          </w:p>
        </w:tc>
        <w:tc>
          <w:tcPr>
            <w:tcW w:w="6065" w:type="dxa"/>
            <w:gridSpan w:val="3"/>
            <w:hideMark/>
          </w:tcPr>
          <w:p>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 xml:space="preserve">Collective bargaining will improve its potentialities in guaranteeing pay transparency and address pay discrimination. </w:t>
            </w:r>
          </w:p>
        </w:tc>
      </w:tr>
      <w:tr>
        <w:trPr>
          <w:trHeight w:val="113"/>
        </w:trPr>
        <w:tc>
          <w:tcPr>
            <w:cnfStyle w:val="001000000000" w:firstRow="0" w:lastRow="0" w:firstColumn="1" w:lastColumn="0" w:oddVBand="0" w:evenVBand="0" w:oddHBand="0" w:evenHBand="0" w:firstRowFirstColumn="0" w:firstRowLastColumn="0" w:lastRowFirstColumn="0" w:lastRowLastColumn="0"/>
            <w:tcW w:w="1111" w:type="dxa"/>
            <w:hideMark/>
          </w:tcPr>
          <w:p>
            <w:pPr>
              <w:jc w:val="center"/>
              <w:rPr>
                <w:rFonts w:ascii="Times New Roman" w:eastAsia="Times New Roman" w:hAnsi="Times New Roman" w:cs="Times New Roman"/>
                <w:b w:val="0"/>
                <w:bCs w:val="0"/>
                <w:noProof/>
                <w:sz w:val="20"/>
                <w:szCs w:val="20"/>
                <w:lang w:eastAsia="en-GB"/>
              </w:rPr>
            </w:pPr>
            <w:r>
              <w:rPr>
                <w:rFonts w:ascii="Times New Roman" w:eastAsia="Times New Roman" w:hAnsi="Times New Roman" w:cs="Times New Roman"/>
                <w:noProof/>
                <w:sz w:val="20"/>
                <w:szCs w:val="20"/>
                <w:lang w:eastAsia="en-GB"/>
              </w:rPr>
              <w:t>LU</w:t>
            </w:r>
          </w:p>
        </w:tc>
        <w:tc>
          <w:tcPr>
            <w:tcW w:w="1446"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No</w:t>
            </w:r>
          </w:p>
        </w:tc>
        <w:tc>
          <w:tcPr>
            <w:tcW w:w="6065" w:type="dxa"/>
            <w:gridSpan w:val="3"/>
          </w:tcPr>
          <w:p>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r>
      <w:tr>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11" w:type="dxa"/>
            <w:hideMark/>
          </w:tcPr>
          <w:p>
            <w:pPr>
              <w:jc w:val="center"/>
              <w:rPr>
                <w:rFonts w:ascii="Times New Roman" w:eastAsia="Times New Roman" w:hAnsi="Times New Roman" w:cs="Times New Roman"/>
                <w:b w:val="0"/>
                <w:bCs w:val="0"/>
                <w:noProof/>
                <w:sz w:val="20"/>
                <w:szCs w:val="20"/>
                <w:lang w:eastAsia="en-GB"/>
              </w:rPr>
            </w:pPr>
            <w:r>
              <w:rPr>
                <w:rFonts w:ascii="Times New Roman" w:eastAsia="Times New Roman" w:hAnsi="Times New Roman" w:cs="Times New Roman"/>
                <w:noProof/>
                <w:sz w:val="20"/>
                <w:szCs w:val="20"/>
                <w:lang w:eastAsia="en-GB"/>
              </w:rPr>
              <w:t>LV</w:t>
            </w:r>
          </w:p>
        </w:tc>
        <w:tc>
          <w:tcPr>
            <w:tcW w:w="1446" w:type="dxa"/>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No</w:t>
            </w:r>
          </w:p>
        </w:tc>
        <w:tc>
          <w:tcPr>
            <w:tcW w:w="6065" w:type="dxa"/>
            <w:gridSpan w:val="3"/>
          </w:tcPr>
          <w:p>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r>
      <w:tr>
        <w:trPr>
          <w:trHeight w:val="113"/>
        </w:trPr>
        <w:tc>
          <w:tcPr>
            <w:cnfStyle w:val="001000000000" w:firstRow="0" w:lastRow="0" w:firstColumn="1" w:lastColumn="0" w:oddVBand="0" w:evenVBand="0" w:oddHBand="0" w:evenHBand="0" w:firstRowFirstColumn="0" w:firstRowLastColumn="0" w:lastRowFirstColumn="0" w:lastRowLastColumn="0"/>
            <w:tcW w:w="1111" w:type="dxa"/>
            <w:hideMark/>
          </w:tcPr>
          <w:p>
            <w:pPr>
              <w:jc w:val="center"/>
              <w:rPr>
                <w:rFonts w:ascii="Times New Roman" w:eastAsia="Times New Roman" w:hAnsi="Times New Roman" w:cs="Times New Roman"/>
                <w:b w:val="0"/>
                <w:bCs w:val="0"/>
                <w:noProof/>
                <w:sz w:val="20"/>
                <w:szCs w:val="20"/>
                <w:lang w:eastAsia="en-GB"/>
              </w:rPr>
            </w:pPr>
            <w:r>
              <w:rPr>
                <w:rFonts w:ascii="Times New Roman" w:eastAsia="Times New Roman" w:hAnsi="Times New Roman" w:cs="Times New Roman"/>
                <w:noProof/>
                <w:sz w:val="20"/>
                <w:szCs w:val="20"/>
                <w:lang w:eastAsia="en-GB"/>
              </w:rPr>
              <w:t>MT</w:t>
            </w:r>
          </w:p>
        </w:tc>
        <w:tc>
          <w:tcPr>
            <w:tcW w:w="1446"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No</w:t>
            </w:r>
          </w:p>
        </w:tc>
        <w:tc>
          <w:tcPr>
            <w:tcW w:w="6065" w:type="dxa"/>
            <w:gridSpan w:val="3"/>
          </w:tcPr>
          <w:p>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r>
      <w:tr>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11" w:type="dxa"/>
            <w:hideMark/>
          </w:tcPr>
          <w:p>
            <w:pPr>
              <w:jc w:val="center"/>
              <w:rPr>
                <w:rFonts w:ascii="Times New Roman" w:eastAsia="Times New Roman" w:hAnsi="Times New Roman" w:cs="Times New Roman"/>
                <w:b w:val="0"/>
                <w:bCs w:val="0"/>
                <w:noProof/>
                <w:sz w:val="20"/>
                <w:szCs w:val="20"/>
                <w:lang w:eastAsia="en-GB"/>
              </w:rPr>
            </w:pPr>
            <w:r>
              <w:rPr>
                <w:rFonts w:ascii="Times New Roman" w:eastAsia="Times New Roman" w:hAnsi="Times New Roman" w:cs="Times New Roman"/>
                <w:noProof/>
                <w:sz w:val="20"/>
                <w:szCs w:val="20"/>
                <w:lang w:eastAsia="en-GB"/>
              </w:rPr>
              <w:t>NL</w:t>
            </w:r>
          </w:p>
        </w:tc>
        <w:tc>
          <w:tcPr>
            <w:tcW w:w="1446" w:type="dxa"/>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No</w:t>
            </w:r>
          </w:p>
        </w:tc>
        <w:tc>
          <w:tcPr>
            <w:tcW w:w="6065" w:type="dxa"/>
            <w:gridSpan w:val="3"/>
          </w:tcPr>
          <w:p>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r>
      <w:tr>
        <w:trPr>
          <w:trHeight w:val="113"/>
        </w:trPr>
        <w:tc>
          <w:tcPr>
            <w:cnfStyle w:val="001000000000" w:firstRow="0" w:lastRow="0" w:firstColumn="1" w:lastColumn="0" w:oddVBand="0" w:evenVBand="0" w:oddHBand="0" w:evenHBand="0" w:firstRowFirstColumn="0" w:firstRowLastColumn="0" w:lastRowFirstColumn="0" w:lastRowLastColumn="0"/>
            <w:tcW w:w="1111" w:type="dxa"/>
            <w:hideMark/>
          </w:tcPr>
          <w:p>
            <w:pPr>
              <w:jc w:val="center"/>
              <w:rPr>
                <w:rFonts w:ascii="Times New Roman" w:eastAsia="Times New Roman" w:hAnsi="Times New Roman" w:cs="Times New Roman"/>
                <w:b w:val="0"/>
                <w:bCs w:val="0"/>
                <w:noProof/>
                <w:sz w:val="20"/>
                <w:szCs w:val="20"/>
                <w:lang w:eastAsia="en-GB"/>
              </w:rPr>
            </w:pPr>
            <w:r>
              <w:rPr>
                <w:rFonts w:ascii="Times New Roman" w:eastAsia="Times New Roman" w:hAnsi="Times New Roman" w:cs="Times New Roman"/>
                <w:noProof/>
                <w:sz w:val="20"/>
                <w:szCs w:val="20"/>
                <w:lang w:eastAsia="en-GB"/>
              </w:rPr>
              <w:t>PL</w:t>
            </w:r>
          </w:p>
        </w:tc>
        <w:tc>
          <w:tcPr>
            <w:tcW w:w="1446"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No</w:t>
            </w:r>
          </w:p>
        </w:tc>
        <w:tc>
          <w:tcPr>
            <w:tcW w:w="6065" w:type="dxa"/>
            <w:gridSpan w:val="3"/>
          </w:tcPr>
          <w:p>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r>
      <w:tr>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11" w:type="dxa"/>
            <w:hideMark/>
          </w:tcPr>
          <w:p>
            <w:pPr>
              <w:jc w:val="center"/>
              <w:rPr>
                <w:rFonts w:ascii="Times New Roman" w:eastAsia="Times New Roman" w:hAnsi="Times New Roman" w:cs="Times New Roman"/>
                <w:b w:val="0"/>
                <w:bCs w:val="0"/>
                <w:noProof/>
                <w:sz w:val="20"/>
                <w:szCs w:val="20"/>
                <w:lang w:eastAsia="en-GB"/>
              </w:rPr>
            </w:pPr>
            <w:r>
              <w:rPr>
                <w:rFonts w:ascii="Times New Roman" w:eastAsia="Times New Roman" w:hAnsi="Times New Roman" w:cs="Times New Roman"/>
                <w:noProof/>
                <w:sz w:val="20"/>
                <w:szCs w:val="20"/>
                <w:lang w:eastAsia="en-GB"/>
              </w:rPr>
              <w:t>PT</w:t>
            </w:r>
          </w:p>
        </w:tc>
        <w:tc>
          <w:tcPr>
            <w:tcW w:w="1446" w:type="dxa"/>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Yes</w:t>
            </w:r>
          </w:p>
        </w:tc>
        <w:tc>
          <w:tcPr>
            <w:tcW w:w="6065" w:type="dxa"/>
            <w:gridSpan w:val="3"/>
            <w:hideMark/>
          </w:tcPr>
          <w:p>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Pay reporting duties would apply to companies with less than 50 employees.</w:t>
            </w:r>
          </w:p>
        </w:tc>
      </w:tr>
      <w:tr>
        <w:trPr>
          <w:trHeight w:val="113"/>
        </w:trPr>
        <w:tc>
          <w:tcPr>
            <w:cnfStyle w:val="001000000000" w:firstRow="0" w:lastRow="0" w:firstColumn="1" w:lastColumn="0" w:oddVBand="0" w:evenVBand="0" w:oddHBand="0" w:evenHBand="0" w:firstRowFirstColumn="0" w:firstRowLastColumn="0" w:lastRowFirstColumn="0" w:lastRowLastColumn="0"/>
            <w:tcW w:w="1111" w:type="dxa"/>
            <w:hideMark/>
          </w:tcPr>
          <w:p>
            <w:pPr>
              <w:jc w:val="center"/>
              <w:rPr>
                <w:rFonts w:ascii="Times New Roman" w:eastAsia="Times New Roman" w:hAnsi="Times New Roman" w:cs="Times New Roman"/>
                <w:b w:val="0"/>
                <w:bCs w:val="0"/>
                <w:noProof/>
                <w:sz w:val="20"/>
                <w:szCs w:val="20"/>
                <w:lang w:eastAsia="en-GB"/>
              </w:rPr>
            </w:pPr>
            <w:r>
              <w:rPr>
                <w:rFonts w:ascii="Times New Roman" w:eastAsia="Times New Roman" w:hAnsi="Times New Roman" w:cs="Times New Roman"/>
                <w:noProof/>
                <w:sz w:val="20"/>
                <w:szCs w:val="20"/>
                <w:lang w:eastAsia="en-GB"/>
              </w:rPr>
              <w:t>RO</w:t>
            </w:r>
          </w:p>
        </w:tc>
        <w:tc>
          <w:tcPr>
            <w:tcW w:w="1446"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No</w:t>
            </w:r>
          </w:p>
        </w:tc>
        <w:tc>
          <w:tcPr>
            <w:tcW w:w="6065" w:type="dxa"/>
            <w:gridSpan w:val="3"/>
          </w:tcPr>
          <w:p>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p>
        </w:tc>
      </w:tr>
      <w:tr>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11" w:type="dxa"/>
            <w:hideMark/>
          </w:tcPr>
          <w:p>
            <w:pPr>
              <w:jc w:val="center"/>
              <w:rPr>
                <w:rFonts w:ascii="Times New Roman" w:eastAsia="Times New Roman" w:hAnsi="Times New Roman" w:cs="Times New Roman"/>
                <w:b w:val="0"/>
                <w:bCs w:val="0"/>
                <w:noProof/>
                <w:sz w:val="20"/>
                <w:szCs w:val="20"/>
                <w:lang w:eastAsia="en-GB"/>
              </w:rPr>
            </w:pPr>
            <w:r>
              <w:rPr>
                <w:rFonts w:ascii="Times New Roman" w:eastAsia="Times New Roman" w:hAnsi="Times New Roman" w:cs="Times New Roman"/>
                <w:noProof/>
                <w:sz w:val="20"/>
                <w:szCs w:val="20"/>
                <w:lang w:eastAsia="en-GB"/>
              </w:rPr>
              <w:t>SE</w:t>
            </w:r>
          </w:p>
        </w:tc>
        <w:tc>
          <w:tcPr>
            <w:tcW w:w="1446" w:type="dxa"/>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Yes</w:t>
            </w:r>
          </w:p>
        </w:tc>
        <w:tc>
          <w:tcPr>
            <w:tcW w:w="6065" w:type="dxa"/>
            <w:gridSpan w:val="3"/>
            <w:hideMark/>
          </w:tcPr>
          <w:p>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Pay surveys could be carried out and used, that specific actors would provide efficient supervision, and legislation would follow up.</w:t>
            </w:r>
          </w:p>
        </w:tc>
      </w:tr>
      <w:tr>
        <w:trPr>
          <w:trHeight w:val="113"/>
        </w:trPr>
        <w:tc>
          <w:tcPr>
            <w:cnfStyle w:val="001000000000" w:firstRow="0" w:lastRow="0" w:firstColumn="1" w:lastColumn="0" w:oddVBand="0" w:evenVBand="0" w:oddHBand="0" w:evenHBand="0" w:firstRowFirstColumn="0" w:firstRowLastColumn="0" w:lastRowFirstColumn="0" w:lastRowLastColumn="0"/>
            <w:tcW w:w="1111" w:type="dxa"/>
            <w:hideMark/>
          </w:tcPr>
          <w:p>
            <w:pPr>
              <w:jc w:val="center"/>
              <w:rPr>
                <w:rFonts w:ascii="Times New Roman" w:eastAsia="Times New Roman" w:hAnsi="Times New Roman" w:cs="Times New Roman"/>
                <w:b w:val="0"/>
                <w:bCs w:val="0"/>
                <w:noProof/>
                <w:sz w:val="20"/>
                <w:szCs w:val="20"/>
                <w:lang w:eastAsia="en-GB"/>
              </w:rPr>
            </w:pPr>
            <w:r>
              <w:rPr>
                <w:rFonts w:ascii="Times New Roman" w:eastAsia="Times New Roman" w:hAnsi="Times New Roman" w:cs="Times New Roman"/>
                <w:noProof/>
                <w:sz w:val="20"/>
                <w:szCs w:val="20"/>
                <w:lang w:eastAsia="en-GB"/>
              </w:rPr>
              <w:t>SI</w:t>
            </w:r>
          </w:p>
        </w:tc>
        <w:tc>
          <w:tcPr>
            <w:tcW w:w="1446"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No</w:t>
            </w:r>
          </w:p>
        </w:tc>
        <w:tc>
          <w:tcPr>
            <w:tcW w:w="6065" w:type="dxa"/>
            <w:gridSpan w:val="3"/>
            <w:hideMark/>
          </w:tcPr>
          <w:p>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In the case a pay transparency right would be recognized to the employee and eventual measures of strand C would ensure its enforceability.</w:t>
            </w:r>
          </w:p>
        </w:tc>
      </w:tr>
      <w:tr>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11" w:type="dxa"/>
            <w:hideMark/>
          </w:tcPr>
          <w:p>
            <w:pPr>
              <w:jc w:val="center"/>
              <w:rPr>
                <w:rFonts w:ascii="Times New Roman" w:eastAsia="Times New Roman" w:hAnsi="Times New Roman" w:cs="Times New Roman"/>
                <w:b w:val="0"/>
                <w:bCs w:val="0"/>
                <w:noProof/>
                <w:sz w:val="20"/>
                <w:szCs w:val="20"/>
                <w:lang w:eastAsia="en-GB"/>
              </w:rPr>
            </w:pPr>
            <w:r>
              <w:rPr>
                <w:rFonts w:ascii="Times New Roman" w:eastAsia="Times New Roman" w:hAnsi="Times New Roman" w:cs="Times New Roman"/>
                <w:noProof/>
                <w:sz w:val="20"/>
                <w:szCs w:val="20"/>
                <w:lang w:eastAsia="en-GB"/>
              </w:rPr>
              <w:t>SK</w:t>
            </w:r>
          </w:p>
        </w:tc>
        <w:tc>
          <w:tcPr>
            <w:tcW w:w="1446" w:type="dxa"/>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No</w:t>
            </w:r>
          </w:p>
        </w:tc>
        <w:tc>
          <w:tcPr>
            <w:tcW w:w="6065" w:type="dxa"/>
            <w:gridSpan w:val="3"/>
          </w:tcPr>
          <w:p>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en-GB"/>
              </w:rPr>
            </w:pPr>
          </w:p>
        </w:tc>
      </w:tr>
    </w:tbl>
    <w:p>
      <w:pPr>
        <w:pStyle w:val="BodyText"/>
        <w:spacing w:after="120"/>
        <w:ind w:right="113"/>
        <w:jc w:val="both"/>
        <w:rPr>
          <w:rFonts w:ascii="Times New Roman" w:hAnsi="Times New Roman" w:cs="Times New Roman"/>
          <w:i/>
          <w:noProof/>
          <w:lang w:val="en-GB"/>
        </w:rPr>
      </w:pPr>
      <w:r>
        <w:rPr>
          <w:rFonts w:ascii="Times New Roman" w:hAnsi="Times New Roman" w:cs="Times New Roman"/>
          <w:i/>
          <w:iCs/>
          <w:noProof/>
          <w:lang w:val="en-GB"/>
        </w:rPr>
        <w:t>* The pay transparency measures envisaged under the new EU legal initiative (Strand A) are already to a lesser or greater extent regulated by the legal framework in the country.</w:t>
      </w:r>
    </w:p>
    <w:p>
      <w:pPr>
        <w:pStyle w:val="BodyText"/>
        <w:spacing w:after="120" w:line="276" w:lineRule="auto"/>
        <w:ind w:right="113"/>
        <w:jc w:val="both"/>
        <w:rPr>
          <w:rFonts w:ascii="Times New Roman" w:hAnsi="Times New Roman" w:cs="Times New Roman"/>
          <w:noProof/>
          <w:szCs w:val="22"/>
          <w:lang w:val="en-GB"/>
        </w:rPr>
      </w:pPr>
    </w:p>
    <w:p>
      <w:pPr>
        <w:pStyle w:val="Heading3"/>
        <w:numPr>
          <w:ilvl w:val="0"/>
          <w:numId w:val="57"/>
        </w:numPr>
        <w:ind w:left="426" w:hanging="426"/>
        <w:rPr>
          <w:b/>
          <w:noProof/>
        </w:rPr>
      </w:pPr>
      <w:r>
        <w:rPr>
          <w:b/>
          <w:bCs/>
          <w:noProof/>
        </w:rPr>
        <w:t>The Icelandic Equal pay standard</w:t>
      </w:r>
    </w:p>
    <w:p>
      <w:pPr>
        <w:shd w:val="clear" w:color="auto" w:fill="FFFFFF" w:themeFill="background1"/>
        <w:spacing w:after="120" w:line="240" w:lineRule="auto"/>
        <w:jc w:val="both"/>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sz w:val="24"/>
          <w:szCs w:val="24"/>
          <w:lang w:eastAsia="en-GB"/>
        </w:rPr>
        <w:t>The Equal Pay Standard (Standard ÍST 85: 2012 – Equal Pay Management System – Requirements and Guidance) was published by Icelandic Standards in December 2012. It aims to create a system to confirm that women and men, working for the same employer, were paid equal wages for the same jobs or jobs of equal value and it is applicable to all companies and institutions, regardless of their size, field of activity and staff gender composition. In 2008, the Iceland’s Ministry of Welfare, along with the Icelandic Confederation of Labour and the Confederation of Icelandic Employers, began to develop the Equal Pay Standard under the supervision of Icelandic Standards (IST), and a dedicated Technical Committee (TC). In 2018 it was made mandatory for all companies with more than 25 employees. Full implementation was delayed one year and is now foreseen for the end of 2022.</w:t>
      </w:r>
    </w:p>
    <w:p>
      <w:pPr>
        <w:shd w:val="clear" w:color="auto" w:fill="FFFFFF" w:themeFill="background1"/>
        <w:spacing w:after="120" w:line="240" w:lineRule="auto"/>
        <w:jc w:val="both"/>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sz w:val="24"/>
          <w:szCs w:val="24"/>
          <w:lang w:eastAsia="en-GB"/>
        </w:rPr>
        <w:t>The process starts with an assessment of pay policies, classifying jobs, according to equal value and formalizing policies and processes related to pay decisions. The organisation can then apply for certification.</w:t>
      </w:r>
    </w:p>
    <w:p>
      <w:pPr>
        <w:shd w:val="clear" w:color="auto" w:fill="FFFFFF" w:themeFill="background1"/>
        <w:spacing w:after="100" w:afterAutospacing="1" w:line="240" w:lineRule="auto"/>
        <w:jc w:val="both"/>
        <w:rPr>
          <w:rFonts w:ascii="Times New Roman" w:eastAsia="Times New Roman" w:hAnsi="Times New Roman" w:cs="Times New Roman"/>
          <w:noProof/>
          <w:color w:val="000000" w:themeColor="text1"/>
          <w:sz w:val="24"/>
          <w:szCs w:val="24"/>
          <w:lang w:eastAsia="en-GB"/>
        </w:rPr>
      </w:pPr>
      <w:r>
        <w:rPr>
          <w:rFonts w:ascii="Times New Roman" w:eastAsia="Times New Roman" w:hAnsi="Times New Roman" w:cs="Times New Roman"/>
          <w:noProof/>
          <w:color w:val="000000"/>
          <w:sz w:val="24"/>
          <w:szCs w:val="24"/>
          <w:lang w:eastAsia="en-GB"/>
        </w:rPr>
        <w:t>Iceland Customs was the first organisation to receive the certification in 2016, when it was not yet mandatory.</w:t>
      </w:r>
      <w:r>
        <w:rPr>
          <w:rStyle w:val="FootnoteReference"/>
          <w:rFonts w:ascii="Times New Roman" w:eastAsia="Times New Roman" w:hAnsi="Times New Roman" w:cs="Times New Roman"/>
          <w:noProof/>
          <w:color w:val="000000"/>
          <w:sz w:val="24"/>
          <w:szCs w:val="24"/>
          <w:lang w:eastAsia="en-GB"/>
        </w:rPr>
        <w:footnoteReference w:id="241"/>
      </w:r>
      <w:r>
        <w:rPr>
          <w:rFonts w:ascii="Times New Roman" w:eastAsia="Times New Roman" w:hAnsi="Times New Roman" w:cs="Times New Roman"/>
          <w:noProof/>
          <w:color w:val="000000"/>
          <w:sz w:val="24"/>
          <w:szCs w:val="24"/>
          <w:lang w:eastAsia="en-GB"/>
        </w:rPr>
        <w:t xml:space="preserve"> It first set up a project HR group tasked to come up with preliminary definitions for job classifications, and criteria for job classifications. Then, a focus group with the managers approved the definitions and criteria, ensuring a common understanding of all the elements. Finally, the actual job classifications were applied and all jobs were categorized in terms of their comparability and equal value. As a consequence 10% of workers received a pay rise, 9 p.p. were women.</w:t>
      </w:r>
    </w:p>
    <w:p>
      <w:pPr>
        <w:shd w:val="clear" w:color="auto" w:fill="FFFFFF" w:themeFill="background1"/>
        <w:spacing w:after="100" w:afterAutospacing="1" w:line="240" w:lineRule="auto"/>
        <w:rPr>
          <w:rFonts w:ascii="Times New Roman" w:eastAsia="Times New Roman" w:hAnsi="Times New Roman" w:cs="Times New Roman"/>
          <w:noProof/>
          <w:color w:val="000000" w:themeColor="text1"/>
          <w:sz w:val="24"/>
          <w:szCs w:val="24"/>
          <w:lang w:eastAsia="en-GB"/>
        </w:rPr>
      </w:pPr>
      <w:r>
        <w:rPr>
          <w:noProof/>
          <w:lang w:eastAsia="en-GB"/>
        </w:rPr>
        <w:drawing>
          <wp:inline distT="0" distB="0" distL="0" distR="0">
            <wp:extent cx="5614219" cy="3910136"/>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74">
                      <a:extLst>
                        <a:ext uri="{28A0092B-C50C-407E-A947-70E740481C1C}">
                          <a14:useLocalDpi xmlns:a14="http://schemas.microsoft.com/office/drawing/2010/main" val="0"/>
                        </a:ext>
                      </a:extLst>
                    </a:blip>
                    <a:stretch>
                      <a:fillRect/>
                    </a:stretch>
                  </pic:blipFill>
                  <pic:spPr>
                    <a:xfrm>
                      <a:off x="0" y="0"/>
                      <a:ext cx="5614219" cy="3910136"/>
                    </a:xfrm>
                    <a:prstGeom prst="rect">
                      <a:avLst/>
                    </a:prstGeom>
                  </pic:spPr>
                </pic:pic>
              </a:graphicData>
            </a:graphic>
          </wp:inline>
        </w:drawing>
      </w:r>
    </w:p>
    <w:p>
      <w:pPr>
        <w:pStyle w:val="BodyText"/>
        <w:spacing w:after="120" w:line="276" w:lineRule="auto"/>
        <w:ind w:right="113"/>
        <w:rPr>
          <w:rFonts w:ascii="Times New Roman" w:hAnsi="Times New Roman" w:cs="Times New Roman"/>
          <w:i/>
          <w:noProof/>
          <w:lang w:val="fr-BE"/>
        </w:rPr>
      </w:pPr>
      <w:r>
        <w:rPr>
          <w:rFonts w:ascii="Times New Roman" w:hAnsi="Times New Roman" w:cs="Times New Roman"/>
          <w:i/>
          <w:noProof/>
          <w:lang w:val="fr-BE"/>
        </w:rPr>
        <w:t>Source: https://mag.wcoomd.org/magazine/wco-news-83/gender-equality-through-equal-pay-iceland-customs-takes-the-lead/</w:t>
      </w:r>
    </w:p>
    <w:p>
      <w:pPr>
        <w:pStyle w:val="Heading3"/>
        <w:numPr>
          <w:ilvl w:val="0"/>
          <w:numId w:val="57"/>
        </w:numPr>
        <w:ind w:left="426" w:hanging="426"/>
        <w:rPr>
          <w:b/>
          <w:noProof/>
        </w:rPr>
      </w:pPr>
      <w:r>
        <w:rPr>
          <w:b/>
          <w:noProof/>
        </w:rPr>
        <w:t>Main literature findings on the impact of a reduction of the GPG</w:t>
      </w:r>
    </w:p>
    <w:p>
      <w:pPr>
        <w:pStyle w:val="ListNumber"/>
        <w:tabs>
          <w:tab w:val="clear" w:pos="709"/>
        </w:tabs>
        <w:spacing w:line="276" w:lineRule="auto"/>
        <w:ind w:left="0" w:firstLine="0"/>
        <w:rPr>
          <w:bCs/>
          <w:noProof/>
        </w:rPr>
      </w:pPr>
      <w:r>
        <w:rPr>
          <w:noProof/>
        </w:rPr>
        <w:t xml:space="preserve">A study from PwC (2018) estimated that the benefits resulting from closing the gender pay gap in OECD countries would result in a 23% increase (at least) in women’s annual earnings. Also, Gradin et al. (2010) found that reducing the gender wage gap would result in a reduction of the </w:t>
      </w:r>
      <w:r>
        <w:rPr>
          <w:b/>
          <w:bCs/>
          <w:noProof/>
        </w:rPr>
        <w:t>poverty rate</w:t>
      </w:r>
      <w:r>
        <w:rPr>
          <w:noProof/>
        </w:rPr>
        <w:t xml:space="preserve"> by between 0.3% and 1.1%. Under complete wage equality, therefore, 2.4% – 10.5% of the poor population would be lifted out of poverty. Reducing poverty would significantly decrease the need for low income benefit payments to women and would thereby lead to a related reduction in the pressure on public finances.</w:t>
      </w:r>
      <w:r>
        <w:rPr>
          <w:rStyle w:val="FootnoteReference"/>
          <w:noProof/>
        </w:rPr>
        <w:footnoteReference w:id="242"/>
      </w:r>
    </w:p>
    <w:p>
      <w:pPr>
        <w:pStyle w:val="ListNumber"/>
        <w:tabs>
          <w:tab w:val="clear" w:pos="709"/>
        </w:tabs>
        <w:spacing w:line="276" w:lineRule="auto"/>
        <w:ind w:left="0" w:firstLine="0"/>
        <w:rPr>
          <w:rFonts w:asciiTheme="minorHAnsi" w:hAnsiTheme="minorHAnsi" w:cstheme="minorBidi"/>
          <w:noProof/>
        </w:rPr>
      </w:pPr>
      <w:r>
        <w:rPr>
          <w:noProof/>
        </w:rPr>
        <w:t xml:space="preserve">Improved gender equality may induce more women to participate in the labour market, having a positive impact on the </w:t>
      </w:r>
      <w:r>
        <w:rPr>
          <w:b/>
          <w:bCs/>
          <w:noProof/>
        </w:rPr>
        <w:t>gender employment gap</w:t>
      </w:r>
      <w:r>
        <w:rPr>
          <w:noProof/>
        </w:rPr>
        <w:t xml:space="preserve">. The literature points to the positive effects of lower gender employment gaps on the economy, in three central ways: economic and growth gains, saving effects on welfare transfers, and benefits stemming from women taking-up managerial positions. For economic and growth gains, Ostry et al (2018) estimated the welfare gains from higher female labour force participation, deriving primarily from higher gender diversity in the labour force. They estimated that, in Europe, the </w:t>
      </w:r>
      <w:r>
        <w:rPr>
          <w:b/>
          <w:bCs/>
          <w:noProof/>
        </w:rPr>
        <w:t>welfare gains</w:t>
      </w:r>
      <w:r>
        <w:rPr>
          <w:noProof/>
        </w:rPr>
        <w:t xml:space="preserve"> would be a 1% welfare increase, with an estimated 14% </w:t>
      </w:r>
      <w:r>
        <w:rPr>
          <w:b/>
          <w:bCs/>
          <w:noProof/>
        </w:rPr>
        <w:t xml:space="preserve">output increase </w:t>
      </w:r>
      <w:r>
        <w:rPr>
          <w:noProof/>
        </w:rPr>
        <w:t>(different estimates depend on the different assumptions made for the elasticity of substitution between women and men).</w:t>
      </w:r>
      <w:r>
        <w:rPr>
          <w:rStyle w:val="FootnoteReference"/>
          <w:noProof/>
        </w:rPr>
        <w:footnoteReference w:id="243"/>
      </w:r>
      <w:r>
        <w:rPr>
          <w:noProof/>
        </w:rPr>
        <w:t xml:space="preserve"> Löfström (2009) estimated that full gender equality (in employment, part-time work and productivity) would lead to a </w:t>
      </w:r>
      <w:r>
        <w:rPr>
          <w:b/>
          <w:bCs/>
          <w:noProof/>
        </w:rPr>
        <w:t>GDP</w:t>
      </w:r>
      <w:r>
        <w:rPr>
          <w:noProof/>
        </w:rPr>
        <w:t xml:space="preserve"> 27% higher (on average) in the EU, or a </w:t>
      </w:r>
      <w:r>
        <w:rPr>
          <w:b/>
          <w:bCs/>
          <w:noProof/>
        </w:rPr>
        <w:t>per-capita GDP</w:t>
      </w:r>
      <w:r>
        <w:rPr>
          <w:noProof/>
        </w:rPr>
        <w:t xml:space="preserve"> higher by €6,800.</w:t>
      </w:r>
      <w:r>
        <w:rPr>
          <w:rStyle w:val="FootnoteReference"/>
          <w:noProof/>
        </w:rPr>
        <w:footnoteReference w:id="244"/>
      </w:r>
      <w:r>
        <w:rPr>
          <w:noProof/>
        </w:rPr>
        <w:t xml:space="preserve"> Similarly, PwC (2018) estimated that reducing the gender employment gap (which in their exercise meant bringing the female employment rate in each country to the same level as that of Sweden, the country with the highest female employment rate) would result in 12% higher GDP in OECD countries. Klasen and Minasyan (2017) estimated that the growth costs of the gender employment gap (thus the gains from closing it) for European countries would be around 8.3 p.p. loss in </w:t>
      </w:r>
      <w:r>
        <w:rPr>
          <w:b/>
          <w:bCs/>
          <w:noProof/>
        </w:rPr>
        <w:t>output</w:t>
      </w:r>
      <w:r>
        <w:rPr>
          <w:noProof/>
        </w:rPr>
        <w:t xml:space="preserve"> over a decade. The growth costs are annual per capita growth costs of the country relative to the best performer in the ratio of female-male participation rates in that decade (Finland in the 1970s and 1980s, and Sweden in the 1990s). Eurofound (2016) estimated that the gains from closing the gender employment gap would be €327 million. This stems from the additional earnings that would accrue to women who were not employed before.</w:t>
      </w:r>
    </w:p>
    <w:p>
      <w:pPr>
        <w:rPr>
          <w:rFonts w:ascii="Times New Roman" w:hAnsi="Times New Roman" w:cs="Times New Roman"/>
          <w:noProof/>
          <w:sz w:val="24"/>
          <w:szCs w:val="24"/>
        </w:rPr>
      </w:pPr>
      <w:r>
        <w:rPr>
          <w:rFonts w:ascii="Times New Roman" w:hAnsi="Times New Roman" w:cs="Times New Roman"/>
          <w:noProof/>
          <w:sz w:val="24"/>
          <w:szCs w:val="24"/>
        </w:rPr>
        <w:br w:type="page"/>
      </w:r>
    </w:p>
    <w:p>
      <w:pPr>
        <w:pStyle w:val="Heading3"/>
        <w:numPr>
          <w:ilvl w:val="0"/>
          <w:numId w:val="57"/>
        </w:numPr>
        <w:ind w:left="426" w:hanging="426"/>
        <w:rPr>
          <w:noProof/>
        </w:rPr>
      </w:pPr>
      <w:r>
        <w:rPr>
          <w:noProof/>
        </w:rPr>
        <w:t xml:space="preserve">Summary of costs </w:t>
      </w:r>
    </w:p>
    <w:tbl>
      <w:tblPr>
        <w:tblStyle w:val="GridTable5DarkAccent2"/>
        <w:tblW w:w="5000" w:type="pct"/>
        <w:tblLook w:val="04A0" w:firstRow="1" w:lastRow="0" w:firstColumn="1" w:lastColumn="0" w:noHBand="0" w:noVBand="1"/>
      </w:tblPr>
      <w:tblGrid>
        <w:gridCol w:w="709"/>
        <w:gridCol w:w="1790"/>
        <w:gridCol w:w="1650"/>
        <w:gridCol w:w="1622"/>
        <w:gridCol w:w="1761"/>
        <w:gridCol w:w="1302"/>
      </w:tblGrid>
      <w:tr>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6"/>
            <w:hideMark/>
          </w:tcPr>
          <w:p>
            <w:pPr>
              <w:pStyle w:val="paragraph"/>
              <w:spacing w:before="0" w:beforeAutospacing="0" w:after="0" w:afterAutospacing="0"/>
              <w:ind w:left="3720" w:hanging="3578"/>
              <w:textAlignment w:val="baseline"/>
              <w:rPr>
                <w:noProof/>
                <w:color w:val="auto"/>
                <w:lang w:val="en-GB" w:eastAsia="en-GB"/>
              </w:rPr>
            </w:pPr>
            <w:r>
              <w:rPr>
                <w:rFonts w:ascii="Calibri" w:hAnsi="Calibri" w:cs="Calibri"/>
                <w:noProof/>
                <w:color w:val="auto"/>
                <w:sz w:val="22"/>
                <w:szCs w:val="22"/>
                <w:lang w:val="en-US" w:eastAsia="en-GB"/>
              </w:rPr>
              <w:t>Sub-option 1A - Right to receive information on pay  </w:t>
            </w:r>
            <w:r>
              <w:rPr>
                <w:rFonts w:ascii="Calibri" w:hAnsi="Calibri" w:cs="Calibri"/>
                <w:noProof/>
                <w:color w:val="auto"/>
                <w:sz w:val="22"/>
                <w:szCs w:val="22"/>
                <w:lang w:val="en-GB" w:eastAsia="en-GB"/>
              </w:rPr>
              <w:t> </w:t>
            </w:r>
          </w:p>
          <w:p>
            <w:pPr>
              <w:ind w:left="142" w:hanging="851"/>
              <w:jc w:val="center"/>
              <w:textAlignment w:val="baseline"/>
              <w:rPr>
                <w:rFonts w:ascii="Times New Roman" w:eastAsia="Times New Roman" w:hAnsi="Times New Roman" w:cs="Times New Roman"/>
                <w:noProof/>
                <w:sz w:val="24"/>
                <w:szCs w:val="24"/>
                <w:lang w:eastAsia="en-GB"/>
              </w:rPr>
            </w:pPr>
            <w:r>
              <w:rPr>
                <w:rFonts w:ascii="Calibri" w:eastAsia="Times New Roman" w:hAnsi="Calibri" w:cs="Calibri"/>
                <w:noProof/>
                <w:color w:val="auto"/>
                <w:lang w:val="en-US" w:eastAsia="en-GB"/>
              </w:rPr>
              <w:t>Communication cost per MS and class-size - Minimun cost - first year </w:t>
            </w:r>
            <w:r>
              <w:rPr>
                <w:rFonts w:ascii="Calibri" w:eastAsia="Times New Roman" w:hAnsi="Calibri" w:cs="Calibri"/>
                <w:noProof/>
                <w:color w:val="auto"/>
                <w:lang w:eastAsia="en-GB"/>
              </w:rPr>
              <w:t>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1" w:type="pct"/>
            <w:hideMark/>
          </w:tcPr>
          <w:p>
            <w:pPr>
              <w:textAlignment w:val="baseline"/>
              <w:rPr>
                <w:rFonts w:ascii="Times New Roman" w:eastAsia="Times New Roman" w:hAnsi="Times New Roman" w:cs="Times New Roman"/>
                <w:noProof/>
                <w:color w:val="auto"/>
                <w:sz w:val="24"/>
                <w:szCs w:val="24"/>
                <w:lang w:eastAsia="en-GB"/>
              </w:rPr>
            </w:pPr>
            <w:r>
              <w:rPr>
                <w:rFonts w:ascii="Calibri" w:eastAsia="Times New Roman" w:hAnsi="Calibri" w:cs="Calibri"/>
                <w:noProof/>
                <w:color w:val="auto"/>
                <w:lang w:val="fr-FR" w:eastAsia="en-GB"/>
              </w:rPr>
              <w:t>MS</w:t>
            </w:r>
            <w:r>
              <w:rPr>
                <w:rFonts w:ascii="Calibri" w:eastAsia="Times New Roman" w:hAnsi="Calibri" w:cs="Calibri"/>
                <w:noProof/>
                <w:color w:val="auto"/>
                <w:lang w:eastAsia="en-GB"/>
              </w:rPr>
              <w:t> </w:t>
            </w:r>
          </w:p>
        </w:tc>
        <w:tc>
          <w:tcPr>
            <w:tcW w:w="1013" w:type="pct"/>
            <w:shd w:val="clear" w:color="auto" w:fill="C0504D" w:themeFill="accent2"/>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sz w:val="24"/>
                <w:szCs w:val="24"/>
                <w:lang w:eastAsia="en-GB"/>
              </w:rPr>
            </w:pPr>
            <w:r>
              <w:rPr>
                <w:rFonts w:ascii="Calibri" w:eastAsia="Times New Roman" w:hAnsi="Calibri" w:cs="Calibri"/>
                <w:b/>
                <w:noProof/>
                <w:lang w:val="fr-FR" w:eastAsia="en-GB"/>
              </w:rPr>
              <w:t>10&lt;50</w:t>
            </w:r>
            <w:r>
              <w:rPr>
                <w:rFonts w:ascii="Calibri" w:eastAsia="Times New Roman" w:hAnsi="Calibri" w:cs="Calibri"/>
                <w:b/>
                <w:noProof/>
                <w:lang w:eastAsia="en-GB"/>
              </w:rPr>
              <w:t> </w:t>
            </w:r>
          </w:p>
        </w:tc>
        <w:tc>
          <w:tcPr>
            <w:tcW w:w="934" w:type="pct"/>
            <w:shd w:val="clear" w:color="auto" w:fill="C0504D" w:themeFill="accent2"/>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sz w:val="24"/>
                <w:szCs w:val="24"/>
                <w:lang w:eastAsia="en-GB"/>
              </w:rPr>
            </w:pPr>
            <w:r>
              <w:rPr>
                <w:rFonts w:ascii="Calibri" w:eastAsia="Times New Roman" w:hAnsi="Calibri" w:cs="Calibri"/>
                <w:b/>
                <w:noProof/>
                <w:lang w:val="fr-FR" w:eastAsia="en-GB"/>
              </w:rPr>
              <w:t>50≤N&lt;250</w:t>
            </w:r>
            <w:r>
              <w:rPr>
                <w:rFonts w:ascii="Calibri" w:eastAsia="Times New Roman" w:hAnsi="Calibri" w:cs="Calibri"/>
                <w:b/>
                <w:noProof/>
                <w:lang w:eastAsia="en-GB"/>
              </w:rPr>
              <w:t> </w:t>
            </w:r>
          </w:p>
        </w:tc>
        <w:tc>
          <w:tcPr>
            <w:tcW w:w="918" w:type="pct"/>
            <w:shd w:val="clear" w:color="auto" w:fill="C0504D" w:themeFill="accent2"/>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sz w:val="24"/>
                <w:szCs w:val="24"/>
                <w:lang w:eastAsia="en-GB"/>
              </w:rPr>
            </w:pPr>
            <w:r>
              <w:rPr>
                <w:rFonts w:ascii="Calibri" w:eastAsia="Times New Roman" w:hAnsi="Calibri" w:cs="Calibri"/>
                <w:b/>
                <w:noProof/>
                <w:lang w:val="fr-FR" w:eastAsia="en-GB"/>
              </w:rPr>
              <w:t>250≤N&lt;500</w:t>
            </w:r>
            <w:r>
              <w:rPr>
                <w:rFonts w:ascii="Calibri" w:eastAsia="Times New Roman" w:hAnsi="Calibri" w:cs="Calibri"/>
                <w:b/>
                <w:noProof/>
                <w:lang w:eastAsia="en-GB"/>
              </w:rPr>
              <w:t> </w:t>
            </w:r>
          </w:p>
        </w:tc>
        <w:tc>
          <w:tcPr>
            <w:tcW w:w="997" w:type="pct"/>
            <w:shd w:val="clear" w:color="auto" w:fill="C0504D" w:themeFill="accent2"/>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sz w:val="24"/>
                <w:szCs w:val="24"/>
                <w:lang w:eastAsia="en-GB"/>
              </w:rPr>
            </w:pPr>
            <w:r>
              <w:rPr>
                <w:rFonts w:ascii="Calibri" w:eastAsia="Times New Roman" w:hAnsi="Calibri" w:cs="Calibri"/>
                <w:b/>
                <w:noProof/>
                <w:lang w:val="fr-FR" w:eastAsia="en-GB"/>
              </w:rPr>
              <w:t>500≤N&lt;1000</w:t>
            </w:r>
            <w:r>
              <w:rPr>
                <w:rFonts w:ascii="Calibri" w:eastAsia="Times New Roman" w:hAnsi="Calibri" w:cs="Calibri"/>
                <w:b/>
                <w:noProof/>
                <w:lang w:eastAsia="en-GB"/>
              </w:rPr>
              <w:t> </w:t>
            </w:r>
          </w:p>
        </w:tc>
        <w:tc>
          <w:tcPr>
            <w:tcW w:w="737" w:type="pct"/>
            <w:shd w:val="clear" w:color="auto" w:fill="C0504D" w:themeFill="accent2"/>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sz w:val="24"/>
                <w:szCs w:val="24"/>
                <w:lang w:eastAsia="en-GB"/>
              </w:rPr>
            </w:pPr>
            <w:r>
              <w:rPr>
                <w:rFonts w:ascii="Calibri" w:eastAsia="Times New Roman" w:hAnsi="Calibri" w:cs="Calibri"/>
                <w:b/>
                <w:noProof/>
                <w:lang w:val="fr-FR" w:eastAsia="en-GB"/>
              </w:rPr>
              <w:t>N≥1000</w:t>
            </w:r>
            <w:r>
              <w:rPr>
                <w:rFonts w:ascii="Calibri" w:eastAsia="Times New Roman" w:hAnsi="Calibri" w:cs="Calibri"/>
                <w:b/>
                <w:noProof/>
                <w:lang w:eastAsia="en-GB"/>
              </w:rPr>
              <w:t> </w:t>
            </w:r>
          </w:p>
        </w:tc>
      </w:tr>
      <w:tr>
        <w:trPr>
          <w:trHeight w:val="300"/>
        </w:trPr>
        <w:tc>
          <w:tcPr>
            <w:cnfStyle w:val="001000000000" w:firstRow="0" w:lastRow="0" w:firstColumn="1" w:lastColumn="0" w:oddVBand="0" w:evenVBand="0" w:oddHBand="0" w:evenHBand="0" w:firstRowFirstColumn="0" w:firstRowLastColumn="0" w:lastRowFirstColumn="0" w:lastRowLastColumn="0"/>
            <w:tcW w:w="401" w:type="pct"/>
            <w:hideMark/>
          </w:tcPr>
          <w:p>
            <w:pPr>
              <w:textAlignment w:val="baseline"/>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AT</w:t>
            </w:r>
            <w:r>
              <w:rPr>
                <w:rFonts w:ascii="Calibri" w:eastAsia="Times New Roman" w:hAnsi="Calibri" w:cs="Calibri"/>
                <w:noProof/>
                <w:color w:val="000000"/>
                <w:lang w:eastAsia="en-GB"/>
              </w:rPr>
              <w:t> </w:t>
            </w:r>
          </w:p>
        </w:tc>
        <w:tc>
          <w:tcPr>
            <w:tcW w:w="1013"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2.156.369 </w:t>
            </w:r>
            <w:r>
              <w:rPr>
                <w:rFonts w:ascii="Calibri" w:eastAsia="Times New Roman" w:hAnsi="Calibri" w:cs="Calibri"/>
                <w:noProof/>
                <w:color w:val="000000"/>
                <w:lang w:eastAsia="en-GB"/>
              </w:rPr>
              <w:t> </w:t>
            </w:r>
          </w:p>
        </w:tc>
        <w:tc>
          <w:tcPr>
            <w:tcW w:w="93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241.456 </w:t>
            </w:r>
            <w:r>
              <w:rPr>
                <w:rFonts w:ascii="Calibri" w:eastAsia="Times New Roman" w:hAnsi="Calibri" w:cs="Calibri"/>
                <w:noProof/>
                <w:color w:val="000000"/>
                <w:lang w:eastAsia="en-GB"/>
              </w:rPr>
              <w:t> </w:t>
            </w:r>
          </w:p>
        </w:tc>
        <w:tc>
          <w:tcPr>
            <w:tcW w:w="918"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997"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737"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1" w:type="pct"/>
            <w:hideMark/>
          </w:tcPr>
          <w:p>
            <w:pPr>
              <w:textAlignment w:val="baseline"/>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BE</w:t>
            </w:r>
            <w:r>
              <w:rPr>
                <w:rFonts w:ascii="Calibri" w:eastAsia="Times New Roman" w:hAnsi="Calibri" w:cs="Calibri"/>
                <w:noProof/>
                <w:color w:val="000000"/>
                <w:lang w:eastAsia="en-GB"/>
              </w:rPr>
              <w:t> </w:t>
            </w:r>
          </w:p>
        </w:tc>
        <w:tc>
          <w:tcPr>
            <w:tcW w:w="1013"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1.911.157 </w:t>
            </w:r>
            <w:r>
              <w:rPr>
                <w:rFonts w:ascii="Calibri" w:eastAsia="Times New Roman" w:hAnsi="Calibri" w:cs="Calibri"/>
                <w:noProof/>
                <w:color w:val="000000"/>
                <w:lang w:eastAsia="en-GB"/>
              </w:rPr>
              <w:t> </w:t>
            </w:r>
          </w:p>
        </w:tc>
        <w:tc>
          <w:tcPr>
            <w:tcW w:w="93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220.871 </w:t>
            </w:r>
            <w:r>
              <w:rPr>
                <w:rFonts w:ascii="Calibri" w:eastAsia="Times New Roman" w:hAnsi="Calibri" w:cs="Calibri"/>
                <w:noProof/>
                <w:color w:val="000000"/>
                <w:lang w:eastAsia="en-GB"/>
              </w:rPr>
              <w:t> </w:t>
            </w:r>
          </w:p>
        </w:tc>
        <w:tc>
          <w:tcPr>
            <w:tcW w:w="918"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997"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737"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r>
      <w:tr>
        <w:trPr>
          <w:trHeight w:val="300"/>
        </w:trPr>
        <w:tc>
          <w:tcPr>
            <w:cnfStyle w:val="001000000000" w:firstRow="0" w:lastRow="0" w:firstColumn="1" w:lastColumn="0" w:oddVBand="0" w:evenVBand="0" w:oddHBand="0" w:evenHBand="0" w:firstRowFirstColumn="0" w:firstRowLastColumn="0" w:lastRowFirstColumn="0" w:lastRowLastColumn="0"/>
            <w:tcW w:w="401" w:type="pct"/>
            <w:hideMark/>
          </w:tcPr>
          <w:p>
            <w:pPr>
              <w:textAlignment w:val="baseline"/>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BG</w:t>
            </w:r>
            <w:r>
              <w:rPr>
                <w:rFonts w:ascii="Calibri" w:eastAsia="Times New Roman" w:hAnsi="Calibri" w:cs="Calibri"/>
                <w:noProof/>
                <w:color w:val="000000"/>
                <w:lang w:eastAsia="en-GB"/>
              </w:rPr>
              <w:t> </w:t>
            </w:r>
          </w:p>
        </w:tc>
        <w:tc>
          <w:tcPr>
            <w:tcW w:w="1013"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303.270 </w:t>
            </w:r>
            <w:r>
              <w:rPr>
                <w:rFonts w:ascii="Calibri" w:eastAsia="Times New Roman" w:hAnsi="Calibri" w:cs="Calibri"/>
                <w:noProof/>
                <w:color w:val="000000"/>
                <w:lang w:eastAsia="en-GB"/>
              </w:rPr>
              <w:t> </w:t>
            </w:r>
          </w:p>
        </w:tc>
        <w:tc>
          <w:tcPr>
            <w:tcW w:w="93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82.368 </w:t>
            </w:r>
            <w:r>
              <w:rPr>
                <w:rFonts w:ascii="Calibri" w:eastAsia="Times New Roman" w:hAnsi="Calibri" w:cs="Calibri"/>
                <w:noProof/>
                <w:color w:val="000000"/>
                <w:lang w:eastAsia="en-GB"/>
              </w:rPr>
              <w:t> </w:t>
            </w:r>
          </w:p>
        </w:tc>
        <w:tc>
          <w:tcPr>
            <w:tcW w:w="918"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19.440 </w:t>
            </w:r>
            <w:r>
              <w:rPr>
                <w:rFonts w:ascii="Calibri" w:eastAsia="Times New Roman" w:hAnsi="Calibri" w:cs="Calibri"/>
                <w:noProof/>
                <w:color w:val="000000"/>
                <w:lang w:eastAsia="en-GB"/>
              </w:rPr>
              <w:t> </w:t>
            </w:r>
          </w:p>
        </w:tc>
        <w:tc>
          <w:tcPr>
            <w:tcW w:w="997"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2.916 </w:t>
            </w:r>
            <w:r>
              <w:rPr>
                <w:rFonts w:ascii="Calibri" w:eastAsia="Times New Roman" w:hAnsi="Calibri" w:cs="Calibri"/>
                <w:noProof/>
                <w:color w:val="000000"/>
                <w:lang w:eastAsia="en-GB"/>
              </w:rPr>
              <w:t> </w:t>
            </w:r>
          </w:p>
        </w:tc>
        <w:tc>
          <w:tcPr>
            <w:tcW w:w="737"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1.836 </w:t>
            </w:r>
            <w:r>
              <w:rPr>
                <w:rFonts w:ascii="Calibri" w:eastAsia="Times New Roman" w:hAnsi="Calibri" w:cs="Calibri"/>
                <w:noProof/>
                <w:color w:val="000000"/>
                <w:lang w:eastAsia="en-GB"/>
              </w:rPr>
              <w:t>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1" w:type="pct"/>
            <w:hideMark/>
          </w:tcPr>
          <w:p>
            <w:pPr>
              <w:textAlignment w:val="baseline"/>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CY</w:t>
            </w:r>
            <w:r>
              <w:rPr>
                <w:rFonts w:ascii="Calibri" w:eastAsia="Times New Roman" w:hAnsi="Calibri" w:cs="Calibri"/>
                <w:noProof/>
                <w:color w:val="000000"/>
                <w:lang w:eastAsia="en-GB"/>
              </w:rPr>
              <w:t> </w:t>
            </w:r>
          </w:p>
        </w:tc>
        <w:tc>
          <w:tcPr>
            <w:tcW w:w="1013"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106.704 </w:t>
            </w:r>
            <w:r>
              <w:rPr>
                <w:rFonts w:ascii="Calibri" w:eastAsia="Times New Roman" w:hAnsi="Calibri" w:cs="Calibri"/>
                <w:noProof/>
                <w:color w:val="000000"/>
                <w:lang w:eastAsia="en-GB"/>
              </w:rPr>
              <w:t> </w:t>
            </w:r>
          </w:p>
        </w:tc>
        <w:tc>
          <w:tcPr>
            <w:tcW w:w="93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21.762 </w:t>
            </w:r>
            <w:r>
              <w:rPr>
                <w:rFonts w:ascii="Calibri" w:eastAsia="Times New Roman" w:hAnsi="Calibri" w:cs="Calibri"/>
                <w:noProof/>
                <w:color w:val="000000"/>
                <w:lang w:eastAsia="en-GB"/>
              </w:rPr>
              <w:t> </w:t>
            </w:r>
          </w:p>
        </w:tc>
        <w:tc>
          <w:tcPr>
            <w:tcW w:w="918"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5.616 </w:t>
            </w:r>
            <w:r>
              <w:rPr>
                <w:rFonts w:ascii="Calibri" w:eastAsia="Times New Roman" w:hAnsi="Calibri" w:cs="Calibri"/>
                <w:noProof/>
                <w:color w:val="000000"/>
                <w:lang w:eastAsia="en-GB"/>
              </w:rPr>
              <w:t> </w:t>
            </w:r>
          </w:p>
        </w:tc>
        <w:tc>
          <w:tcPr>
            <w:tcW w:w="997"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842 </w:t>
            </w:r>
            <w:r>
              <w:rPr>
                <w:rFonts w:ascii="Calibri" w:eastAsia="Times New Roman" w:hAnsi="Calibri" w:cs="Calibri"/>
                <w:noProof/>
                <w:color w:val="000000"/>
                <w:lang w:eastAsia="en-GB"/>
              </w:rPr>
              <w:t> </w:t>
            </w:r>
          </w:p>
        </w:tc>
        <w:tc>
          <w:tcPr>
            <w:tcW w:w="737"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530 </w:t>
            </w:r>
            <w:r>
              <w:rPr>
                <w:rFonts w:ascii="Calibri" w:eastAsia="Times New Roman" w:hAnsi="Calibri" w:cs="Calibri"/>
                <w:noProof/>
                <w:color w:val="000000"/>
                <w:lang w:eastAsia="en-GB"/>
              </w:rPr>
              <w:t> </w:t>
            </w:r>
          </w:p>
        </w:tc>
      </w:tr>
      <w:tr>
        <w:trPr>
          <w:trHeight w:val="300"/>
        </w:trPr>
        <w:tc>
          <w:tcPr>
            <w:cnfStyle w:val="001000000000" w:firstRow="0" w:lastRow="0" w:firstColumn="1" w:lastColumn="0" w:oddVBand="0" w:evenVBand="0" w:oddHBand="0" w:evenHBand="0" w:firstRowFirstColumn="0" w:firstRowLastColumn="0" w:lastRowFirstColumn="0" w:lastRowLastColumn="0"/>
            <w:tcW w:w="401" w:type="pct"/>
            <w:hideMark/>
          </w:tcPr>
          <w:p>
            <w:pPr>
              <w:textAlignment w:val="baseline"/>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CZ</w:t>
            </w:r>
            <w:r>
              <w:rPr>
                <w:rFonts w:ascii="Calibri" w:eastAsia="Times New Roman" w:hAnsi="Calibri" w:cs="Calibri"/>
                <w:noProof/>
                <w:color w:val="000000"/>
                <w:lang w:eastAsia="en-GB"/>
              </w:rPr>
              <w:t> </w:t>
            </w:r>
          </w:p>
        </w:tc>
        <w:tc>
          <w:tcPr>
            <w:tcW w:w="1013"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937.223 </w:t>
            </w:r>
            <w:r>
              <w:rPr>
                <w:rFonts w:ascii="Calibri" w:eastAsia="Times New Roman" w:hAnsi="Calibri" w:cs="Calibri"/>
                <w:noProof/>
                <w:color w:val="000000"/>
                <w:lang w:eastAsia="en-GB"/>
              </w:rPr>
              <w:t> </w:t>
            </w:r>
          </w:p>
        </w:tc>
        <w:tc>
          <w:tcPr>
            <w:tcW w:w="93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300.174 </w:t>
            </w:r>
            <w:r>
              <w:rPr>
                <w:rFonts w:ascii="Calibri" w:eastAsia="Times New Roman" w:hAnsi="Calibri" w:cs="Calibri"/>
                <w:noProof/>
                <w:color w:val="000000"/>
                <w:lang w:eastAsia="en-GB"/>
              </w:rPr>
              <w:t> </w:t>
            </w:r>
          </w:p>
        </w:tc>
        <w:tc>
          <w:tcPr>
            <w:tcW w:w="918"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105.725 </w:t>
            </w:r>
            <w:r>
              <w:rPr>
                <w:rFonts w:ascii="Calibri" w:eastAsia="Times New Roman" w:hAnsi="Calibri" w:cs="Calibri"/>
                <w:noProof/>
                <w:color w:val="000000"/>
                <w:lang w:eastAsia="en-GB"/>
              </w:rPr>
              <w:t> </w:t>
            </w:r>
          </w:p>
        </w:tc>
        <w:tc>
          <w:tcPr>
            <w:tcW w:w="997"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15.859 </w:t>
            </w:r>
            <w:r>
              <w:rPr>
                <w:rFonts w:ascii="Calibri" w:eastAsia="Times New Roman" w:hAnsi="Calibri" w:cs="Calibri"/>
                <w:noProof/>
                <w:color w:val="000000"/>
                <w:lang w:eastAsia="en-GB"/>
              </w:rPr>
              <w:t> </w:t>
            </w:r>
          </w:p>
        </w:tc>
        <w:tc>
          <w:tcPr>
            <w:tcW w:w="737"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9.985 </w:t>
            </w:r>
            <w:r>
              <w:rPr>
                <w:rFonts w:ascii="Calibri" w:eastAsia="Times New Roman" w:hAnsi="Calibri" w:cs="Calibri"/>
                <w:noProof/>
                <w:color w:val="000000"/>
                <w:lang w:eastAsia="en-GB"/>
              </w:rPr>
              <w:t>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1" w:type="pct"/>
            <w:hideMark/>
          </w:tcPr>
          <w:p>
            <w:pPr>
              <w:textAlignment w:val="baseline"/>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DE</w:t>
            </w:r>
            <w:r>
              <w:rPr>
                <w:rFonts w:ascii="Calibri" w:eastAsia="Times New Roman" w:hAnsi="Calibri" w:cs="Calibri"/>
                <w:noProof/>
                <w:color w:val="000000"/>
                <w:lang w:eastAsia="en-GB"/>
              </w:rPr>
              <w:t> </w:t>
            </w:r>
          </w:p>
        </w:tc>
        <w:tc>
          <w:tcPr>
            <w:tcW w:w="1013"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31.141.397 </w:t>
            </w:r>
            <w:r>
              <w:rPr>
                <w:rFonts w:ascii="Calibri" w:eastAsia="Times New Roman" w:hAnsi="Calibri" w:cs="Calibri"/>
                <w:noProof/>
                <w:color w:val="000000"/>
                <w:lang w:eastAsia="en-GB"/>
              </w:rPr>
              <w:t> </w:t>
            </w:r>
          </w:p>
        </w:tc>
        <w:tc>
          <w:tcPr>
            <w:tcW w:w="93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3.833.585 </w:t>
            </w:r>
            <w:r>
              <w:rPr>
                <w:rFonts w:ascii="Calibri" w:eastAsia="Times New Roman" w:hAnsi="Calibri" w:cs="Calibri"/>
                <w:noProof/>
                <w:color w:val="000000"/>
                <w:lang w:eastAsia="en-GB"/>
              </w:rPr>
              <w:t> </w:t>
            </w:r>
          </w:p>
        </w:tc>
        <w:tc>
          <w:tcPr>
            <w:tcW w:w="918"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997"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737"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r>
      <w:tr>
        <w:trPr>
          <w:trHeight w:val="300"/>
        </w:trPr>
        <w:tc>
          <w:tcPr>
            <w:cnfStyle w:val="001000000000" w:firstRow="0" w:lastRow="0" w:firstColumn="1" w:lastColumn="0" w:oddVBand="0" w:evenVBand="0" w:oddHBand="0" w:evenHBand="0" w:firstRowFirstColumn="0" w:firstRowLastColumn="0" w:lastRowFirstColumn="0" w:lastRowLastColumn="0"/>
            <w:tcW w:w="401" w:type="pct"/>
            <w:hideMark/>
          </w:tcPr>
          <w:p>
            <w:pPr>
              <w:textAlignment w:val="baseline"/>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DK</w:t>
            </w:r>
            <w:r>
              <w:rPr>
                <w:rFonts w:ascii="Calibri" w:eastAsia="Times New Roman" w:hAnsi="Calibri" w:cs="Calibri"/>
                <w:noProof/>
                <w:color w:val="000000"/>
                <w:lang w:eastAsia="en-GB"/>
              </w:rPr>
              <w:t> </w:t>
            </w:r>
          </w:p>
        </w:tc>
        <w:tc>
          <w:tcPr>
            <w:tcW w:w="1013"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917.716 </w:t>
            </w:r>
            <w:r>
              <w:rPr>
                <w:rFonts w:ascii="Calibri" w:eastAsia="Times New Roman" w:hAnsi="Calibri" w:cs="Calibri"/>
                <w:noProof/>
                <w:color w:val="000000"/>
                <w:lang w:eastAsia="en-GB"/>
              </w:rPr>
              <w:t> </w:t>
            </w:r>
          </w:p>
        </w:tc>
        <w:tc>
          <w:tcPr>
            <w:tcW w:w="93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918"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997"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737"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1" w:type="pct"/>
            <w:hideMark/>
          </w:tcPr>
          <w:p>
            <w:pPr>
              <w:textAlignment w:val="baseline"/>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EE</w:t>
            </w:r>
            <w:r>
              <w:rPr>
                <w:rFonts w:ascii="Calibri" w:eastAsia="Times New Roman" w:hAnsi="Calibri" w:cs="Calibri"/>
                <w:noProof/>
                <w:color w:val="000000"/>
                <w:lang w:eastAsia="en-GB"/>
              </w:rPr>
              <w:t> </w:t>
            </w:r>
          </w:p>
        </w:tc>
        <w:tc>
          <w:tcPr>
            <w:tcW w:w="1013"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93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918"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997"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737"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r>
      <w:tr>
        <w:trPr>
          <w:trHeight w:val="300"/>
        </w:trPr>
        <w:tc>
          <w:tcPr>
            <w:cnfStyle w:val="001000000000" w:firstRow="0" w:lastRow="0" w:firstColumn="1" w:lastColumn="0" w:oddVBand="0" w:evenVBand="0" w:oddHBand="0" w:evenHBand="0" w:firstRowFirstColumn="0" w:firstRowLastColumn="0" w:lastRowFirstColumn="0" w:lastRowLastColumn="0"/>
            <w:tcW w:w="401" w:type="pct"/>
            <w:hideMark/>
          </w:tcPr>
          <w:p>
            <w:pPr>
              <w:textAlignment w:val="baseline"/>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EL</w:t>
            </w:r>
            <w:r>
              <w:rPr>
                <w:rFonts w:ascii="Calibri" w:eastAsia="Times New Roman" w:hAnsi="Calibri" w:cs="Calibri"/>
                <w:noProof/>
                <w:color w:val="000000"/>
                <w:lang w:eastAsia="en-GB"/>
              </w:rPr>
              <w:t> </w:t>
            </w:r>
          </w:p>
        </w:tc>
        <w:tc>
          <w:tcPr>
            <w:tcW w:w="1013"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752.644 </w:t>
            </w:r>
            <w:r>
              <w:rPr>
                <w:rFonts w:ascii="Calibri" w:eastAsia="Times New Roman" w:hAnsi="Calibri" w:cs="Calibri"/>
                <w:noProof/>
                <w:color w:val="000000"/>
                <w:lang w:eastAsia="en-GB"/>
              </w:rPr>
              <w:t> </w:t>
            </w:r>
          </w:p>
        </w:tc>
        <w:tc>
          <w:tcPr>
            <w:tcW w:w="93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114.939 </w:t>
            </w:r>
            <w:r>
              <w:rPr>
                <w:rFonts w:ascii="Calibri" w:eastAsia="Times New Roman" w:hAnsi="Calibri" w:cs="Calibri"/>
                <w:noProof/>
                <w:color w:val="000000"/>
                <w:lang w:eastAsia="en-GB"/>
              </w:rPr>
              <w:t> </w:t>
            </w:r>
          </w:p>
        </w:tc>
        <w:tc>
          <w:tcPr>
            <w:tcW w:w="918"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26.295 </w:t>
            </w:r>
            <w:r>
              <w:rPr>
                <w:rFonts w:ascii="Calibri" w:eastAsia="Times New Roman" w:hAnsi="Calibri" w:cs="Calibri"/>
                <w:noProof/>
                <w:color w:val="000000"/>
                <w:lang w:eastAsia="en-GB"/>
              </w:rPr>
              <w:t> </w:t>
            </w:r>
          </w:p>
        </w:tc>
        <w:tc>
          <w:tcPr>
            <w:tcW w:w="997"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3.944 </w:t>
            </w:r>
            <w:r>
              <w:rPr>
                <w:rFonts w:ascii="Calibri" w:eastAsia="Times New Roman" w:hAnsi="Calibri" w:cs="Calibri"/>
                <w:noProof/>
                <w:color w:val="000000"/>
                <w:lang w:eastAsia="en-GB"/>
              </w:rPr>
              <w:t> </w:t>
            </w:r>
          </w:p>
        </w:tc>
        <w:tc>
          <w:tcPr>
            <w:tcW w:w="737"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2.483 </w:t>
            </w:r>
            <w:r>
              <w:rPr>
                <w:rFonts w:ascii="Calibri" w:eastAsia="Times New Roman" w:hAnsi="Calibri" w:cs="Calibri"/>
                <w:noProof/>
                <w:color w:val="000000"/>
                <w:lang w:eastAsia="en-GB"/>
              </w:rPr>
              <w:t>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1" w:type="pct"/>
            <w:hideMark/>
          </w:tcPr>
          <w:p>
            <w:pPr>
              <w:textAlignment w:val="baseline"/>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ES</w:t>
            </w:r>
            <w:r>
              <w:rPr>
                <w:rFonts w:ascii="Calibri" w:eastAsia="Times New Roman" w:hAnsi="Calibri" w:cs="Calibri"/>
                <w:noProof/>
                <w:color w:val="000000"/>
                <w:lang w:eastAsia="en-GB"/>
              </w:rPr>
              <w:t> </w:t>
            </w:r>
          </w:p>
        </w:tc>
        <w:tc>
          <w:tcPr>
            <w:tcW w:w="1013"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93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918"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997"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737"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r>
      <w:tr>
        <w:trPr>
          <w:trHeight w:val="300"/>
        </w:trPr>
        <w:tc>
          <w:tcPr>
            <w:cnfStyle w:val="001000000000" w:firstRow="0" w:lastRow="0" w:firstColumn="1" w:lastColumn="0" w:oddVBand="0" w:evenVBand="0" w:oddHBand="0" w:evenHBand="0" w:firstRowFirstColumn="0" w:firstRowLastColumn="0" w:lastRowFirstColumn="0" w:lastRowLastColumn="0"/>
            <w:tcW w:w="401" w:type="pct"/>
            <w:hideMark/>
          </w:tcPr>
          <w:p>
            <w:pPr>
              <w:textAlignment w:val="baseline"/>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FI</w:t>
            </w:r>
            <w:r>
              <w:rPr>
                <w:rFonts w:ascii="Calibri" w:eastAsia="Times New Roman" w:hAnsi="Calibri" w:cs="Calibri"/>
                <w:noProof/>
                <w:color w:val="000000"/>
                <w:lang w:eastAsia="en-GB"/>
              </w:rPr>
              <w:t> </w:t>
            </w:r>
          </w:p>
        </w:tc>
        <w:tc>
          <w:tcPr>
            <w:tcW w:w="1013"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93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918"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997"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737"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1" w:type="pct"/>
            <w:hideMark/>
          </w:tcPr>
          <w:p>
            <w:pPr>
              <w:textAlignment w:val="baseline"/>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FR</w:t>
            </w:r>
            <w:r>
              <w:rPr>
                <w:rFonts w:ascii="Calibri" w:eastAsia="Times New Roman" w:hAnsi="Calibri" w:cs="Calibri"/>
                <w:noProof/>
                <w:color w:val="000000"/>
                <w:lang w:eastAsia="en-GB"/>
              </w:rPr>
              <w:t> </w:t>
            </w:r>
          </w:p>
        </w:tc>
        <w:tc>
          <w:tcPr>
            <w:tcW w:w="1013"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93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918"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997"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737"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r>
      <w:tr>
        <w:trPr>
          <w:trHeight w:val="300"/>
        </w:trPr>
        <w:tc>
          <w:tcPr>
            <w:cnfStyle w:val="001000000000" w:firstRow="0" w:lastRow="0" w:firstColumn="1" w:lastColumn="0" w:oddVBand="0" w:evenVBand="0" w:oddHBand="0" w:evenHBand="0" w:firstRowFirstColumn="0" w:firstRowLastColumn="0" w:lastRowFirstColumn="0" w:lastRowLastColumn="0"/>
            <w:tcW w:w="401" w:type="pct"/>
            <w:hideMark/>
          </w:tcPr>
          <w:p>
            <w:pPr>
              <w:textAlignment w:val="baseline"/>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HR</w:t>
            </w:r>
            <w:r>
              <w:rPr>
                <w:rFonts w:ascii="Calibri" w:eastAsia="Times New Roman" w:hAnsi="Calibri" w:cs="Calibri"/>
                <w:noProof/>
                <w:color w:val="000000"/>
                <w:lang w:eastAsia="en-GB"/>
              </w:rPr>
              <w:t> </w:t>
            </w:r>
          </w:p>
        </w:tc>
        <w:tc>
          <w:tcPr>
            <w:tcW w:w="1013"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261.000 </w:t>
            </w:r>
            <w:r>
              <w:rPr>
                <w:rFonts w:ascii="Calibri" w:eastAsia="Times New Roman" w:hAnsi="Calibri" w:cs="Calibri"/>
                <w:noProof/>
                <w:color w:val="000000"/>
                <w:lang w:eastAsia="en-GB"/>
              </w:rPr>
              <w:t> </w:t>
            </w:r>
          </w:p>
        </w:tc>
        <w:tc>
          <w:tcPr>
            <w:tcW w:w="93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64.763 </w:t>
            </w:r>
            <w:r>
              <w:rPr>
                <w:rFonts w:ascii="Calibri" w:eastAsia="Times New Roman" w:hAnsi="Calibri" w:cs="Calibri"/>
                <w:noProof/>
                <w:color w:val="000000"/>
                <w:lang w:eastAsia="en-GB"/>
              </w:rPr>
              <w:t> </w:t>
            </w:r>
          </w:p>
        </w:tc>
        <w:tc>
          <w:tcPr>
            <w:tcW w:w="918"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21.715 </w:t>
            </w:r>
            <w:r>
              <w:rPr>
                <w:rFonts w:ascii="Calibri" w:eastAsia="Times New Roman" w:hAnsi="Calibri" w:cs="Calibri"/>
                <w:noProof/>
                <w:color w:val="000000"/>
                <w:lang w:eastAsia="en-GB"/>
              </w:rPr>
              <w:t> </w:t>
            </w:r>
          </w:p>
        </w:tc>
        <w:tc>
          <w:tcPr>
            <w:tcW w:w="997"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3.257 </w:t>
            </w:r>
            <w:r>
              <w:rPr>
                <w:rFonts w:ascii="Calibri" w:eastAsia="Times New Roman" w:hAnsi="Calibri" w:cs="Calibri"/>
                <w:noProof/>
                <w:color w:val="000000"/>
                <w:lang w:eastAsia="en-GB"/>
              </w:rPr>
              <w:t> </w:t>
            </w:r>
          </w:p>
        </w:tc>
        <w:tc>
          <w:tcPr>
            <w:tcW w:w="737"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2.051 </w:t>
            </w:r>
            <w:r>
              <w:rPr>
                <w:rFonts w:ascii="Calibri" w:eastAsia="Times New Roman" w:hAnsi="Calibri" w:cs="Calibri"/>
                <w:noProof/>
                <w:color w:val="000000"/>
                <w:lang w:eastAsia="en-GB"/>
              </w:rPr>
              <w:t>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1" w:type="pct"/>
            <w:hideMark/>
          </w:tcPr>
          <w:p>
            <w:pPr>
              <w:textAlignment w:val="baseline"/>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HU</w:t>
            </w:r>
            <w:r>
              <w:rPr>
                <w:rFonts w:ascii="Calibri" w:eastAsia="Times New Roman" w:hAnsi="Calibri" w:cs="Calibri"/>
                <w:noProof/>
                <w:color w:val="000000"/>
                <w:lang w:eastAsia="en-GB"/>
              </w:rPr>
              <w:t> </w:t>
            </w:r>
          </w:p>
        </w:tc>
        <w:tc>
          <w:tcPr>
            <w:tcW w:w="1013"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781.085 </w:t>
            </w:r>
            <w:r>
              <w:rPr>
                <w:rFonts w:ascii="Calibri" w:eastAsia="Times New Roman" w:hAnsi="Calibri" w:cs="Calibri"/>
                <w:noProof/>
                <w:color w:val="000000"/>
                <w:lang w:eastAsia="en-GB"/>
              </w:rPr>
              <w:t> </w:t>
            </w:r>
          </w:p>
        </w:tc>
        <w:tc>
          <w:tcPr>
            <w:tcW w:w="93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190.497 </w:t>
            </w:r>
            <w:r>
              <w:rPr>
                <w:rFonts w:ascii="Calibri" w:eastAsia="Times New Roman" w:hAnsi="Calibri" w:cs="Calibri"/>
                <w:noProof/>
                <w:color w:val="000000"/>
                <w:lang w:eastAsia="en-GB"/>
              </w:rPr>
              <w:t> </w:t>
            </w:r>
          </w:p>
        </w:tc>
        <w:tc>
          <w:tcPr>
            <w:tcW w:w="918"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59.161 </w:t>
            </w:r>
            <w:r>
              <w:rPr>
                <w:rFonts w:ascii="Calibri" w:eastAsia="Times New Roman" w:hAnsi="Calibri" w:cs="Calibri"/>
                <w:noProof/>
                <w:color w:val="000000"/>
                <w:lang w:eastAsia="en-GB"/>
              </w:rPr>
              <w:t> </w:t>
            </w:r>
          </w:p>
        </w:tc>
        <w:tc>
          <w:tcPr>
            <w:tcW w:w="997"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8.874 </w:t>
            </w:r>
            <w:r>
              <w:rPr>
                <w:rFonts w:ascii="Calibri" w:eastAsia="Times New Roman" w:hAnsi="Calibri" w:cs="Calibri"/>
                <w:noProof/>
                <w:color w:val="000000"/>
                <w:lang w:eastAsia="en-GB"/>
              </w:rPr>
              <w:t> </w:t>
            </w:r>
          </w:p>
        </w:tc>
        <w:tc>
          <w:tcPr>
            <w:tcW w:w="737"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5.587 </w:t>
            </w:r>
            <w:r>
              <w:rPr>
                <w:rFonts w:ascii="Calibri" w:eastAsia="Times New Roman" w:hAnsi="Calibri" w:cs="Calibri"/>
                <w:noProof/>
                <w:color w:val="000000"/>
                <w:lang w:eastAsia="en-GB"/>
              </w:rPr>
              <w:t> </w:t>
            </w:r>
          </w:p>
        </w:tc>
      </w:tr>
      <w:tr>
        <w:trPr>
          <w:trHeight w:val="300"/>
        </w:trPr>
        <w:tc>
          <w:tcPr>
            <w:cnfStyle w:val="001000000000" w:firstRow="0" w:lastRow="0" w:firstColumn="1" w:lastColumn="0" w:oddVBand="0" w:evenVBand="0" w:oddHBand="0" w:evenHBand="0" w:firstRowFirstColumn="0" w:firstRowLastColumn="0" w:lastRowFirstColumn="0" w:lastRowLastColumn="0"/>
            <w:tcW w:w="401" w:type="pct"/>
            <w:hideMark/>
          </w:tcPr>
          <w:p>
            <w:pPr>
              <w:textAlignment w:val="baseline"/>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IE</w:t>
            </w:r>
            <w:r>
              <w:rPr>
                <w:rFonts w:ascii="Calibri" w:eastAsia="Times New Roman" w:hAnsi="Calibri" w:cs="Calibri"/>
                <w:noProof/>
                <w:color w:val="000000"/>
                <w:lang w:eastAsia="en-GB"/>
              </w:rPr>
              <w:t> </w:t>
            </w:r>
          </w:p>
        </w:tc>
        <w:tc>
          <w:tcPr>
            <w:tcW w:w="1013"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925.482 </w:t>
            </w:r>
            <w:r>
              <w:rPr>
                <w:rFonts w:ascii="Calibri" w:eastAsia="Times New Roman" w:hAnsi="Calibri" w:cs="Calibri"/>
                <w:noProof/>
                <w:color w:val="000000"/>
                <w:lang w:eastAsia="en-GB"/>
              </w:rPr>
              <w:t> </w:t>
            </w:r>
          </w:p>
        </w:tc>
        <w:tc>
          <w:tcPr>
            <w:tcW w:w="93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243.481 </w:t>
            </w:r>
            <w:r>
              <w:rPr>
                <w:rFonts w:ascii="Calibri" w:eastAsia="Times New Roman" w:hAnsi="Calibri" w:cs="Calibri"/>
                <w:noProof/>
                <w:color w:val="000000"/>
                <w:lang w:eastAsia="en-GB"/>
              </w:rPr>
              <w:t> </w:t>
            </w:r>
          </w:p>
        </w:tc>
        <w:tc>
          <w:tcPr>
            <w:tcW w:w="918"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66.052 </w:t>
            </w:r>
            <w:r>
              <w:rPr>
                <w:rFonts w:ascii="Calibri" w:eastAsia="Times New Roman" w:hAnsi="Calibri" w:cs="Calibri"/>
                <w:noProof/>
                <w:color w:val="000000"/>
                <w:lang w:eastAsia="en-GB"/>
              </w:rPr>
              <w:t> </w:t>
            </w:r>
          </w:p>
        </w:tc>
        <w:tc>
          <w:tcPr>
            <w:tcW w:w="997"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9.908 </w:t>
            </w:r>
            <w:r>
              <w:rPr>
                <w:rFonts w:ascii="Calibri" w:eastAsia="Times New Roman" w:hAnsi="Calibri" w:cs="Calibri"/>
                <w:noProof/>
                <w:color w:val="000000"/>
                <w:lang w:eastAsia="en-GB"/>
              </w:rPr>
              <w:t> </w:t>
            </w:r>
          </w:p>
        </w:tc>
        <w:tc>
          <w:tcPr>
            <w:tcW w:w="737"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6.238 </w:t>
            </w:r>
            <w:r>
              <w:rPr>
                <w:rFonts w:ascii="Calibri" w:eastAsia="Times New Roman" w:hAnsi="Calibri" w:cs="Calibri"/>
                <w:noProof/>
                <w:color w:val="000000"/>
                <w:lang w:eastAsia="en-GB"/>
              </w:rPr>
              <w:t>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1" w:type="pct"/>
            <w:hideMark/>
          </w:tcPr>
          <w:p>
            <w:pPr>
              <w:textAlignment w:val="baseline"/>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IT</w:t>
            </w:r>
            <w:r>
              <w:rPr>
                <w:rFonts w:ascii="Calibri" w:eastAsia="Times New Roman" w:hAnsi="Calibri" w:cs="Calibri"/>
                <w:noProof/>
                <w:color w:val="000000"/>
                <w:lang w:eastAsia="en-GB"/>
              </w:rPr>
              <w:t> </w:t>
            </w:r>
          </w:p>
        </w:tc>
        <w:tc>
          <w:tcPr>
            <w:tcW w:w="1013"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13.103.574 </w:t>
            </w:r>
            <w:r>
              <w:rPr>
                <w:rFonts w:ascii="Calibri" w:eastAsia="Times New Roman" w:hAnsi="Calibri" w:cs="Calibri"/>
                <w:noProof/>
                <w:color w:val="000000"/>
                <w:lang w:eastAsia="en-GB"/>
              </w:rPr>
              <w:t> </w:t>
            </w:r>
          </w:p>
        </w:tc>
        <w:tc>
          <w:tcPr>
            <w:tcW w:w="93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1.138.534 </w:t>
            </w:r>
            <w:r>
              <w:rPr>
                <w:rFonts w:ascii="Calibri" w:eastAsia="Times New Roman" w:hAnsi="Calibri" w:cs="Calibri"/>
                <w:noProof/>
                <w:color w:val="000000"/>
                <w:lang w:eastAsia="en-GB"/>
              </w:rPr>
              <w:t> </w:t>
            </w:r>
          </w:p>
        </w:tc>
        <w:tc>
          <w:tcPr>
            <w:tcW w:w="918"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997"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737"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r>
      <w:tr>
        <w:trPr>
          <w:trHeight w:val="300"/>
        </w:trPr>
        <w:tc>
          <w:tcPr>
            <w:cnfStyle w:val="001000000000" w:firstRow="0" w:lastRow="0" w:firstColumn="1" w:lastColumn="0" w:oddVBand="0" w:evenVBand="0" w:oddHBand="0" w:evenHBand="0" w:firstRowFirstColumn="0" w:firstRowLastColumn="0" w:lastRowFirstColumn="0" w:lastRowLastColumn="0"/>
            <w:tcW w:w="401" w:type="pct"/>
            <w:hideMark/>
          </w:tcPr>
          <w:p>
            <w:pPr>
              <w:textAlignment w:val="baseline"/>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LT</w:t>
            </w:r>
            <w:r>
              <w:rPr>
                <w:rFonts w:ascii="Calibri" w:eastAsia="Times New Roman" w:hAnsi="Calibri" w:cs="Calibri"/>
                <w:noProof/>
                <w:color w:val="000000"/>
                <w:lang w:eastAsia="en-GB"/>
              </w:rPr>
              <w:t> </w:t>
            </w:r>
          </w:p>
        </w:tc>
        <w:tc>
          <w:tcPr>
            <w:tcW w:w="1013"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112.994 </w:t>
            </w:r>
            <w:r>
              <w:rPr>
                <w:rFonts w:ascii="Calibri" w:eastAsia="Times New Roman" w:hAnsi="Calibri" w:cs="Calibri"/>
                <w:noProof/>
                <w:color w:val="000000"/>
                <w:lang w:eastAsia="en-GB"/>
              </w:rPr>
              <w:t> </w:t>
            </w:r>
          </w:p>
        </w:tc>
        <w:tc>
          <w:tcPr>
            <w:tcW w:w="93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918"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997"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737"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1" w:type="pct"/>
            <w:hideMark/>
          </w:tcPr>
          <w:p>
            <w:pPr>
              <w:textAlignment w:val="baseline"/>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LU</w:t>
            </w:r>
            <w:r>
              <w:rPr>
                <w:rFonts w:ascii="Calibri" w:eastAsia="Times New Roman" w:hAnsi="Calibri" w:cs="Calibri"/>
                <w:noProof/>
                <w:color w:val="000000"/>
                <w:lang w:eastAsia="en-GB"/>
              </w:rPr>
              <w:t> </w:t>
            </w:r>
          </w:p>
        </w:tc>
        <w:tc>
          <w:tcPr>
            <w:tcW w:w="1013"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117.331 </w:t>
            </w:r>
            <w:r>
              <w:rPr>
                <w:rFonts w:ascii="Calibri" w:eastAsia="Times New Roman" w:hAnsi="Calibri" w:cs="Calibri"/>
                <w:noProof/>
                <w:color w:val="000000"/>
                <w:lang w:eastAsia="en-GB"/>
              </w:rPr>
              <w:t> </w:t>
            </w:r>
          </w:p>
        </w:tc>
        <w:tc>
          <w:tcPr>
            <w:tcW w:w="93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918"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997"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737"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r>
      <w:tr>
        <w:trPr>
          <w:trHeight w:val="300"/>
        </w:trPr>
        <w:tc>
          <w:tcPr>
            <w:cnfStyle w:val="001000000000" w:firstRow="0" w:lastRow="0" w:firstColumn="1" w:lastColumn="0" w:oddVBand="0" w:evenVBand="0" w:oddHBand="0" w:evenHBand="0" w:firstRowFirstColumn="0" w:firstRowLastColumn="0" w:lastRowFirstColumn="0" w:lastRowLastColumn="0"/>
            <w:tcW w:w="401" w:type="pct"/>
            <w:hideMark/>
          </w:tcPr>
          <w:p>
            <w:pPr>
              <w:textAlignment w:val="baseline"/>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LV</w:t>
            </w:r>
            <w:r>
              <w:rPr>
                <w:rFonts w:ascii="Calibri" w:eastAsia="Times New Roman" w:hAnsi="Calibri" w:cs="Calibri"/>
                <w:noProof/>
                <w:color w:val="000000"/>
                <w:lang w:eastAsia="en-GB"/>
              </w:rPr>
              <w:t> </w:t>
            </w:r>
          </w:p>
        </w:tc>
        <w:tc>
          <w:tcPr>
            <w:tcW w:w="1013"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171.792 </w:t>
            </w:r>
            <w:r>
              <w:rPr>
                <w:rFonts w:ascii="Calibri" w:eastAsia="Times New Roman" w:hAnsi="Calibri" w:cs="Calibri"/>
                <w:noProof/>
                <w:color w:val="000000"/>
                <w:lang w:eastAsia="en-GB"/>
              </w:rPr>
              <w:t> </w:t>
            </w:r>
          </w:p>
        </w:tc>
        <w:tc>
          <w:tcPr>
            <w:tcW w:w="93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46.793 </w:t>
            </w:r>
            <w:r>
              <w:rPr>
                <w:rFonts w:ascii="Calibri" w:eastAsia="Times New Roman" w:hAnsi="Calibri" w:cs="Calibri"/>
                <w:noProof/>
                <w:color w:val="000000"/>
                <w:lang w:eastAsia="en-GB"/>
              </w:rPr>
              <w:t> </w:t>
            </w:r>
          </w:p>
        </w:tc>
        <w:tc>
          <w:tcPr>
            <w:tcW w:w="918"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9.469 </w:t>
            </w:r>
            <w:r>
              <w:rPr>
                <w:rFonts w:ascii="Calibri" w:eastAsia="Times New Roman" w:hAnsi="Calibri" w:cs="Calibri"/>
                <w:noProof/>
                <w:color w:val="000000"/>
                <w:lang w:eastAsia="en-GB"/>
              </w:rPr>
              <w:t> </w:t>
            </w:r>
          </w:p>
        </w:tc>
        <w:tc>
          <w:tcPr>
            <w:tcW w:w="997"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1.420 </w:t>
            </w:r>
            <w:r>
              <w:rPr>
                <w:rFonts w:ascii="Calibri" w:eastAsia="Times New Roman" w:hAnsi="Calibri" w:cs="Calibri"/>
                <w:noProof/>
                <w:color w:val="000000"/>
                <w:lang w:eastAsia="en-GB"/>
              </w:rPr>
              <w:t> </w:t>
            </w:r>
          </w:p>
        </w:tc>
        <w:tc>
          <w:tcPr>
            <w:tcW w:w="737"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894 </w:t>
            </w:r>
            <w:r>
              <w:rPr>
                <w:rFonts w:ascii="Calibri" w:eastAsia="Times New Roman" w:hAnsi="Calibri" w:cs="Calibri"/>
                <w:noProof/>
                <w:color w:val="000000"/>
                <w:lang w:eastAsia="en-GB"/>
              </w:rPr>
              <w:t>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1" w:type="pct"/>
            <w:hideMark/>
          </w:tcPr>
          <w:p>
            <w:pPr>
              <w:textAlignment w:val="baseline"/>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MT</w:t>
            </w:r>
            <w:r>
              <w:rPr>
                <w:rFonts w:ascii="Calibri" w:eastAsia="Times New Roman" w:hAnsi="Calibri" w:cs="Calibri"/>
                <w:noProof/>
                <w:color w:val="000000"/>
                <w:lang w:eastAsia="en-GB"/>
              </w:rPr>
              <w:t> </w:t>
            </w:r>
          </w:p>
        </w:tc>
        <w:tc>
          <w:tcPr>
            <w:tcW w:w="1013"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52.113 </w:t>
            </w:r>
            <w:r>
              <w:rPr>
                <w:rFonts w:ascii="Calibri" w:eastAsia="Times New Roman" w:hAnsi="Calibri" w:cs="Calibri"/>
                <w:noProof/>
                <w:color w:val="000000"/>
                <w:lang w:eastAsia="en-GB"/>
              </w:rPr>
              <w:t> </w:t>
            </w:r>
          </w:p>
        </w:tc>
        <w:tc>
          <w:tcPr>
            <w:tcW w:w="93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14.660 </w:t>
            </w:r>
            <w:r>
              <w:rPr>
                <w:rFonts w:ascii="Calibri" w:eastAsia="Times New Roman" w:hAnsi="Calibri" w:cs="Calibri"/>
                <w:noProof/>
                <w:color w:val="000000"/>
                <w:lang w:eastAsia="en-GB"/>
              </w:rPr>
              <w:t> </w:t>
            </w:r>
          </w:p>
        </w:tc>
        <w:tc>
          <w:tcPr>
            <w:tcW w:w="918"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4.046 </w:t>
            </w:r>
            <w:r>
              <w:rPr>
                <w:rFonts w:ascii="Calibri" w:eastAsia="Times New Roman" w:hAnsi="Calibri" w:cs="Calibri"/>
                <w:noProof/>
                <w:color w:val="000000"/>
                <w:lang w:eastAsia="en-GB"/>
              </w:rPr>
              <w:t> </w:t>
            </w:r>
          </w:p>
        </w:tc>
        <w:tc>
          <w:tcPr>
            <w:tcW w:w="997"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607 </w:t>
            </w:r>
            <w:r>
              <w:rPr>
                <w:rFonts w:ascii="Calibri" w:eastAsia="Times New Roman" w:hAnsi="Calibri" w:cs="Calibri"/>
                <w:noProof/>
                <w:color w:val="000000"/>
                <w:lang w:eastAsia="en-GB"/>
              </w:rPr>
              <w:t> </w:t>
            </w:r>
          </w:p>
        </w:tc>
        <w:tc>
          <w:tcPr>
            <w:tcW w:w="737"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382 </w:t>
            </w:r>
            <w:r>
              <w:rPr>
                <w:rFonts w:ascii="Calibri" w:eastAsia="Times New Roman" w:hAnsi="Calibri" w:cs="Calibri"/>
                <w:noProof/>
                <w:color w:val="000000"/>
                <w:lang w:eastAsia="en-GB"/>
              </w:rPr>
              <w:t> </w:t>
            </w:r>
          </w:p>
        </w:tc>
      </w:tr>
      <w:tr>
        <w:trPr>
          <w:trHeight w:val="300"/>
        </w:trPr>
        <w:tc>
          <w:tcPr>
            <w:cnfStyle w:val="001000000000" w:firstRow="0" w:lastRow="0" w:firstColumn="1" w:lastColumn="0" w:oddVBand="0" w:evenVBand="0" w:oddHBand="0" w:evenHBand="0" w:firstRowFirstColumn="0" w:firstRowLastColumn="0" w:lastRowFirstColumn="0" w:lastRowLastColumn="0"/>
            <w:tcW w:w="401" w:type="pct"/>
            <w:hideMark/>
          </w:tcPr>
          <w:p>
            <w:pPr>
              <w:textAlignment w:val="baseline"/>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NL</w:t>
            </w:r>
            <w:r>
              <w:rPr>
                <w:rFonts w:ascii="Calibri" w:eastAsia="Times New Roman" w:hAnsi="Calibri" w:cs="Calibri"/>
                <w:noProof/>
                <w:color w:val="000000"/>
                <w:lang w:eastAsia="en-GB"/>
              </w:rPr>
              <w:t> </w:t>
            </w:r>
          </w:p>
        </w:tc>
        <w:tc>
          <w:tcPr>
            <w:tcW w:w="1013"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2.676.043 </w:t>
            </w:r>
            <w:r>
              <w:rPr>
                <w:rFonts w:ascii="Calibri" w:eastAsia="Times New Roman" w:hAnsi="Calibri" w:cs="Calibri"/>
                <w:noProof/>
                <w:color w:val="000000"/>
                <w:lang w:eastAsia="en-GB"/>
              </w:rPr>
              <w:t> </w:t>
            </w:r>
          </w:p>
        </w:tc>
        <w:tc>
          <w:tcPr>
            <w:tcW w:w="93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841.495 </w:t>
            </w:r>
            <w:r>
              <w:rPr>
                <w:rFonts w:ascii="Calibri" w:eastAsia="Times New Roman" w:hAnsi="Calibri" w:cs="Calibri"/>
                <w:noProof/>
                <w:color w:val="000000"/>
                <w:lang w:eastAsia="en-GB"/>
              </w:rPr>
              <w:t> </w:t>
            </w:r>
          </w:p>
        </w:tc>
        <w:tc>
          <w:tcPr>
            <w:tcW w:w="918"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240.392 </w:t>
            </w:r>
            <w:r>
              <w:rPr>
                <w:rFonts w:ascii="Calibri" w:eastAsia="Times New Roman" w:hAnsi="Calibri" w:cs="Calibri"/>
                <w:noProof/>
                <w:color w:val="000000"/>
                <w:lang w:eastAsia="en-GB"/>
              </w:rPr>
              <w:t> </w:t>
            </w:r>
          </w:p>
        </w:tc>
        <w:tc>
          <w:tcPr>
            <w:tcW w:w="997"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36.059 </w:t>
            </w:r>
            <w:r>
              <w:rPr>
                <w:rFonts w:ascii="Calibri" w:eastAsia="Times New Roman" w:hAnsi="Calibri" w:cs="Calibri"/>
                <w:noProof/>
                <w:color w:val="000000"/>
                <w:lang w:eastAsia="en-GB"/>
              </w:rPr>
              <w:t> </w:t>
            </w:r>
          </w:p>
        </w:tc>
        <w:tc>
          <w:tcPr>
            <w:tcW w:w="737"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22.704 </w:t>
            </w:r>
            <w:r>
              <w:rPr>
                <w:rFonts w:ascii="Calibri" w:eastAsia="Times New Roman" w:hAnsi="Calibri" w:cs="Calibri"/>
                <w:noProof/>
                <w:color w:val="000000"/>
                <w:lang w:eastAsia="en-GB"/>
              </w:rPr>
              <w:t>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1" w:type="pct"/>
            <w:hideMark/>
          </w:tcPr>
          <w:p>
            <w:pPr>
              <w:textAlignment w:val="baseline"/>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PL</w:t>
            </w:r>
            <w:r>
              <w:rPr>
                <w:rFonts w:ascii="Calibri" w:eastAsia="Times New Roman" w:hAnsi="Calibri" w:cs="Calibri"/>
                <w:noProof/>
                <w:color w:val="000000"/>
                <w:lang w:eastAsia="en-GB"/>
              </w:rPr>
              <w:t> </w:t>
            </w:r>
          </w:p>
        </w:tc>
        <w:tc>
          <w:tcPr>
            <w:tcW w:w="1013"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1.241.307 </w:t>
            </w:r>
            <w:r>
              <w:rPr>
                <w:rFonts w:ascii="Calibri" w:eastAsia="Times New Roman" w:hAnsi="Calibri" w:cs="Calibri"/>
                <w:noProof/>
                <w:color w:val="000000"/>
                <w:lang w:eastAsia="en-GB"/>
              </w:rPr>
              <w:t> </w:t>
            </w:r>
          </w:p>
        </w:tc>
        <w:tc>
          <w:tcPr>
            <w:tcW w:w="93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545.034 </w:t>
            </w:r>
            <w:r>
              <w:rPr>
                <w:rFonts w:ascii="Calibri" w:eastAsia="Times New Roman" w:hAnsi="Calibri" w:cs="Calibri"/>
                <w:noProof/>
                <w:color w:val="000000"/>
                <w:lang w:eastAsia="en-GB"/>
              </w:rPr>
              <w:t> </w:t>
            </w:r>
          </w:p>
        </w:tc>
        <w:tc>
          <w:tcPr>
            <w:tcW w:w="918"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182.698 </w:t>
            </w:r>
            <w:r>
              <w:rPr>
                <w:rFonts w:ascii="Calibri" w:eastAsia="Times New Roman" w:hAnsi="Calibri" w:cs="Calibri"/>
                <w:noProof/>
                <w:color w:val="000000"/>
                <w:lang w:eastAsia="en-GB"/>
              </w:rPr>
              <w:t> </w:t>
            </w:r>
          </w:p>
        </w:tc>
        <w:tc>
          <w:tcPr>
            <w:tcW w:w="997"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27.405 </w:t>
            </w:r>
            <w:r>
              <w:rPr>
                <w:rFonts w:ascii="Calibri" w:eastAsia="Times New Roman" w:hAnsi="Calibri" w:cs="Calibri"/>
                <w:noProof/>
                <w:color w:val="000000"/>
                <w:lang w:eastAsia="en-GB"/>
              </w:rPr>
              <w:t> </w:t>
            </w:r>
          </w:p>
        </w:tc>
        <w:tc>
          <w:tcPr>
            <w:tcW w:w="737"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17.255 </w:t>
            </w:r>
            <w:r>
              <w:rPr>
                <w:rFonts w:ascii="Calibri" w:eastAsia="Times New Roman" w:hAnsi="Calibri" w:cs="Calibri"/>
                <w:noProof/>
                <w:color w:val="000000"/>
                <w:lang w:eastAsia="en-GB"/>
              </w:rPr>
              <w:t> </w:t>
            </w:r>
          </w:p>
        </w:tc>
      </w:tr>
      <w:tr>
        <w:trPr>
          <w:trHeight w:val="300"/>
        </w:trPr>
        <w:tc>
          <w:tcPr>
            <w:cnfStyle w:val="001000000000" w:firstRow="0" w:lastRow="0" w:firstColumn="1" w:lastColumn="0" w:oddVBand="0" w:evenVBand="0" w:oddHBand="0" w:evenHBand="0" w:firstRowFirstColumn="0" w:firstRowLastColumn="0" w:lastRowFirstColumn="0" w:lastRowLastColumn="0"/>
            <w:tcW w:w="401" w:type="pct"/>
            <w:hideMark/>
          </w:tcPr>
          <w:p>
            <w:pPr>
              <w:textAlignment w:val="baseline"/>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PT</w:t>
            </w:r>
            <w:r>
              <w:rPr>
                <w:rFonts w:ascii="Calibri" w:eastAsia="Times New Roman" w:hAnsi="Calibri" w:cs="Calibri"/>
                <w:noProof/>
                <w:color w:val="000000"/>
                <w:lang w:eastAsia="en-GB"/>
              </w:rPr>
              <w:t> </w:t>
            </w:r>
          </w:p>
        </w:tc>
        <w:tc>
          <w:tcPr>
            <w:tcW w:w="1013"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1.103.284 </w:t>
            </w:r>
            <w:r>
              <w:rPr>
                <w:rFonts w:ascii="Calibri" w:eastAsia="Times New Roman" w:hAnsi="Calibri" w:cs="Calibri"/>
                <w:noProof/>
                <w:color w:val="000000"/>
                <w:lang w:eastAsia="en-GB"/>
              </w:rPr>
              <w:t> </w:t>
            </w:r>
          </w:p>
        </w:tc>
        <w:tc>
          <w:tcPr>
            <w:tcW w:w="93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918"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997"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737"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1" w:type="pct"/>
            <w:hideMark/>
          </w:tcPr>
          <w:p>
            <w:pPr>
              <w:textAlignment w:val="baseline"/>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RO</w:t>
            </w:r>
            <w:r>
              <w:rPr>
                <w:rFonts w:ascii="Calibri" w:eastAsia="Times New Roman" w:hAnsi="Calibri" w:cs="Calibri"/>
                <w:noProof/>
                <w:color w:val="000000"/>
                <w:lang w:eastAsia="en-GB"/>
              </w:rPr>
              <w:t> </w:t>
            </w:r>
          </w:p>
        </w:tc>
        <w:tc>
          <w:tcPr>
            <w:tcW w:w="1013"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687.758 </w:t>
            </w:r>
            <w:r>
              <w:rPr>
                <w:rFonts w:ascii="Calibri" w:eastAsia="Times New Roman" w:hAnsi="Calibri" w:cs="Calibri"/>
                <w:noProof/>
                <w:color w:val="000000"/>
                <w:lang w:eastAsia="en-GB"/>
              </w:rPr>
              <w:t> </w:t>
            </w:r>
          </w:p>
        </w:tc>
        <w:tc>
          <w:tcPr>
            <w:tcW w:w="93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192.278 </w:t>
            </w:r>
            <w:r>
              <w:rPr>
                <w:rFonts w:ascii="Calibri" w:eastAsia="Times New Roman" w:hAnsi="Calibri" w:cs="Calibri"/>
                <w:noProof/>
                <w:color w:val="000000"/>
                <w:lang w:eastAsia="en-GB"/>
              </w:rPr>
              <w:t> </w:t>
            </w:r>
          </w:p>
        </w:tc>
        <w:tc>
          <w:tcPr>
            <w:tcW w:w="918"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59.120 </w:t>
            </w:r>
            <w:r>
              <w:rPr>
                <w:rFonts w:ascii="Calibri" w:eastAsia="Times New Roman" w:hAnsi="Calibri" w:cs="Calibri"/>
                <w:noProof/>
                <w:color w:val="000000"/>
                <w:lang w:eastAsia="en-GB"/>
              </w:rPr>
              <w:t> </w:t>
            </w:r>
          </w:p>
        </w:tc>
        <w:tc>
          <w:tcPr>
            <w:tcW w:w="997"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8.868 </w:t>
            </w:r>
            <w:r>
              <w:rPr>
                <w:rFonts w:ascii="Calibri" w:eastAsia="Times New Roman" w:hAnsi="Calibri" w:cs="Calibri"/>
                <w:noProof/>
                <w:color w:val="000000"/>
                <w:lang w:eastAsia="en-GB"/>
              </w:rPr>
              <w:t> </w:t>
            </w:r>
          </w:p>
        </w:tc>
        <w:tc>
          <w:tcPr>
            <w:tcW w:w="737"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5.584 </w:t>
            </w:r>
            <w:r>
              <w:rPr>
                <w:rFonts w:ascii="Calibri" w:eastAsia="Times New Roman" w:hAnsi="Calibri" w:cs="Calibri"/>
                <w:noProof/>
                <w:color w:val="000000"/>
                <w:lang w:eastAsia="en-GB"/>
              </w:rPr>
              <w:t> </w:t>
            </w:r>
          </w:p>
        </w:tc>
      </w:tr>
      <w:tr>
        <w:trPr>
          <w:trHeight w:val="300"/>
        </w:trPr>
        <w:tc>
          <w:tcPr>
            <w:cnfStyle w:val="001000000000" w:firstRow="0" w:lastRow="0" w:firstColumn="1" w:lastColumn="0" w:oddVBand="0" w:evenVBand="0" w:oddHBand="0" w:evenHBand="0" w:firstRowFirstColumn="0" w:firstRowLastColumn="0" w:lastRowFirstColumn="0" w:lastRowLastColumn="0"/>
            <w:tcW w:w="401" w:type="pct"/>
            <w:hideMark/>
          </w:tcPr>
          <w:p>
            <w:pPr>
              <w:textAlignment w:val="baseline"/>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SE</w:t>
            </w:r>
            <w:r>
              <w:rPr>
                <w:rFonts w:ascii="Calibri" w:eastAsia="Times New Roman" w:hAnsi="Calibri" w:cs="Calibri"/>
                <w:noProof/>
                <w:color w:val="000000"/>
                <w:lang w:eastAsia="en-GB"/>
              </w:rPr>
              <w:t> </w:t>
            </w:r>
          </w:p>
        </w:tc>
        <w:tc>
          <w:tcPr>
            <w:tcW w:w="1013"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1.055.137 </w:t>
            </w:r>
            <w:r>
              <w:rPr>
                <w:rFonts w:ascii="Calibri" w:eastAsia="Times New Roman" w:hAnsi="Calibri" w:cs="Calibri"/>
                <w:noProof/>
                <w:color w:val="000000"/>
                <w:lang w:eastAsia="en-GB"/>
              </w:rPr>
              <w:t> </w:t>
            </w:r>
          </w:p>
        </w:tc>
        <w:tc>
          <w:tcPr>
            <w:tcW w:w="93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918"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997"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737"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1" w:type="pct"/>
            <w:hideMark/>
          </w:tcPr>
          <w:p>
            <w:pPr>
              <w:textAlignment w:val="baseline"/>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SI</w:t>
            </w:r>
            <w:r>
              <w:rPr>
                <w:rFonts w:ascii="Calibri" w:eastAsia="Times New Roman" w:hAnsi="Calibri" w:cs="Calibri"/>
                <w:noProof/>
                <w:color w:val="000000"/>
                <w:lang w:eastAsia="en-GB"/>
              </w:rPr>
              <w:t> </w:t>
            </w:r>
          </w:p>
        </w:tc>
        <w:tc>
          <w:tcPr>
            <w:tcW w:w="1013"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255.351 </w:t>
            </w:r>
            <w:r>
              <w:rPr>
                <w:rFonts w:ascii="Calibri" w:eastAsia="Times New Roman" w:hAnsi="Calibri" w:cs="Calibri"/>
                <w:noProof/>
                <w:color w:val="000000"/>
                <w:lang w:eastAsia="en-GB"/>
              </w:rPr>
              <w:t> </w:t>
            </w:r>
          </w:p>
        </w:tc>
        <w:tc>
          <w:tcPr>
            <w:tcW w:w="93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73.928 </w:t>
            </w:r>
            <w:r>
              <w:rPr>
                <w:rFonts w:ascii="Calibri" w:eastAsia="Times New Roman" w:hAnsi="Calibri" w:cs="Calibri"/>
                <w:noProof/>
                <w:color w:val="000000"/>
                <w:lang w:eastAsia="en-GB"/>
              </w:rPr>
              <w:t> </w:t>
            </w:r>
          </w:p>
        </w:tc>
        <w:tc>
          <w:tcPr>
            <w:tcW w:w="918"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21.860 </w:t>
            </w:r>
            <w:r>
              <w:rPr>
                <w:rFonts w:ascii="Calibri" w:eastAsia="Times New Roman" w:hAnsi="Calibri" w:cs="Calibri"/>
                <w:noProof/>
                <w:color w:val="000000"/>
                <w:lang w:eastAsia="en-GB"/>
              </w:rPr>
              <w:t> </w:t>
            </w:r>
          </w:p>
        </w:tc>
        <w:tc>
          <w:tcPr>
            <w:tcW w:w="997"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3.279 </w:t>
            </w:r>
            <w:r>
              <w:rPr>
                <w:rFonts w:ascii="Calibri" w:eastAsia="Times New Roman" w:hAnsi="Calibri" w:cs="Calibri"/>
                <w:noProof/>
                <w:color w:val="000000"/>
                <w:lang w:eastAsia="en-GB"/>
              </w:rPr>
              <w:t> </w:t>
            </w:r>
          </w:p>
        </w:tc>
        <w:tc>
          <w:tcPr>
            <w:tcW w:w="737"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2.065 </w:t>
            </w:r>
            <w:r>
              <w:rPr>
                <w:rFonts w:ascii="Calibri" w:eastAsia="Times New Roman" w:hAnsi="Calibri" w:cs="Calibri"/>
                <w:noProof/>
                <w:color w:val="000000"/>
                <w:lang w:eastAsia="en-GB"/>
              </w:rPr>
              <w:t> </w:t>
            </w:r>
          </w:p>
        </w:tc>
      </w:tr>
      <w:tr>
        <w:trPr>
          <w:trHeight w:val="300"/>
        </w:trPr>
        <w:tc>
          <w:tcPr>
            <w:cnfStyle w:val="001000000000" w:firstRow="0" w:lastRow="0" w:firstColumn="1" w:lastColumn="0" w:oddVBand="0" w:evenVBand="0" w:oddHBand="0" w:evenHBand="0" w:firstRowFirstColumn="0" w:firstRowLastColumn="0" w:lastRowFirstColumn="0" w:lastRowLastColumn="0"/>
            <w:tcW w:w="401" w:type="pct"/>
            <w:hideMark/>
          </w:tcPr>
          <w:p>
            <w:pPr>
              <w:textAlignment w:val="baseline"/>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SK</w:t>
            </w:r>
            <w:r>
              <w:rPr>
                <w:rFonts w:ascii="Calibri" w:eastAsia="Times New Roman" w:hAnsi="Calibri" w:cs="Calibri"/>
                <w:noProof/>
                <w:color w:val="000000"/>
                <w:lang w:eastAsia="en-GB"/>
              </w:rPr>
              <w:t> </w:t>
            </w:r>
          </w:p>
        </w:tc>
        <w:tc>
          <w:tcPr>
            <w:tcW w:w="1013"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267.180 </w:t>
            </w:r>
            <w:r>
              <w:rPr>
                <w:rFonts w:ascii="Calibri" w:eastAsia="Times New Roman" w:hAnsi="Calibri" w:cs="Calibri"/>
                <w:noProof/>
                <w:color w:val="000000"/>
                <w:lang w:eastAsia="en-GB"/>
              </w:rPr>
              <w:t> </w:t>
            </w:r>
          </w:p>
        </w:tc>
        <w:tc>
          <w:tcPr>
            <w:tcW w:w="93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90.437 </w:t>
            </w:r>
            <w:r>
              <w:rPr>
                <w:rFonts w:ascii="Calibri" w:eastAsia="Times New Roman" w:hAnsi="Calibri" w:cs="Calibri"/>
                <w:noProof/>
                <w:color w:val="000000"/>
                <w:lang w:eastAsia="en-GB"/>
              </w:rPr>
              <w:t> </w:t>
            </w:r>
          </w:p>
        </w:tc>
        <w:tc>
          <w:tcPr>
            <w:tcW w:w="918"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31.314 </w:t>
            </w:r>
            <w:r>
              <w:rPr>
                <w:rFonts w:ascii="Calibri" w:eastAsia="Times New Roman" w:hAnsi="Calibri" w:cs="Calibri"/>
                <w:noProof/>
                <w:color w:val="000000"/>
                <w:lang w:eastAsia="en-GB"/>
              </w:rPr>
              <w:t> </w:t>
            </w:r>
          </w:p>
        </w:tc>
        <w:tc>
          <w:tcPr>
            <w:tcW w:w="997"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4.697 </w:t>
            </w:r>
            <w:r>
              <w:rPr>
                <w:rFonts w:ascii="Calibri" w:eastAsia="Times New Roman" w:hAnsi="Calibri" w:cs="Calibri"/>
                <w:noProof/>
                <w:color w:val="000000"/>
                <w:lang w:eastAsia="en-GB"/>
              </w:rPr>
              <w:t> </w:t>
            </w:r>
          </w:p>
        </w:tc>
        <w:tc>
          <w:tcPr>
            <w:tcW w:w="737"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2.957 </w:t>
            </w:r>
            <w:r>
              <w:rPr>
                <w:rFonts w:ascii="Calibri" w:eastAsia="Times New Roman" w:hAnsi="Calibri" w:cs="Calibri"/>
                <w:noProof/>
                <w:color w:val="000000"/>
                <w:lang w:eastAsia="en-GB"/>
              </w:rPr>
              <w:t> </w:t>
            </w:r>
          </w:p>
        </w:tc>
      </w:tr>
      <w:tr>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5000" w:type="pct"/>
            <w:gridSpan w:val="6"/>
          </w:tcPr>
          <w:p>
            <w:pPr>
              <w:rPr>
                <w:rFonts w:ascii="Times New Roman" w:hAnsi="Times New Roman" w:cs="Times New Roman"/>
                <w:b w:val="0"/>
                <w:i/>
                <w:noProof/>
                <w:color w:val="auto"/>
                <w:sz w:val="20"/>
                <w:szCs w:val="20"/>
              </w:rPr>
            </w:pPr>
            <w:r>
              <w:rPr>
                <w:rFonts w:ascii="Times New Roman" w:hAnsi="Times New Roman" w:cs="Times New Roman"/>
                <w:i/>
                <w:iCs/>
                <w:noProof/>
                <w:sz w:val="20"/>
                <w:szCs w:val="20"/>
              </w:rPr>
              <w:t>Source: own calculations on Eurostat data</w:t>
            </w:r>
          </w:p>
          <w:p>
            <w:pPr>
              <w:ind w:right="-1305"/>
              <w:rPr>
                <w:rFonts w:ascii="Times New Roman" w:eastAsia="Times New Roman" w:hAnsi="Times New Roman" w:cs="Times New Roman"/>
                <w:i/>
                <w:noProof/>
                <w:lang w:eastAsia="en-GB"/>
              </w:rPr>
            </w:pPr>
            <w:r>
              <w:rPr>
                <w:rFonts w:ascii="Times New Roman" w:hAnsi="Times New Roman" w:cs="Times New Roman"/>
                <w:i/>
                <w:iCs/>
                <w:noProof/>
                <w:sz w:val="20"/>
                <w:szCs w:val="20"/>
              </w:rPr>
              <w:t>Note: costs take into account existing measures in the</w:t>
            </w:r>
            <w:r>
              <w:rPr>
                <w:i/>
                <w:iCs/>
                <w:noProof/>
                <w:sz w:val="20"/>
                <w:szCs w:val="20"/>
              </w:rPr>
              <w:t xml:space="preserve"> </w:t>
            </w:r>
            <w:r>
              <w:rPr>
                <w:rFonts w:ascii="Times New Roman" w:hAnsi="Times New Roman" w:cs="Times New Roman"/>
                <w:i/>
                <w:iCs/>
                <w:noProof/>
                <w:sz w:val="20"/>
                <w:szCs w:val="20"/>
              </w:rPr>
              <w:t>Member States. Microenterprises are excluded</w:t>
            </w:r>
            <w:r>
              <w:rPr>
                <w:rFonts w:ascii="Times New Roman" w:eastAsia="Times New Roman" w:hAnsi="Times New Roman" w:cs="Times New Roman"/>
                <w:i/>
                <w:noProof/>
                <w:color w:val="auto"/>
                <w:lang w:eastAsia="en-GB"/>
              </w:rPr>
              <w:t xml:space="preserve"> </w:t>
            </w:r>
          </w:p>
        </w:tc>
      </w:tr>
    </w:tbl>
    <w:p>
      <w:pPr>
        <w:spacing w:after="0" w:line="240" w:lineRule="auto"/>
        <w:textAlignment w:val="baseline"/>
        <w:rPr>
          <w:rFonts w:ascii="Segoe UI" w:eastAsia="Times New Roman" w:hAnsi="Segoe UI" w:cs="Segoe UI"/>
          <w:noProof/>
          <w:sz w:val="18"/>
          <w:szCs w:val="18"/>
          <w:lang w:eastAsia="en-GB"/>
        </w:rPr>
      </w:pPr>
      <w:r>
        <w:rPr>
          <w:rFonts w:ascii="Calibri" w:eastAsia="Times New Roman" w:hAnsi="Calibri" w:cs="Calibri"/>
          <w:noProof/>
          <w:lang w:eastAsia="en-GB"/>
        </w:rPr>
        <w:t> </w:t>
      </w:r>
    </w:p>
    <w:p>
      <w:pPr>
        <w:spacing w:after="0" w:line="240" w:lineRule="auto"/>
        <w:textAlignment w:val="baseline"/>
        <w:rPr>
          <w:rFonts w:ascii="Segoe UI" w:eastAsia="Times New Roman" w:hAnsi="Segoe UI" w:cs="Segoe UI"/>
          <w:noProof/>
          <w:color w:val="666666"/>
          <w:sz w:val="18"/>
          <w:szCs w:val="18"/>
          <w:shd w:val="clear" w:color="auto" w:fill="FFFFFF"/>
          <w:lang w:eastAsia="en-GB"/>
        </w:rPr>
      </w:pPr>
    </w:p>
    <w:p>
      <w:pPr>
        <w:spacing w:after="0" w:line="240" w:lineRule="auto"/>
        <w:textAlignment w:val="baseline"/>
        <w:rPr>
          <w:rFonts w:ascii="Calibri" w:eastAsia="Times New Roman" w:hAnsi="Calibri" w:cs="Calibri"/>
          <w:noProof/>
          <w:lang w:eastAsia="en-GB"/>
        </w:rPr>
      </w:pPr>
      <w:r>
        <w:rPr>
          <w:rFonts w:ascii="Calibri" w:eastAsia="Times New Roman" w:hAnsi="Calibri" w:cs="Calibri"/>
          <w:noProof/>
          <w:lang w:eastAsia="en-GB"/>
        </w:rPr>
        <w:t> </w:t>
      </w:r>
    </w:p>
    <w:p>
      <w:pPr>
        <w:rPr>
          <w:rFonts w:ascii="Calibri" w:eastAsia="Times New Roman" w:hAnsi="Calibri" w:cs="Calibri"/>
          <w:noProof/>
          <w:lang w:eastAsia="en-GB"/>
        </w:rPr>
      </w:pPr>
      <w:r>
        <w:rPr>
          <w:rFonts w:ascii="Calibri" w:eastAsia="Times New Roman" w:hAnsi="Calibri" w:cs="Calibri"/>
          <w:noProof/>
          <w:lang w:eastAsia="en-GB"/>
        </w:rPr>
        <w:br w:type="page"/>
      </w:r>
    </w:p>
    <w:p>
      <w:pPr>
        <w:spacing w:after="0" w:line="240" w:lineRule="auto"/>
        <w:textAlignment w:val="baseline"/>
        <w:rPr>
          <w:rFonts w:ascii="Segoe UI" w:eastAsia="Times New Roman" w:hAnsi="Segoe UI" w:cs="Segoe UI"/>
          <w:b/>
          <w:noProof/>
          <w:sz w:val="18"/>
          <w:szCs w:val="18"/>
          <w:lang w:eastAsia="en-GB"/>
        </w:rPr>
      </w:pPr>
    </w:p>
    <w:tbl>
      <w:tblPr>
        <w:tblStyle w:val="GridTable5DarkAccent2"/>
        <w:tblW w:w="5000" w:type="pct"/>
        <w:tblLook w:val="04A0" w:firstRow="1" w:lastRow="0" w:firstColumn="1" w:lastColumn="0" w:noHBand="0" w:noVBand="1"/>
      </w:tblPr>
      <w:tblGrid>
        <w:gridCol w:w="709"/>
        <w:gridCol w:w="1790"/>
        <w:gridCol w:w="1650"/>
        <w:gridCol w:w="1622"/>
        <w:gridCol w:w="1761"/>
        <w:gridCol w:w="1302"/>
      </w:tblGrid>
      <w:tr>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6"/>
            <w:hideMark/>
          </w:tcPr>
          <w:p>
            <w:pPr>
              <w:textAlignment w:val="baseline"/>
              <w:rPr>
                <w:rFonts w:ascii="Times New Roman" w:eastAsia="Times New Roman" w:hAnsi="Times New Roman" w:cs="Times New Roman"/>
                <w:noProof/>
                <w:color w:val="auto"/>
                <w:sz w:val="24"/>
                <w:szCs w:val="24"/>
                <w:lang w:eastAsia="en-GB"/>
              </w:rPr>
            </w:pPr>
            <w:r>
              <w:rPr>
                <w:rFonts w:ascii="Calibri" w:eastAsia="Times New Roman" w:hAnsi="Calibri" w:cs="Calibri"/>
                <w:noProof/>
                <w:color w:val="auto"/>
                <w:lang w:val="en-US" w:eastAsia="en-GB"/>
              </w:rPr>
              <w:t>Sub-option 1A - Right to receive automatically information on pay  </w:t>
            </w:r>
            <w:r>
              <w:rPr>
                <w:rFonts w:ascii="Calibri" w:eastAsia="Times New Roman" w:hAnsi="Calibri" w:cs="Calibri"/>
                <w:noProof/>
                <w:color w:val="auto"/>
                <w:lang w:eastAsia="en-GB"/>
              </w:rPr>
              <w:t> </w:t>
            </w:r>
          </w:p>
          <w:p>
            <w:pPr>
              <w:jc w:val="center"/>
              <w:textAlignment w:val="baseline"/>
              <w:rPr>
                <w:rFonts w:ascii="Times New Roman" w:eastAsia="Times New Roman" w:hAnsi="Times New Roman" w:cs="Times New Roman"/>
                <w:noProof/>
                <w:sz w:val="24"/>
                <w:szCs w:val="24"/>
                <w:lang w:eastAsia="en-GB"/>
              </w:rPr>
            </w:pPr>
            <w:r>
              <w:rPr>
                <w:rFonts w:ascii="Calibri" w:eastAsia="Times New Roman" w:hAnsi="Calibri" w:cs="Calibri"/>
                <w:noProof/>
                <w:color w:val="auto"/>
                <w:lang w:val="en-US" w:eastAsia="en-GB"/>
              </w:rPr>
              <w:t>Communication cost per MS and class-size – Maximum cost -first year</w:t>
            </w:r>
            <w:r>
              <w:rPr>
                <w:rFonts w:ascii="Calibri" w:eastAsia="Times New Roman" w:hAnsi="Calibri" w:cs="Calibri"/>
                <w:noProof/>
                <w:color w:val="auto"/>
                <w:lang w:eastAsia="en-GB"/>
              </w:rPr>
              <w:t>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1" w:type="pct"/>
            <w:hideMark/>
          </w:tcPr>
          <w:p>
            <w:pPr>
              <w:textAlignment w:val="baseline"/>
              <w:rPr>
                <w:rFonts w:ascii="Times New Roman" w:eastAsia="Times New Roman" w:hAnsi="Times New Roman" w:cs="Times New Roman"/>
                <w:noProof/>
                <w:color w:val="auto"/>
                <w:sz w:val="24"/>
                <w:szCs w:val="24"/>
                <w:lang w:eastAsia="en-GB"/>
              </w:rPr>
            </w:pPr>
            <w:r>
              <w:rPr>
                <w:rFonts w:ascii="Calibri" w:eastAsia="Times New Roman" w:hAnsi="Calibri" w:cs="Calibri"/>
                <w:noProof/>
                <w:color w:val="auto"/>
                <w:lang w:val="fr-FR" w:eastAsia="en-GB"/>
              </w:rPr>
              <w:t>MS</w:t>
            </w:r>
            <w:r>
              <w:rPr>
                <w:rFonts w:ascii="Calibri" w:eastAsia="Times New Roman" w:hAnsi="Calibri" w:cs="Calibri"/>
                <w:noProof/>
                <w:color w:val="auto"/>
                <w:lang w:eastAsia="en-GB"/>
              </w:rPr>
              <w:t> </w:t>
            </w:r>
          </w:p>
        </w:tc>
        <w:tc>
          <w:tcPr>
            <w:tcW w:w="1013"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sz w:val="24"/>
                <w:szCs w:val="24"/>
                <w:lang w:eastAsia="en-GB"/>
              </w:rPr>
            </w:pPr>
            <w:r>
              <w:rPr>
                <w:rFonts w:ascii="Calibri" w:eastAsia="Times New Roman" w:hAnsi="Calibri" w:cs="Calibri"/>
                <w:b/>
                <w:bCs/>
                <w:noProof/>
                <w:lang w:val="fr-FR" w:eastAsia="en-GB"/>
              </w:rPr>
              <w:t>10&lt;50</w:t>
            </w:r>
            <w:r>
              <w:rPr>
                <w:rFonts w:ascii="Calibri" w:eastAsia="Times New Roman" w:hAnsi="Calibri" w:cs="Calibri"/>
                <w:b/>
                <w:bCs/>
                <w:noProof/>
                <w:lang w:eastAsia="en-GB"/>
              </w:rPr>
              <w:t> </w:t>
            </w:r>
          </w:p>
        </w:tc>
        <w:tc>
          <w:tcPr>
            <w:tcW w:w="93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sz w:val="24"/>
                <w:szCs w:val="24"/>
                <w:lang w:eastAsia="en-GB"/>
              </w:rPr>
            </w:pPr>
            <w:r>
              <w:rPr>
                <w:rFonts w:ascii="Calibri" w:eastAsia="Times New Roman" w:hAnsi="Calibri" w:cs="Calibri"/>
                <w:b/>
                <w:bCs/>
                <w:noProof/>
                <w:lang w:val="fr-FR" w:eastAsia="en-GB"/>
              </w:rPr>
              <w:t>50≤N&lt;250</w:t>
            </w:r>
            <w:r>
              <w:rPr>
                <w:rFonts w:ascii="Calibri" w:eastAsia="Times New Roman" w:hAnsi="Calibri" w:cs="Calibri"/>
                <w:b/>
                <w:bCs/>
                <w:noProof/>
                <w:lang w:eastAsia="en-GB"/>
              </w:rPr>
              <w:t> </w:t>
            </w:r>
          </w:p>
        </w:tc>
        <w:tc>
          <w:tcPr>
            <w:tcW w:w="918"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sz w:val="24"/>
                <w:szCs w:val="24"/>
                <w:lang w:eastAsia="en-GB"/>
              </w:rPr>
            </w:pPr>
            <w:r>
              <w:rPr>
                <w:rFonts w:ascii="Calibri" w:eastAsia="Times New Roman" w:hAnsi="Calibri" w:cs="Calibri"/>
                <w:b/>
                <w:bCs/>
                <w:noProof/>
                <w:lang w:val="fr-FR" w:eastAsia="en-GB"/>
              </w:rPr>
              <w:t>250≤N&lt;500</w:t>
            </w:r>
            <w:r>
              <w:rPr>
                <w:rFonts w:ascii="Calibri" w:eastAsia="Times New Roman" w:hAnsi="Calibri" w:cs="Calibri"/>
                <w:b/>
                <w:bCs/>
                <w:noProof/>
                <w:lang w:eastAsia="en-GB"/>
              </w:rPr>
              <w:t> </w:t>
            </w:r>
          </w:p>
        </w:tc>
        <w:tc>
          <w:tcPr>
            <w:tcW w:w="997"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sz w:val="24"/>
                <w:szCs w:val="24"/>
                <w:lang w:eastAsia="en-GB"/>
              </w:rPr>
            </w:pPr>
            <w:r>
              <w:rPr>
                <w:rFonts w:ascii="Calibri" w:eastAsia="Times New Roman" w:hAnsi="Calibri" w:cs="Calibri"/>
                <w:b/>
                <w:bCs/>
                <w:noProof/>
                <w:lang w:val="fr-FR" w:eastAsia="en-GB"/>
              </w:rPr>
              <w:t>500≤N&lt;1000</w:t>
            </w:r>
            <w:r>
              <w:rPr>
                <w:rFonts w:ascii="Calibri" w:eastAsia="Times New Roman" w:hAnsi="Calibri" w:cs="Calibri"/>
                <w:b/>
                <w:bCs/>
                <w:noProof/>
                <w:lang w:eastAsia="en-GB"/>
              </w:rPr>
              <w:t> </w:t>
            </w:r>
          </w:p>
        </w:tc>
        <w:tc>
          <w:tcPr>
            <w:tcW w:w="737"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sz w:val="24"/>
                <w:szCs w:val="24"/>
                <w:lang w:eastAsia="en-GB"/>
              </w:rPr>
            </w:pPr>
            <w:r>
              <w:rPr>
                <w:rFonts w:ascii="Calibri" w:eastAsia="Times New Roman" w:hAnsi="Calibri" w:cs="Calibri"/>
                <w:b/>
                <w:bCs/>
                <w:noProof/>
                <w:lang w:val="fr-FR" w:eastAsia="en-GB"/>
              </w:rPr>
              <w:t>N≥1000</w:t>
            </w:r>
            <w:r>
              <w:rPr>
                <w:rFonts w:ascii="Calibri" w:eastAsia="Times New Roman" w:hAnsi="Calibri" w:cs="Calibri"/>
                <w:b/>
                <w:bCs/>
                <w:noProof/>
                <w:lang w:eastAsia="en-GB"/>
              </w:rPr>
              <w:t> </w:t>
            </w:r>
          </w:p>
        </w:tc>
      </w:tr>
      <w:tr>
        <w:trPr>
          <w:trHeight w:val="300"/>
        </w:trPr>
        <w:tc>
          <w:tcPr>
            <w:cnfStyle w:val="001000000000" w:firstRow="0" w:lastRow="0" w:firstColumn="1" w:lastColumn="0" w:oddVBand="0" w:evenVBand="0" w:oddHBand="0" w:evenHBand="0" w:firstRowFirstColumn="0" w:firstRowLastColumn="0" w:lastRowFirstColumn="0" w:lastRowLastColumn="0"/>
            <w:tcW w:w="401" w:type="pct"/>
            <w:hideMark/>
          </w:tcPr>
          <w:p>
            <w:pPr>
              <w:textAlignment w:val="baseline"/>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AT</w:t>
            </w:r>
            <w:r>
              <w:rPr>
                <w:rFonts w:ascii="Calibri" w:eastAsia="Times New Roman" w:hAnsi="Calibri" w:cs="Calibri"/>
                <w:noProof/>
                <w:color w:val="000000"/>
                <w:lang w:eastAsia="en-GB"/>
              </w:rPr>
              <w:t> </w:t>
            </w:r>
          </w:p>
        </w:tc>
        <w:tc>
          <w:tcPr>
            <w:tcW w:w="1013"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4.312.739 </w:t>
            </w:r>
            <w:r>
              <w:rPr>
                <w:rFonts w:ascii="Calibri" w:eastAsia="Times New Roman" w:hAnsi="Calibri" w:cs="Calibri"/>
                <w:noProof/>
                <w:color w:val="000000"/>
                <w:lang w:eastAsia="en-GB"/>
              </w:rPr>
              <w:t> </w:t>
            </w:r>
          </w:p>
        </w:tc>
        <w:tc>
          <w:tcPr>
            <w:tcW w:w="93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402.427 </w:t>
            </w:r>
            <w:r>
              <w:rPr>
                <w:rFonts w:ascii="Calibri" w:eastAsia="Times New Roman" w:hAnsi="Calibri" w:cs="Calibri"/>
                <w:noProof/>
                <w:color w:val="000000"/>
                <w:lang w:eastAsia="en-GB"/>
              </w:rPr>
              <w:t> </w:t>
            </w:r>
          </w:p>
        </w:tc>
        <w:tc>
          <w:tcPr>
            <w:tcW w:w="918"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997"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737"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1" w:type="pct"/>
            <w:hideMark/>
          </w:tcPr>
          <w:p>
            <w:pPr>
              <w:textAlignment w:val="baseline"/>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BE</w:t>
            </w:r>
            <w:r>
              <w:rPr>
                <w:rFonts w:ascii="Calibri" w:eastAsia="Times New Roman" w:hAnsi="Calibri" w:cs="Calibri"/>
                <w:noProof/>
                <w:color w:val="000000"/>
                <w:lang w:eastAsia="en-GB"/>
              </w:rPr>
              <w:t> </w:t>
            </w:r>
          </w:p>
        </w:tc>
        <w:tc>
          <w:tcPr>
            <w:tcW w:w="1013"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3.822.315 </w:t>
            </w:r>
            <w:r>
              <w:rPr>
                <w:rFonts w:ascii="Calibri" w:eastAsia="Times New Roman" w:hAnsi="Calibri" w:cs="Calibri"/>
                <w:noProof/>
                <w:color w:val="000000"/>
                <w:lang w:eastAsia="en-GB"/>
              </w:rPr>
              <w:t> </w:t>
            </w:r>
          </w:p>
        </w:tc>
        <w:tc>
          <w:tcPr>
            <w:tcW w:w="93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368.119 </w:t>
            </w:r>
            <w:r>
              <w:rPr>
                <w:rFonts w:ascii="Calibri" w:eastAsia="Times New Roman" w:hAnsi="Calibri" w:cs="Calibri"/>
                <w:noProof/>
                <w:color w:val="000000"/>
                <w:lang w:eastAsia="en-GB"/>
              </w:rPr>
              <w:t> </w:t>
            </w:r>
          </w:p>
        </w:tc>
        <w:tc>
          <w:tcPr>
            <w:tcW w:w="918"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997"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737"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r>
      <w:tr>
        <w:trPr>
          <w:trHeight w:val="300"/>
        </w:trPr>
        <w:tc>
          <w:tcPr>
            <w:cnfStyle w:val="001000000000" w:firstRow="0" w:lastRow="0" w:firstColumn="1" w:lastColumn="0" w:oddVBand="0" w:evenVBand="0" w:oddHBand="0" w:evenHBand="0" w:firstRowFirstColumn="0" w:firstRowLastColumn="0" w:lastRowFirstColumn="0" w:lastRowLastColumn="0"/>
            <w:tcW w:w="401" w:type="pct"/>
            <w:hideMark/>
          </w:tcPr>
          <w:p>
            <w:pPr>
              <w:textAlignment w:val="baseline"/>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BG</w:t>
            </w:r>
            <w:r>
              <w:rPr>
                <w:rFonts w:ascii="Calibri" w:eastAsia="Times New Roman" w:hAnsi="Calibri" w:cs="Calibri"/>
                <w:noProof/>
                <w:color w:val="000000"/>
                <w:lang w:eastAsia="en-GB"/>
              </w:rPr>
              <w:t> </w:t>
            </w:r>
          </w:p>
        </w:tc>
        <w:tc>
          <w:tcPr>
            <w:tcW w:w="1013"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606.541 </w:t>
            </w:r>
            <w:r>
              <w:rPr>
                <w:rFonts w:ascii="Calibri" w:eastAsia="Times New Roman" w:hAnsi="Calibri" w:cs="Calibri"/>
                <w:noProof/>
                <w:color w:val="000000"/>
                <w:lang w:eastAsia="en-GB"/>
              </w:rPr>
              <w:t> </w:t>
            </w:r>
          </w:p>
        </w:tc>
        <w:tc>
          <w:tcPr>
            <w:tcW w:w="93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137.280 </w:t>
            </w:r>
            <w:r>
              <w:rPr>
                <w:rFonts w:ascii="Calibri" w:eastAsia="Times New Roman" w:hAnsi="Calibri" w:cs="Calibri"/>
                <w:noProof/>
                <w:color w:val="000000"/>
                <w:lang w:eastAsia="en-GB"/>
              </w:rPr>
              <w:t> </w:t>
            </w:r>
          </w:p>
        </w:tc>
        <w:tc>
          <w:tcPr>
            <w:tcW w:w="918"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34.992 </w:t>
            </w:r>
            <w:r>
              <w:rPr>
                <w:rFonts w:ascii="Calibri" w:eastAsia="Times New Roman" w:hAnsi="Calibri" w:cs="Calibri"/>
                <w:noProof/>
                <w:color w:val="000000"/>
                <w:lang w:eastAsia="en-GB"/>
              </w:rPr>
              <w:t> </w:t>
            </w:r>
          </w:p>
        </w:tc>
        <w:tc>
          <w:tcPr>
            <w:tcW w:w="997"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5.508 </w:t>
            </w:r>
            <w:r>
              <w:rPr>
                <w:rFonts w:ascii="Calibri" w:eastAsia="Times New Roman" w:hAnsi="Calibri" w:cs="Calibri"/>
                <w:noProof/>
                <w:color w:val="000000"/>
                <w:lang w:eastAsia="en-GB"/>
              </w:rPr>
              <w:t> </w:t>
            </w:r>
          </w:p>
        </w:tc>
        <w:tc>
          <w:tcPr>
            <w:tcW w:w="737"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3.564 </w:t>
            </w:r>
            <w:r>
              <w:rPr>
                <w:rFonts w:ascii="Calibri" w:eastAsia="Times New Roman" w:hAnsi="Calibri" w:cs="Calibri"/>
                <w:noProof/>
                <w:color w:val="000000"/>
                <w:lang w:eastAsia="en-GB"/>
              </w:rPr>
              <w:t>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1" w:type="pct"/>
            <w:hideMark/>
          </w:tcPr>
          <w:p>
            <w:pPr>
              <w:textAlignment w:val="baseline"/>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CY</w:t>
            </w:r>
            <w:r>
              <w:rPr>
                <w:rFonts w:ascii="Calibri" w:eastAsia="Times New Roman" w:hAnsi="Calibri" w:cs="Calibri"/>
                <w:noProof/>
                <w:color w:val="000000"/>
                <w:lang w:eastAsia="en-GB"/>
              </w:rPr>
              <w:t> </w:t>
            </w:r>
          </w:p>
        </w:tc>
        <w:tc>
          <w:tcPr>
            <w:tcW w:w="1013"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213.408 </w:t>
            </w:r>
            <w:r>
              <w:rPr>
                <w:rFonts w:ascii="Calibri" w:eastAsia="Times New Roman" w:hAnsi="Calibri" w:cs="Calibri"/>
                <w:noProof/>
                <w:color w:val="000000"/>
                <w:lang w:eastAsia="en-GB"/>
              </w:rPr>
              <w:t> </w:t>
            </w:r>
          </w:p>
        </w:tc>
        <w:tc>
          <w:tcPr>
            <w:tcW w:w="93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36.270 </w:t>
            </w:r>
            <w:r>
              <w:rPr>
                <w:rFonts w:ascii="Calibri" w:eastAsia="Times New Roman" w:hAnsi="Calibri" w:cs="Calibri"/>
                <w:noProof/>
                <w:color w:val="000000"/>
                <w:lang w:eastAsia="en-GB"/>
              </w:rPr>
              <w:t> </w:t>
            </w:r>
          </w:p>
        </w:tc>
        <w:tc>
          <w:tcPr>
            <w:tcW w:w="918"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10.109 </w:t>
            </w:r>
            <w:r>
              <w:rPr>
                <w:rFonts w:ascii="Calibri" w:eastAsia="Times New Roman" w:hAnsi="Calibri" w:cs="Calibri"/>
                <w:noProof/>
                <w:color w:val="000000"/>
                <w:lang w:eastAsia="en-GB"/>
              </w:rPr>
              <w:t> </w:t>
            </w:r>
          </w:p>
        </w:tc>
        <w:tc>
          <w:tcPr>
            <w:tcW w:w="997"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1.591 </w:t>
            </w:r>
            <w:r>
              <w:rPr>
                <w:rFonts w:ascii="Calibri" w:eastAsia="Times New Roman" w:hAnsi="Calibri" w:cs="Calibri"/>
                <w:noProof/>
                <w:color w:val="000000"/>
                <w:lang w:eastAsia="en-GB"/>
              </w:rPr>
              <w:t> </w:t>
            </w:r>
          </w:p>
        </w:tc>
        <w:tc>
          <w:tcPr>
            <w:tcW w:w="737"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1.030 </w:t>
            </w:r>
            <w:r>
              <w:rPr>
                <w:rFonts w:ascii="Calibri" w:eastAsia="Times New Roman" w:hAnsi="Calibri" w:cs="Calibri"/>
                <w:noProof/>
                <w:color w:val="000000"/>
                <w:lang w:eastAsia="en-GB"/>
              </w:rPr>
              <w:t> </w:t>
            </w:r>
          </w:p>
        </w:tc>
      </w:tr>
      <w:tr>
        <w:trPr>
          <w:trHeight w:val="300"/>
        </w:trPr>
        <w:tc>
          <w:tcPr>
            <w:cnfStyle w:val="001000000000" w:firstRow="0" w:lastRow="0" w:firstColumn="1" w:lastColumn="0" w:oddVBand="0" w:evenVBand="0" w:oddHBand="0" w:evenHBand="0" w:firstRowFirstColumn="0" w:firstRowLastColumn="0" w:lastRowFirstColumn="0" w:lastRowLastColumn="0"/>
            <w:tcW w:w="401" w:type="pct"/>
            <w:hideMark/>
          </w:tcPr>
          <w:p>
            <w:pPr>
              <w:textAlignment w:val="baseline"/>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CZ</w:t>
            </w:r>
            <w:r>
              <w:rPr>
                <w:rFonts w:ascii="Calibri" w:eastAsia="Times New Roman" w:hAnsi="Calibri" w:cs="Calibri"/>
                <w:noProof/>
                <w:color w:val="000000"/>
                <w:lang w:eastAsia="en-GB"/>
              </w:rPr>
              <w:t> </w:t>
            </w:r>
          </w:p>
        </w:tc>
        <w:tc>
          <w:tcPr>
            <w:tcW w:w="1013"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1.874.446 </w:t>
            </w:r>
            <w:r>
              <w:rPr>
                <w:rFonts w:ascii="Calibri" w:eastAsia="Times New Roman" w:hAnsi="Calibri" w:cs="Calibri"/>
                <w:noProof/>
                <w:color w:val="000000"/>
                <w:lang w:eastAsia="en-GB"/>
              </w:rPr>
              <w:t> </w:t>
            </w:r>
          </w:p>
        </w:tc>
        <w:tc>
          <w:tcPr>
            <w:tcW w:w="93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500.290 </w:t>
            </w:r>
            <w:r>
              <w:rPr>
                <w:rFonts w:ascii="Calibri" w:eastAsia="Times New Roman" w:hAnsi="Calibri" w:cs="Calibri"/>
                <w:noProof/>
                <w:color w:val="000000"/>
                <w:lang w:eastAsia="en-GB"/>
              </w:rPr>
              <w:t> </w:t>
            </w:r>
          </w:p>
        </w:tc>
        <w:tc>
          <w:tcPr>
            <w:tcW w:w="918"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190.305 </w:t>
            </w:r>
            <w:r>
              <w:rPr>
                <w:rFonts w:ascii="Calibri" w:eastAsia="Times New Roman" w:hAnsi="Calibri" w:cs="Calibri"/>
                <w:noProof/>
                <w:color w:val="000000"/>
                <w:lang w:eastAsia="en-GB"/>
              </w:rPr>
              <w:t> </w:t>
            </w:r>
          </w:p>
        </w:tc>
        <w:tc>
          <w:tcPr>
            <w:tcW w:w="997"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29.955 </w:t>
            </w:r>
            <w:r>
              <w:rPr>
                <w:rFonts w:ascii="Calibri" w:eastAsia="Times New Roman" w:hAnsi="Calibri" w:cs="Calibri"/>
                <w:noProof/>
                <w:color w:val="000000"/>
                <w:lang w:eastAsia="en-GB"/>
              </w:rPr>
              <w:t> </w:t>
            </w:r>
          </w:p>
        </w:tc>
        <w:tc>
          <w:tcPr>
            <w:tcW w:w="737"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19.383 </w:t>
            </w:r>
            <w:r>
              <w:rPr>
                <w:rFonts w:ascii="Calibri" w:eastAsia="Times New Roman" w:hAnsi="Calibri" w:cs="Calibri"/>
                <w:noProof/>
                <w:color w:val="000000"/>
                <w:lang w:eastAsia="en-GB"/>
              </w:rPr>
              <w:t>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1" w:type="pct"/>
            <w:hideMark/>
          </w:tcPr>
          <w:p>
            <w:pPr>
              <w:textAlignment w:val="baseline"/>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DE</w:t>
            </w:r>
            <w:r>
              <w:rPr>
                <w:rFonts w:ascii="Calibri" w:eastAsia="Times New Roman" w:hAnsi="Calibri" w:cs="Calibri"/>
                <w:noProof/>
                <w:color w:val="000000"/>
                <w:lang w:eastAsia="en-GB"/>
              </w:rPr>
              <w:t> </w:t>
            </w:r>
          </w:p>
        </w:tc>
        <w:tc>
          <w:tcPr>
            <w:tcW w:w="1013"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62.282.794 </w:t>
            </w:r>
            <w:r>
              <w:rPr>
                <w:rFonts w:ascii="Calibri" w:eastAsia="Times New Roman" w:hAnsi="Calibri" w:cs="Calibri"/>
                <w:noProof/>
                <w:color w:val="000000"/>
                <w:lang w:eastAsia="en-GB"/>
              </w:rPr>
              <w:t> </w:t>
            </w:r>
          </w:p>
        </w:tc>
        <w:tc>
          <w:tcPr>
            <w:tcW w:w="93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6.389.309 </w:t>
            </w:r>
            <w:r>
              <w:rPr>
                <w:rFonts w:ascii="Calibri" w:eastAsia="Times New Roman" w:hAnsi="Calibri" w:cs="Calibri"/>
                <w:noProof/>
                <w:color w:val="000000"/>
                <w:lang w:eastAsia="en-GB"/>
              </w:rPr>
              <w:t> </w:t>
            </w:r>
          </w:p>
        </w:tc>
        <w:tc>
          <w:tcPr>
            <w:tcW w:w="918"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997"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737"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r>
      <w:tr>
        <w:trPr>
          <w:trHeight w:val="300"/>
        </w:trPr>
        <w:tc>
          <w:tcPr>
            <w:cnfStyle w:val="001000000000" w:firstRow="0" w:lastRow="0" w:firstColumn="1" w:lastColumn="0" w:oddVBand="0" w:evenVBand="0" w:oddHBand="0" w:evenHBand="0" w:firstRowFirstColumn="0" w:firstRowLastColumn="0" w:lastRowFirstColumn="0" w:lastRowLastColumn="0"/>
            <w:tcW w:w="401" w:type="pct"/>
            <w:hideMark/>
          </w:tcPr>
          <w:p>
            <w:pPr>
              <w:textAlignment w:val="baseline"/>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DK</w:t>
            </w:r>
            <w:r>
              <w:rPr>
                <w:rFonts w:ascii="Calibri" w:eastAsia="Times New Roman" w:hAnsi="Calibri" w:cs="Calibri"/>
                <w:noProof/>
                <w:color w:val="000000"/>
                <w:lang w:eastAsia="en-GB"/>
              </w:rPr>
              <w:t> </w:t>
            </w:r>
          </w:p>
        </w:tc>
        <w:tc>
          <w:tcPr>
            <w:tcW w:w="1013"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1.835.431 </w:t>
            </w:r>
            <w:r>
              <w:rPr>
                <w:rFonts w:ascii="Calibri" w:eastAsia="Times New Roman" w:hAnsi="Calibri" w:cs="Calibri"/>
                <w:noProof/>
                <w:color w:val="000000"/>
                <w:lang w:eastAsia="en-GB"/>
              </w:rPr>
              <w:t> </w:t>
            </w:r>
          </w:p>
        </w:tc>
        <w:tc>
          <w:tcPr>
            <w:tcW w:w="93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918"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997"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737"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1" w:type="pct"/>
            <w:hideMark/>
          </w:tcPr>
          <w:p>
            <w:pPr>
              <w:textAlignment w:val="baseline"/>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EE</w:t>
            </w:r>
            <w:r>
              <w:rPr>
                <w:rFonts w:ascii="Calibri" w:eastAsia="Times New Roman" w:hAnsi="Calibri" w:cs="Calibri"/>
                <w:noProof/>
                <w:color w:val="000000"/>
                <w:lang w:eastAsia="en-GB"/>
              </w:rPr>
              <w:t> </w:t>
            </w:r>
          </w:p>
        </w:tc>
        <w:tc>
          <w:tcPr>
            <w:tcW w:w="1013"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93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918"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997"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737"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r>
      <w:tr>
        <w:trPr>
          <w:trHeight w:val="300"/>
        </w:trPr>
        <w:tc>
          <w:tcPr>
            <w:cnfStyle w:val="001000000000" w:firstRow="0" w:lastRow="0" w:firstColumn="1" w:lastColumn="0" w:oddVBand="0" w:evenVBand="0" w:oddHBand="0" w:evenHBand="0" w:firstRowFirstColumn="0" w:firstRowLastColumn="0" w:lastRowFirstColumn="0" w:lastRowLastColumn="0"/>
            <w:tcW w:w="401" w:type="pct"/>
            <w:hideMark/>
          </w:tcPr>
          <w:p>
            <w:pPr>
              <w:textAlignment w:val="baseline"/>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EL</w:t>
            </w:r>
            <w:r>
              <w:rPr>
                <w:rFonts w:ascii="Calibri" w:eastAsia="Times New Roman" w:hAnsi="Calibri" w:cs="Calibri"/>
                <w:noProof/>
                <w:color w:val="000000"/>
                <w:lang w:eastAsia="en-GB"/>
              </w:rPr>
              <w:t> </w:t>
            </w:r>
          </w:p>
        </w:tc>
        <w:tc>
          <w:tcPr>
            <w:tcW w:w="1013"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1.505.287 </w:t>
            </w:r>
            <w:r>
              <w:rPr>
                <w:rFonts w:ascii="Calibri" w:eastAsia="Times New Roman" w:hAnsi="Calibri" w:cs="Calibri"/>
                <w:noProof/>
                <w:color w:val="000000"/>
                <w:lang w:eastAsia="en-GB"/>
              </w:rPr>
              <w:t> </w:t>
            </w:r>
          </w:p>
        </w:tc>
        <w:tc>
          <w:tcPr>
            <w:tcW w:w="93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191.565 </w:t>
            </w:r>
            <w:r>
              <w:rPr>
                <w:rFonts w:ascii="Calibri" w:eastAsia="Times New Roman" w:hAnsi="Calibri" w:cs="Calibri"/>
                <w:noProof/>
                <w:color w:val="000000"/>
                <w:lang w:eastAsia="en-GB"/>
              </w:rPr>
              <w:t> </w:t>
            </w:r>
          </w:p>
        </w:tc>
        <w:tc>
          <w:tcPr>
            <w:tcW w:w="918"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47.331 </w:t>
            </w:r>
            <w:r>
              <w:rPr>
                <w:rFonts w:ascii="Calibri" w:eastAsia="Times New Roman" w:hAnsi="Calibri" w:cs="Calibri"/>
                <w:noProof/>
                <w:color w:val="000000"/>
                <w:lang w:eastAsia="en-GB"/>
              </w:rPr>
              <w:t> </w:t>
            </w:r>
          </w:p>
        </w:tc>
        <w:tc>
          <w:tcPr>
            <w:tcW w:w="997"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7.450 </w:t>
            </w:r>
            <w:r>
              <w:rPr>
                <w:rFonts w:ascii="Calibri" w:eastAsia="Times New Roman" w:hAnsi="Calibri" w:cs="Calibri"/>
                <w:noProof/>
                <w:color w:val="000000"/>
                <w:lang w:eastAsia="en-GB"/>
              </w:rPr>
              <w:t> </w:t>
            </w:r>
          </w:p>
        </w:tc>
        <w:tc>
          <w:tcPr>
            <w:tcW w:w="737"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4.821 </w:t>
            </w:r>
            <w:r>
              <w:rPr>
                <w:rFonts w:ascii="Calibri" w:eastAsia="Times New Roman" w:hAnsi="Calibri" w:cs="Calibri"/>
                <w:noProof/>
                <w:color w:val="000000"/>
                <w:lang w:eastAsia="en-GB"/>
              </w:rPr>
              <w:t>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1" w:type="pct"/>
            <w:hideMark/>
          </w:tcPr>
          <w:p>
            <w:pPr>
              <w:textAlignment w:val="baseline"/>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ES</w:t>
            </w:r>
            <w:r>
              <w:rPr>
                <w:rFonts w:ascii="Calibri" w:eastAsia="Times New Roman" w:hAnsi="Calibri" w:cs="Calibri"/>
                <w:noProof/>
                <w:color w:val="000000"/>
                <w:lang w:eastAsia="en-GB"/>
              </w:rPr>
              <w:t> </w:t>
            </w:r>
          </w:p>
        </w:tc>
        <w:tc>
          <w:tcPr>
            <w:tcW w:w="1013"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93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918"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997"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737"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r>
      <w:tr>
        <w:trPr>
          <w:trHeight w:val="300"/>
        </w:trPr>
        <w:tc>
          <w:tcPr>
            <w:cnfStyle w:val="001000000000" w:firstRow="0" w:lastRow="0" w:firstColumn="1" w:lastColumn="0" w:oddVBand="0" w:evenVBand="0" w:oddHBand="0" w:evenHBand="0" w:firstRowFirstColumn="0" w:firstRowLastColumn="0" w:lastRowFirstColumn="0" w:lastRowLastColumn="0"/>
            <w:tcW w:w="401" w:type="pct"/>
            <w:hideMark/>
          </w:tcPr>
          <w:p>
            <w:pPr>
              <w:textAlignment w:val="baseline"/>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FI</w:t>
            </w:r>
            <w:r>
              <w:rPr>
                <w:rFonts w:ascii="Calibri" w:eastAsia="Times New Roman" w:hAnsi="Calibri" w:cs="Calibri"/>
                <w:noProof/>
                <w:color w:val="000000"/>
                <w:lang w:eastAsia="en-GB"/>
              </w:rPr>
              <w:t> </w:t>
            </w:r>
          </w:p>
        </w:tc>
        <w:tc>
          <w:tcPr>
            <w:tcW w:w="1013"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93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918"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997"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737"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1" w:type="pct"/>
            <w:hideMark/>
          </w:tcPr>
          <w:p>
            <w:pPr>
              <w:textAlignment w:val="baseline"/>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FR</w:t>
            </w:r>
            <w:r>
              <w:rPr>
                <w:rFonts w:ascii="Calibri" w:eastAsia="Times New Roman" w:hAnsi="Calibri" w:cs="Calibri"/>
                <w:noProof/>
                <w:color w:val="000000"/>
                <w:lang w:eastAsia="en-GB"/>
              </w:rPr>
              <w:t> </w:t>
            </w:r>
          </w:p>
        </w:tc>
        <w:tc>
          <w:tcPr>
            <w:tcW w:w="1013"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93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918"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997"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737"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r>
      <w:tr>
        <w:trPr>
          <w:trHeight w:val="300"/>
        </w:trPr>
        <w:tc>
          <w:tcPr>
            <w:cnfStyle w:val="001000000000" w:firstRow="0" w:lastRow="0" w:firstColumn="1" w:lastColumn="0" w:oddVBand="0" w:evenVBand="0" w:oddHBand="0" w:evenHBand="0" w:firstRowFirstColumn="0" w:firstRowLastColumn="0" w:lastRowFirstColumn="0" w:lastRowLastColumn="0"/>
            <w:tcW w:w="401" w:type="pct"/>
            <w:hideMark/>
          </w:tcPr>
          <w:p>
            <w:pPr>
              <w:textAlignment w:val="baseline"/>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HR</w:t>
            </w:r>
            <w:r>
              <w:rPr>
                <w:rFonts w:ascii="Calibri" w:eastAsia="Times New Roman" w:hAnsi="Calibri" w:cs="Calibri"/>
                <w:noProof/>
                <w:color w:val="000000"/>
                <w:lang w:eastAsia="en-GB"/>
              </w:rPr>
              <w:t> </w:t>
            </w:r>
          </w:p>
        </w:tc>
        <w:tc>
          <w:tcPr>
            <w:tcW w:w="1013"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522.000 </w:t>
            </w:r>
            <w:r>
              <w:rPr>
                <w:rFonts w:ascii="Calibri" w:eastAsia="Times New Roman" w:hAnsi="Calibri" w:cs="Calibri"/>
                <w:noProof/>
                <w:color w:val="000000"/>
                <w:lang w:eastAsia="en-GB"/>
              </w:rPr>
              <w:t> </w:t>
            </w:r>
          </w:p>
        </w:tc>
        <w:tc>
          <w:tcPr>
            <w:tcW w:w="93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107.938 </w:t>
            </w:r>
            <w:r>
              <w:rPr>
                <w:rFonts w:ascii="Calibri" w:eastAsia="Times New Roman" w:hAnsi="Calibri" w:cs="Calibri"/>
                <w:noProof/>
                <w:color w:val="000000"/>
                <w:lang w:eastAsia="en-GB"/>
              </w:rPr>
              <w:t> </w:t>
            </w:r>
          </w:p>
        </w:tc>
        <w:tc>
          <w:tcPr>
            <w:tcW w:w="918"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39.087 </w:t>
            </w:r>
            <w:r>
              <w:rPr>
                <w:rFonts w:ascii="Calibri" w:eastAsia="Times New Roman" w:hAnsi="Calibri" w:cs="Calibri"/>
                <w:noProof/>
                <w:color w:val="000000"/>
                <w:lang w:eastAsia="en-GB"/>
              </w:rPr>
              <w:t> </w:t>
            </w:r>
          </w:p>
        </w:tc>
        <w:tc>
          <w:tcPr>
            <w:tcW w:w="997"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6.153 </w:t>
            </w:r>
            <w:r>
              <w:rPr>
                <w:rFonts w:ascii="Calibri" w:eastAsia="Times New Roman" w:hAnsi="Calibri" w:cs="Calibri"/>
                <w:noProof/>
                <w:color w:val="000000"/>
                <w:lang w:eastAsia="en-GB"/>
              </w:rPr>
              <w:t> </w:t>
            </w:r>
          </w:p>
        </w:tc>
        <w:tc>
          <w:tcPr>
            <w:tcW w:w="737"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3.981 </w:t>
            </w:r>
            <w:r>
              <w:rPr>
                <w:rFonts w:ascii="Calibri" w:eastAsia="Times New Roman" w:hAnsi="Calibri" w:cs="Calibri"/>
                <w:noProof/>
                <w:color w:val="000000"/>
                <w:lang w:eastAsia="en-GB"/>
              </w:rPr>
              <w:t>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1" w:type="pct"/>
            <w:hideMark/>
          </w:tcPr>
          <w:p>
            <w:pPr>
              <w:textAlignment w:val="baseline"/>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HU</w:t>
            </w:r>
            <w:r>
              <w:rPr>
                <w:rFonts w:ascii="Calibri" w:eastAsia="Times New Roman" w:hAnsi="Calibri" w:cs="Calibri"/>
                <w:noProof/>
                <w:color w:val="000000"/>
                <w:lang w:eastAsia="en-GB"/>
              </w:rPr>
              <w:t> </w:t>
            </w:r>
          </w:p>
        </w:tc>
        <w:tc>
          <w:tcPr>
            <w:tcW w:w="1013"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1.562.169 </w:t>
            </w:r>
            <w:r>
              <w:rPr>
                <w:rFonts w:ascii="Calibri" w:eastAsia="Times New Roman" w:hAnsi="Calibri" w:cs="Calibri"/>
                <w:noProof/>
                <w:color w:val="000000"/>
                <w:lang w:eastAsia="en-GB"/>
              </w:rPr>
              <w:t> </w:t>
            </w:r>
          </w:p>
        </w:tc>
        <w:tc>
          <w:tcPr>
            <w:tcW w:w="93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317.496 </w:t>
            </w:r>
            <w:r>
              <w:rPr>
                <w:rFonts w:ascii="Calibri" w:eastAsia="Times New Roman" w:hAnsi="Calibri" w:cs="Calibri"/>
                <w:noProof/>
                <w:color w:val="000000"/>
                <w:lang w:eastAsia="en-GB"/>
              </w:rPr>
              <w:t> </w:t>
            </w:r>
          </w:p>
        </w:tc>
        <w:tc>
          <w:tcPr>
            <w:tcW w:w="918"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106.490 </w:t>
            </w:r>
            <w:r>
              <w:rPr>
                <w:rFonts w:ascii="Calibri" w:eastAsia="Times New Roman" w:hAnsi="Calibri" w:cs="Calibri"/>
                <w:noProof/>
                <w:color w:val="000000"/>
                <w:lang w:eastAsia="en-GB"/>
              </w:rPr>
              <w:t> </w:t>
            </w:r>
          </w:p>
        </w:tc>
        <w:tc>
          <w:tcPr>
            <w:tcW w:w="997"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16.762 </w:t>
            </w:r>
            <w:r>
              <w:rPr>
                <w:rFonts w:ascii="Calibri" w:eastAsia="Times New Roman" w:hAnsi="Calibri" w:cs="Calibri"/>
                <w:noProof/>
                <w:color w:val="000000"/>
                <w:lang w:eastAsia="en-GB"/>
              </w:rPr>
              <w:t> </w:t>
            </w:r>
          </w:p>
        </w:tc>
        <w:tc>
          <w:tcPr>
            <w:tcW w:w="737"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10.846 </w:t>
            </w:r>
            <w:r>
              <w:rPr>
                <w:rFonts w:ascii="Calibri" w:eastAsia="Times New Roman" w:hAnsi="Calibri" w:cs="Calibri"/>
                <w:noProof/>
                <w:color w:val="000000"/>
                <w:lang w:eastAsia="en-GB"/>
              </w:rPr>
              <w:t> </w:t>
            </w:r>
          </w:p>
        </w:tc>
      </w:tr>
      <w:tr>
        <w:trPr>
          <w:trHeight w:val="300"/>
        </w:trPr>
        <w:tc>
          <w:tcPr>
            <w:cnfStyle w:val="001000000000" w:firstRow="0" w:lastRow="0" w:firstColumn="1" w:lastColumn="0" w:oddVBand="0" w:evenVBand="0" w:oddHBand="0" w:evenHBand="0" w:firstRowFirstColumn="0" w:firstRowLastColumn="0" w:lastRowFirstColumn="0" w:lastRowLastColumn="0"/>
            <w:tcW w:w="401" w:type="pct"/>
            <w:hideMark/>
          </w:tcPr>
          <w:p>
            <w:pPr>
              <w:textAlignment w:val="baseline"/>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IE</w:t>
            </w:r>
            <w:r>
              <w:rPr>
                <w:rFonts w:ascii="Calibri" w:eastAsia="Times New Roman" w:hAnsi="Calibri" w:cs="Calibri"/>
                <w:noProof/>
                <w:color w:val="000000"/>
                <w:lang w:eastAsia="en-GB"/>
              </w:rPr>
              <w:t> </w:t>
            </w:r>
          </w:p>
        </w:tc>
        <w:tc>
          <w:tcPr>
            <w:tcW w:w="1013"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1.850.964 </w:t>
            </w:r>
            <w:r>
              <w:rPr>
                <w:rFonts w:ascii="Calibri" w:eastAsia="Times New Roman" w:hAnsi="Calibri" w:cs="Calibri"/>
                <w:noProof/>
                <w:color w:val="000000"/>
                <w:lang w:eastAsia="en-GB"/>
              </w:rPr>
              <w:t> </w:t>
            </w:r>
          </w:p>
        </w:tc>
        <w:tc>
          <w:tcPr>
            <w:tcW w:w="93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405.802 </w:t>
            </w:r>
            <w:r>
              <w:rPr>
                <w:rFonts w:ascii="Calibri" w:eastAsia="Times New Roman" w:hAnsi="Calibri" w:cs="Calibri"/>
                <w:noProof/>
                <w:color w:val="000000"/>
                <w:lang w:eastAsia="en-GB"/>
              </w:rPr>
              <w:t> </w:t>
            </w:r>
          </w:p>
        </w:tc>
        <w:tc>
          <w:tcPr>
            <w:tcW w:w="918"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118.894 </w:t>
            </w:r>
            <w:r>
              <w:rPr>
                <w:rFonts w:ascii="Calibri" w:eastAsia="Times New Roman" w:hAnsi="Calibri" w:cs="Calibri"/>
                <w:noProof/>
                <w:color w:val="000000"/>
                <w:lang w:eastAsia="en-GB"/>
              </w:rPr>
              <w:t> </w:t>
            </w:r>
          </w:p>
        </w:tc>
        <w:tc>
          <w:tcPr>
            <w:tcW w:w="997"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18.715 </w:t>
            </w:r>
            <w:r>
              <w:rPr>
                <w:rFonts w:ascii="Calibri" w:eastAsia="Times New Roman" w:hAnsi="Calibri" w:cs="Calibri"/>
                <w:noProof/>
                <w:color w:val="000000"/>
                <w:lang w:eastAsia="en-GB"/>
              </w:rPr>
              <w:t> </w:t>
            </w:r>
          </w:p>
        </w:tc>
        <w:tc>
          <w:tcPr>
            <w:tcW w:w="737"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12.110 </w:t>
            </w:r>
            <w:r>
              <w:rPr>
                <w:rFonts w:ascii="Calibri" w:eastAsia="Times New Roman" w:hAnsi="Calibri" w:cs="Calibri"/>
                <w:noProof/>
                <w:color w:val="000000"/>
                <w:lang w:eastAsia="en-GB"/>
              </w:rPr>
              <w:t>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1" w:type="pct"/>
            <w:hideMark/>
          </w:tcPr>
          <w:p>
            <w:pPr>
              <w:textAlignment w:val="baseline"/>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IT</w:t>
            </w:r>
            <w:r>
              <w:rPr>
                <w:rFonts w:ascii="Calibri" w:eastAsia="Times New Roman" w:hAnsi="Calibri" w:cs="Calibri"/>
                <w:noProof/>
                <w:color w:val="000000"/>
                <w:lang w:eastAsia="en-GB"/>
              </w:rPr>
              <w:t> </w:t>
            </w:r>
          </w:p>
        </w:tc>
        <w:tc>
          <w:tcPr>
            <w:tcW w:w="1013"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26.207.149 </w:t>
            </w:r>
            <w:r>
              <w:rPr>
                <w:rFonts w:ascii="Calibri" w:eastAsia="Times New Roman" w:hAnsi="Calibri" w:cs="Calibri"/>
                <w:noProof/>
                <w:color w:val="000000"/>
                <w:lang w:eastAsia="en-GB"/>
              </w:rPr>
              <w:t> </w:t>
            </w:r>
          </w:p>
        </w:tc>
        <w:tc>
          <w:tcPr>
            <w:tcW w:w="93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1.897.556 </w:t>
            </w:r>
            <w:r>
              <w:rPr>
                <w:rFonts w:ascii="Calibri" w:eastAsia="Times New Roman" w:hAnsi="Calibri" w:cs="Calibri"/>
                <w:noProof/>
                <w:color w:val="000000"/>
                <w:lang w:eastAsia="en-GB"/>
              </w:rPr>
              <w:t> </w:t>
            </w:r>
          </w:p>
        </w:tc>
        <w:tc>
          <w:tcPr>
            <w:tcW w:w="918"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997"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737"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r>
      <w:tr>
        <w:trPr>
          <w:trHeight w:val="300"/>
        </w:trPr>
        <w:tc>
          <w:tcPr>
            <w:cnfStyle w:val="001000000000" w:firstRow="0" w:lastRow="0" w:firstColumn="1" w:lastColumn="0" w:oddVBand="0" w:evenVBand="0" w:oddHBand="0" w:evenHBand="0" w:firstRowFirstColumn="0" w:firstRowLastColumn="0" w:lastRowFirstColumn="0" w:lastRowLastColumn="0"/>
            <w:tcW w:w="401" w:type="pct"/>
            <w:hideMark/>
          </w:tcPr>
          <w:p>
            <w:pPr>
              <w:textAlignment w:val="baseline"/>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LT</w:t>
            </w:r>
            <w:r>
              <w:rPr>
                <w:rFonts w:ascii="Calibri" w:eastAsia="Times New Roman" w:hAnsi="Calibri" w:cs="Calibri"/>
                <w:noProof/>
                <w:color w:val="000000"/>
                <w:lang w:eastAsia="en-GB"/>
              </w:rPr>
              <w:t> </w:t>
            </w:r>
          </w:p>
        </w:tc>
        <w:tc>
          <w:tcPr>
            <w:tcW w:w="1013"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225.988 </w:t>
            </w:r>
            <w:r>
              <w:rPr>
                <w:rFonts w:ascii="Calibri" w:eastAsia="Times New Roman" w:hAnsi="Calibri" w:cs="Calibri"/>
                <w:noProof/>
                <w:color w:val="000000"/>
                <w:lang w:eastAsia="en-GB"/>
              </w:rPr>
              <w:t> </w:t>
            </w:r>
          </w:p>
        </w:tc>
        <w:tc>
          <w:tcPr>
            <w:tcW w:w="93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918"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997"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737"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1" w:type="pct"/>
            <w:hideMark/>
          </w:tcPr>
          <w:p>
            <w:pPr>
              <w:textAlignment w:val="baseline"/>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LU</w:t>
            </w:r>
            <w:r>
              <w:rPr>
                <w:rFonts w:ascii="Calibri" w:eastAsia="Times New Roman" w:hAnsi="Calibri" w:cs="Calibri"/>
                <w:noProof/>
                <w:color w:val="000000"/>
                <w:lang w:eastAsia="en-GB"/>
              </w:rPr>
              <w:t> </w:t>
            </w:r>
          </w:p>
        </w:tc>
        <w:tc>
          <w:tcPr>
            <w:tcW w:w="1013"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234.661 </w:t>
            </w:r>
            <w:r>
              <w:rPr>
                <w:rFonts w:ascii="Calibri" w:eastAsia="Times New Roman" w:hAnsi="Calibri" w:cs="Calibri"/>
                <w:noProof/>
                <w:color w:val="000000"/>
                <w:lang w:eastAsia="en-GB"/>
              </w:rPr>
              <w:t> </w:t>
            </w:r>
          </w:p>
        </w:tc>
        <w:tc>
          <w:tcPr>
            <w:tcW w:w="93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918"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997"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737"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r>
      <w:tr>
        <w:trPr>
          <w:trHeight w:val="300"/>
        </w:trPr>
        <w:tc>
          <w:tcPr>
            <w:cnfStyle w:val="001000000000" w:firstRow="0" w:lastRow="0" w:firstColumn="1" w:lastColumn="0" w:oddVBand="0" w:evenVBand="0" w:oddHBand="0" w:evenHBand="0" w:firstRowFirstColumn="0" w:firstRowLastColumn="0" w:lastRowFirstColumn="0" w:lastRowLastColumn="0"/>
            <w:tcW w:w="401" w:type="pct"/>
            <w:hideMark/>
          </w:tcPr>
          <w:p>
            <w:pPr>
              <w:textAlignment w:val="baseline"/>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LV</w:t>
            </w:r>
            <w:r>
              <w:rPr>
                <w:rFonts w:ascii="Calibri" w:eastAsia="Times New Roman" w:hAnsi="Calibri" w:cs="Calibri"/>
                <w:noProof/>
                <w:color w:val="000000"/>
                <w:lang w:eastAsia="en-GB"/>
              </w:rPr>
              <w:t> </w:t>
            </w:r>
          </w:p>
        </w:tc>
        <w:tc>
          <w:tcPr>
            <w:tcW w:w="1013"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343.584 </w:t>
            </w:r>
            <w:r>
              <w:rPr>
                <w:rFonts w:ascii="Calibri" w:eastAsia="Times New Roman" w:hAnsi="Calibri" w:cs="Calibri"/>
                <w:noProof/>
                <w:color w:val="000000"/>
                <w:lang w:eastAsia="en-GB"/>
              </w:rPr>
              <w:t> </w:t>
            </w:r>
          </w:p>
        </w:tc>
        <w:tc>
          <w:tcPr>
            <w:tcW w:w="93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77.989 </w:t>
            </w:r>
            <w:r>
              <w:rPr>
                <w:rFonts w:ascii="Calibri" w:eastAsia="Times New Roman" w:hAnsi="Calibri" w:cs="Calibri"/>
                <w:noProof/>
                <w:color w:val="000000"/>
                <w:lang w:eastAsia="en-GB"/>
              </w:rPr>
              <w:t> </w:t>
            </w:r>
          </w:p>
        </w:tc>
        <w:tc>
          <w:tcPr>
            <w:tcW w:w="918"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17.045 </w:t>
            </w:r>
            <w:r>
              <w:rPr>
                <w:rFonts w:ascii="Calibri" w:eastAsia="Times New Roman" w:hAnsi="Calibri" w:cs="Calibri"/>
                <w:noProof/>
                <w:color w:val="000000"/>
                <w:lang w:eastAsia="en-GB"/>
              </w:rPr>
              <w:t> </w:t>
            </w:r>
          </w:p>
        </w:tc>
        <w:tc>
          <w:tcPr>
            <w:tcW w:w="997"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2.683 </w:t>
            </w:r>
            <w:r>
              <w:rPr>
                <w:rFonts w:ascii="Calibri" w:eastAsia="Times New Roman" w:hAnsi="Calibri" w:cs="Calibri"/>
                <w:noProof/>
                <w:color w:val="000000"/>
                <w:lang w:eastAsia="en-GB"/>
              </w:rPr>
              <w:t> </w:t>
            </w:r>
          </w:p>
        </w:tc>
        <w:tc>
          <w:tcPr>
            <w:tcW w:w="737"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1.736 </w:t>
            </w:r>
            <w:r>
              <w:rPr>
                <w:rFonts w:ascii="Calibri" w:eastAsia="Times New Roman" w:hAnsi="Calibri" w:cs="Calibri"/>
                <w:noProof/>
                <w:color w:val="000000"/>
                <w:lang w:eastAsia="en-GB"/>
              </w:rPr>
              <w:t>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1" w:type="pct"/>
            <w:hideMark/>
          </w:tcPr>
          <w:p>
            <w:pPr>
              <w:textAlignment w:val="baseline"/>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MT</w:t>
            </w:r>
            <w:r>
              <w:rPr>
                <w:rFonts w:ascii="Calibri" w:eastAsia="Times New Roman" w:hAnsi="Calibri" w:cs="Calibri"/>
                <w:noProof/>
                <w:color w:val="000000"/>
                <w:lang w:eastAsia="en-GB"/>
              </w:rPr>
              <w:t> </w:t>
            </w:r>
          </w:p>
        </w:tc>
        <w:tc>
          <w:tcPr>
            <w:tcW w:w="1013"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104.226 </w:t>
            </w:r>
            <w:r>
              <w:rPr>
                <w:rFonts w:ascii="Calibri" w:eastAsia="Times New Roman" w:hAnsi="Calibri" w:cs="Calibri"/>
                <w:noProof/>
                <w:color w:val="000000"/>
                <w:lang w:eastAsia="en-GB"/>
              </w:rPr>
              <w:t> </w:t>
            </w:r>
          </w:p>
        </w:tc>
        <w:tc>
          <w:tcPr>
            <w:tcW w:w="93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24.433 </w:t>
            </w:r>
            <w:r>
              <w:rPr>
                <w:rFonts w:ascii="Calibri" w:eastAsia="Times New Roman" w:hAnsi="Calibri" w:cs="Calibri"/>
                <w:noProof/>
                <w:color w:val="000000"/>
                <w:lang w:eastAsia="en-GB"/>
              </w:rPr>
              <w:t> </w:t>
            </w:r>
          </w:p>
        </w:tc>
        <w:tc>
          <w:tcPr>
            <w:tcW w:w="918"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7.282 </w:t>
            </w:r>
            <w:r>
              <w:rPr>
                <w:rFonts w:ascii="Calibri" w:eastAsia="Times New Roman" w:hAnsi="Calibri" w:cs="Calibri"/>
                <w:noProof/>
                <w:color w:val="000000"/>
                <w:lang w:eastAsia="en-GB"/>
              </w:rPr>
              <w:t> </w:t>
            </w:r>
          </w:p>
        </w:tc>
        <w:tc>
          <w:tcPr>
            <w:tcW w:w="997"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1.146 </w:t>
            </w:r>
            <w:r>
              <w:rPr>
                <w:rFonts w:ascii="Calibri" w:eastAsia="Times New Roman" w:hAnsi="Calibri" w:cs="Calibri"/>
                <w:noProof/>
                <w:color w:val="000000"/>
                <w:lang w:eastAsia="en-GB"/>
              </w:rPr>
              <w:t> </w:t>
            </w:r>
          </w:p>
        </w:tc>
        <w:tc>
          <w:tcPr>
            <w:tcW w:w="737"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742 </w:t>
            </w:r>
            <w:r>
              <w:rPr>
                <w:rFonts w:ascii="Calibri" w:eastAsia="Times New Roman" w:hAnsi="Calibri" w:cs="Calibri"/>
                <w:noProof/>
                <w:color w:val="000000"/>
                <w:lang w:eastAsia="en-GB"/>
              </w:rPr>
              <w:t> </w:t>
            </w:r>
          </w:p>
        </w:tc>
      </w:tr>
      <w:tr>
        <w:trPr>
          <w:trHeight w:val="300"/>
        </w:trPr>
        <w:tc>
          <w:tcPr>
            <w:cnfStyle w:val="001000000000" w:firstRow="0" w:lastRow="0" w:firstColumn="1" w:lastColumn="0" w:oddVBand="0" w:evenVBand="0" w:oddHBand="0" w:evenHBand="0" w:firstRowFirstColumn="0" w:firstRowLastColumn="0" w:lastRowFirstColumn="0" w:lastRowLastColumn="0"/>
            <w:tcW w:w="401" w:type="pct"/>
            <w:hideMark/>
          </w:tcPr>
          <w:p>
            <w:pPr>
              <w:textAlignment w:val="baseline"/>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NL</w:t>
            </w:r>
            <w:r>
              <w:rPr>
                <w:rFonts w:ascii="Calibri" w:eastAsia="Times New Roman" w:hAnsi="Calibri" w:cs="Calibri"/>
                <w:noProof/>
                <w:color w:val="000000"/>
                <w:lang w:eastAsia="en-GB"/>
              </w:rPr>
              <w:t> </w:t>
            </w:r>
          </w:p>
        </w:tc>
        <w:tc>
          <w:tcPr>
            <w:tcW w:w="1013"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5.352.085 </w:t>
            </w:r>
            <w:r>
              <w:rPr>
                <w:rFonts w:ascii="Calibri" w:eastAsia="Times New Roman" w:hAnsi="Calibri" w:cs="Calibri"/>
                <w:noProof/>
                <w:color w:val="000000"/>
                <w:lang w:eastAsia="en-GB"/>
              </w:rPr>
              <w:t> </w:t>
            </w:r>
          </w:p>
        </w:tc>
        <w:tc>
          <w:tcPr>
            <w:tcW w:w="93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1.402.491 </w:t>
            </w:r>
            <w:r>
              <w:rPr>
                <w:rFonts w:ascii="Calibri" w:eastAsia="Times New Roman" w:hAnsi="Calibri" w:cs="Calibri"/>
                <w:noProof/>
                <w:color w:val="000000"/>
                <w:lang w:eastAsia="en-GB"/>
              </w:rPr>
              <w:t> </w:t>
            </w:r>
          </w:p>
        </w:tc>
        <w:tc>
          <w:tcPr>
            <w:tcW w:w="918"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432.706 </w:t>
            </w:r>
            <w:r>
              <w:rPr>
                <w:rFonts w:ascii="Calibri" w:eastAsia="Times New Roman" w:hAnsi="Calibri" w:cs="Calibri"/>
                <w:noProof/>
                <w:color w:val="000000"/>
                <w:lang w:eastAsia="en-GB"/>
              </w:rPr>
              <w:t> </w:t>
            </w:r>
          </w:p>
        </w:tc>
        <w:tc>
          <w:tcPr>
            <w:tcW w:w="997"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68.111 </w:t>
            </w:r>
            <w:r>
              <w:rPr>
                <w:rFonts w:ascii="Calibri" w:eastAsia="Times New Roman" w:hAnsi="Calibri" w:cs="Calibri"/>
                <w:noProof/>
                <w:color w:val="000000"/>
                <w:lang w:eastAsia="en-GB"/>
              </w:rPr>
              <w:t> </w:t>
            </w:r>
          </w:p>
        </w:tc>
        <w:tc>
          <w:tcPr>
            <w:tcW w:w="737"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44.072 </w:t>
            </w:r>
            <w:r>
              <w:rPr>
                <w:rFonts w:ascii="Calibri" w:eastAsia="Times New Roman" w:hAnsi="Calibri" w:cs="Calibri"/>
                <w:noProof/>
                <w:color w:val="000000"/>
                <w:lang w:eastAsia="en-GB"/>
              </w:rPr>
              <w:t>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1" w:type="pct"/>
            <w:hideMark/>
          </w:tcPr>
          <w:p>
            <w:pPr>
              <w:textAlignment w:val="baseline"/>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PL</w:t>
            </w:r>
            <w:r>
              <w:rPr>
                <w:rFonts w:ascii="Calibri" w:eastAsia="Times New Roman" w:hAnsi="Calibri" w:cs="Calibri"/>
                <w:noProof/>
                <w:color w:val="000000"/>
                <w:lang w:eastAsia="en-GB"/>
              </w:rPr>
              <w:t> </w:t>
            </w:r>
          </w:p>
        </w:tc>
        <w:tc>
          <w:tcPr>
            <w:tcW w:w="1013"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2.482.615 </w:t>
            </w:r>
            <w:r>
              <w:rPr>
                <w:rFonts w:ascii="Calibri" w:eastAsia="Times New Roman" w:hAnsi="Calibri" w:cs="Calibri"/>
                <w:noProof/>
                <w:color w:val="000000"/>
                <w:lang w:eastAsia="en-GB"/>
              </w:rPr>
              <w:t> </w:t>
            </w:r>
          </w:p>
        </w:tc>
        <w:tc>
          <w:tcPr>
            <w:tcW w:w="93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908.389 </w:t>
            </w:r>
            <w:r>
              <w:rPr>
                <w:rFonts w:ascii="Calibri" w:eastAsia="Times New Roman" w:hAnsi="Calibri" w:cs="Calibri"/>
                <w:noProof/>
                <w:color w:val="000000"/>
                <w:lang w:eastAsia="en-GB"/>
              </w:rPr>
              <w:t> </w:t>
            </w:r>
          </w:p>
        </w:tc>
        <w:tc>
          <w:tcPr>
            <w:tcW w:w="918"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328.856 </w:t>
            </w:r>
            <w:r>
              <w:rPr>
                <w:rFonts w:ascii="Calibri" w:eastAsia="Times New Roman" w:hAnsi="Calibri" w:cs="Calibri"/>
                <w:noProof/>
                <w:color w:val="000000"/>
                <w:lang w:eastAsia="en-GB"/>
              </w:rPr>
              <w:t> </w:t>
            </w:r>
          </w:p>
        </w:tc>
        <w:tc>
          <w:tcPr>
            <w:tcW w:w="997"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51.764 </w:t>
            </w:r>
            <w:r>
              <w:rPr>
                <w:rFonts w:ascii="Calibri" w:eastAsia="Times New Roman" w:hAnsi="Calibri" w:cs="Calibri"/>
                <w:noProof/>
                <w:color w:val="000000"/>
                <w:lang w:eastAsia="en-GB"/>
              </w:rPr>
              <w:t> </w:t>
            </w:r>
          </w:p>
        </w:tc>
        <w:tc>
          <w:tcPr>
            <w:tcW w:w="737"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33.495 </w:t>
            </w:r>
            <w:r>
              <w:rPr>
                <w:rFonts w:ascii="Calibri" w:eastAsia="Times New Roman" w:hAnsi="Calibri" w:cs="Calibri"/>
                <w:noProof/>
                <w:color w:val="000000"/>
                <w:lang w:eastAsia="en-GB"/>
              </w:rPr>
              <w:t> </w:t>
            </w:r>
          </w:p>
        </w:tc>
      </w:tr>
      <w:tr>
        <w:trPr>
          <w:trHeight w:val="300"/>
        </w:trPr>
        <w:tc>
          <w:tcPr>
            <w:cnfStyle w:val="001000000000" w:firstRow="0" w:lastRow="0" w:firstColumn="1" w:lastColumn="0" w:oddVBand="0" w:evenVBand="0" w:oddHBand="0" w:evenHBand="0" w:firstRowFirstColumn="0" w:firstRowLastColumn="0" w:lastRowFirstColumn="0" w:lastRowLastColumn="0"/>
            <w:tcW w:w="401" w:type="pct"/>
            <w:hideMark/>
          </w:tcPr>
          <w:p>
            <w:pPr>
              <w:textAlignment w:val="baseline"/>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PT</w:t>
            </w:r>
            <w:r>
              <w:rPr>
                <w:rFonts w:ascii="Calibri" w:eastAsia="Times New Roman" w:hAnsi="Calibri" w:cs="Calibri"/>
                <w:noProof/>
                <w:color w:val="000000"/>
                <w:lang w:eastAsia="en-GB"/>
              </w:rPr>
              <w:t> </w:t>
            </w:r>
          </w:p>
        </w:tc>
        <w:tc>
          <w:tcPr>
            <w:tcW w:w="1013"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2.206.568 </w:t>
            </w:r>
            <w:r>
              <w:rPr>
                <w:rFonts w:ascii="Calibri" w:eastAsia="Times New Roman" w:hAnsi="Calibri" w:cs="Calibri"/>
                <w:noProof/>
                <w:color w:val="000000"/>
                <w:lang w:eastAsia="en-GB"/>
              </w:rPr>
              <w:t> </w:t>
            </w:r>
          </w:p>
        </w:tc>
        <w:tc>
          <w:tcPr>
            <w:tcW w:w="93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918"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997"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737"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1" w:type="pct"/>
            <w:hideMark/>
          </w:tcPr>
          <w:p>
            <w:pPr>
              <w:textAlignment w:val="baseline"/>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RO</w:t>
            </w:r>
            <w:r>
              <w:rPr>
                <w:rFonts w:ascii="Calibri" w:eastAsia="Times New Roman" w:hAnsi="Calibri" w:cs="Calibri"/>
                <w:noProof/>
                <w:color w:val="000000"/>
                <w:lang w:eastAsia="en-GB"/>
              </w:rPr>
              <w:t> </w:t>
            </w:r>
          </w:p>
        </w:tc>
        <w:tc>
          <w:tcPr>
            <w:tcW w:w="1013"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1.375.516 </w:t>
            </w:r>
            <w:r>
              <w:rPr>
                <w:rFonts w:ascii="Calibri" w:eastAsia="Times New Roman" w:hAnsi="Calibri" w:cs="Calibri"/>
                <w:noProof/>
                <w:color w:val="000000"/>
                <w:lang w:eastAsia="en-GB"/>
              </w:rPr>
              <w:t> </w:t>
            </w:r>
          </w:p>
        </w:tc>
        <w:tc>
          <w:tcPr>
            <w:tcW w:w="93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320.464 </w:t>
            </w:r>
            <w:r>
              <w:rPr>
                <w:rFonts w:ascii="Calibri" w:eastAsia="Times New Roman" w:hAnsi="Calibri" w:cs="Calibri"/>
                <w:noProof/>
                <w:color w:val="000000"/>
                <w:lang w:eastAsia="en-GB"/>
              </w:rPr>
              <w:t> </w:t>
            </w:r>
          </w:p>
        </w:tc>
        <w:tc>
          <w:tcPr>
            <w:tcW w:w="918"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106.415 </w:t>
            </w:r>
            <w:r>
              <w:rPr>
                <w:rFonts w:ascii="Calibri" w:eastAsia="Times New Roman" w:hAnsi="Calibri" w:cs="Calibri"/>
                <w:noProof/>
                <w:color w:val="000000"/>
                <w:lang w:eastAsia="en-GB"/>
              </w:rPr>
              <w:t> </w:t>
            </w:r>
          </w:p>
        </w:tc>
        <w:tc>
          <w:tcPr>
            <w:tcW w:w="997"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16.751 </w:t>
            </w:r>
            <w:r>
              <w:rPr>
                <w:rFonts w:ascii="Calibri" w:eastAsia="Times New Roman" w:hAnsi="Calibri" w:cs="Calibri"/>
                <w:noProof/>
                <w:color w:val="000000"/>
                <w:lang w:eastAsia="en-GB"/>
              </w:rPr>
              <w:t> </w:t>
            </w:r>
          </w:p>
        </w:tc>
        <w:tc>
          <w:tcPr>
            <w:tcW w:w="737"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10.839 </w:t>
            </w:r>
            <w:r>
              <w:rPr>
                <w:rFonts w:ascii="Calibri" w:eastAsia="Times New Roman" w:hAnsi="Calibri" w:cs="Calibri"/>
                <w:noProof/>
                <w:color w:val="000000"/>
                <w:lang w:eastAsia="en-GB"/>
              </w:rPr>
              <w:t> </w:t>
            </w:r>
          </w:p>
        </w:tc>
      </w:tr>
      <w:tr>
        <w:trPr>
          <w:trHeight w:val="300"/>
        </w:trPr>
        <w:tc>
          <w:tcPr>
            <w:cnfStyle w:val="001000000000" w:firstRow="0" w:lastRow="0" w:firstColumn="1" w:lastColumn="0" w:oddVBand="0" w:evenVBand="0" w:oddHBand="0" w:evenHBand="0" w:firstRowFirstColumn="0" w:firstRowLastColumn="0" w:lastRowFirstColumn="0" w:lastRowLastColumn="0"/>
            <w:tcW w:w="401" w:type="pct"/>
            <w:hideMark/>
          </w:tcPr>
          <w:p>
            <w:pPr>
              <w:textAlignment w:val="baseline"/>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SE</w:t>
            </w:r>
            <w:r>
              <w:rPr>
                <w:rFonts w:ascii="Calibri" w:eastAsia="Times New Roman" w:hAnsi="Calibri" w:cs="Calibri"/>
                <w:noProof/>
                <w:color w:val="000000"/>
                <w:lang w:eastAsia="en-GB"/>
              </w:rPr>
              <w:t> </w:t>
            </w:r>
          </w:p>
        </w:tc>
        <w:tc>
          <w:tcPr>
            <w:tcW w:w="1013"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2.110.273 </w:t>
            </w:r>
            <w:r>
              <w:rPr>
                <w:rFonts w:ascii="Calibri" w:eastAsia="Times New Roman" w:hAnsi="Calibri" w:cs="Calibri"/>
                <w:noProof/>
                <w:color w:val="000000"/>
                <w:lang w:eastAsia="en-GB"/>
              </w:rPr>
              <w:t> </w:t>
            </w:r>
          </w:p>
        </w:tc>
        <w:tc>
          <w:tcPr>
            <w:tcW w:w="93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918"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997"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c>
          <w:tcPr>
            <w:tcW w:w="737"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0 </w:t>
            </w:r>
            <w:r>
              <w:rPr>
                <w:rFonts w:ascii="Calibri" w:eastAsia="Times New Roman" w:hAnsi="Calibri" w:cs="Calibri"/>
                <w:noProof/>
                <w:color w:val="000000"/>
                <w:lang w:eastAsia="en-GB"/>
              </w:rPr>
              <w:t>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1" w:type="pct"/>
            <w:hideMark/>
          </w:tcPr>
          <w:p>
            <w:pPr>
              <w:textAlignment w:val="baseline"/>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SI</w:t>
            </w:r>
            <w:r>
              <w:rPr>
                <w:rFonts w:ascii="Calibri" w:eastAsia="Times New Roman" w:hAnsi="Calibri" w:cs="Calibri"/>
                <w:noProof/>
                <w:color w:val="000000"/>
                <w:lang w:eastAsia="en-GB"/>
              </w:rPr>
              <w:t> </w:t>
            </w:r>
          </w:p>
        </w:tc>
        <w:tc>
          <w:tcPr>
            <w:tcW w:w="1013"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510.703 </w:t>
            </w:r>
            <w:r>
              <w:rPr>
                <w:rFonts w:ascii="Calibri" w:eastAsia="Times New Roman" w:hAnsi="Calibri" w:cs="Calibri"/>
                <w:noProof/>
                <w:color w:val="000000"/>
                <w:lang w:eastAsia="en-GB"/>
              </w:rPr>
              <w:t> </w:t>
            </w:r>
          </w:p>
        </w:tc>
        <w:tc>
          <w:tcPr>
            <w:tcW w:w="93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123.214 </w:t>
            </w:r>
            <w:r>
              <w:rPr>
                <w:rFonts w:ascii="Calibri" w:eastAsia="Times New Roman" w:hAnsi="Calibri" w:cs="Calibri"/>
                <w:noProof/>
                <w:color w:val="000000"/>
                <w:lang w:eastAsia="en-GB"/>
              </w:rPr>
              <w:t> </w:t>
            </w:r>
          </w:p>
        </w:tc>
        <w:tc>
          <w:tcPr>
            <w:tcW w:w="918"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39.347 </w:t>
            </w:r>
            <w:r>
              <w:rPr>
                <w:rFonts w:ascii="Calibri" w:eastAsia="Times New Roman" w:hAnsi="Calibri" w:cs="Calibri"/>
                <w:noProof/>
                <w:color w:val="000000"/>
                <w:lang w:eastAsia="en-GB"/>
              </w:rPr>
              <w:t> </w:t>
            </w:r>
          </w:p>
        </w:tc>
        <w:tc>
          <w:tcPr>
            <w:tcW w:w="997"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6.194 </w:t>
            </w:r>
            <w:r>
              <w:rPr>
                <w:rFonts w:ascii="Calibri" w:eastAsia="Times New Roman" w:hAnsi="Calibri" w:cs="Calibri"/>
                <w:noProof/>
                <w:color w:val="000000"/>
                <w:lang w:eastAsia="en-GB"/>
              </w:rPr>
              <w:t> </w:t>
            </w:r>
          </w:p>
        </w:tc>
        <w:tc>
          <w:tcPr>
            <w:tcW w:w="737"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4.008 </w:t>
            </w:r>
            <w:r>
              <w:rPr>
                <w:rFonts w:ascii="Calibri" w:eastAsia="Times New Roman" w:hAnsi="Calibri" w:cs="Calibri"/>
                <w:noProof/>
                <w:color w:val="000000"/>
                <w:lang w:eastAsia="en-GB"/>
              </w:rPr>
              <w:t> </w:t>
            </w:r>
          </w:p>
        </w:tc>
      </w:tr>
      <w:tr>
        <w:trPr>
          <w:trHeight w:val="300"/>
        </w:trPr>
        <w:tc>
          <w:tcPr>
            <w:cnfStyle w:val="001000000000" w:firstRow="0" w:lastRow="0" w:firstColumn="1" w:lastColumn="0" w:oddVBand="0" w:evenVBand="0" w:oddHBand="0" w:evenHBand="0" w:firstRowFirstColumn="0" w:firstRowLastColumn="0" w:lastRowFirstColumn="0" w:lastRowLastColumn="0"/>
            <w:tcW w:w="401" w:type="pct"/>
            <w:hideMark/>
          </w:tcPr>
          <w:p>
            <w:pPr>
              <w:textAlignment w:val="baseline"/>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SK</w:t>
            </w:r>
            <w:r>
              <w:rPr>
                <w:rFonts w:ascii="Calibri" w:eastAsia="Times New Roman" w:hAnsi="Calibri" w:cs="Calibri"/>
                <w:noProof/>
                <w:color w:val="000000"/>
                <w:lang w:eastAsia="en-GB"/>
              </w:rPr>
              <w:t> </w:t>
            </w:r>
          </w:p>
        </w:tc>
        <w:tc>
          <w:tcPr>
            <w:tcW w:w="1013"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534.360 </w:t>
            </w:r>
            <w:r>
              <w:rPr>
                <w:rFonts w:ascii="Calibri" w:eastAsia="Times New Roman" w:hAnsi="Calibri" w:cs="Calibri"/>
                <w:noProof/>
                <w:color w:val="000000"/>
                <w:lang w:eastAsia="en-GB"/>
              </w:rPr>
              <w:t> </w:t>
            </w:r>
          </w:p>
        </w:tc>
        <w:tc>
          <w:tcPr>
            <w:tcW w:w="93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150.729 </w:t>
            </w:r>
            <w:r>
              <w:rPr>
                <w:rFonts w:ascii="Calibri" w:eastAsia="Times New Roman" w:hAnsi="Calibri" w:cs="Calibri"/>
                <w:noProof/>
                <w:color w:val="000000"/>
                <w:lang w:eastAsia="en-GB"/>
              </w:rPr>
              <w:t> </w:t>
            </w:r>
          </w:p>
        </w:tc>
        <w:tc>
          <w:tcPr>
            <w:tcW w:w="918"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56.364 </w:t>
            </w:r>
            <w:r>
              <w:rPr>
                <w:rFonts w:ascii="Calibri" w:eastAsia="Times New Roman" w:hAnsi="Calibri" w:cs="Calibri"/>
                <w:noProof/>
                <w:color w:val="000000"/>
                <w:lang w:eastAsia="en-GB"/>
              </w:rPr>
              <w:t> </w:t>
            </w:r>
          </w:p>
        </w:tc>
        <w:tc>
          <w:tcPr>
            <w:tcW w:w="997"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8.872 </w:t>
            </w:r>
            <w:r>
              <w:rPr>
                <w:rFonts w:ascii="Calibri" w:eastAsia="Times New Roman" w:hAnsi="Calibri" w:cs="Calibri"/>
                <w:noProof/>
                <w:color w:val="000000"/>
                <w:lang w:eastAsia="en-GB"/>
              </w:rPr>
              <w:t> </w:t>
            </w:r>
          </w:p>
        </w:tc>
        <w:tc>
          <w:tcPr>
            <w:tcW w:w="737"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en-GB"/>
              </w:rPr>
            </w:pPr>
            <w:r>
              <w:rPr>
                <w:rFonts w:ascii="Calibri" w:eastAsia="Times New Roman" w:hAnsi="Calibri" w:cs="Calibri"/>
                <w:noProof/>
                <w:color w:val="000000"/>
                <w:lang w:val="fr-FR" w:eastAsia="en-GB"/>
              </w:rPr>
              <w:t xml:space="preserve">5.741 </w:t>
            </w:r>
            <w:r>
              <w:rPr>
                <w:rFonts w:ascii="Calibri" w:eastAsia="Times New Roman" w:hAnsi="Calibri" w:cs="Calibri"/>
                <w:noProof/>
                <w:color w:val="000000"/>
                <w:lang w:eastAsia="en-GB"/>
              </w:rPr>
              <w:t> </w:t>
            </w:r>
          </w:p>
        </w:tc>
      </w:tr>
      <w:tr>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5000" w:type="pct"/>
            <w:gridSpan w:val="6"/>
          </w:tcPr>
          <w:p>
            <w:pPr>
              <w:rPr>
                <w:rFonts w:ascii="Times New Roman" w:hAnsi="Times New Roman" w:cs="Times New Roman"/>
                <w:b w:val="0"/>
                <w:i/>
                <w:noProof/>
                <w:color w:val="auto"/>
                <w:sz w:val="20"/>
                <w:szCs w:val="20"/>
              </w:rPr>
            </w:pPr>
            <w:r>
              <w:rPr>
                <w:rFonts w:ascii="Times New Roman" w:hAnsi="Times New Roman" w:cs="Times New Roman"/>
                <w:i/>
                <w:iCs/>
                <w:noProof/>
                <w:sz w:val="20"/>
                <w:szCs w:val="20"/>
              </w:rPr>
              <w:t>Source: own calculations on Eurostat data</w:t>
            </w:r>
          </w:p>
          <w:p>
            <w:pPr>
              <w:ind w:right="-1305"/>
              <w:jc w:val="both"/>
              <w:rPr>
                <w:rFonts w:ascii="Calibri" w:eastAsia="Times New Roman" w:hAnsi="Calibri" w:cs="Calibri"/>
                <w:noProof/>
                <w:color w:val="000000"/>
                <w:lang w:val="fr-FR" w:eastAsia="en-GB"/>
              </w:rPr>
            </w:pPr>
            <w:r>
              <w:rPr>
                <w:rFonts w:ascii="Times New Roman" w:hAnsi="Times New Roman" w:cs="Times New Roman"/>
                <w:i/>
                <w:iCs/>
                <w:noProof/>
                <w:sz w:val="20"/>
                <w:szCs w:val="20"/>
              </w:rPr>
              <w:t>Note: costs take into account existing measures in the</w:t>
            </w:r>
            <w:r>
              <w:rPr>
                <w:i/>
                <w:iCs/>
                <w:noProof/>
                <w:sz w:val="20"/>
                <w:szCs w:val="20"/>
              </w:rPr>
              <w:t xml:space="preserve"> </w:t>
            </w:r>
            <w:r>
              <w:rPr>
                <w:rFonts w:ascii="Times New Roman" w:hAnsi="Times New Roman" w:cs="Times New Roman"/>
                <w:i/>
                <w:iCs/>
                <w:noProof/>
                <w:sz w:val="20"/>
                <w:szCs w:val="20"/>
              </w:rPr>
              <w:t>Member States. Microenterprises are excluded</w:t>
            </w:r>
          </w:p>
        </w:tc>
      </w:tr>
    </w:tbl>
    <w:p>
      <w:pPr>
        <w:spacing w:after="0" w:line="240" w:lineRule="auto"/>
        <w:textAlignment w:val="baseline"/>
        <w:rPr>
          <w:rFonts w:ascii="Segoe UI" w:eastAsia="Times New Roman" w:hAnsi="Segoe UI" w:cs="Segoe UI"/>
          <w:noProof/>
          <w:sz w:val="18"/>
          <w:szCs w:val="18"/>
          <w:lang w:eastAsia="en-GB"/>
        </w:rPr>
      </w:pPr>
      <w:r>
        <w:rPr>
          <w:rFonts w:ascii="Calibri" w:eastAsia="Times New Roman" w:hAnsi="Calibri" w:cs="Calibri"/>
          <w:noProof/>
          <w:lang w:eastAsia="en-GB"/>
        </w:rPr>
        <w:t> </w:t>
      </w:r>
    </w:p>
    <w:p>
      <w:pPr>
        <w:rPr>
          <w:rFonts w:ascii="Times New Roman" w:hAnsi="Times New Roman" w:cs="Times New Roman"/>
          <w:noProof/>
          <w:sz w:val="24"/>
          <w:szCs w:val="24"/>
        </w:rPr>
        <w:sectPr>
          <w:headerReference w:type="even" r:id="rId175"/>
          <w:headerReference w:type="default" r:id="rId176"/>
          <w:footerReference w:type="even" r:id="rId177"/>
          <w:footerReference w:type="default" r:id="rId178"/>
          <w:headerReference w:type="first" r:id="rId179"/>
          <w:footerReference w:type="first" r:id="rId180"/>
          <w:pgSz w:w="11906" w:h="16838"/>
          <w:pgMar w:top="1020" w:right="1701" w:bottom="1020" w:left="1587" w:header="601" w:footer="1077" w:gutter="0"/>
          <w:cols w:space="720"/>
          <w:titlePg/>
          <w:docGrid w:linePitch="299"/>
        </w:sectPr>
      </w:pPr>
    </w:p>
    <w:tbl>
      <w:tblPr>
        <w:tblStyle w:val="GridTable5DarkAccent4"/>
        <w:tblpPr w:leftFromText="180" w:rightFromText="180" w:vertAnchor="text" w:horzAnchor="margin" w:tblpX="-289" w:tblpY="26"/>
        <w:tblW w:w="9493" w:type="dxa"/>
        <w:tblInd w:w="0" w:type="dxa"/>
        <w:tblLayout w:type="fixed"/>
        <w:tblLook w:val="04A0" w:firstRow="1" w:lastRow="0" w:firstColumn="1" w:lastColumn="0" w:noHBand="0" w:noVBand="1"/>
      </w:tblPr>
      <w:tblGrid>
        <w:gridCol w:w="536"/>
        <w:gridCol w:w="1160"/>
        <w:gridCol w:w="1276"/>
        <w:gridCol w:w="1134"/>
        <w:gridCol w:w="1134"/>
        <w:gridCol w:w="1134"/>
        <w:gridCol w:w="1134"/>
        <w:gridCol w:w="992"/>
        <w:gridCol w:w="993"/>
      </w:tblGrid>
      <w:tr>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08" w:type="dxa"/>
            <w:gridSpan w:val="7"/>
            <w:hideMark/>
          </w:tcPr>
          <w:p>
            <w:pPr>
              <w:jc w:val="both"/>
              <w:textAlignment w:val="baseline"/>
              <w:rPr>
                <w:rFonts w:ascii="Segoe UI" w:eastAsia="Times New Roman" w:hAnsi="Segoe UI" w:cs="Segoe UI"/>
                <w:noProof/>
                <w:color w:val="auto"/>
                <w:sz w:val="20"/>
                <w:szCs w:val="20"/>
                <w:lang w:eastAsia="en-GB"/>
              </w:rPr>
            </w:pPr>
            <w:r>
              <w:rPr>
                <w:rFonts w:ascii="Calibri" w:eastAsia="Times New Roman" w:hAnsi="Calibri" w:cs="Segoe UI"/>
                <w:noProof/>
                <w:color w:val="auto"/>
                <w:sz w:val="20"/>
                <w:szCs w:val="20"/>
                <w:lang w:val="en-US" w:eastAsia="en-GB"/>
              </w:rPr>
              <w:t>Option 2A - Equal pay certification - cost per MS and class-size - Minimun and maximum - Euro</w:t>
            </w:r>
            <w:r>
              <w:rPr>
                <w:rFonts w:ascii="Calibri" w:eastAsia="Times New Roman" w:hAnsi="Calibri" w:cs="Segoe UI"/>
                <w:noProof/>
                <w:color w:val="auto"/>
                <w:sz w:val="20"/>
                <w:szCs w:val="20"/>
                <w:lang w:eastAsia="en-GB"/>
              </w:rPr>
              <w:t> </w:t>
            </w:r>
          </w:p>
        </w:tc>
        <w:tc>
          <w:tcPr>
            <w:tcW w:w="992" w:type="dxa"/>
            <w:hideMark/>
          </w:tcPr>
          <w:p>
            <w:pPr>
              <w:textAlignment w:val="baseline"/>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Segoe UI"/>
                <w:noProof/>
                <w:color w:val="FFFFFF"/>
                <w:sz w:val="20"/>
                <w:szCs w:val="20"/>
                <w:lang w:val="en-US" w:eastAsia="en-GB"/>
              </w:rPr>
              <w:t> </w:t>
            </w:r>
            <w:r>
              <w:rPr>
                <w:rFonts w:ascii="Calibri" w:eastAsia="Times New Roman" w:hAnsi="Calibri" w:cs="Segoe UI"/>
                <w:noProof/>
                <w:color w:val="FFFFFF"/>
                <w:sz w:val="20"/>
                <w:szCs w:val="20"/>
                <w:lang w:eastAsia="en-GB"/>
              </w:rPr>
              <w:t> </w:t>
            </w:r>
          </w:p>
        </w:tc>
        <w:tc>
          <w:tcPr>
            <w:tcW w:w="993" w:type="dxa"/>
            <w:hideMark/>
          </w:tcPr>
          <w:p>
            <w:pPr>
              <w:textAlignment w:val="baseline"/>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Segoe UI"/>
                <w:noProof/>
                <w:color w:val="FFFFFF"/>
                <w:sz w:val="20"/>
                <w:szCs w:val="20"/>
                <w:lang w:val="en-US" w:eastAsia="en-GB"/>
              </w:rPr>
              <w:t> </w:t>
            </w:r>
            <w:r>
              <w:rPr>
                <w:rFonts w:ascii="Calibri" w:eastAsia="Times New Roman" w:hAnsi="Calibri" w:cs="Segoe UI"/>
                <w:noProof/>
                <w:color w:val="FFFFFF"/>
                <w:sz w:val="20"/>
                <w:szCs w:val="20"/>
                <w:lang w:eastAsia="en-GB"/>
              </w:rPr>
              <w:t>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6" w:type="dxa"/>
            <w:hideMark/>
          </w:tcPr>
          <w:p>
            <w:pPr>
              <w:textAlignment w:val="baseline"/>
              <w:rPr>
                <w:rFonts w:ascii="Segoe UI" w:eastAsia="Times New Roman" w:hAnsi="Segoe UI" w:cs="Segoe UI"/>
                <w:noProof/>
                <w:sz w:val="20"/>
                <w:szCs w:val="20"/>
                <w:lang w:eastAsia="en-GB"/>
              </w:rPr>
            </w:pPr>
            <w:r>
              <w:rPr>
                <w:rFonts w:ascii="Calibri" w:eastAsia="Times New Roman" w:hAnsi="Calibri" w:cs="Segoe UI"/>
                <w:noProof/>
                <w:color w:val="FFFFFF"/>
                <w:sz w:val="20"/>
                <w:szCs w:val="20"/>
                <w:lang w:val="en-US" w:eastAsia="en-GB"/>
              </w:rPr>
              <w:t> </w:t>
            </w:r>
            <w:r>
              <w:rPr>
                <w:rFonts w:ascii="Calibri" w:eastAsia="Times New Roman" w:hAnsi="Calibri" w:cs="Segoe UI"/>
                <w:noProof/>
                <w:color w:val="FFFFFF"/>
                <w:sz w:val="20"/>
                <w:szCs w:val="20"/>
                <w:lang w:eastAsia="en-GB"/>
              </w:rPr>
              <w:t> </w:t>
            </w:r>
          </w:p>
        </w:tc>
        <w:tc>
          <w:tcPr>
            <w:tcW w:w="2436" w:type="dxa"/>
            <w:gridSpan w:val="2"/>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noProof/>
                <w:sz w:val="20"/>
                <w:szCs w:val="20"/>
                <w:lang w:eastAsia="en-GB"/>
              </w:rPr>
            </w:pPr>
            <w:r>
              <w:rPr>
                <w:rFonts w:ascii="Calibri" w:eastAsia="Times New Roman" w:hAnsi="Calibri" w:cs="Segoe UI"/>
                <w:b/>
                <w:bCs/>
                <w:noProof/>
                <w:sz w:val="20"/>
                <w:szCs w:val="20"/>
                <w:lang w:val="fr-FR" w:eastAsia="en-GB"/>
              </w:rPr>
              <w:t>50≤N&lt;250</w:t>
            </w:r>
            <w:r>
              <w:rPr>
                <w:rFonts w:ascii="Calibri" w:eastAsia="Times New Roman" w:hAnsi="Calibri" w:cs="Segoe UI"/>
                <w:b/>
                <w:bCs/>
                <w:noProof/>
                <w:sz w:val="20"/>
                <w:szCs w:val="20"/>
                <w:lang w:eastAsia="en-GB"/>
              </w:rPr>
              <w:t> </w:t>
            </w:r>
          </w:p>
        </w:tc>
        <w:tc>
          <w:tcPr>
            <w:tcW w:w="2268" w:type="dxa"/>
            <w:gridSpan w:val="2"/>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noProof/>
                <w:sz w:val="20"/>
                <w:szCs w:val="20"/>
                <w:lang w:eastAsia="en-GB"/>
              </w:rPr>
            </w:pPr>
            <w:r>
              <w:rPr>
                <w:rFonts w:ascii="Calibri" w:eastAsia="Times New Roman" w:hAnsi="Calibri" w:cs="Segoe UI"/>
                <w:b/>
                <w:bCs/>
                <w:noProof/>
                <w:sz w:val="20"/>
                <w:szCs w:val="20"/>
                <w:lang w:val="fr-FR" w:eastAsia="en-GB"/>
              </w:rPr>
              <w:t>250≤N&lt;500</w:t>
            </w:r>
            <w:r>
              <w:rPr>
                <w:rFonts w:ascii="Calibri" w:eastAsia="Times New Roman" w:hAnsi="Calibri" w:cs="Segoe UI"/>
                <w:b/>
                <w:bCs/>
                <w:noProof/>
                <w:sz w:val="20"/>
                <w:szCs w:val="20"/>
                <w:lang w:eastAsia="en-GB"/>
              </w:rPr>
              <w:t> </w:t>
            </w:r>
          </w:p>
        </w:tc>
        <w:tc>
          <w:tcPr>
            <w:tcW w:w="2268" w:type="dxa"/>
            <w:gridSpan w:val="2"/>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noProof/>
                <w:sz w:val="20"/>
                <w:szCs w:val="20"/>
                <w:lang w:eastAsia="en-GB"/>
              </w:rPr>
            </w:pPr>
            <w:r>
              <w:rPr>
                <w:rFonts w:ascii="Calibri" w:eastAsia="Times New Roman" w:hAnsi="Calibri" w:cs="Segoe UI"/>
                <w:b/>
                <w:bCs/>
                <w:noProof/>
                <w:sz w:val="20"/>
                <w:szCs w:val="20"/>
                <w:lang w:val="fr-FR" w:eastAsia="en-GB"/>
              </w:rPr>
              <w:t>500≤N&lt;1000</w:t>
            </w:r>
            <w:r>
              <w:rPr>
                <w:rFonts w:ascii="Calibri" w:eastAsia="Times New Roman" w:hAnsi="Calibri" w:cs="Segoe UI"/>
                <w:b/>
                <w:bCs/>
                <w:noProof/>
                <w:sz w:val="20"/>
                <w:szCs w:val="20"/>
                <w:lang w:eastAsia="en-GB"/>
              </w:rPr>
              <w:t> </w:t>
            </w:r>
          </w:p>
        </w:tc>
        <w:tc>
          <w:tcPr>
            <w:tcW w:w="1985" w:type="dxa"/>
            <w:gridSpan w:val="2"/>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noProof/>
                <w:sz w:val="20"/>
                <w:szCs w:val="20"/>
                <w:lang w:eastAsia="en-GB"/>
              </w:rPr>
            </w:pPr>
            <w:r>
              <w:rPr>
                <w:rFonts w:ascii="Calibri" w:eastAsia="Times New Roman" w:hAnsi="Calibri" w:cs="Segoe UI"/>
                <w:b/>
                <w:bCs/>
                <w:noProof/>
                <w:sz w:val="20"/>
                <w:szCs w:val="20"/>
                <w:lang w:val="fr-FR" w:eastAsia="en-GB"/>
              </w:rPr>
              <w:t>N≥1000</w:t>
            </w:r>
            <w:r>
              <w:rPr>
                <w:rFonts w:ascii="Calibri" w:eastAsia="Times New Roman" w:hAnsi="Calibri" w:cs="Segoe UI"/>
                <w:b/>
                <w:bCs/>
                <w:noProof/>
                <w:sz w:val="20"/>
                <w:szCs w:val="20"/>
                <w:lang w:eastAsia="en-GB"/>
              </w:rPr>
              <w:t> </w:t>
            </w:r>
          </w:p>
        </w:tc>
      </w:tr>
      <w:tr>
        <w:trPr>
          <w:trHeight w:val="300"/>
        </w:trPr>
        <w:tc>
          <w:tcPr>
            <w:cnfStyle w:val="001000000000" w:firstRow="0" w:lastRow="0" w:firstColumn="1" w:lastColumn="0" w:oddVBand="0" w:evenVBand="0" w:oddHBand="0" w:evenHBand="0" w:firstRowFirstColumn="0" w:firstRowLastColumn="0" w:lastRowFirstColumn="0" w:lastRowLastColumn="0"/>
            <w:tcW w:w="536" w:type="dxa"/>
            <w:hideMark/>
          </w:tcPr>
          <w:p>
            <w:pPr>
              <w:textAlignment w:val="baseline"/>
              <w:rPr>
                <w:rFonts w:ascii="Segoe UI" w:eastAsia="Times New Roman" w:hAnsi="Segoe UI" w:cs="Segoe UI"/>
                <w:noProof/>
                <w:sz w:val="20"/>
                <w:szCs w:val="20"/>
                <w:lang w:eastAsia="en-GB"/>
              </w:rPr>
            </w:pPr>
            <w:r>
              <w:rPr>
                <w:rFonts w:ascii="Calibri" w:eastAsia="Times New Roman" w:hAnsi="Calibri" w:cs="Segoe UI"/>
                <w:noProof/>
                <w:color w:val="FFFFFF"/>
                <w:sz w:val="20"/>
                <w:szCs w:val="20"/>
                <w:lang w:val="fr-FR" w:eastAsia="en-GB"/>
              </w:rPr>
              <w:t> </w:t>
            </w:r>
            <w:r>
              <w:rPr>
                <w:rFonts w:ascii="Calibri" w:eastAsia="Times New Roman" w:hAnsi="Calibri" w:cs="Segoe UI"/>
                <w:noProof/>
                <w:color w:val="FFFFFF"/>
                <w:sz w:val="20"/>
                <w:szCs w:val="20"/>
                <w:lang w:eastAsia="en-GB"/>
              </w:rPr>
              <w:t> </w:t>
            </w:r>
          </w:p>
        </w:tc>
        <w:tc>
          <w:tcPr>
            <w:tcW w:w="1160"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noProof/>
                <w:sz w:val="20"/>
                <w:szCs w:val="20"/>
                <w:lang w:eastAsia="en-GB"/>
              </w:rPr>
            </w:pPr>
            <w:r>
              <w:rPr>
                <w:rFonts w:ascii="Calibri" w:eastAsia="Times New Roman" w:hAnsi="Calibri" w:cs="Segoe UI"/>
                <w:b/>
                <w:bCs/>
                <w:noProof/>
                <w:sz w:val="20"/>
                <w:szCs w:val="20"/>
                <w:lang w:val="fr-FR" w:eastAsia="en-GB"/>
              </w:rPr>
              <w:t>Min</w:t>
            </w:r>
            <w:r>
              <w:rPr>
                <w:rFonts w:ascii="Calibri" w:eastAsia="Times New Roman" w:hAnsi="Calibri" w:cs="Segoe UI"/>
                <w:b/>
                <w:bCs/>
                <w:noProof/>
                <w:sz w:val="20"/>
                <w:szCs w:val="20"/>
                <w:lang w:eastAsia="en-GB"/>
              </w:rPr>
              <w:t> </w:t>
            </w:r>
          </w:p>
        </w:tc>
        <w:tc>
          <w:tcPr>
            <w:tcW w:w="1276"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noProof/>
                <w:sz w:val="20"/>
                <w:szCs w:val="20"/>
                <w:lang w:eastAsia="en-GB"/>
              </w:rPr>
            </w:pPr>
            <w:r>
              <w:rPr>
                <w:rFonts w:ascii="Calibri" w:eastAsia="Times New Roman" w:hAnsi="Calibri" w:cs="Segoe UI"/>
                <w:b/>
                <w:bCs/>
                <w:noProof/>
                <w:sz w:val="20"/>
                <w:szCs w:val="20"/>
                <w:lang w:val="fr-FR" w:eastAsia="en-GB"/>
              </w:rPr>
              <w:t>Max</w:t>
            </w:r>
            <w:r>
              <w:rPr>
                <w:rFonts w:ascii="Calibri" w:eastAsia="Times New Roman" w:hAnsi="Calibri" w:cs="Segoe UI"/>
                <w:b/>
                <w:bCs/>
                <w:noProof/>
                <w:sz w:val="20"/>
                <w:szCs w:val="20"/>
                <w:lang w:eastAsia="en-GB"/>
              </w:rPr>
              <w:t> </w:t>
            </w:r>
          </w:p>
        </w:tc>
        <w:tc>
          <w:tcPr>
            <w:tcW w:w="1134"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noProof/>
                <w:sz w:val="20"/>
                <w:szCs w:val="20"/>
                <w:lang w:eastAsia="en-GB"/>
              </w:rPr>
            </w:pPr>
            <w:r>
              <w:rPr>
                <w:rFonts w:ascii="Calibri" w:eastAsia="Times New Roman" w:hAnsi="Calibri" w:cs="Segoe UI"/>
                <w:b/>
                <w:bCs/>
                <w:noProof/>
                <w:sz w:val="20"/>
                <w:szCs w:val="20"/>
                <w:lang w:val="fr-FR" w:eastAsia="en-GB"/>
              </w:rPr>
              <w:t>Min</w:t>
            </w:r>
            <w:r>
              <w:rPr>
                <w:rFonts w:ascii="Calibri" w:eastAsia="Times New Roman" w:hAnsi="Calibri" w:cs="Segoe UI"/>
                <w:b/>
                <w:bCs/>
                <w:noProof/>
                <w:sz w:val="20"/>
                <w:szCs w:val="20"/>
                <w:lang w:eastAsia="en-GB"/>
              </w:rPr>
              <w:t> </w:t>
            </w:r>
          </w:p>
        </w:tc>
        <w:tc>
          <w:tcPr>
            <w:tcW w:w="1134"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noProof/>
                <w:sz w:val="20"/>
                <w:szCs w:val="20"/>
                <w:lang w:eastAsia="en-GB"/>
              </w:rPr>
            </w:pPr>
            <w:r>
              <w:rPr>
                <w:rFonts w:ascii="Calibri" w:eastAsia="Times New Roman" w:hAnsi="Calibri" w:cs="Segoe UI"/>
                <w:b/>
                <w:bCs/>
                <w:noProof/>
                <w:sz w:val="20"/>
                <w:szCs w:val="20"/>
                <w:lang w:val="fr-FR" w:eastAsia="en-GB"/>
              </w:rPr>
              <w:t>Max</w:t>
            </w:r>
            <w:r>
              <w:rPr>
                <w:rFonts w:ascii="Calibri" w:eastAsia="Times New Roman" w:hAnsi="Calibri" w:cs="Segoe UI"/>
                <w:b/>
                <w:bCs/>
                <w:noProof/>
                <w:sz w:val="20"/>
                <w:szCs w:val="20"/>
                <w:lang w:eastAsia="en-GB"/>
              </w:rPr>
              <w:t> </w:t>
            </w:r>
          </w:p>
        </w:tc>
        <w:tc>
          <w:tcPr>
            <w:tcW w:w="1134"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noProof/>
                <w:sz w:val="20"/>
                <w:szCs w:val="20"/>
                <w:lang w:eastAsia="en-GB"/>
              </w:rPr>
            </w:pPr>
            <w:r>
              <w:rPr>
                <w:rFonts w:ascii="Calibri" w:eastAsia="Times New Roman" w:hAnsi="Calibri" w:cs="Segoe UI"/>
                <w:b/>
                <w:bCs/>
                <w:noProof/>
                <w:sz w:val="20"/>
                <w:szCs w:val="20"/>
                <w:lang w:val="fr-FR" w:eastAsia="en-GB"/>
              </w:rPr>
              <w:t>Min</w:t>
            </w:r>
            <w:r>
              <w:rPr>
                <w:rFonts w:ascii="Calibri" w:eastAsia="Times New Roman" w:hAnsi="Calibri" w:cs="Segoe UI"/>
                <w:b/>
                <w:bCs/>
                <w:noProof/>
                <w:sz w:val="20"/>
                <w:szCs w:val="20"/>
                <w:lang w:eastAsia="en-GB"/>
              </w:rPr>
              <w:t> </w:t>
            </w:r>
          </w:p>
        </w:tc>
        <w:tc>
          <w:tcPr>
            <w:tcW w:w="1134"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noProof/>
                <w:sz w:val="20"/>
                <w:szCs w:val="20"/>
                <w:lang w:eastAsia="en-GB"/>
              </w:rPr>
            </w:pPr>
            <w:r>
              <w:rPr>
                <w:rFonts w:ascii="Calibri" w:eastAsia="Times New Roman" w:hAnsi="Calibri" w:cs="Segoe UI"/>
                <w:b/>
                <w:bCs/>
                <w:noProof/>
                <w:sz w:val="20"/>
                <w:szCs w:val="20"/>
                <w:lang w:val="fr-FR" w:eastAsia="en-GB"/>
              </w:rPr>
              <w:t>Max</w:t>
            </w:r>
            <w:r>
              <w:rPr>
                <w:rFonts w:ascii="Calibri" w:eastAsia="Times New Roman" w:hAnsi="Calibri" w:cs="Segoe UI"/>
                <w:b/>
                <w:bCs/>
                <w:noProof/>
                <w:sz w:val="20"/>
                <w:szCs w:val="20"/>
                <w:lang w:eastAsia="en-GB"/>
              </w:rPr>
              <w:t> </w:t>
            </w:r>
          </w:p>
        </w:tc>
        <w:tc>
          <w:tcPr>
            <w:tcW w:w="992"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noProof/>
                <w:sz w:val="20"/>
                <w:szCs w:val="20"/>
                <w:lang w:eastAsia="en-GB"/>
              </w:rPr>
            </w:pPr>
            <w:r>
              <w:rPr>
                <w:rFonts w:ascii="Calibri" w:eastAsia="Times New Roman" w:hAnsi="Calibri" w:cs="Segoe UI"/>
                <w:b/>
                <w:bCs/>
                <w:noProof/>
                <w:sz w:val="20"/>
                <w:szCs w:val="20"/>
                <w:lang w:val="fr-FR" w:eastAsia="en-GB"/>
              </w:rPr>
              <w:t>Min</w:t>
            </w:r>
            <w:r>
              <w:rPr>
                <w:rFonts w:ascii="Calibri" w:eastAsia="Times New Roman" w:hAnsi="Calibri" w:cs="Segoe UI"/>
                <w:b/>
                <w:bCs/>
                <w:noProof/>
                <w:sz w:val="20"/>
                <w:szCs w:val="20"/>
                <w:lang w:eastAsia="en-GB"/>
              </w:rPr>
              <w:t> </w:t>
            </w:r>
          </w:p>
        </w:tc>
        <w:tc>
          <w:tcPr>
            <w:tcW w:w="993"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noProof/>
                <w:sz w:val="20"/>
                <w:szCs w:val="20"/>
                <w:lang w:eastAsia="en-GB"/>
              </w:rPr>
            </w:pPr>
            <w:r>
              <w:rPr>
                <w:rFonts w:ascii="Calibri" w:eastAsia="Times New Roman" w:hAnsi="Calibri" w:cs="Segoe UI"/>
                <w:b/>
                <w:bCs/>
                <w:noProof/>
                <w:sz w:val="20"/>
                <w:szCs w:val="20"/>
                <w:lang w:val="fr-FR" w:eastAsia="en-GB"/>
              </w:rPr>
              <w:t>Max</w:t>
            </w:r>
            <w:r>
              <w:rPr>
                <w:rFonts w:ascii="Calibri" w:eastAsia="Times New Roman" w:hAnsi="Calibri" w:cs="Segoe UI"/>
                <w:b/>
                <w:bCs/>
                <w:noProof/>
                <w:sz w:val="20"/>
                <w:szCs w:val="20"/>
                <w:lang w:eastAsia="en-GB"/>
              </w:rPr>
              <w:t> </w:t>
            </w:r>
          </w:p>
        </w:tc>
      </w:tr>
      <w:tr>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36" w:type="dxa"/>
            <w:hideMark/>
          </w:tcPr>
          <w:p>
            <w:pPr>
              <w:textAlignment w:val="baseline"/>
              <w:rPr>
                <w:rFonts w:ascii="Segoe UI" w:eastAsia="Times New Roman" w:hAnsi="Segoe UI" w:cs="Segoe UI"/>
                <w:noProof/>
                <w:sz w:val="20"/>
                <w:szCs w:val="20"/>
                <w:lang w:eastAsia="en-GB"/>
              </w:rPr>
            </w:pPr>
            <w:r>
              <w:rPr>
                <w:rFonts w:ascii="Calibri" w:eastAsia="Times New Roman" w:hAnsi="Calibri" w:cs="Segoe UI"/>
                <w:noProof/>
                <w:color w:val="000000"/>
                <w:sz w:val="20"/>
                <w:szCs w:val="20"/>
                <w:lang w:val="fr-FR" w:eastAsia="en-GB"/>
              </w:rPr>
              <w:t>AT</w:t>
            </w:r>
            <w:r>
              <w:rPr>
                <w:rFonts w:ascii="Calibri" w:eastAsia="Times New Roman" w:hAnsi="Calibri" w:cs="Segoe UI"/>
                <w:noProof/>
                <w:color w:val="000000"/>
                <w:sz w:val="20"/>
                <w:szCs w:val="20"/>
                <w:lang w:eastAsia="en-GB"/>
              </w:rPr>
              <w:t> </w:t>
            </w:r>
          </w:p>
        </w:tc>
        <w:tc>
          <w:tcPr>
            <w:tcW w:w="1160"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39.793.374 </w:t>
            </w:r>
            <w:r>
              <w:rPr>
                <w:rFonts w:ascii="Calibri" w:eastAsia="Times New Roman" w:hAnsi="Calibri" w:cs="Segoe UI"/>
                <w:noProof/>
                <w:color w:val="000000"/>
                <w:sz w:val="18"/>
                <w:szCs w:val="18"/>
                <w:lang w:eastAsia="en-GB"/>
              </w:rPr>
              <w:t> </w:t>
            </w:r>
          </w:p>
        </w:tc>
        <w:tc>
          <w:tcPr>
            <w:tcW w:w="1276"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57.039.658 </w:t>
            </w:r>
            <w:r>
              <w:rPr>
                <w:rFonts w:ascii="Calibri" w:eastAsia="Times New Roman" w:hAnsi="Calibri" w:cs="Segoe UI"/>
                <w:noProof/>
                <w:color w:val="000000"/>
                <w:sz w:val="18"/>
                <w:szCs w:val="18"/>
                <w:lang w:eastAsia="en-GB"/>
              </w:rPr>
              <w:t> </w:t>
            </w:r>
          </w:p>
        </w:tc>
        <w:tc>
          <w:tcPr>
            <w:tcW w:w="1134" w:type="dxa"/>
            <w:hideMark/>
          </w:tcPr>
          <w:p>
            <w:pPr>
              <w:jc w:val="right"/>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9.675.280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17.423.880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1.004.060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2.040.698 </w:t>
            </w:r>
            <w:r>
              <w:rPr>
                <w:rFonts w:ascii="Calibri" w:eastAsia="Times New Roman" w:hAnsi="Calibri" w:cs="Segoe UI"/>
                <w:noProof/>
                <w:color w:val="000000"/>
                <w:sz w:val="18"/>
                <w:szCs w:val="18"/>
                <w:lang w:eastAsia="en-GB"/>
              </w:rPr>
              <w:t> </w:t>
            </w:r>
          </w:p>
        </w:tc>
        <w:tc>
          <w:tcPr>
            <w:tcW w:w="992"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468.872 </w:t>
            </w:r>
            <w:r>
              <w:rPr>
                <w:rFonts w:ascii="Calibri" w:eastAsia="Times New Roman" w:hAnsi="Calibri" w:cs="Segoe UI"/>
                <w:noProof/>
                <w:color w:val="000000"/>
                <w:sz w:val="18"/>
                <w:szCs w:val="18"/>
                <w:lang w:eastAsia="en-GB"/>
              </w:rPr>
              <w:t> </w:t>
            </w:r>
          </w:p>
        </w:tc>
        <w:tc>
          <w:tcPr>
            <w:tcW w:w="993"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874.917 </w:t>
            </w:r>
            <w:r>
              <w:rPr>
                <w:rFonts w:ascii="Calibri" w:eastAsia="Times New Roman" w:hAnsi="Calibri" w:cs="Segoe UI"/>
                <w:noProof/>
                <w:color w:val="000000"/>
                <w:sz w:val="18"/>
                <w:szCs w:val="18"/>
                <w:lang w:eastAsia="en-GB"/>
              </w:rPr>
              <w:t> </w:t>
            </w:r>
          </w:p>
        </w:tc>
      </w:tr>
      <w:tr>
        <w:trPr>
          <w:trHeight w:val="170"/>
        </w:trPr>
        <w:tc>
          <w:tcPr>
            <w:cnfStyle w:val="001000000000" w:firstRow="0" w:lastRow="0" w:firstColumn="1" w:lastColumn="0" w:oddVBand="0" w:evenVBand="0" w:oddHBand="0" w:evenHBand="0" w:firstRowFirstColumn="0" w:firstRowLastColumn="0" w:lastRowFirstColumn="0" w:lastRowLastColumn="0"/>
            <w:tcW w:w="536" w:type="dxa"/>
            <w:hideMark/>
          </w:tcPr>
          <w:p>
            <w:pPr>
              <w:textAlignment w:val="baseline"/>
              <w:rPr>
                <w:rFonts w:ascii="Segoe UI" w:eastAsia="Times New Roman" w:hAnsi="Segoe UI" w:cs="Segoe UI"/>
                <w:noProof/>
                <w:sz w:val="20"/>
                <w:szCs w:val="20"/>
                <w:lang w:eastAsia="en-GB"/>
              </w:rPr>
            </w:pPr>
            <w:r>
              <w:rPr>
                <w:rFonts w:ascii="Calibri" w:eastAsia="Times New Roman" w:hAnsi="Calibri" w:cs="Segoe UI"/>
                <w:noProof/>
                <w:color w:val="000000"/>
                <w:sz w:val="20"/>
                <w:szCs w:val="20"/>
                <w:lang w:val="fr-FR" w:eastAsia="en-GB"/>
              </w:rPr>
              <w:t>BE</w:t>
            </w:r>
            <w:r>
              <w:rPr>
                <w:rFonts w:ascii="Calibri" w:eastAsia="Times New Roman" w:hAnsi="Calibri" w:cs="Segoe UI"/>
                <w:noProof/>
                <w:color w:val="000000"/>
                <w:sz w:val="20"/>
                <w:szCs w:val="20"/>
                <w:lang w:eastAsia="en-GB"/>
              </w:rPr>
              <w:t> </w:t>
            </w:r>
          </w:p>
        </w:tc>
        <w:tc>
          <w:tcPr>
            <w:tcW w:w="1160"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35.040.663 </w:t>
            </w:r>
            <w:r>
              <w:rPr>
                <w:rFonts w:ascii="Calibri" w:eastAsia="Times New Roman" w:hAnsi="Calibri" w:cs="Segoe UI"/>
                <w:noProof/>
                <w:color w:val="000000"/>
                <w:sz w:val="18"/>
                <w:szCs w:val="18"/>
                <w:lang w:eastAsia="en-GB"/>
              </w:rPr>
              <w:t> </w:t>
            </w:r>
          </w:p>
        </w:tc>
        <w:tc>
          <w:tcPr>
            <w:tcW w:w="1276"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50.227.142 </w:t>
            </w:r>
            <w:r>
              <w:rPr>
                <w:rFonts w:ascii="Calibri" w:eastAsia="Times New Roman" w:hAnsi="Calibri" w:cs="Segoe UI"/>
                <w:noProof/>
                <w:color w:val="000000"/>
                <w:sz w:val="18"/>
                <w:szCs w:val="18"/>
                <w:lang w:eastAsia="en-GB"/>
              </w:rPr>
              <w:t> </w:t>
            </w:r>
          </w:p>
        </w:tc>
        <w:tc>
          <w:tcPr>
            <w:tcW w:w="1134" w:type="dxa"/>
            <w:hideMark/>
          </w:tcPr>
          <w:p>
            <w:pPr>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9.190.603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16.551.043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953.763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1.938.470 </w:t>
            </w:r>
            <w:r>
              <w:rPr>
                <w:rFonts w:ascii="Calibri" w:eastAsia="Times New Roman" w:hAnsi="Calibri" w:cs="Segoe UI"/>
                <w:noProof/>
                <w:color w:val="000000"/>
                <w:sz w:val="18"/>
                <w:szCs w:val="18"/>
                <w:lang w:eastAsia="en-GB"/>
              </w:rPr>
              <w:t> </w:t>
            </w:r>
          </w:p>
        </w:tc>
        <w:tc>
          <w:tcPr>
            <w:tcW w:w="992"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445.384 </w:t>
            </w:r>
            <w:r>
              <w:rPr>
                <w:rFonts w:ascii="Calibri" w:eastAsia="Times New Roman" w:hAnsi="Calibri" w:cs="Segoe UI"/>
                <w:noProof/>
                <w:color w:val="000000"/>
                <w:sz w:val="18"/>
                <w:szCs w:val="18"/>
                <w:lang w:eastAsia="en-GB"/>
              </w:rPr>
              <w:t> </w:t>
            </w:r>
          </w:p>
        </w:tc>
        <w:tc>
          <w:tcPr>
            <w:tcW w:w="993"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831.089 </w:t>
            </w:r>
            <w:r>
              <w:rPr>
                <w:rFonts w:ascii="Calibri" w:eastAsia="Times New Roman" w:hAnsi="Calibri" w:cs="Segoe UI"/>
                <w:noProof/>
                <w:color w:val="000000"/>
                <w:sz w:val="18"/>
                <w:szCs w:val="18"/>
                <w:lang w:eastAsia="en-GB"/>
              </w:rPr>
              <w:t> </w:t>
            </w:r>
          </w:p>
        </w:tc>
      </w:tr>
      <w:tr>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36" w:type="dxa"/>
            <w:hideMark/>
          </w:tcPr>
          <w:p>
            <w:pPr>
              <w:textAlignment w:val="baseline"/>
              <w:rPr>
                <w:rFonts w:ascii="Segoe UI" w:eastAsia="Times New Roman" w:hAnsi="Segoe UI" w:cs="Segoe UI"/>
                <w:noProof/>
                <w:sz w:val="20"/>
                <w:szCs w:val="20"/>
                <w:lang w:eastAsia="en-GB"/>
              </w:rPr>
            </w:pPr>
            <w:r>
              <w:rPr>
                <w:rFonts w:ascii="Calibri" w:eastAsia="Times New Roman" w:hAnsi="Calibri" w:cs="Segoe UI"/>
                <w:noProof/>
                <w:color w:val="000000"/>
                <w:sz w:val="20"/>
                <w:szCs w:val="20"/>
                <w:lang w:val="fr-FR" w:eastAsia="en-GB"/>
              </w:rPr>
              <w:t>BG</w:t>
            </w:r>
            <w:r>
              <w:rPr>
                <w:rFonts w:ascii="Calibri" w:eastAsia="Times New Roman" w:hAnsi="Calibri" w:cs="Segoe UI"/>
                <w:noProof/>
                <w:color w:val="000000"/>
                <w:sz w:val="20"/>
                <w:szCs w:val="20"/>
                <w:lang w:eastAsia="en-GB"/>
              </w:rPr>
              <w:t> </w:t>
            </w:r>
          </w:p>
        </w:tc>
        <w:tc>
          <w:tcPr>
            <w:tcW w:w="1160"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7.317.024 </w:t>
            </w:r>
            <w:r>
              <w:rPr>
                <w:rFonts w:ascii="Calibri" w:eastAsia="Times New Roman" w:hAnsi="Calibri" w:cs="Segoe UI"/>
                <w:noProof/>
                <w:color w:val="000000"/>
                <w:sz w:val="18"/>
                <w:szCs w:val="18"/>
                <w:lang w:eastAsia="en-GB"/>
              </w:rPr>
              <w:t> </w:t>
            </w:r>
          </w:p>
        </w:tc>
        <w:tc>
          <w:tcPr>
            <w:tcW w:w="1276"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10.488.192 </w:t>
            </w:r>
            <w:r>
              <w:rPr>
                <w:rFonts w:ascii="Calibri" w:eastAsia="Times New Roman" w:hAnsi="Calibri" w:cs="Segoe UI"/>
                <w:noProof/>
                <w:color w:val="000000"/>
                <w:sz w:val="18"/>
                <w:szCs w:val="18"/>
                <w:lang w:eastAsia="en-GB"/>
              </w:rPr>
              <w:t> </w:t>
            </w:r>
          </w:p>
        </w:tc>
        <w:tc>
          <w:tcPr>
            <w:tcW w:w="1134" w:type="dxa"/>
            <w:hideMark/>
          </w:tcPr>
          <w:p>
            <w:pPr>
              <w:jc w:val="right"/>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1.347.192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2.426.112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139.806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284.148 </w:t>
            </w:r>
            <w:r>
              <w:rPr>
                <w:rFonts w:ascii="Calibri" w:eastAsia="Times New Roman" w:hAnsi="Calibri" w:cs="Segoe UI"/>
                <w:noProof/>
                <w:color w:val="000000"/>
                <w:sz w:val="18"/>
                <w:szCs w:val="18"/>
                <w:lang w:eastAsia="en-GB"/>
              </w:rPr>
              <w:t> </w:t>
            </w:r>
          </w:p>
        </w:tc>
        <w:tc>
          <w:tcPr>
            <w:tcW w:w="992"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65.286 </w:t>
            </w:r>
            <w:r>
              <w:rPr>
                <w:rFonts w:ascii="Calibri" w:eastAsia="Times New Roman" w:hAnsi="Calibri" w:cs="Segoe UI"/>
                <w:noProof/>
                <w:color w:val="000000"/>
                <w:sz w:val="18"/>
                <w:szCs w:val="18"/>
                <w:lang w:eastAsia="en-GB"/>
              </w:rPr>
              <w:t> </w:t>
            </w:r>
          </w:p>
        </w:tc>
        <w:tc>
          <w:tcPr>
            <w:tcW w:w="993"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121.824 </w:t>
            </w:r>
            <w:r>
              <w:rPr>
                <w:rFonts w:ascii="Calibri" w:eastAsia="Times New Roman" w:hAnsi="Calibri" w:cs="Segoe UI"/>
                <w:noProof/>
                <w:color w:val="000000"/>
                <w:sz w:val="18"/>
                <w:szCs w:val="18"/>
                <w:lang w:eastAsia="en-GB"/>
              </w:rPr>
              <w:t> </w:t>
            </w:r>
          </w:p>
        </w:tc>
      </w:tr>
      <w:tr>
        <w:trPr>
          <w:trHeight w:val="170"/>
        </w:trPr>
        <w:tc>
          <w:tcPr>
            <w:cnfStyle w:val="001000000000" w:firstRow="0" w:lastRow="0" w:firstColumn="1" w:lastColumn="0" w:oddVBand="0" w:evenVBand="0" w:oddHBand="0" w:evenHBand="0" w:firstRowFirstColumn="0" w:firstRowLastColumn="0" w:lastRowFirstColumn="0" w:lastRowLastColumn="0"/>
            <w:tcW w:w="536" w:type="dxa"/>
            <w:hideMark/>
          </w:tcPr>
          <w:p>
            <w:pPr>
              <w:textAlignment w:val="baseline"/>
              <w:rPr>
                <w:rFonts w:ascii="Segoe UI" w:eastAsia="Times New Roman" w:hAnsi="Segoe UI" w:cs="Segoe UI"/>
                <w:noProof/>
                <w:sz w:val="20"/>
                <w:szCs w:val="20"/>
                <w:lang w:eastAsia="en-GB"/>
              </w:rPr>
            </w:pPr>
            <w:r>
              <w:rPr>
                <w:rFonts w:ascii="Calibri" w:eastAsia="Times New Roman" w:hAnsi="Calibri" w:cs="Segoe UI"/>
                <w:noProof/>
                <w:color w:val="000000"/>
                <w:sz w:val="20"/>
                <w:szCs w:val="20"/>
                <w:lang w:val="fr-FR" w:eastAsia="en-GB"/>
              </w:rPr>
              <w:t>CY</w:t>
            </w:r>
            <w:r>
              <w:rPr>
                <w:rFonts w:ascii="Calibri" w:eastAsia="Times New Roman" w:hAnsi="Calibri" w:cs="Segoe UI"/>
                <w:noProof/>
                <w:color w:val="000000"/>
                <w:sz w:val="20"/>
                <w:szCs w:val="20"/>
                <w:lang w:eastAsia="en-GB"/>
              </w:rPr>
              <w:t> </w:t>
            </w:r>
          </w:p>
        </w:tc>
        <w:tc>
          <w:tcPr>
            <w:tcW w:w="1160"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1.933.191 </w:t>
            </w:r>
            <w:r>
              <w:rPr>
                <w:rFonts w:ascii="Calibri" w:eastAsia="Times New Roman" w:hAnsi="Calibri" w:cs="Segoe UI"/>
                <w:noProof/>
                <w:color w:val="000000"/>
                <w:sz w:val="18"/>
                <w:szCs w:val="18"/>
                <w:lang w:eastAsia="en-GB"/>
              </w:rPr>
              <w:t> </w:t>
            </w:r>
          </w:p>
        </w:tc>
        <w:tc>
          <w:tcPr>
            <w:tcW w:w="1276"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2.771.028 </w:t>
            </w:r>
            <w:r>
              <w:rPr>
                <w:rFonts w:ascii="Calibri" w:eastAsia="Times New Roman" w:hAnsi="Calibri" w:cs="Segoe UI"/>
                <w:noProof/>
                <w:color w:val="000000"/>
                <w:sz w:val="18"/>
                <w:szCs w:val="18"/>
                <w:lang w:eastAsia="en-GB"/>
              </w:rPr>
              <w:t> </w:t>
            </w:r>
          </w:p>
        </w:tc>
        <w:tc>
          <w:tcPr>
            <w:tcW w:w="1134" w:type="dxa"/>
            <w:hideMark/>
          </w:tcPr>
          <w:p>
            <w:pPr>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389.189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700.877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40.388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82.087 </w:t>
            </w:r>
            <w:r>
              <w:rPr>
                <w:rFonts w:ascii="Calibri" w:eastAsia="Times New Roman" w:hAnsi="Calibri" w:cs="Segoe UI"/>
                <w:noProof/>
                <w:color w:val="000000"/>
                <w:sz w:val="18"/>
                <w:szCs w:val="18"/>
                <w:lang w:eastAsia="en-GB"/>
              </w:rPr>
              <w:t> </w:t>
            </w:r>
          </w:p>
        </w:tc>
        <w:tc>
          <w:tcPr>
            <w:tcW w:w="992"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18.860 </w:t>
            </w:r>
            <w:r>
              <w:rPr>
                <w:rFonts w:ascii="Calibri" w:eastAsia="Times New Roman" w:hAnsi="Calibri" w:cs="Segoe UI"/>
                <w:noProof/>
                <w:color w:val="000000"/>
                <w:sz w:val="18"/>
                <w:szCs w:val="18"/>
                <w:lang w:eastAsia="en-GB"/>
              </w:rPr>
              <w:t> </w:t>
            </w:r>
          </w:p>
        </w:tc>
        <w:tc>
          <w:tcPr>
            <w:tcW w:w="993"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35.194 </w:t>
            </w:r>
            <w:r>
              <w:rPr>
                <w:rFonts w:ascii="Calibri" w:eastAsia="Times New Roman" w:hAnsi="Calibri" w:cs="Segoe UI"/>
                <w:noProof/>
                <w:color w:val="000000"/>
                <w:sz w:val="18"/>
                <w:szCs w:val="18"/>
                <w:lang w:eastAsia="en-GB"/>
              </w:rPr>
              <w:t> </w:t>
            </w:r>
          </w:p>
        </w:tc>
      </w:tr>
      <w:tr>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36" w:type="dxa"/>
            <w:hideMark/>
          </w:tcPr>
          <w:p>
            <w:pPr>
              <w:textAlignment w:val="baseline"/>
              <w:rPr>
                <w:rFonts w:ascii="Segoe UI" w:eastAsia="Times New Roman" w:hAnsi="Segoe UI" w:cs="Segoe UI"/>
                <w:noProof/>
                <w:sz w:val="20"/>
                <w:szCs w:val="20"/>
                <w:lang w:eastAsia="en-GB"/>
              </w:rPr>
            </w:pPr>
            <w:r>
              <w:rPr>
                <w:rFonts w:ascii="Calibri" w:eastAsia="Times New Roman" w:hAnsi="Calibri" w:cs="Segoe UI"/>
                <w:noProof/>
                <w:color w:val="000000"/>
                <w:sz w:val="20"/>
                <w:szCs w:val="20"/>
                <w:lang w:val="fr-FR" w:eastAsia="en-GB"/>
              </w:rPr>
              <w:t>CZ</w:t>
            </w:r>
            <w:r>
              <w:rPr>
                <w:rFonts w:ascii="Calibri" w:eastAsia="Times New Roman" w:hAnsi="Calibri" w:cs="Segoe UI"/>
                <w:noProof/>
                <w:color w:val="000000"/>
                <w:sz w:val="20"/>
                <w:szCs w:val="20"/>
                <w:lang w:eastAsia="en-GB"/>
              </w:rPr>
              <w:t> </w:t>
            </w:r>
          </w:p>
        </w:tc>
        <w:tc>
          <w:tcPr>
            <w:tcW w:w="1160"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27.537.304 </w:t>
            </w:r>
            <w:r>
              <w:rPr>
                <w:rFonts w:ascii="Calibri" w:eastAsia="Times New Roman" w:hAnsi="Calibri" w:cs="Segoe UI"/>
                <w:noProof/>
                <w:color w:val="000000"/>
                <w:sz w:val="18"/>
                <w:szCs w:val="18"/>
                <w:lang w:eastAsia="en-GB"/>
              </w:rPr>
              <w:t> </w:t>
            </w:r>
          </w:p>
        </w:tc>
        <w:tc>
          <w:tcPr>
            <w:tcW w:w="1276"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39.471.857 </w:t>
            </w:r>
            <w:r>
              <w:rPr>
                <w:rFonts w:ascii="Calibri" w:eastAsia="Times New Roman" w:hAnsi="Calibri" w:cs="Segoe UI"/>
                <w:noProof/>
                <w:color w:val="000000"/>
                <w:sz w:val="18"/>
                <w:szCs w:val="18"/>
                <w:lang w:eastAsia="en-GB"/>
              </w:rPr>
              <w:t> </w:t>
            </w:r>
          </w:p>
        </w:tc>
        <w:tc>
          <w:tcPr>
            <w:tcW w:w="1134" w:type="dxa"/>
            <w:hideMark/>
          </w:tcPr>
          <w:p>
            <w:pPr>
              <w:jc w:val="right"/>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7.566.282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13.625.859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785.197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1.595.870 </w:t>
            </w:r>
            <w:r>
              <w:rPr>
                <w:rFonts w:ascii="Calibri" w:eastAsia="Times New Roman" w:hAnsi="Calibri" w:cs="Segoe UI"/>
                <w:noProof/>
                <w:color w:val="000000"/>
                <w:sz w:val="18"/>
                <w:szCs w:val="18"/>
                <w:lang w:eastAsia="en-GB"/>
              </w:rPr>
              <w:t> </w:t>
            </w:r>
          </w:p>
        </w:tc>
        <w:tc>
          <w:tcPr>
            <w:tcW w:w="992"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366.668 </w:t>
            </w:r>
            <w:r>
              <w:rPr>
                <w:rFonts w:ascii="Calibri" w:eastAsia="Times New Roman" w:hAnsi="Calibri" w:cs="Segoe UI"/>
                <w:noProof/>
                <w:color w:val="000000"/>
                <w:sz w:val="18"/>
                <w:szCs w:val="18"/>
                <w:lang w:eastAsia="en-GB"/>
              </w:rPr>
              <w:t> </w:t>
            </w:r>
          </w:p>
        </w:tc>
        <w:tc>
          <w:tcPr>
            <w:tcW w:w="993"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684.204 </w:t>
            </w:r>
            <w:r>
              <w:rPr>
                <w:rFonts w:ascii="Calibri" w:eastAsia="Times New Roman" w:hAnsi="Calibri" w:cs="Segoe UI"/>
                <w:noProof/>
                <w:color w:val="000000"/>
                <w:sz w:val="18"/>
                <w:szCs w:val="18"/>
                <w:lang w:eastAsia="en-GB"/>
              </w:rPr>
              <w:t> </w:t>
            </w:r>
          </w:p>
        </w:tc>
      </w:tr>
      <w:tr>
        <w:trPr>
          <w:trHeight w:val="170"/>
        </w:trPr>
        <w:tc>
          <w:tcPr>
            <w:cnfStyle w:val="001000000000" w:firstRow="0" w:lastRow="0" w:firstColumn="1" w:lastColumn="0" w:oddVBand="0" w:evenVBand="0" w:oddHBand="0" w:evenHBand="0" w:firstRowFirstColumn="0" w:firstRowLastColumn="0" w:lastRowFirstColumn="0" w:lastRowLastColumn="0"/>
            <w:tcW w:w="536" w:type="dxa"/>
            <w:hideMark/>
          </w:tcPr>
          <w:p>
            <w:pPr>
              <w:textAlignment w:val="baseline"/>
              <w:rPr>
                <w:rFonts w:ascii="Segoe UI" w:eastAsia="Times New Roman" w:hAnsi="Segoe UI" w:cs="Segoe UI"/>
                <w:noProof/>
                <w:sz w:val="20"/>
                <w:szCs w:val="20"/>
                <w:lang w:eastAsia="en-GB"/>
              </w:rPr>
            </w:pPr>
            <w:r>
              <w:rPr>
                <w:rFonts w:ascii="Calibri" w:eastAsia="Times New Roman" w:hAnsi="Calibri" w:cs="Segoe UI"/>
                <w:noProof/>
                <w:color w:val="000000"/>
                <w:sz w:val="20"/>
                <w:szCs w:val="20"/>
                <w:lang w:val="fr-FR" w:eastAsia="en-GB"/>
              </w:rPr>
              <w:t>DE</w:t>
            </w:r>
            <w:r>
              <w:rPr>
                <w:rFonts w:ascii="Calibri" w:eastAsia="Times New Roman" w:hAnsi="Calibri" w:cs="Segoe UI"/>
                <w:noProof/>
                <w:color w:val="000000"/>
                <w:sz w:val="20"/>
                <w:szCs w:val="20"/>
                <w:lang w:eastAsia="en-GB"/>
              </w:rPr>
              <w:t> </w:t>
            </w:r>
          </w:p>
        </w:tc>
        <w:tc>
          <w:tcPr>
            <w:tcW w:w="1160"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769.426.962 </w:t>
            </w:r>
            <w:r>
              <w:rPr>
                <w:rFonts w:ascii="Calibri" w:eastAsia="Times New Roman" w:hAnsi="Calibri" w:cs="Segoe UI"/>
                <w:noProof/>
                <w:color w:val="000000"/>
                <w:sz w:val="18"/>
                <w:szCs w:val="18"/>
                <w:lang w:eastAsia="en-GB"/>
              </w:rPr>
              <w:t> </w:t>
            </w:r>
          </w:p>
        </w:tc>
        <w:tc>
          <w:tcPr>
            <w:tcW w:w="1276"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1.102.893.432 </w:t>
            </w:r>
            <w:r>
              <w:rPr>
                <w:rFonts w:ascii="Calibri" w:eastAsia="Times New Roman" w:hAnsi="Calibri" w:cs="Segoe UI"/>
                <w:noProof/>
                <w:color w:val="000000"/>
                <w:sz w:val="18"/>
                <w:szCs w:val="18"/>
                <w:lang w:eastAsia="en-GB"/>
              </w:rPr>
              <w:t> </w:t>
            </w:r>
          </w:p>
        </w:tc>
        <w:tc>
          <w:tcPr>
            <w:tcW w:w="1134" w:type="dxa"/>
            <w:hideMark/>
          </w:tcPr>
          <w:p>
            <w:pPr>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177.328.481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319.344.796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18.402.414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37.401.895 </w:t>
            </w:r>
            <w:r>
              <w:rPr>
                <w:rFonts w:ascii="Calibri" w:eastAsia="Times New Roman" w:hAnsi="Calibri" w:cs="Segoe UI"/>
                <w:noProof/>
                <w:color w:val="000000"/>
                <w:sz w:val="18"/>
                <w:szCs w:val="18"/>
                <w:lang w:eastAsia="en-GB"/>
              </w:rPr>
              <w:t> </w:t>
            </w:r>
          </w:p>
        </w:tc>
        <w:tc>
          <w:tcPr>
            <w:tcW w:w="992"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8.593.480 </w:t>
            </w:r>
            <w:r>
              <w:rPr>
                <w:rFonts w:ascii="Calibri" w:eastAsia="Times New Roman" w:hAnsi="Calibri" w:cs="Segoe UI"/>
                <w:noProof/>
                <w:color w:val="000000"/>
                <w:sz w:val="18"/>
                <w:szCs w:val="18"/>
                <w:lang w:eastAsia="en-GB"/>
              </w:rPr>
              <w:t> </w:t>
            </w:r>
          </w:p>
        </w:tc>
        <w:tc>
          <w:tcPr>
            <w:tcW w:w="993"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16.035.476 </w:t>
            </w:r>
            <w:r>
              <w:rPr>
                <w:rFonts w:ascii="Calibri" w:eastAsia="Times New Roman" w:hAnsi="Calibri" w:cs="Segoe UI"/>
                <w:noProof/>
                <w:color w:val="000000"/>
                <w:sz w:val="18"/>
                <w:szCs w:val="18"/>
                <w:lang w:eastAsia="en-GB"/>
              </w:rPr>
              <w:t> </w:t>
            </w:r>
          </w:p>
        </w:tc>
      </w:tr>
      <w:tr>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36" w:type="dxa"/>
            <w:hideMark/>
          </w:tcPr>
          <w:p>
            <w:pPr>
              <w:textAlignment w:val="baseline"/>
              <w:rPr>
                <w:rFonts w:ascii="Segoe UI" w:eastAsia="Times New Roman" w:hAnsi="Segoe UI" w:cs="Segoe UI"/>
                <w:noProof/>
                <w:sz w:val="20"/>
                <w:szCs w:val="20"/>
                <w:lang w:eastAsia="en-GB"/>
              </w:rPr>
            </w:pPr>
            <w:r>
              <w:rPr>
                <w:rFonts w:ascii="Calibri" w:eastAsia="Times New Roman" w:hAnsi="Calibri" w:cs="Segoe UI"/>
                <w:noProof/>
                <w:color w:val="000000"/>
                <w:sz w:val="20"/>
                <w:szCs w:val="20"/>
                <w:lang w:val="fr-FR" w:eastAsia="en-GB"/>
              </w:rPr>
              <w:t>DK</w:t>
            </w:r>
            <w:r>
              <w:rPr>
                <w:rFonts w:ascii="Calibri" w:eastAsia="Times New Roman" w:hAnsi="Calibri" w:cs="Segoe UI"/>
                <w:noProof/>
                <w:color w:val="000000"/>
                <w:sz w:val="20"/>
                <w:szCs w:val="20"/>
                <w:lang w:eastAsia="en-GB"/>
              </w:rPr>
              <w:t> </w:t>
            </w:r>
          </w:p>
        </w:tc>
        <w:tc>
          <w:tcPr>
            <w:tcW w:w="1160"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43.421.347 </w:t>
            </w:r>
            <w:r>
              <w:rPr>
                <w:rFonts w:ascii="Calibri" w:eastAsia="Times New Roman" w:hAnsi="Calibri" w:cs="Segoe UI"/>
                <w:noProof/>
                <w:color w:val="000000"/>
                <w:sz w:val="18"/>
                <w:szCs w:val="18"/>
                <w:lang w:eastAsia="en-GB"/>
              </w:rPr>
              <w:t> </w:t>
            </w:r>
          </w:p>
        </w:tc>
        <w:tc>
          <w:tcPr>
            <w:tcW w:w="1276"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62.239.979 </w:t>
            </w:r>
            <w:r>
              <w:rPr>
                <w:rFonts w:ascii="Calibri" w:eastAsia="Times New Roman" w:hAnsi="Calibri" w:cs="Segoe UI"/>
                <w:noProof/>
                <w:color w:val="000000"/>
                <w:sz w:val="18"/>
                <w:szCs w:val="18"/>
                <w:lang w:eastAsia="en-GB"/>
              </w:rPr>
              <w:t> </w:t>
            </w:r>
          </w:p>
        </w:tc>
        <w:tc>
          <w:tcPr>
            <w:tcW w:w="1134" w:type="dxa"/>
            <w:hideMark/>
          </w:tcPr>
          <w:p>
            <w:pPr>
              <w:jc w:val="right"/>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9.322.622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16.788.791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967.463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1.966.315 </w:t>
            </w:r>
            <w:r>
              <w:rPr>
                <w:rFonts w:ascii="Calibri" w:eastAsia="Times New Roman" w:hAnsi="Calibri" w:cs="Segoe UI"/>
                <w:noProof/>
                <w:color w:val="000000"/>
                <w:sz w:val="18"/>
                <w:szCs w:val="18"/>
                <w:lang w:eastAsia="en-GB"/>
              </w:rPr>
              <w:t> </w:t>
            </w:r>
          </w:p>
        </w:tc>
        <w:tc>
          <w:tcPr>
            <w:tcW w:w="992"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451.782 </w:t>
            </w:r>
            <w:r>
              <w:rPr>
                <w:rFonts w:ascii="Calibri" w:eastAsia="Times New Roman" w:hAnsi="Calibri" w:cs="Segoe UI"/>
                <w:noProof/>
                <w:color w:val="000000"/>
                <w:sz w:val="18"/>
                <w:szCs w:val="18"/>
                <w:lang w:eastAsia="en-GB"/>
              </w:rPr>
              <w:t> </w:t>
            </w:r>
          </w:p>
        </w:tc>
        <w:tc>
          <w:tcPr>
            <w:tcW w:w="993"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843.027 </w:t>
            </w:r>
            <w:r>
              <w:rPr>
                <w:rFonts w:ascii="Calibri" w:eastAsia="Times New Roman" w:hAnsi="Calibri" w:cs="Segoe UI"/>
                <w:noProof/>
                <w:color w:val="000000"/>
                <w:sz w:val="18"/>
                <w:szCs w:val="18"/>
                <w:lang w:eastAsia="en-GB"/>
              </w:rPr>
              <w:t> </w:t>
            </w:r>
          </w:p>
        </w:tc>
      </w:tr>
      <w:tr>
        <w:trPr>
          <w:trHeight w:val="170"/>
        </w:trPr>
        <w:tc>
          <w:tcPr>
            <w:cnfStyle w:val="001000000000" w:firstRow="0" w:lastRow="0" w:firstColumn="1" w:lastColumn="0" w:oddVBand="0" w:evenVBand="0" w:oddHBand="0" w:evenHBand="0" w:firstRowFirstColumn="0" w:firstRowLastColumn="0" w:lastRowFirstColumn="0" w:lastRowLastColumn="0"/>
            <w:tcW w:w="536" w:type="dxa"/>
            <w:hideMark/>
          </w:tcPr>
          <w:p>
            <w:pPr>
              <w:textAlignment w:val="baseline"/>
              <w:rPr>
                <w:rFonts w:ascii="Segoe UI" w:eastAsia="Times New Roman" w:hAnsi="Segoe UI" w:cs="Segoe UI"/>
                <w:noProof/>
                <w:sz w:val="20"/>
                <w:szCs w:val="20"/>
                <w:lang w:eastAsia="en-GB"/>
              </w:rPr>
            </w:pPr>
            <w:r>
              <w:rPr>
                <w:rFonts w:ascii="Calibri" w:eastAsia="Times New Roman" w:hAnsi="Calibri" w:cs="Segoe UI"/>
                <w:noProof/>
                <w:color w:val="000000"/>
                <w:sz w:val="20"/>
                <w:szCs w:val="20"/>
                <w:lang w:val="fr-FR" w:eastAsia="en-GB"/>
              </w:rPr>
              <w:t>EE</w:t>
            </w:r>
            <w:r>
              <w:rPr>
                <w:rFonts w:ascii="Calibri" w:eastAsia="Times New Roman" w:hAnsi="Calibri" w:cs="Segoe UI"/>
                <w:noProof/>
                <w:color w:val="000000"/>
                <w:sz w:val="20"/>
                <w:szCs w:val="20"/>
                <w:lang w:eastAsia="en-GB"/>
              </w:rPr>
              <w:t> </w:t>
            </w:r>
          </w:p>
        </w:tc>
        <w:tc>
          <w:tcPr>
            <w:tcW w:w="1160"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2.643.429 </w:t>
            </w:r>
            <w:r>
              <w:rPr>
                <w:rFonts w:ascii="Calibri" w:eastAsia="Times New Roman" w:hAnsi="Calibri" w:cs="Segoe UI"/>
                <w:noProof/>
                <w:color w:val="000000"/>
                <w:sz w:val="18"/>
                <w:szCs w:val="18"/>
                <w:lang w:eastAsia="en-GB"/>
              </w:rPr>
              <w:t> </w:t>
            </w:r>
          </w:p>
        </w:tc>
        <w:tc>
          <w:tcPr>
            <w:tcW w:w="1276"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3.789.080 </w:t>
            </w:r>
            <w:r>
              <w:rPr>
                <w:rFonts w:ascii="Calibri" w:eastAsia="Times New Roman" w:hAnsi="Calibri" w:cs="Segoe UI"/>
                <w:noProof/>
                <w:color w:val="000000"/>
                <w:sz w:val="18"/>
                <w:szCs w:val="18"/>
                <w:lang w:eastAsia="en-GB"/>
              </w:rPr>
              <w:t> </w:t>
            </w:r>
          </w:p>
        </w:tc>
        <w:tc>
          <w:tcPr>
            <w:tcW w:w="1134" w:type="dxa"/>
            <w:hideMark/>
          </w:tcPr>
          <w:p>
            <w:pPr>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508.028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914.890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52.721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107.153 </w:t>
            </w:r>
            <w:r>
              <w:rPr>
                <w:rFonts w:ascii="Calibri" w:eastAsia="Times New Roman" w:hAnsi="Calibri" w:cs="Segoe UI"/>
                <w:noProof/>
                <w:color w:val="000000"/>
                <w:sz w:val="18"/>
                <w:szCs w:val="18"/>
                <w:lang w:eastAsia="en-GB"/>
              </w:rPr>
              <w:t> </w:t>
            </w:r>
          </w:p>
        </w:tc>
        <w:tc>
          <w:tcPr>
            <w:tcW w:w="992"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24.619 </w:t>
            </w:r>
            <w:r>
              <w:rPr>
                <w:rFonts w:ascii="Calibri" w:eastAsia="Times New Roman" w:hAnsi="Calibri" w:cs="Segoe UI"/>
                <w:noProof/>
                <w:color w:val="000000"/>
                <w:sz w:val="18"/>
                <w:szCs w:val="18"/>
                <w:lang w:eastAsia="en-GB"/>
              </w:rPr>
              <w:t> </w:t>
            </w:r>
          </w:p>
        </w:tc>
        <w:tc>
          <w:tcPr>
            <w:tcW w:w="993"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45.940 </w:t>
            </w:r>
            <w:r>
              <w:rPr>
                <w:rFonts w:ascii="Calibri" w:eastAsia="Times New Roman" w:hAnsi="Calibri" w:cs="Segoe UI"/>
                <w:noProof/>
                <w:color w:val="000000"/>
                <w:sz w:val="18"/>
                <w:szCs w:val="18"/>
                <w:lang w:eastAsia="en-GB"/>
              </w:rPr>
              <w:t> </w:t>
            </w:r>
          </w:p>
        </w:tc>
      </w:tr>
      <w:tr>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36" w:type="dxa"/>
            <w:hideMark/>
          </w:tcPr>
          <w:p>
            <w:pPr>
              <w:textAlignment w:val="baseline"/>
              <w:rPr>
                <w:rFonts w:ascii="Segoe UI" w:eastAsia="Times New Roman" w:hAnsi="Segoe UI" w:cs="Segoe UI"/>
                <w:noProof/>
                <w:sz w:val="20"/>
                <w:szCs w:val="20"/>
                <w:lang w:eastAsia="en-GB"/>
              </w:rPr>
            </w:pPr>
            <w:r>
              <w:rPr>
                <w:rFonts w:ascii="Calibri" w:eastAsia="Times New Roman" w:hAnsi="Calibri" w:cs="Segoe UI"/>
                <w:noProof/>
                <w:color w:val="000000"/>
                <w:sz w:val="20"/>
                <w:szCs w:val="20"/>
                <w:lang w:val="fr-FR" w:eastAsia="en-GB"/>
              </w:rPr>
              <w:t>EL</w:t>
            </w:r>
            <w:r>
              <w:rPr>
                <w:rFonts w:ascii="Calibri" w:eastAsia="Times New Roman" w:hAnsi="Calibri" w:cs="Segoe UI"/>
                <w:noProof/>
                <w:color w:val="000000"/>
                <w:sz w:val="20"/>
                <w:szCs w:val="20"/>
                <w:lang w:eastAsia="en-GB"/>
              </w:rPr>
              <w:t> </w:t>
            </w:r>
          </w:p>
        </w:tc>
        <w:tc>
          <w:tcPr>
            <w:tcW w:w="1160"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9.333.586 </w:t>
            </w:r>
            <w:r>
              <w:rPr>
                <w:rFonts w:ascii="Calibri" w:eastAsia="Times New Roman" w:hAnsi="Calibri" w:cs="Segoe UI"/>
                <w:noProof/>
                <w:color w:val="000000"/>
                <w:sz w:val="18"/>
                <w:szCs w:val="18"/>
                <w:lang w:eastAsia="en-GB"/>
              </w:rPr>
              <w:t> </w:t>
            </w:r>
          </w:p>
        </w:tc>
        <w:tc>
          <w:tcPr>
            <w:tcW w:w="1276"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13.378.723 </w:t>
            </w:r>
            <w:r>
              <w:rPr>
                <w:rFonts w:ascii="Calibri" w:eastAsia="Times New Roman" w:hAnsi="Calibri" w:cs="Segoe UI"/>
                <w:noProof/>
                <w:color w:val="000000"/>
                <w:sz w:val="18"/>
                <w:szCs w:val="18"/>
                <w:lang w:eastAsia="en-GB"/>
              </w:rPr>
              <w:t> </w:t>
            </w:r>
          </w:p>
        </w:tc>
        <w:tc>
          <w:tcPr>
            <w:tcW w:w="1134" w:type="dxa"/>
            <w:hideMark/>
          </w:tcPr>
          <w:p>
            <w:pPr>
              <w:jc w:val="right"/>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1.665.757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2.999.805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172.865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351.339 </w:t>
            </w:r>
            <w:r>
              <w:rPr>
                <w:rFonts w:ascii="Calibri" w:eastAsia="Times New Roman" w:hAnsi="Calibri" w:cs="Segoe UI"/>
                <w:noProof/>
                <w:color w:val="000000"/>
                <w:sz w:val="18"/>
                <w:szCs w:val="18"/>
                <w:lang w:eastAsia="en-GB"/>
              </w:rPr>
              <w:t> </w:t>
            </w:r>
          </w:p>
        </w:tc>
        <w:tc>
          <w:tcPr>
            <w:tcW w:w="992"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80.724 </w:t>
            </w:r>
            <w:r>
              <w:rPr>
                <w:rFonts w:ascii="Calibri" w:eastAsia="Times New Roman" w:hAnsi="Calibri" w:cs="Segoe UI"/>
                <w:noProof/>
                <w:color w:val="000000"/>
                <w:sz w:val="18"/>
                <w:szCs w:val="18"/>
                <w:lang w:eastAsia="en-GB"/>
              </w:rPr>
              <w:t> </w:t>
            </w:r>
          </w:p>
        </w:tc>
        <w:tc>
          <w:tcPr>
            <w:tcW w:w="993"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150.631 </w:t>
            </w:r>
            <w:r>
              <w:rPr>
                <w:rFonts w:ascii="Calibri" w:eastAsia="Times New Roman" w:hAnsi="Calibri" w:cs="Segoe UI"/>
                <w:noProof/>
                <w:color w:val="000000"/>
                <w:sz w:val="18"/>
                <w:szCs w:val="18"/>
                <w:lang w:eastAsia="en-GB"/>
              </w:rPr>
              <w:t> </w:t>
            </w:r>
          </w:p>
        </w:tc>
      </w:tr>
      <w:tr>
        <w:trPr>
          <w:trHeight w:val="170"/>
        </w:trPr>
        <w:tc>
          <w:tcPr>
            <w:cnfStyle w:val="001000000000" w:firstRow="0" w:lastRow="0" w:firstColumn="1" w:lastColumn="0" w:oddVBand="0" w:evenVBand="0" w:oddHBand="0" w:evenHBand="0" w:firstRowFirstColumn="0" w:firstRowLastColumn="0" w:lastRowFirstColumn="0" w:lastRowLastColumn="0"/>
            <w:tcW w:w="536" w:type="dxa"/>
            <w:hideMark/>
          </w:tcPr>
          <w:p>
            <w:pPr>
              <w:textAlignment w:val="baseline"/>
              <w:rPr>
                <w:rFonts w:ascii="Segoe UI" w:eastAsia="Times New Roman" w:hAnsi="Segoe UI" w:cs="Segoe UI"/>
                <w:noProof/>
                <w:sz w:val="20"/>
                <w:szCs w:val="20"/>
                <w:lang w:eastAsia="en-GB"/>
              </w:rPr>
            </w:pPr>
            <w:r>
              <w:rPr>
                <w:rFonts w:ascii="Calibri" w:eastAsia="Times New Roman" w:hAnsi="Calibri" w:cs="Segoe UI"/>
                <w:noProof/>
                <w:color w:val="000000"/>
                <w:sz w:val="20"/>
                <w:szCs w:val="20"/>
                <w:lang w:val="fr-FR" w:eastAsia="en-GB"/>
              </w:rPr>
              <w:t>ES</w:t>
            </w:r>
            <w:r>
              <w:rPr>
                <w:rFonts w:ascii="Calibri" w:eastAsia="Times New Roman" w:hAnsi="Calibri" w:cs="Segoe UI"/>
                <w:noProof/>
                <w:color w:val="000000"/>
                <w:sz w:val="20"/>
                <w:szCs w:val="20"/>
                <w:lang w:eastAsia="en-GB"/>
              </w:rPr>
              <w:t> </w:t>
            </w:r>
          </w:p>
        </w:tc>
        <w:tc>
          <w:tcPr>
            <w:tcW w:w="1160"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94.109.125 </w:t>
            </w:r>
            <w:r>
              <w:rPr>
                <w:rFonts w:ascii="Calibri" w:eastAsia="Times New Roman" w:hAnsi="Calibri" w:cs="Segoe UI"/>
                <w:noProof/>
                <w:color w:val="000000"/>
                <w:sz w:val="18"/>
                <w:szCs w:val="18"/>
                <w:lang w:eastAsia="en-GB"/>
              </w:rPr>
              <w:t> </w:t>
            </w:r>
          </w:p>
        </w:tc>
        <w:tc>
          <w:tcPr>
            <w:tcW w:w="1276"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134.895.631 </w:t>
            </w:r>
            <w:r>
              <w:rPr>
                <w:rFonts w:ascii="Calibri" w:eastAsia="Times New Roman" w:hAnsi="Calibri" w:cs="Segoe UI"/>
                <w:noProof/>
                <w:color w:val="000000"/>
                <w:sz w:val="18"/>
                <w:szCs w:val="18"/>
                <w:lang w:eastAsia="en-GB"/>
              </w:rPr>
              <w:t> </w:t>
            </w:r>
          </w:p>
        </w:tc>
        <w:tc>
          <w:tcPr>
            <w:tcW w:w="1134" w:type="dxa"/>
            <w:hideMark/>
          </w:tcPr>
          <w:p>
            <w:pPr>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23.129.595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41.653.297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2.400.293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4.878.464 </w:t>
            </w:r>
            <w:r>
              <w:rPr>
                <w:rFonts w:ascii="Calibri" w:eastAsia="Times New Roman" w:hAnsi="Calibri" w:cs="Segoe UI"/>
                <w:noProof/>
                <w:color w:val="000000"/>
                <w:sz w:val="18"/>
                <w:szCs w:val="18"/>
                <w:lang w:eastAsia="en-GB"/>
              </w:rPr>
              <w:t> </w:t>
            </w:r>
          </w:p>
        </w:tc>
        <w:tc>
          <w:tcPr>
            <w:tcW w:w="992"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1.120.879 </w:t>
            </w:r>
            <w:r>
              <w:rPr>
                <w:rFonts w:ascii="Calibri" w:eastAsia="Times New Roman" w:hAnsi="Calibri" w:cs="Segoe UI"/>
                <w:noProof/>
                <w:color w:val="000000"/>
                <w:sz w:val="18"/>
                <w:szCs w:val="18"/>
                <w:lang w:eastAsia="en-GB"/>
              </w:rPr>
              <w:t> </w:t>
            </w:r>
          </w:p>
        </w:tc>
        <w:tc>
          <w:tcPr>
            <w:tcW w:w="993"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2.091.565 </w:t>
            </w:r>
            <w:r>
              <w:rPr>
                <w:rFonts w:ascii="Calibri" w:eastAsia="Times New Roman" w:hAnsi="Calibri" w:cs="Segoe UI"/>
                <w:noProof/>
                <w:color w:val="000000"/>
                <w:sz w:val="18"/>
                <w:szCs w:val="18"/>
                <w:lang w:eastAsia="en-GB"/>
              </w:rPr>
              <w:t> </w:t>
            </w:r>
          </w:p>
        </w:tc>
      </w:tr>
      <w:tr>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36" w:type="dxa"/>
            <w:hideMark/>
          </w:tcPr>
          <w:p>
            <w:pPr>
              <w:textAlignment w:val="baseline"/>
              <w:rPr>
                <w:rFonts w:ascii="Segoe UI" w:eastAsia="Times New Roman" w:hAnsi="Segoe UI" w:cs="Segoe UI"/>
                <w:noProof/>
                <w:sz w:val="20"/>
                <w:szCs w:val="20"/>
                <w:lang w:eastAsia="en-GB"/>
              </w:rPr>
            </w:pPr>
            <w:r>
              <w:rPr>
                <w:rFonts w:ascii="Calibri" w:eastAsia="Times New Roman" w:hAnsi="Calibri" w:cs="Segoe UI"/>
                <w:noProof/>
                <w:color w:val="000000"/>
                <w:sz w:val="20"/>
                <w:szCs w:val="20"/>
                <w:lang w:val="fr-FR" w:eastAsia="en-GB"/>
              </w:rPr>
              <w:t>FI</w:t>
            </w:r>
            <w:r>
              <w:rPr>
                <w:rFonts w:ascii="Calibri" w:eastAsia="Times New Roman" w:hAnsi="Calibri" w:cs="Segoe UI"/>
                <w:noProof/>
                <w:color w:val="000000"/>
                <w:sz w:val="20"/>
                <w:szCs w:val="20"/>
                <w:lang w:eastAsia="en-GB"/>
              </w:rPr>
              <w:t> </w:t>
            </w:r>
          </w:p>
        </w:tc>
        <w:tc>
          <w:tcPr>
            <w:tcW w:w="1160"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21.847.232 </w:t>
            </w:r>
            <w:r>
              <w:rPr>
                <w:rFonts w:ascii="Calibri" w:eastAsia="Times New Roman" w:hAnsi="Calibri" w:cs="Segoe UI"/>
                <w:noProof/>
                <w:color w:val="000000"/>
                <w:sz w:val="18"/>
                <w:szCs w:val="18"/>
                <w:lang w:eastAsia="en-GB"/>
              </w:rPr>
              <w:t> </w:t>
            </w:r>
          </w:p>
        </w:tc>
        <w:tc>
          <w:tcPr>
            <w:tcW w:w="1276"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31.315.732 </w:t>
            </w:r>
            <w:r>
              <w:rPr>
                <w:rFonts w:ascii="Calibri" w:eastAsia="Times New Roman" w:hAnsi="Calibri" w:cs="Segoe UI"/>
                <w:noProof/>
                <w:color w:val="000000"/>
                <w:sz w:val="18"/>
                <w:szCs w:val="18"/>
                <w:lang w:eastAsia="en-GB"/>
              </w:rPr>
              <w:t> </w:t>
            </w:r>
          </w:p>
        </w:tc>
        <w:tc>
          <w:tcPr>
            <w:tcW w:w="1134" w:type="dxa"/>
            <w:hideMark/>
          </w:tcPr>
          <w:p>
            <w:pPr>
              <w:jc w:val="right"/>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5.171.999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9.314.077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536.729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1.090.871 </w:t>
            </w:r>
            <w:r>
              <w:rPr>
                <w:rFonts w:ascii="Calibri" w:eastAsia="Times New Roman" w:hAnsi="Calibri" w:cs="Segoe UI"/>
                <w:noProof/>
                <w:color w:val="000000"/>
                <w:sz w:val="18"/>
                <w:szCs w:val="18"/>
                <w:lang w:eastAsia="en-GB"/>
              </w:rPr>
              <w:t> </w:t>
            </w:r>
          </w:p>
        </w:tc>
        <w:tc>
          <w:tcPr>
            <w:tcW w:w="992"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250.639 </w:t>
            </w:r>
            <w:r>
              <w:rPr>
                <w:rFonts w:ascii="Calibri" w:eastAsia="Times New Roman" w:hAnsi="Calibri" w:cs="Segoe UI"/>
                <w:noProof/>
                <w:color w:val="000000"/>
                <w:sz w:val="18"/>
                <w:szCs w:val="18"/>
                <w:lang w:eastAsia="en-GB"/>
              </w:rPr>
              <w:t> </w:t>
            </w:r>
          </w:p>
        </w:tc>
        <w:tc>
          <w:tcPr>
            <w:tcW w:w="993"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467.694 </w:t>
            </w:r>
            <w:r>
              <w:rPr>
                <w:rFonts w:ascii="Calibri" w:eastAsia="Times New Roman" w:hAnsi="Calibri" w:cs="Segoe UI"/>
                <w:noProof/>
                <w:color w:val="000000"/>
                <w:sz w:val="18"/>
                <w:szCs w:val="18"/>
                <w:lang w:eastAsia="en-GB"/>
              </w:rPr>
              <w:t> </w:t>
            </w:r>
          </w:p>
        </w:tc>
      </w:tr>
      <w:tr>
        <w:trPr>
          <w:trHeight w:val="170"/>
        </w:trPr>
        <w:tc>
          <w:tcPr>
            <w:cnfStyle w:val="001000000000" w:firstRow="0" w:lastRow="0" w:firstColumn="1" w:lastColumn="0" w:oddVBand="0" w:evenVBand="0" w:oddHBand="0" w:evenHBand="0" w:firstRowFirstColumn="0" w:firstRowLastColumn="0" w:lastRowFirstColumn="0" w:lastRowLastColumn="0"/>
            <w:tcW w:w="536" w:type="dxa"/>
            <w:hideMark/>
          </w:tcPr>
          <w:p>
            <w:pPr>
              <w:textAlignment w:val="baseline"/>
              <w:rPr>
                <w:rFonts w:ascii="Segoe UI" w:eastAsia="Times New Roman" w:hAnsi="Segoe UI" w:cs="Segoe UI"/>
                <w:noProof/>
                <w:sz w:val="20"/>
                <w:szCs w:val="20"/>
                <w:lang w:eastAsia="en-GB"/>
              </w:rPr>
            </w:pPr>
            <w:r>
              <w:rPr>
                <w:rFonts w:ascii="Calibri" w:eastAsia="Times New Roman" w:hAnsi="Calibri" w:cs="Segoe UI"/>
                <w:noProof/>
                <w:color w:val="000000"/>
                <w:sz w:val="20"/>
                <w:szCs w:val="20"/>
                <w:lang w:val="fr-FR" w:eastAsia="en-GB"/>
              </w:rPr>
              <w:t>FR</w:t>
            </w:r>
            <w:r>
              <w:rPr>
                <w:rFonts w:ascii="Calibri" w:eastAsia="Times New Roman" w:hAnsi="Calibri" w:cs="Segoe UI"/>
                <w:noProof/>
                <w:color w:val="000000"/>
                <w:sz w:val="20"/>
                <w:szCs w:val="20"/>
                <w:lang w:eastAsia="en-GB"/>
              </w:rPr>
              <w:t> </w:t>
            </w:r>
          </w:p>
        </w:tc>
        <w:tc>
          <w:tcPr>
            <w:tcW w:w="1160"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172.720.092 </w:t>
            </w:r>
            <w:r>
              <w:rPr>
                <w:rFonts w:ascii="Calibri" w:eastAsia="Times New Roman" w:hAnsi="Calibri" w:cs="Segoe UI"/>
                <w:noProof/>
                <w:color w:val="000000"/>
                <w:sz w:val="18"/>
                <w:szCs w:val="18"/>
                <w:lang w:eastAsia="en-GB"/>
              </w:rPr>
              <w:t> </w:t>
            </w:r>
          </w:p>
        </w:tc>
        <w:tc>
          <w:tcPr>
            <w:tcW w:w="1276"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247.576.266 </w:t>
            </w:r>
            <w:r>
              <w:rPr>
                <w:rFonts w:ascii="Calibri" w:eastAsia="Times New Roman" w:hAnsi="Calibri" w:cs="Segoe UI"/>
                <w:noProof/>
                <w:color w:val="000000"/>
                <w:sz w:val="18"/>
                <w:szCs w:val="18"/>
                <w:lang w:eastAsia="en-GB"/>
              </w:rPr>
              <w:t> </w:t>
            </w:r>
          </w:p>
        </w:tc>
        <w:tc>
          <w:tcPr>
            <w:tcW w:w="1134" w:type="dxa"/>
            <w:hideMark/>
          </w:tcPr>
          <w:p>
            <w:pPr>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48.652.074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87.615.857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5.048.911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10.261.633 </w:t>
            </w:r>
            <w:r>
              <w:rPr>
                <w:rFonts w:ascii="Calibri" w:eastAsia="Times New Roman" w:hAnsi="Calibri" w:cs="Segoe UI"/>
                <w:noProof/>
                <w:color w:val="000000"/>
                <w:sz w:val="18"/>
                <w:szCs w:val="18"/>
                <w:lang w:eastAsia="en-GB"/>
              </w:rPr>
              <w:t> </w:t>
            </w:r>
          </w:p>
        </w:tc>
        <w:tc>
          <w:tcPr>
            <w:tcW w:w="992"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2.357.718 </w:t>
            </w:r>
            <w:r>
              <w:rPr>
                <w:rFonts w:ascii="Calibri" w:eastAsia="Times New Roman" w:hAnsi="Calibri" w:cs="Segoe UI"/>
                <w:noProof/>
                <w:color w:val="000000"/>
                <w:sz w:val="18"/>
                <w:szCs w:val="18"/>
                <w:lang w:eastAsia="en-GB"/>
              </w:rPr>
              <w:t> </w:t>
            </w:r>
          </w:p>
        </w:tc>
        <w:tc>
          <w:tcPr>
            <w:tcW w:w="993"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4.399.514 </w:t>
            </w:r>
            <w:r>
              <w:rPr>
                <w:rFonts w:ascii="Calibri" w:eastAsia="Times New Roman" w:hAnsi="Calibri" w:cs="Segoe UI"/>
                <w:noProof/>
                <w:color w:val="000000"/>
                <w:sz w:val="18"/>
                <w:szCs w:val="18"/>
                <w:lang w:eastAsia="en-GB"/>
              </w:rPr>
              <w:t> </w:t>
            </w:r>
          </w:p>
        </w:tc>
      </w:tr>
      <w:tr>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36" w:type="dxa"/>
            <w:hideMark/>
          </w:tcPr>
          <w:p>
            <w:pPr>
              <w:textAlignment w:val="baseline"/>
              <w:rPr>
                <w:rFonts w:ascii="Segoe UI" w:eastAsia="Times New Roman" w:hAnsi="Segoe UI" w:cs="Segoe UI"/>
                <w:noProof/>
                <w:sz w:val="20"/>
                <w:szCs w:val="20"/>
                <w:lang w:eastAsia="en-GB"/>
              </w:rPr>
            </w:pPr>
            <w:r>
              <w:rPr>
                <w:rFonts w:ascii="Calibri" w:eastAsia="Times New Roman" w:hAnsi="Calibri" w:cs="Segoe UI"/>
                <w:noProof/>
                <w:color w:val="000000"/>
                <w:sz w:val="20"/>
                <w:szCs w:val="20"/>
                <w:lang w:val="fr-FR" w:eastAsia="en-GB"/>
              </w:rPr>
              <w:t>HR</w:t>
            </w:r>
            <w:r>
              <w:rPr>
                <w:rFonts w:ascii="Calibri" w:eastAsia="Times New Roman" w:hAnsi="Calibri" w:cs="Segoe UI"/>
                <w:noProof/>
                <w:color w:val="000000"/>
                <w:sz w:val="20"/>
                <w:szCs w:val="20"/>
                <w:lang w:eastAsia="en-GB"/>
              </w:rPr>
              <w:t> </w:t>
            </w:r>
          </w:p>
        </w:tc>
        <w:tc>
          <w:tcPr>
            <w:tcW w:w="1160"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5.753.095 </w:t>
            </w:r>
            <w:r>
              <w:rPr>
                <w:rFonts w:ascii="Calibri" w:eastAsia="Times New Roman" w:hAnsi="Calibri" w:cs="Segoe UI"/>
                <w:noProof/>
                <w:color w:val="000000"/>
                <w:sz w:val="18"/>
                <w:szCs w:val="18"/>
                <w:lang w:eastAsia="en-GB"/>
              </w:rPr>
              <w:t> </w:t>
            </w:r>
          </w:p>
        </w:tc>
        <w:tc>
          <w:tcPr>
            <w:tcW w:w="1276"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8.246.463 </w:t>
            </w:r>
            <w:r>
              <w:rPr>
                <w:rFonts w:ascii="Calibri" w:eastAsia="Times New Roman" w:hAnsi="Calibri" w:cs="Segoe UI"/>
                <w:noProof/>
                <w:color w:val="000000"/>
                <w:sz w:val="18"/>
                <w:szCs w:val="18"/>
                <w:lang w:eastAsia="en-GB"/>
              </w:rPr>
              <w:t> </w:t>
            </w:r>
          </w:p>
        </w:tc>
        <w:tc>
          <w:tcPr>
            <w:tcW w:w="1134" w:type="dxa"/>
            <w:hideMark/>
          </w:tcPr>
          <w:p>
            <w:pPr>
              <w:jc w:val="right"/>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1.504.863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2.710.057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156.168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317.404 </w:t>
            </w:r>
            <w:r>
              <w:rPr>
                <w:rFonts w:ascii="Calibri" w:eastAsia="Times New Roman" w:hAnsi="Calibri" w:cs="Segoe UI"/>
                <w:noProof/>
                <w:color w:val="000000"/>
                <w:sz w:val="18"/>
                <w:szCs w:val="18"/>
                <w:lang w:eastAsia="en-GB"/>
              </w:rPr>
              <w:t> </w:t>
            </w:r>
          </w:p>
        </w:tc>
        <w:tc>
          <w:tcPr>
            <w:tcW w:w="992"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72.927 </w:t>
            </w:r>
            <w:r>
              <w:rPr>
                <w:rFonts w:ascii="Calibri" w:eastAsia="Times New Roman" w:hAnsi="Calibri" w:cs="Segoe UI"/>
                <w:noProof/>
                <w:color w:val="000000"/>
                <w:sz w:val="18"/>
                <w:szCs w:val="18"/>
                <w:lang w:eastAsia="en-GB"/>
              </w:rPr>
              <w:t> </w:t>
            </w:r>
          </w:p>
        </w:tc>
        <w:tc>
          <w:tcPr>
            <w:tcW w:w="993"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136.082 </w:t>
            </w:r>
            <w:r>
              <w:rPr>
                <w:rFonts w:ascii="Calibri" w:eastAsia="Times New Roman" w:hAnsi="Calibri" w:cs="Segoe UI"/>
                <w:noProof/>
                <w:color w:val="000000"/>
                <w:sz w:val="18"/>
                <w:szCs w:val="18"/>
                <w:lang w:eastAsia="en-GB"/>
              </w:rPr>
              <w:t> </w:t>
            </w:r>
          </w:p>
        </w:tc>
      </w:tr>
      <w:tr>
        <w:trPr>
          <w:trHeight w:val="170"/>
        </w:trPr>
        <w:tc>
          <w:tcPr>
            <w:cnfStyle w:val="001000000000" w:firstRow="0" w:lastRow="0" w:firstColumn="1" w:lastColumn="0" w:oddVBand="0" w:evenVBand="0" w:oddHBand="0" w:evenHBand="0" w:firstRowFirstColumn="0" w:firstRowLastColumn="0" w:lastRowFirstColumn="0" w:lastRowLastColumn="0"/>
            <w:tcW w:w="536" w:type="dxa"/>
            <w:hideMark/>
          </w:tcPr>
          <w:p>
            <w:pPr>
              <w:textAlignment w:val="baseline"/>
              <w:rPr>
                <w:rFonts w:ascii="Segoe UI" w:eastAsia="Times New Roman" w:hAnsi="Segoe UI" w:cs="Segoe UI"/>
                <w:noProof/>
                <w:sz w:val="20"/>
                <w:szCs w:val="20"/>
                <w:lang w:eastAsia="en-GB"/>
              </w:rPr>
            </w:pPr>
            <w:r>
              <w:rPr>
                <w:rFonts w:ascii="Calibri" w:eastAsia="Times New Roman" w:hAnsi="Calibri" w:cs="Segoe UI"/>
                <w:noProof/>
                <w:color w:val="000000"/>
                <w:sz w:val="20"/>
                <w:szCs w:val="20"/>
                <w:lang w:val="fr-FR" w:eastAsia="en-GB"/>
              </w:rPr>
              <w:t>HU</w:t>
            </w:r>
            <w:r>
              <w:rPr>
                <w:rFonts w:ascii="Calibri" w:eastAsia="Times New Roman" w:hAnsi="Calibri" w:cs="Segoe UI"/>
                <w:noProof/>
                <w:color w:val="000000"/>
                <w:sz w:val="20"/>
                <w:szCs w:val="20"/>
                <w:lang w:eastAsia="en-GB"/>
              </w:rPr>
              <w:t> </w:t>
            </w:r>
          </w:p>
        </w:tc>
        <w:tc>
          <w:tcPr>
            <w:tcW w:w="1160"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19.458.675 </w:t>
            </w:r>
            <w:r>
              <w:rPr>
                <w:rFonts w:ascii="Calibri" w:eastAsia="Times New Roman" w:hAnsi="Calibri" w:cs="Segoe UI"/>
                <w:noProof/>
                <w:color w:val="000000"/>
                <w:sz w:val="18"/>
                <w:szCs w:val="18"/>
                <w:lang w:eastAsia="en-GB"/>
              </w:rPr>
              <w:t> </w:t>
            </w:r>
          </w:p>
        </w:tc>
        <w:tc>
          <w:tcPr>
            <w:tcW w:w="1276"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27.891.985 </w:t>
            </w:r>
            <w:r>
              <w:rPr>
                <w:rFonts w:ascii="Calibri" w:eastAsia="Times New Roman" w:hAnsi="Calibri" w:cs="Segoe UI"/>
                <w:noProof/>
                <w:color w:val="000000"/>
                <w:sz w:val="18"/>
                <w:szCs w:val="18"/>
                <w:lang w:eastAsia="en-GB"/>
              </w:rPr>
              <w:t> </w:t>
            </w:r>
          </w:p>
        </w:tc>
        <w:tc>
          <w:tcPr>
            <w:tcW w:w="1134" w:type="dxa"/>
            <w:hideMark/>
          </w:tcPr>
          <w:p>
            <w:pPr>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4.714.325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8.489.866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489.233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994.339 </w:t>
            </w:r>
            <w:r>
              <w:rPr>
                <w:rFonts w:ascii="Calibri" w:eastAsia="Times New Roman" w:hAnsi="Calibri" w:cs="Segoe UI"/>
                <w:noProof/>
                <w:color w:val="000000"/>
                <w:sz w:val="18"/>
                <w:szCs w:val="18"/>
                <w:lang w:eastAsia="en-GB"/>
              </w:rPr>
              <w:t> </w:t>
            </w:r>
          </w:p>
        </w:tc>
        <w:tc>
          <w:tcPr>
            <w:tcW w:w="992"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228.460 </w:t>
            </w:r>
            <w:r>
              <w:rPr>
                <w:rFonts w:ascii="Calibri" w:eastAsia="Times New Roman" w:hAnsi="Calibri" w:cs="Segoe UI"/>
                <w:noProof/>
                <w:color w:val="000000"/>
                <w:sz w:val="18"/>
                <w:szCs w:val="18"/>
                <w:lang w:eastAsia="en-GB"/>
              </w:rPr>
              <w:t> </w:t>
            </w:r>
          </w:p>
        </w:tc>
        <w:tc>
          <w:tcPr>
            <w:tcW w:w="993"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426.307 </w:t>
            </w:r>
            <w:r>
              <w:rPr>
                <w:rFonts w:ascii="Calibri" w:eastAsia="Times New Roman" w:hAnsi="Calibri" w:cs="Segoe UI"/>
                <w:noProof/>
                <w:color w:val="000000"/>
                <w:sz w:val="18"/>
                <w:szCs w:val="18"/>
                <w:lang w:eastAsia="en-GB"/>
              </w:rPr>
              <w:t> </w:t>
            </w:r>
          </w:p>
        </w:tc>
      </w:tr>
      <w:tr>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36" w:type="dxa"/>
            <w:hideMark/>
          </w:tcPr>
          <w:p>
            <w:pPr>
              <w:textAlignment w:val="baseline"/>
              <w:rPr>
                <w:rFonts w:ascii="Segoe UI" w:eastAsia="Times New Roman" w:hAnsi="Segoe UI" w:cs="Segoe UI"/>
                <w:noProof/>
                <w:sz w:val="20"/>
                <w:szCs w:val="20"/>
                <w:lang w:eastAsia="en-GB"/>
              </w:rPr>
            </w:pPr>
            <w:r>
              <w:rPr>
                <w:rFonts w:ascii="Calibri" w:eastAsia="Times New Roman" w:hAnsi="Calibri" w:cs="Segoe UI"/>
                <w:noProof/>
                <w:color w:val="000000"/>
                <w:sz w:val="20"/>
                <w:szCs w:val="20"/>
                <w:lang w:val="fr-FR" w:eastAsia="en-GB"/>
              </w:rPr>
              <w:t>IE</w:t>
            </w:r>
            <w:r>
              <w:rPr>
                <w:rFonts w:ascii="Calibri" w:eastAsia="Times New Roman" w:hAnsi="Calibri" w:cs="Segoe UI"/>
                <w:noProof/>
                <w:color w:val="000000"/>
                <w:sz w:val="20"/>
                <w:szCs w:val="20"/>
                <w:lang w:eastAsia="en-GB"/>
              </w:rPr>
              <w:t> </w:t>
            </w:r>
          </w:p>
        </w:tc>
        <w:tc>
          <w:tcPr>
            <w:tcW w:w="1160"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19.313.859 </w:t>
            </w:r>
            <w:r>
              <w:rPr>
                <w:rFonts w:ascii="Calibri" w:eastAsia="Times New Roman" w:hAnsi="Calibri" w:cs="Segoe UI"/>
                <w:noProof/>
                <w:color w:val="000000"/>
                <w:sz w:val="18"/>
                <w:szCs w:val="18"/>
                <w:lang w:eastAsia="en-GB"/>
              </w:rPr>
              <w:t> </w:t>
            </w:r>
          </w:p>
        </w:tc>
        <w:tc>
          <w:tcPr>
            <w:tcW w:w="1276"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27.684.406 </w:t>
            </w:r>
            <w:r>
              <w:rPr>
                <w:rFonts w:ascii="Calibri" w:eastAsia="Times New Roman" w:hAnsi="Calibri" w:cs="Segoe UI"/>
                <w:noProof/>
                <w:color w:val="000000"/>
                <w:sz w:val="18"/>
                <w:szCs w:val="18"/>
                <w:lang w:eastAsia="en-GB"/>
              </w:rPr>
              <w:t> </w:t>
            </w:r>
          </w:p>
        </w:tc>
        <w:tc>
          <w:tcPr>
            <w:tcW w:w="1134" w:type="dxa"/>
            <w:hideMark/>
          </w:tcPr>
          <w:p>
            <w:pPr>
              <w:jc w:val="right"/>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4.087.400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7.360.859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424.173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862.109 </w:t>
            </w:r>
            <w:r>
              <w:rPr>
                <w:rFonts w:ascii="Calibri" w:eastAsia="Times New Roman" w:hAnsi="Calibri" w:cs="Segoe UI"/>
                <w:noProof/>
                <w:color w:val="000000"/>
                <w:sz w:val="18"/>
                <w:szCs w:val="18"/>
                <w:lang w:eastAsia="en-GB"/>
              </w:rPr>
              <w:t> </w:t>
            </w:r>
          </w:p>
        </w:tc>
        <w:tc>
          <w:tcPr>
            <w:tcW w:w="992"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198.079 </w:t>
            </w:r>
            <w:r>
              <w:rPr>
                <w:rFonts w:ascii="Calibri" w:eastAsia="Times New Roman" w:hAnsi="Calibri" w:cs="Segoe UI"/>
                <w:noProof/>
                <w:color w:val="000000"/>
                <w:sz w:val="18"/>
                <w:szCs w:val="18"/>
                <w:lang w:eastAsia="en-GB"/>
              </w:rPr>
              <w:t> </w:t>
            </w:r>
          </w:p>
        </w:tc>
        <w:tc>
          <w:tcPr>
            <w:tcW w:w="993"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369.616 </w:t>
            </w:r>
            <w:r>
              <w:rPr>
                <w:rFonts w:ascii="Calibri" w:eastAsia="Times New Roman" w:hAnsi="Calibri" w:cs="Segoe UI"/>
                <w:noProof/>
                <w:color w:val="000000"/>
                <w:sz w:val="18"/>
                <w:szCs w:val="18"/>
                <w:lang w:eastAsia="en-GB"/>
              </w:rPr>
              <w:t> </w:t>
            </w:r>
          </w:p>
        </w:tc>
      </w:tr>
      <w:tr>
        <w:trPr>
          <w:trHeight w:val="170"/>
        </w:trPr>
        <w:tc>
          <w:tcPr>
            <w:cnfStyle w:val="001000000000" w:firstRow="0" w:lastRow="0" w:firstColumn="1" w:lastColumn="0" w:oddVBand="0" w:evenVBand="0" w:oddHBand="0" w:evenHBand="0" w:firstRowFirstColumn="0" w:firstRowLastColumn="0" w:lastRowFirstColumn="0" w:lastRowLastColumn="0"/>
            <w:tcW w:w="536" w:type="dxa"/>
            <w:hideMark/>
          </w:tcPr>
          <w:p>
            <w:pPr>
              <w:textAlignment w:val="baseline"/>
              <w:rPr>
                <w:rFonts w:ascii="Segoe UI" w:eastAsia="Times New Roman" w:hAnsi="Segoe UI" w:cs="Segoe UI"/>
                <w:noProof/>
                <w:sz w:val="20"/>
                <w:szCs w:val="20"/>
                <w:lang w:eastAsia="en-GB"/>
              </w:rPr>
            </w:pPr>
            <w:r>
              <w:rPr>
                <w:rFonts w:ascii="Calibri" w:eastAsia="Times New Roman" w:hAnsi="Calibri" w:cs="Segoe UI"/>
                <w:noProof/>
                <w:color w:val="000000"/>
                <w:sz w:val="20"/>
                <w:szCs w:val="20"/>
                <w:lang w:val="fr-FR" w:eastAsia="en-GB"/>
              </w:rPr>
              <w:t>IT</w:t>
            </w:r>
            <w:r>
              <w:rPr>
                <w:rFonts w:ascii="Calibri" w:eastAsia="Times New Roman" w:hAnsi="Calibri" w:cs="Segoe UI"/>
                <w:noProof/>
                <w:color w:val="000000"/>
                <w:sz w:val="20"/>
                <w:szCs w:val="20"/>
                <w:lang w:eastAsia="en-GB"/>
              </w:rPr>
              <w:t> </w:t>
            </w:r>
          </w:p>
        </w:tc>
        <w:tc>
          <w:tcPr>
            <w:tcW w:w="1160"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239.620.472 </w:t>
            </w:r>
            <w:r>
              <w:rPr>
                <w:rFonts w:ascii="Calibri" w:eastAsia="Times New Roman" w:hAnsi="Calibri" w:cs="Segoe UI"/>
                <w:noProof/>
                <w:color w:val="000000"/>
                <w:sz w:val="18"/>
                <w:szCs w:val="18"/>
                <w:lang w:eastAsia="en-GB"/>
              </w:rPr>
              <w:t> </w:t>
            </w:r>
          </w:p>
        </w:tc>
        <w:tc>
          <w:tcPr>
            <w:tcW w:w="1276"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343.470.995 </w:t>
            </w:r>
            <w:r>
              <w:rPr>
                <w:rFonts w:ascii="Calibri" w:eastAsia="Times New Roman" w:hAnsi="Calibri" w:cs="Segoe UI"/>
                <w:noProof/>
                <w:color w:val="000000"/>
                <w:sz w:val="18"/>
                <w:szCs w:val="18"/>
                <w:lang w:eastAsia="en-GB"/>
              </w:rPr>
              <w:t> </w:t>
            </w:r>
          </w:p>
        </w:tc>
        <w:tc>
          <w:tcPr>
            <w:tcW w:w="1134" w:type="dxa"/>
            <w:hideMark/>
          </w:tcPr>
          <w:p>
            <w:pPr>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45.977.993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82.800.195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4.771.405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9.697.619 </w:t>
            </w:r>
            <w:r>
              <w:rPr>
                <w:rFonts w:ascii="Calibri" w:eastAsia="Times New Roman" w:hAnsi="Calibri" w:cs="Segoe UI"/>
                <w:noProof/>
                <w:color w:val="000000"/>
                <w:sz w:val="18"/>
                <w:szCs w:val="18"/>
                <w:lang w:eastAsia="en-GB"/>
              </w:rPr>
              <w:t> </w:t>
            </w:r>
          </w:p>
        </w:tc>
        <w:tc>
          <w:tcPr>
            <w:tcW w:w="992"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2.228.130 </w:t>
            </w:r>
            <w:r>
              <w:rPr>
                <w:rFonts w:ascii="Calibri" w:eastAsia="Times New Roman" w:hAnsi="Calibri" w:cs="Segoe UI"/>
                <w:noProof/>
                <w:color w:val="000000"/>
                <w:sz w:val="18"/>
                <w:szCs w:val="18"/>
                <w:lang w:eastAsia="en-GB"/>
              </w:rPr>
              <w:t> </w:t>
            </w:r>
          </w:p>
        </w:tc>
        <w:tc>
          <w:tcPr>
            <w:tcW w:w="993"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4.157.702 </w:t>
            </w:r>
            <w:r>
              <w:rPr>
                <w:rFonts w:ascii="Calibri" w:eastAsia="Times New Roman" w:hAnsi="Calibri" w:cs="Segoe UI"/>
                <w:noProof/>
                <w:color w:val="000000"/>
                <w:sz w:val="18"/>
                <w:szCs w:val="18"/>
                <w:lang w:eastAsia="en-GB"/>
              </w:rPr>
              <w:t> </w:t>
            </w:r>
          </w:p>
        </w:tc>
      </w:tr>
      <w:tr>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36" w:type="dxa"/>
            <w:hideMark/>
          </w:tcPr>
          <w:p>
            <w:pPr>
              <w:textAlignment w:val="baseline"/>
              <w:rPr>
                <w:rFonts w:ascii="Segoe UI" w:eastAsia="Times New Roman" w:hAnsi="Segoe UI" w:cs="Segoe UI"/>
                <w:noProof/>
                <w:sz w:val="20"/>
                <w:szCs w:val="20"/>
                <w:lang w:eastAsia="en-GB"/>
              </w:rPr>
            </w:pPr>
            <w:r>
              <w:rPr>
                <w:rFonts w:ascii="Calibri" w:eastAsia="Times New Roman" w:hAnsi="Calibri" w:cs="Segoe UI"/>
                <w:noProof/>
                <w:color w:val="000000"/>
                <w:sz w:val="20"/>
                <w:szCs w:val="20"/>
                <w:lang w:val="fr-FR" w:eastAsia="en-GB"/>
              </w:rPr>
              <w:t>LT</w:t>
            </w:r>
            <w:r>
              <w:rPr>
                <w:rFonts w:ascii="Calibri" w:eastAsia="Times New Roman" w:hAnsi="Calibri" w:cs="Segoe UI"/>
                <w:noProof/>
                <w:color w:val="000000"/>
                <w:sz w:val="20"/>
                <w:szCs w:val="20"/>
                <w:lang w:eastAsia="en-GB"/>
              </w:rPr>
              <w:t> </w:t>
            </w:r>
          </w:p>
        </w:tc>
        <w:tc>
          <w:tcPr>
            <w:tcW w:w="1160"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5.907.665 </w:t>
            </w:r>
            <w:r>
              <w:rPr>
                <w:rFonts w:ascii="Calibri" w:eastAsia="Times New Roman" w:hAnsi="Calibri" w:cs="Segoe UI"/>
                <w:noProof/>
                <w:color w:val="000000"/>
                <w:sz w:val="18"/>
                <w:szCs w:val="18"/>
                <w:lang w:eastAsia="en-GB"/>
              </w:rPr>
              <w:t> </w:t>
            </w:r>
          </w:p>
        </w:tc>
        <w:tc>
          <w:tcPr>
            <w:tcW w:w="1276"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8.468.023 </w:t>
            </w:r>
            <w:r>
              <w:rPr>
                <w:rFonts w:ascii="Calibri" w:eastAsia="Times New Roman" w:hAnsi="Calibri" w:cs="Segoe UI"/>
                <w:noProof/>
                <w:color w:val="000000"/>
                <w:sz w:val="18"/>
                <w:szCs w:val="18"/>
                <w:lang w:eastAsia="en-GB"/>
              </w:rPr>
              <w:t> </w:t>
            </w:r>
          </w:p>
        </w:tc>
        <w:tc>
          <w:tcPr>
            <w:tcW w:w="1134" w:type="dxa"/>
            <w:hideMark/>
          </w:tcPr>
          <w:p>
            <w:pPr>
              <w:jc w:val="right"/>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1.081.870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1.948.303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112.272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228.187 </w:t>
            </w:r>
            <w:r>
              <w:rPr>
                <w:rFonts w:ascii="Calibri" w:eastAsia="Times New Roman" w:hAnsi="Calibri" w:cs="Segoe UI"/>
                <w:noProof/>
                <w:color w:val="000000"/>
                <w:sz w:val="18"/>
                <w:szCs w:val="18"/>
                <w:lang w:eastAsia="en-GB"/>
              </w:rPr>
              <w:t> </w:t>
            </w:r>
          </w:p>
        </w:tc>
        <w:tc>
          <w:tcPr>
            <w:tcW w:w="992"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52.428 </w:t>
            </w:r>
            <w:r>
              <w:rPr>
                <w:rFonts w:ascii="Calibri" w:eastAsia="Times New Roman" w:hAnsi="Calibri" w:cs="Segoe UI"/>
                <w:noProof/>
                <w:color w:val="000000"/>
                <w:sz w:val="18"/>
                <w:szCs w:val="18"/>
                <w:lang w:eastAsia="en-GB"/>
              </w:rPr>
              <w:t> </w:t>
            </w:r>
          </w:p>
        </w:tc>
        <w:tc>
          <w:tcPr>
            <w:tcW w:w="993"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97.831 </w:t>
            </w:r>
            <w:r>
              <w:rPr>
                <w:rFonts w:ascii="Calibri" w:eastAsia="Times New Roman" w:hAnsi="Calibri" w:cs="Segoe UI"/>
                <w:noProof/>
                <w:color w:val="000000"/>
                <w:sz w:val="18"/>
                <w:szCs w:val="18"/>
                <w:lang w:eastAsia="en-GB"/>
              </w:rPr>
              <w:t> </w:t>
            </w:r>
          </w:p>
        </w:tc>
      </w:tr>
      <w:tr>
        <w:trPr>
          <w:trHeight w:val="170"/>
        </w:trPr>
        <w:tc>
          <w:tcPr>
            <w:cnfStyle w:val="001000000000" w:firstRow="0" w:lastRow="0" w:firstColumn="1" w:lastColumn="0" w:oddVBand="0" w:evenVBand="0" w:oddHBand="0" w:evenHBand="0" w:firstRowFirstColumn="0" w:firstRowLastColumn="0" w:lastRowFirstColumn="0" w:lastRowLastColumn="0"/>
            <w:tcW w:w="536" w:type="dxa"/>
            <w:hideMark/>
          </w:tcPr>
          <w:p>
            <w:pPr>
              <w:textAlignment w:val="baseline"/>
              <w:rPr>
                <w:rFonts w:ascii="Segoe UI" w:eastAsia="Times New Roman" w:hAnsi="Segoe UI" w:cs="Segoe UI"/>
                <w:noProof/>
                <w:sz w:val="20"/>
                <w:szCs w:val="20"/>
                <w:lang w:eastAsia="en-GB"/>
              </w:rPr>
            </w:pPr>
            <w:r>
              <w:rPr>
                <w:rFonts w:ascii="Calibri" w:eastAsia="Times New Roman" w:hAnsi="Calibri" w:cs="Segoe UI"/>
                <w:noProof/>
                <w:color w:val="000000"/>
                <w:sz w:val="20"/>
                <w:szCs w:val="20"/>
                <w:lang w:val="fr-FR" w:eastAsia="en-GB"/>
              </w:rPr>
              <w:t>LU</w:t>
            </w:r>
            <w:r>
              <w:rPr>
                <w:rFonts w:ascii="Calibri" w:eastAsia="Times New Roman" w:hAnsi="Calibri" w:cs="Segoe UI"/>
                <w:noProof/>
                <w:color w:val="000000"/>
                <w:sz w:val="20"/>
                <w:szCs w:val="20"/>
                <w:lang w:eastAsia="en-GB"/>
              </w:rPr>
              <w:t> </w:t>
            </w:r>
          </w:p>
        </w:tc>
        <w:tc>
          <w:tcPr>
            <w:tcW w:w="1160"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4.889.401 </w:t>
            </w:r>
            <w:r>
              <w:rPr>
                <w:rFonts w:ascii="Calibri" w:eastAsia="Times New Roman" w:hAnsi="Calibri" w:cs="Segoe UI"/>
                <w:noProof/>
                <w:color w:val="000000"/>
                <w:sz w:val="18"/>
                <w:szCs w:val="18"/>
                <w:lang w:eastAsia="en-GB"/>
              </w:rPr>
              <w:t> </w:t>
            </w:r>
          </w:p>
        </w:tc>
        <w:tc>
          <w:tcPr>
            <w:tcW w:w="1276"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7.008.447 </w:t>
            </w:r>
            <w:r>
              <w:rPr>
                <w:rFonts w:ascii="Calibri" w:eastAsia="Times New Roman" w:hAnsi="Calibri" w:cs="Segoe UI"/>
                <w:noProof/>
                <w:color w:val="000000"/>
                <w:sz w:val="18"/>
                <w:szCs w:val="18"/>
                <w:lang w:eastAsia="en-GB"/>
              </w:rPr>
              <w:t> </w:t>
            </w:r>
          </w:p>
        </w:tc>
        <w:tc>
          <w:tcPr>
            <w:tcW w:w="1134" w:type="dxa"/>
            <w:hideMark/>
          </w:tcPr>
          <w:p>
            <w:pPr>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1.306.797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2.353.366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135.614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275.628 </w:t>
            </w:r>
            <w:r>
              <w:rPr>
                <w:rFonts w:ascii="Calibri" w:eastAsia="Times New Roman" w:hAnsi="Calibri" w:cs="Segoe UI"/>
                <w:noProof/>
                <w:color w:val="000000"/>
                <w:sz w:val="18"/>
                <w:szCs w:val="18"/>
                <w:lang w:eastAsia="en-GB"/>
              </w:rPr>
              <w:t> </w:t>
            </w:r>
          </w:p>
        </w:tc>
        <w:tc>
          <w:tcPr>
            <w:tcW w:w="992"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63.328 </w:t>
            </w:r>
            <w:r>
              <w:rPr>
                <w:rFonts w:ascii="Calibri" w:eastAsia="Times New Roman" w:hAnsi="Calibri" w:cs="Segoe UI"/>
                <w:noProof/>
                <w:color w:val="000000"/>
                <w:sz w:val="18"/>
                <w:szCs w:val="18"/>
                <w:lang w:eastAsia="en-GB"/>
              </w:rPr>
              <w:t> </w:t>
            </w:r>
          </w:p>
        </w:tc>
        <w:tc>
          <w:tcPr>
            <w:tcW w:w="993"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118.171 </w:t>
            </w:r>
            <w:r>
              <w:rPr>
                <w:rFonts w:ascii="Calibri" w:eastAsia="Times New Roman" w:hAnsi="Calibri" w:cs="Segoe UI"/>
                <w:noProof/>
                <w:color w:val="000000"/>
                <w:sz w:val="18"/>
                <w:szCs w:val="18"/>
                <w:lang w:eastAsia="en-GB"/>
              </w:rPr>
              <w:t> </w:t>
            </w:r>
          </w:p>
        </w:tc>
      </w:tr>
      <w:tr>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36" w:type="dxa"/>
            <w:hideMark/>
          </w:tcPr>
          <w:p>
            <w:pPr>
              <w:textAlignment w:val="baseline"/>
              <w:rPr>
                <w:rFonts w:ascii="Segoe UI" w:eastAsia="Times New Roman" w:hAnsi="Segoe UI" w:cs="Segoe UI"/>
                <w:noProof/>
                <w:sz w:val="20"/>
                <w:szCs w:val="20"/>
                <w:lang w:eastAsia="en-GB"/>
              </w:rPr>
            </w:pPr>
            <w:r>
              <w:rPr>
                <w:rFonts w:ascii="Calibri" w:eastAsia="Times New Roman" w:hAnsi="Calibri" w:cs="Segoe UI"/>
                <w:noProof/>
                <w:color w:val="000000"/>
                <w:sz w:val="20"/>
                <w:szCs w:val="20"/>
                <w:lang w:val="fr-FR" w:eastAsia="en-GB"/>
              </w:rPr>
              <w:t>LV</w:t>
            </w:r>
            <w:r>
              <w:rPr>
                <w:rFonts w:ascii="Calibri" w:eastAsia="Times New Roman" w:hAnsi="Calibri" w:cs="Segoe UI"/>
                <w:noProof/>
                <w:color w:val="000000"/>
                <w:sz w:val="20"/>
                <w:szCs w:val="20"/>
                <w:lang w:eastAsia="en-GB"/>
              </w:rPr>
              <w:t> </w:t>
            </w:r>
          </w:p>
        </w:tc>
        <w:tc>
          <w:tcPr>
            <w:tcW w:w="1160"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4.219.848 </w:t>
            </w:r>
            <w:r>
              <w:rPr>
                <w:rFonts w:ascii="Calibri" w:eastAsia="Times New Roman" w:hAnsi="Calibri" w:cs="Segoe UI"/>
                <w:noProof/>
                <w:color w:val="000000"/>
                <w:sz w:val="18"/>
                <w:szCs w:val="18"/>
                <w:lang w:eastAsia="en-GB"/>
              </w:rPr>
              <w:t> </w:t>
            </w:r>
          </w:p>
        </w:tc>
        <w:tc>
          <w:tcPr>
            <w:tcW w:w="1276"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6.048.713 </w:t>
            </w:r>
            <w:r>
              <w:rPr>
                <w:rFonts w:ascii="Calibri" w:eastAsia="Times New Roman" w:hAnsi="Calibri" w:cs="Segoe UI"/>
                <w:noProof/>
                <w:color w:val="000000"/>
                <w:sz w:val="18"/>
                <w:szCs w:val="18"/>
                <w:lang w:eastAsia="en-GB"/>
              </w:rPr>
              <w:t> </w:t>
            </w:r>
          </w:p>
        </w:tc>
        <w:tc>
          <w:tcPr>
            <w:tcW w:w="1134" w:type="dxa"/>
            <w:hideMark/>
          </w:tcPr>
          <w:p>
            <w:pPr>
              <w:jc w:val="right"/>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666.175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1.199.691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69.133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140.509 </w:t>
            </w:r>
            <w:r>
              <w:rPr>
                <w:rFonts w:ascii="Calibri" w:eastAsia="Times New Roman" w:hAnsi="Calibri" w:cs="Segoe UI"/>
                <w:noProof/>
                <w:color w:val="000000"/>
                <w:sz w:val="18"/>
                <w:szCs w:val="18"/>
                <w:lang w:eastAsia="en-GB"/>
              </w:rPr>
              <w:t> </w:t>
            </w:r>
          </w:p>
        </w:tc>
        <w:tc>
          <w:tcPr>
            <w:tcW w:w="992"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32.283 </w:t>
            </w:r>
            <w:r>
              <w:rPr>
                <w:rFonts w:ascii="Calibri" w:eastAsia="Times New Roman" w:hAnsi="Calibri" w:cs="Segoe UI"/>
                <w:noProof/>
                <w:color w:val="000000"/>
                <w:sz w:val="18"/>
                <w:szCs w:val="18"/>
                <w:lang w:eastAsia="en-GB"/>
              </w:rPr>
              <w:t> </w:t>
            </w:r>
          </w:p>
        </w:tc>
        <w:tc>
          <w:tcPr>
            <w:tcW w:w="993"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60.241 </w:t>
            </w:r>
            <w:r>
              <w:rPr>
                <w:rFonts w:ascii="Calibri" w:eastAsia="Times New Roman" w:hAnsi="Calibri" w:cs="Segoe UI"/>
                <w:noProof/>
                <w:color w:val="000000"/>
                <w:sz w:val="18"/>
                <w:szCs w:val="18"/>
                <w:lang w:eastAsia="en-GB"/>
              </w:rPr>
              <w:t> </w:t>
            </w:r>
          </w:p>
        </w:tc>
      </w:tr>
      <w:tr>
        <w:trPr>
          <w:trHeight w:val="170"/>
        </w:trPr>
        <w:tc>
          <w:tcPr>
            <w:cnfStyle w:val="001000000000" w:firstRow="0" w:lastRow="0" w:firstColumn="1" w:lastColumn="0" w:oddVBand="0" w:evenVBand="0" w:oddHBand="0" w:evenHBand="0" w:firstRowFirstColumn="0" w:firstRowLastColumn="0" w:lastRowFirstColumn="0" w:lastRowLastColumn="0"/>
            <w:tcW w:w="536" w:type="dxa"/>
            <w:hideMark/>
          </w:tcPr>
          <w:p>
            <w:pPr>
              <w:textAlignment w:val="baseline"/>
              <w:rPr>
                <w:rFonts w:ascii="Segoe UI" w:eastAsia="Times New Roman" w:hAnsi="Segoe UI" w:cs="Segoe UI"/>
                <w:noProof/>
                <w:sz w:val="20"/>
                <w:szCs w:val="20"/>
                <w:lang w:eastAsia="en-GB"/>
              </w:rPr>
            </w:pPr>
            <w:r>
              <w:rPr>
                <w:rFonts w:ascii="Calibri" w:eastAsia="Times New Roman" w:hAnsi="Calibri" w:cs="Segoe UI"/>
                <w:noProof/>
                <w:color w:val="000000"/>
                <w:sz w:val="20"/>
                <w:szCs w:val="20"/>
                <w:lang w:val="fr-FR" w:eastAsia="en-GB"/>
              </w:rPr>
              <w:t>MT</w:t>
            </w:r>
            <w:r>
              <w:rPr>
                <w:rFonts w:ascii="Calibri" w:eastAsia="Times New Roman" w:hAnsi="Calibri" w:cs="Segoe UI"/>
                <w:noProof/>
                <w:color w:val="000000"/>
                <w:sz w:val="20"/>
                <w:szCs w:val="20"/>
                <w:lang w:eastAsia="en-GB"/>
              </w:rPr>
              <w:t> </w:t>
            </w:r>
          </w:p>
        </w:tc>
        <w:tc>
          <w:tcPr>
            <w:tcW w:w="1160"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1.302.252 </w:t>
            </w:r>
            <w:r>
              <w:rPr>
                <w:rFonts w:ascii="Calibri" w:eastAsia="Times New Roman" w:hAnsi="Calibri" w:cs="Segoe UI"/>
                <w:noProof/>
                <w:color w:val="000000"/>
                <w:sz w:val="18"/>
                <w:szCs w:val="18"/>
                <w:lang w:eastAsia="en-GB"/>
              </w:rPr>
              <w:t> </w:t>
            </w:r>
          </w:p>
        </w:tc>
        <w:tc>
          <w:tcPr>
            <w:tcW w:w="1276"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1.866.643 </w:t>
            </w:r>
            <w:r>
              <w:rPr>
                <w:rFonts w:ascii="Calibri" w:eastAsia="Times New Roman" w:hAnsi="Calibri" w:cs="Segoe UI"/>
                <w:noProof/>
                <w:color w:val="000000"/>
                <w:sz w:val="18"/>
                <w:szCs w:val="18"/>
                <w:lang w:eastAsia="en-GB"/>
              </w:rPr>
              <w:t> </w:t>
            </w:r>
          </w:p>
        </w:tc>
        <w:tc>
          <w:tcPr>
            <w:tcW w:w="1134" w:type="dxa"/>
            <w:hideMark/>
          </w:tcPr>
          <w:p>
            <w:pPr>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280.353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504.878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29.094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59.132 </w:t>
            </w:r>
            <w:r>
              <w:rPr>
                <w:rFonts w:ascii="Calibri" w:eastAsia="Times New Roman" w:hAnsi="Calibri" w:cs="Segoe UI"/>
                <w:noProof/>
                <w:color w:val="000000"/>
                <w:sz w:val="18"/>
                <w:szCs w:val="18"/>
                <w:lang w:eastAsia="en-GB"/>
              </w:rPr>
              <w:t> </w:t>
            </w:r>
          </w:p>
        </w:tc>
        <w:tc>
          <w:tcPr>
            <w:tcW w:w="992"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13.586 </w:t>
            </w:r>
            <w:r>
              <w:rPr>
                <w:rFonts w:ascii="Calibri" w:eastAsia="Times New Roman" w:hAnsi="Calibri" w:cs="Segoe UI"/>
                <w:noProof/>
                <w:color w:val="000000"/>
                <w:sz w:val="18"/>
                <w:szCs w:val="18"/>
                <w:lang w:eastAsia="en-GB"/>
              </w:rPr>
              <w:t> </w:t>
            </w:r>
          </w:p>
        </w:tc>
        <w:tc>
          <w:tcPr>
            <w:tcW w:w="993"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25.352 </w:t>
            </w:r>
            <w:r>
              <w:rPr>
                <w:rFonts w:ascii="Calibri" w:eastAsia="Times New Roman" w:hAnsi="Calibri" w:cs="Segoe UI"/>
                <w:noProof/>
                <w:color w:val="000000"/>
                <w:sz w:val="18"/>
                <w:szCs w:val="18"/>
                <w:lang w:eastAsia="en-GB"/>
              </w:rPr>
              <w:t> </w:t>
            </w:r>
          </w:p>
        </w:tc>
      </w:tr>
      <w:tr>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36" w:type="dxa"/>
            <w:hideMark/>
          </w:tcPr>
          <w:p>
            <w:pPr>
              <w:textAlignment w:val="baseline"/>
              <w:rPr>
                <w:rFonts w:ascii="Segoe UI" w:eastAsia="Times New Roman" w:hAnsi="Segoe UI" w:cs="Segoe UI"/>
                <w:noProof/>
                <w:sz w:val="20"/>
                <w:szCs w:val="20"/>
                <w:lang w:eastAsia="en-GB"/>
              </w:rPr>
            </w:pPr>
            <w:r>
              <w:rPr>
                <w:rFonts w:ascii="Calibri" w:eastAsia="Times New Roman" w:hAnsi="Calibri" w:cs="Segoe UI"/>
                <w:noProof/>
                <w:color w:val="000000"/>
                <w:sz w:val="20"/>
                <w:szCs w:val="20"/>
                <w:lang w:val="fr-FR" w:eastAsia="en-GB"/>
              </w:rPr>
              <w:t>NL</w:t>
            </w:r>
            <w:r>
              <w:rPr>
                <w:rFonts w:ascii="Calibri" w:eastAsia="Times New Roman" w:hAnsi="Calibri" w:cs="Segoe UI"/>
                <w:noProof/>
                <w:color w:val="000000"/>
                <w:sz w:val="20"/>
                <w:szCs w:val="20"/>
                <w:lang w:eastAsia="en-GB"/>
              </w:rPr>
              <w:t> </w:t>
            </w:r>
          </w:p>
        </w:tc>
        <w:tc>
          <w:tcPr>
            <w:tcW w:w="1160"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72.601.969 </w:t>
            </w:r>
            <w:r>
              <w:rPr>
                <w:rFonts w:ascii="Calibri" w:eastAsia="Times New Roman" w:hAnsi="Calibri" w:cs="Segoe UI"/>
                <w:noProof/>
                <w:color w:val="000000"/>
                <w:sz w:val="18"/>
                <w:szCs w:val="18"/>
                <w:lang w:eastAsia="en-GB"/>
              </w:rPr>
              <w:t> </w:t>
            </w:r>
          </w:p>
        </w:tc>
        <w:tc>
          <w:tcPr>
            <w:tcW w:w="1276"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104.067.362 </w:t>
            </w:r>
            <w:r>
              <w:rPr>
                <w:rFonts w:ascii="Calibri" w:eastAsia="Times New Roman" w:hAnsi="Calibri" w:cs="Segoe UI"/>
                <w:noProof/>
                <w:color w:val="000000"/>
                <w:sz w:val="18"/>
                <w:szCs w:val="18"/>
                <w:lang w:eastAsia="en-GB"/>
              </w:rPr>
              <w:t> </w:t>
            </w:r>
          </w:p>
        </w:tc>
        <w:tc>
          <w:tcPr>
            <w:tcW w:w="1134" w:type="dxa"/>
            <w:hideMark/>
          </w:tcPr>
          <w:p>
            <w:pPr>
              <w:jc w:val="right"/>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16.179.852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29.137.742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1.679.078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3.412.634 </w:t>
            </w:r>
            <w:r>
              <w:rPr>
                <w:rFonts w:ascii="Calibri" w:eastAsia="Times New Roman" w:hAnsi="Calibri" w:cs="Segoe UI"/>
                <w:noProof/>
                <w:color w:val="000000"/>
                <w:sz w:val="18"/>
                <w:szCs w:val="18"/>
                <w:lang w:eastAsia="en-GB"/>
              </w:rPr>
              <w:t> </w:t>
            </w:r>
          </w:p>
        </w:tc>
        <w:tc>
          <w:tcPr>
            <w:tcW w:w="992"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784.089 </w:t>
            </w:r>
            <w:r>
              <w:rPr>
                <w:rFonts w:ascii="Calibri" w:eastAsia="Times New Roman" w:hAnsi="Calibri" w:cs="Segoe UI"/>
                <w:noProof/>
                <w:color w:val="000000"/>
                <w:sz w:val="18"/>
                <w:szCs w:val="18"/>
                <w:lang w:eastAsia="en-GB"/>
              </w:rPr>
              <w:t> </w:t>
            </w:r>
          </w:p>
        </w:tc>
        <w:tc>
          <w:tcPr>
            <w:tcW w:w="993"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1.463.113 </w:t>
            </w:r>
            <w:r>
              <w:rPr>
                <w:rFonts w:ascii="Calibri" w:eastAsia="Times New Roman" w:hAnsi="Calibri" w:cs="Segoe UI"/>
                <w:noProof/>
                <w:color w:val="000000"/>
                <w:sz w:val="18"/>
                <w:szCs w:val="18"/>
                <w:lang w:eastAsia="en-GB"/>
              </w:rPr>
              <w:t> </w:t>
            </w:r>
          </w:p>
        </w:tc>
      </w:tr>
      <w:tr>
        <w:trPr>
          <w:trHeight w:val="170"/>
        </w:trPr>
        <w:tc>
          <w:tcPr>
            <w:cnfStyle w:val="001000000000" w:firstRow="0" w:lastRow="0" w:firstColumn="1" w:lastColumn="0" w:oddVBand="0" w:evenVBand="0" w:oddHBand="0" w:evenHBand="0" w:firstRowFirstColumn="0" w:firstRowLastColumn="0" w:lastRowFirstColumn="0" w:lastRowLastColumn="0"/>
            <w:tcW w:w="536" w:type="dxa"/>
            <w:hideMark/>
          </w:tcPr>
          <w:p>
            <w:pPr>
              <w:textAlignment w:val="baseline"/>
              <w:rPr>
                <w:rFonts w:ascii="Segoe UI" w:eastAsia="Times New Roman" w:hAnsi="Segoe UI" w:cs="Segoe UI"/>
                <w:noProof/>
                <w:sz w:val="20"/>
                <w:szCs w:val="20"/>
                <w:lang w:eastAsia="en-GB"/>
              </w:rPr>
            </w:pPr>
            <w:r>
              <w:rPr>
                <w:rFonts w:ascii="Calibri" w:eastAsia="Times New Roman" w:hAnsi="Calibri" w:cs="Segoe UI"/>
                <w:noProof/>
                <w:color w:val="000000"/>
                <w:sz w:val="20"/>
                <w:szCs w:val="20"/>
                <w:lang w:val="fr-FR" w:eastAsia="en-GB"/>
              </w:rPr>
              <w:t>PL</w:t>
            </w:r>
            <w:r>
              <w:rPr>
                <w:rFonts w:ascii="Calibri" w:eastAsia="Times New Roman" w:hAnsi="Calibri" w:cs="Segoe UI"/>
                <w:noProof/>
                <w:color w:val="000000"/>
                <w:sz w:val="20"/>
                <w:szCs w:val="20"/>
                <w:lang w:eastAsia="en-GB"/>
              </w:rPr>
              <w:t> </w:t>
            </w:r>
          </w:p>
        </w:tc>
        <w:tc>
          <w:tcPr>
            <w:tcW w:w="1160"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51.778.145 </w:t>
            </w:r>
            <w:r>
              <w:rPr>
                <w:rFonts w:ascii="Calibri" w:eastAsia="Times New Roman" w:hAnsi="Calibri" w:cs="Segoe UI"/>
                <w:noProof/>
                <w:color w:val="000000"/>
                <w:sz w:val="18"/>
                <w:szCs w:val="18"/>
                <w:lang w:eastAsia="en-GB"/>
              </w:rPr>
              <w:t> </w:t>
            </w:r>
          </w:p>
        </w:tc>
        <w:tc>
          <w:tcPr>
            <w:tcW w:w="1276"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74.218.579 </w:t>
            </w:r>
            <w:r>
              <w:rPr>
                <w:rFonts w:ascii="Calibri" w:eastAsia="Times New Roman" w:hAnsi="Calibri" w:cs="Segoe UI"/>
                <w:noProof/>
                <w:color w:val="000000"/>
                <w:sz w:val="18"/>
                <w:szCs w:val="18"/>
                <w:lang w:eastAsia="en-GB"/>
              </w:rPr>
              <w:t> </w:t>
            </w:r>
          </w:p>
        </w:tc>
        <w:tc>
          <w:tcPr>
            <w:tcW w:w="1134" w:type="dxa"/>
            <w:hideMark/>
          </w:tcPr>
          <w:p>
            <w:pPr>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13.539.829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24.383.416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1.405.107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2.855.803 </w:t>
            </w:r>
            <w:r>
              <w:rPr>
                <w:rFonts w:ascii="Calibri" w:eastAsia="Times New Roman" w:hAnsi="Calibri" w:cs="Segoe UI"/>
                <w:noProof/>
                <w:color w:val="000000"/>
                <w:sz w:val="18"/>
                <w:szCs w:val="18"/>
                <w:lang w:eastAsia="en-GB"/>
              </w:rPr>
              <w:t> </w:t>
            </w:r>
          </w:p>
        </w:tc>
        <w:tc>
          <w:tcPr>
            <w:tcW w:w="992"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656.151 </w:t>
            </w:r>
            <w:r>
              <w:rPr>
                <w:rFonts w:ascii="Calibri" w:eastAsia="Times New Roman" w:hAnsi="Calibri" w:cs="Segoe UI"/>
                <w:noProof/>
                <w:color w:val="000000"/>
                <w:sz w:val="18"/>
                <w:szCs w:val="18"/>
                <w:lang w:eastAsia="en-GB"/>
              </w:rPr>
              <w:t> </w:t>
            </w:r>
          </w:p>
        </w:tc>
        <w:tc>
          <w:tcPr>
            <w:tcW w:w="993"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1.224.381 </w:t>
            </w:r>
            <w:r>
              <w:rPr>
                <w:rFonts w:ascii="Calibri" w:eastAsia="Times New Roman" w:hAnsi="Calibri" w:cs="Segoe UI"/>
                <w:noProof/>
                <w:color w:val="000000"/>
                <w:sz w:val="18"/>
                <w:szCs w:val="18"/>
                <w:lang w:eastAsia="en-GB"/>
              </w:rPr>
              <w:t> </w:t>
            </w:r>
          </w:p>
        </w:tc>
      </w:tr>
      <w:tr>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36" w:type="dxa"/>
            <w:hideMark/>
          </w:tcPr>
          <w:p>
            <w:pPr>
              <w:textAlignment w:val="baseline"/>
              <w:rPr>
                <w:rFonts w:ascii="Segoe UI" w:eastAsia="Times New Roman" w:hAnsi="Segoe UI" w:cs="Segoe UI"/>
                <w:noProof/>
                <w:sz w:val="20"/>
                <w:szCs w:val="20"/>
                <w:lang w:eastAsia="en-GB"/>
              </w:rPr>
            </w:pPr>
            <w:r>
              <w:rPr>
                <w:rFonts w:ascii="Calibri" w:eastAsia="Times New Roman" w:hAnsi="Calibri" w:cs="Segoe UI"/>
                <w:noProof/>
                <w:color w:val="000000"/>
                <w:sz w:val="20"/>
                <w:szCs w:val="20"/>
                <w:lang w:val="fr-FR" w:eastAsia="en-GB"/>
              </w:rPr>
              <w:t>PT</w:t>
            </w:r>
            <w:r>
              <w:rPr>
                <w:rFonts w:ascii="Calibri" w:eastAsia="Times New Roman" w:hAnsi="Calibri" w:cs="Segoe UI"/>
                <w:noProof/>
                <w:color w:val="000000"/>
                <w:sz w:val="20"/>
                <w:szCs w:val="20"/>
                <w:lang w:eastAsia="en-GB"/>
              </w:rPr>
              <w:t> </w:t>
            </w:r>
          </w:p>
        </w:tc>
        <w:tc>
          <w:tcPr>
            <w:tcW w:w="1160"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24.079.064 </w:t>
            </w:r>
            <w:r>
              <w:rPr>
                <w:rFonts w:ascii="Calibri" w:eastAsia="Times New Roman" w:hAnsi="Calibri" w:cs="Segoe UI"/>
                <w:noProof/>
                <w:color w:val="000000"/>
                <w:sz w:val="18"/>
                <w:szCs w:val="18"/>
                <w:lang w:eastAsia="en-GB"/>
              </w:rPr>
              <w:t> </w:t>
            </w:r>
          </w:p>
        </w:tc>
        <w:tc>
          <w:tcPr>
            <w:tcW w:w="1276"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34.514.831 </w:t>
            </w:r>
            <w:r>
              <w:rPr>
                <w:rFonts w:ascii="Calibri" w:eastAsia="Times New Roman" w:hAnsi="Calibri" w:cs="Segoe UI"/>
                <w:noProof/>
                <w:color w:val="000000"/>
                <w:sz w:val="18"/>
                <w:szCs w:val="18"/>
                <w:lang w:eastAsia="en-GB"/>
              </w:rPr>
              <w:t> </w:t>
            </w:r>
          </w:p>
        </w:tc>
        <w:tc>
          <w:tcPr>
            <w:tcW w:w="1134" w:type="dxa"/>
            <w:hideMark/>
          </w:tcPr>
          <w:p>
            <w:pPr>
              <w:jc w:val="right"/>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4.538.473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8.173.182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470.984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957.249 </w:t>
            </w:r>
            <w:r>
              <w:rPr>
                <w:rFonts w:ascii="Calibri" w:eastAsia="Times New Roman" w:hAnsi="Calibri" w:cs="Segoe UI"/>
                <w:noProof/>
                <w:color w:val="000000"/>
                <w:sz w:val="18"/>
                <w:szCs w:val="18"/>
                <w:lang w:eastAsia="en-GB"/>
              </w:rPr>
              <w:t> </w:t>
            </w:r>
          </w:p>
        </w:tc>
        <w:tc>
          <w:tcPr>
            <w:tcW w:w="992"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219.938 </w:t>
            </w:r>
            <w:r>
              <w:rPr>
                <w:rFonts w:ascii="Calibri" w:eastAsia="Times New Roman" w:hAnsi="Calibri" w:cs="Segoe UI"/>
                <w:noProof/>
                <w:color w:val="000000"/>
                <w:sz w:val="18"/>
                <w:szCs w:val="18"/>
                <w:lang w:eastAsia="en-GB"/>
              </w:rPr>
              <w:t> </w:t>
            </w:r>
          </w:p>
        </w:tc>
        <w:tc>
          <w:tcPr>
            <w:tcW w:w="993"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410.405 </w:t>
            </w:r>
            <w:r>
              <w:rPr>
                <w:rFonts w:ascii="Calibri" w:eastAsia="Times New Roman" w:hAnsi="Calibri" w:cs="Segoe UI"/>
                <w:noProof/>
                <w:color w:val="000000"/>
                <w:sz w:val="18"/>
                <w:szCs w:val="18"/>
                <w:lang w:eastAsia="en-GB"/>
              </w:rPr>
              <w:t> </w:t>
            </w:r>
          </w:p>
        </w:tc>
      </w:tr>
      <w:tr>
        <w:trPr>
          <w:trHeight w:val="170"/>
        </w:trPr>
        <w:tc>
          <w:tcPr>
            <w:cnfStyle w:val="001000000000" w:firstRow="0" w:lastRow="0" w:firstColumn="1" w:lastColumn="0" w:oddVBand="0" w:evenVBand="0" w:oddHBand="0" w:evenHBand="0" w:firstRowFirstColumn="0" w:firstRowLastColumn="0" w:lastRowFirstColumn="0" w:lastRowLastColumn="0"/>
            <w:tcW w:w="536" w:type="dxa"/>
            <w:hideMark/>
          </w:tcPr>
          <w:p>
            <w:pPr>
              <w:textAlignment w:val="baseline"/>
              <w:rPr>
                <w:rFonts w:ascii="Segoe UI" w:eastAsia="Times New Roman" w:hAnsi="Segoe UI" w:cs="Segoe UI"/>
                <w:noProof/>
                <w:sz w:val="20"/>
                <w:szCs w:val="20"/>
                <w:lang w:eastAsia="en-GB"/>
              </w:rPr>
            </w:pPr>
            <w:r>
              <w:rPr>
                <w:rFonts w:ascii="Calibri" w:eastAsia="Times New Roman" w:hAnsi="Calibri" w:cs="Segoe UI"/>
                <w:noProof/>
                <w:color w:val="000000"/>
                <w:sz w:val="20"/>
                <w:szCs w:val="20"/>
                <w:lang w:val="fr-FR" w:eastAsia="en-GB"/>
              </w:rPr>
              <w:t>RO</w:t>
            </w:r>
            <w:r>
              <w:rPr>
                <w:rFonts w:ascii="Calibri" w:eastAsia="Times New Roman" w:hAnsi="Calibri" w:cs="Segoe UI"/>
                <w:noProof/>
                <w:color w:val="000000"/>
                <w:sz w:val="20"/>
                <w:szCs w:val="20"/>
                <w:lang w:eastAsia="en-GB"/>
              </w:rPr>
              <w:t> </w:t>
            </w:r>
          </w:p>
        </w:tc>
        <w:tc>
          <w:tcPr>
            <w:tcW w:w="1160"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17.080.705 </w:t>
            </w:r>
            <w:r>
              <w:rPr>
                <w:rFonts w:ascii="Calibri" w:eastAsia="Times New Roman" w:hAnsi="Calibri" w:cs="Segoe UI"/>
                <w:noProof/>
                <w:color w:val="000000"/>
                <w:sz w:val="18"/>
                <w:szCs w:val="18"/>
                <w:lang w:eastAsia="en-GB"/>
              </w:rPr>
              <w:t> </w:t>
            </w:r>
          </w:p>
        </w:tc>
        <w:tc>
          <w:tcPr>
            <w:tcW w:w="1276"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24.483.411 </w:t>
            </w:r>
            <w:r>
              <w:rPr>
                <w:rFonts w:ascii="Calibri" w:eastAsia="Times New Roman" w:hAnsi="Calibri" w:cs="Segoe UI"/>
                <w:noProof/>
                <w:color w:val="000000"/>
                <w:sz w:val="18"/>
                <w:szCs w:val="18"/>
                <w:lang w:eastAsia="en-GB"/>
              </w:rPr>
              <w:t> </w:t>
            </w:r>
          </w:p>
        </w:tc>
        <w:tc>
          <w:tcPr>
            <w:tcW w:w="1134" w:type="dxa"/>
            <w:hideMark/>
          </w:tcPr>
          <w:p>
            <w:pPr>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4.096.992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7.378.132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425.169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864.132 </w:t>
            </w:r>
            <w:r>
              <w:rPr>
                <w:rFonts w:ascii="Calibri" w:eastAsia="Times New Roman" w:hAnsi="Calibri" w:cs="Segoe UI"/>
                <w:noProof/>
                <w:color w:val="000000"/>
                <w:sz w:val="18"/>
                <w:szCs w:val="18"/>
                <w:lang w:eastAsia="en-GB"/>
              </w:rPr>
              <w:t> </w:t>
            </w:r>
          </w:p>
        </w:tc>
        <w:tc>
          <w:tcPr>
            <w:tcW w:w="992"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198.543 </w:t>
            </w:r>
            <w:r>
              <w:rPr>
                <w:rFonts w:ascii="Calibri" w:eastAsia="Times New Roman" w:hAnsi="Calibri" w:cs="Segoe UI"/>
                <w:noProof/>
                <w:color w:val="000000"/>
                <w:sz w:val="18"/>
                <w:szCs w:val="18"/>
                <w:lang w:eastAsia="en-GB"/>
              </w:rPr>
              <w:t> </w:t>
            </w:r>
          </w:p>
        </w:tc>
        <w:tc>
          <w:tcPr>
            <w:tcW w:w="993"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370.483 </w:t>
            </w:r>
            <w:r>
              <w:rPr>
                <w:rFonts w:ascii="Calibri" w:eastAsia="Times New Roman" w:hAnsi="Calibri" w:cs="Segoe UI"/>
                <w:noProof/>
                <w:color w:val="000000"/>
                <w:sz w:val="18"/>
                <w:szCs w:val="18"/>
                <w:lang w:eastAsia="en-GB"/>
              </w:rPr>
              <w:t> </w:t>
            </w:r>
          </w:p>
        </w:tc>
      </w:tr>
      <w:tr>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36" w:type="dxa"/>
            <w:hideMark/>
          </w:tcPr>
          <w:p>
            <w:pPr>
              <w:textAlignment w:val="baseline"/>
              <w:rPr>
                <w:rFonts w:ascii="Segoe UI" w:eastAsia="Times New Roman" w:hAnsi="Segoe UI" w:cs="Segoe UI"/>
                <w:noProof/>
                <w:sz w:val="20"/>
                <w:szCs w:val="20"/>
                <w:lang w:eastAsia="en-GB"/>
              </w:rPr>
            </w:pPr>
            <w:r>
              <w:rPr>
                <w:rFonts w:ascii="Calibri" w:eastAsia="Times New Roman" w:hAnsi="Calibri" w:cs="Segoe UI"/>
                <w:noProof/>
                <w:color w:val="000000"/>
                <w:sz w:val="20"/>
                <w:szCs w:val="20"/>
                <w:lang w:val="fr-FR" w:eastAsia="en-GB"/>
              </w:rPr>
              <w:t>SE</w:t>
            </w:r>
            <w:r>
              <w:rPr>
                <w:rFonts w:ascii="Calibri" w:eastAsia="Times New Roman" w:hAnsi="Calibri" w:cs="Segoe UI"/>
                <w:noProof/>
                <w:color w:val="000000"/>
                <w:sz w:val="20"/>
                <w:szCs w:val="20"/>
                <w:lang w:eastAsia="en-GB"/>
              </w:rPr>
              <w:t> </w:t>
            </w:r>
          </w:p>
        </w:tc>
        <w:tc>
          <w:tcPr>
            <w:tcW w:w="1160"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42.213.258 </w:t>
            </w:r>
            <w:r>
              <w:rPr>
                <w:rFonts w:ascii="Calibri" w:eastAsia="Times New Roman" w:hAnsi="Calibri" w:cs="Segoe UI"/>
                <w:noProof/>
                <w:color w:val="000000"/>
                <w:sz w:val="18"/>
                <w:szCs w:val="18"/>
                <w:lang w:eastAsia="en-GB"/>
              </w:rPr>
              <w:t> </w:t>
            </w:r>
          </w:p>
        </w:tc>
        <w:tc>
          <w:tcPr>
            <w:tcW w:w="1276"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60.508.309 </w:t>
            </w:r>
            <w:r>
              <w:rPr>
                <w:rFonts w:ascii="Calibri" w:eastAsia="Times New Roman" w:hAnsi="Calibri" w:cs="Segoe UI"/>
                <w:noProof/>
                <w:color w:val="000000"/>
                <w:sz w:val="18"/>
                <w:szCs w:val="18"/>
                <w:lang w:eastAsia="en-GB"/>
              </w:rPr>
              <w:t> </w:t>
            </w:r>
          </w:p>
        </w:tc>
        <w:tc>
          <w:tcPr>
            <w:tcW w:w="1134" w:type="dxa"/>
            <w:hideMark/>
          </w:tcPr>
          <w:p>
            <w:pPr>
              <w:jc w:val="right"/>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9.214.390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16.593.880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956.231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1.943.487 </w:t>
            </w:r>
            <w:r>
              <w:rPr>
                <w:rFonts w:ascii="Calibri" w:eastAsia="Times New Roman" w:hAnsi="Calibri" w:cs="Segoe UI"/>
                <w:noProof/>
                <w:color w:val="000000"/>
                <w:sz w:val="18"/>
                <w:szCs w:val="18"/>
                <w:lang w:eastAsia="en-GB"/>
              </w:rPr>
              <w:t> </w:t>
            </w:r>
          </w:p>
        </w:tc>
        <w:tc>
          <w:tcPr>
            <w:tcW w:w="992"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446.537 </w:t>
            </w:r>
            <w:r>
              <w:rPr>
                <w:rFonts w:ascii="Calibri" w:eastAsia="Times New Roman" w:hAnsi="Calibri" w:cs="Segoe UI"/>
                <w:noProof/>
                <w:color w:val="000000"/>
                <w:sz w:val="18"/>
                <w:szCs w:val="18"/>
                <w:lang w:eastAsia="en-GB"/>
              </w:rPr>
              <w:t> </w:t>
            </w:r>
          </w:p>
        </w:tc>
        <w:tc>
          <w:tcPr>
            <w:tcW w:w="993"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833.240 </w:t>
            </w:r>
            <w:r>
              <w:rPr>
                <w:rFonts w:ascii="Calibri" w:eastAsia="Times New Roman" w:hAnsi="Calibri" w:cs="Segoe UI"/>
                <w:noProof/>
                <w:color w:val="000000"/>
                <w:sz w:val="18"/>
                <w:szCs w:val="18"/>
                <w:lang w:eastAsia="en-GB"/>
              </w:rPr>
              <w:t> </w:t>
            </w:r>
          </w:p>
        </w:tc>
      </w:tr>
      <w:tr>
        <w:trPr>
          <w:trHeight w:val="170"/>
        </w:trPr>
        <w:tc>
          <w:tcPr>
            <w:cnfStyle w:val="001000000000" w:firstRow="0" w:lastRow="0" w:firstColumn="1" w:lastColumn="0" w:oddVBand="0" w:evenVBand="0" w:oddHBand="0" w:evenHBand="0" w:firstRowFirstColumn="0" w:firstRowLastColumn="0" w:lastRowFirstColumn="0" w:lastRowLastColumn="0"/>
            <w:tcW w:w="536" w:type="dxa"/>
            <w:hideMark/>
          </w:tcPr>
          <w:p>
            <w:pPr>
              <w:textAlignment w:val="baseline"/>
              <w:rPr>
                <w:rFonts w:ascii="Segoe UI" w:eastAsia="Times New Roman" w:hAnsi="Segoe UI" w:cs="Segoe UI"/>
                <w:noProof/>
                <w:sz w:val="20"/>
                <w:szCs w:val="20"/>
                <w:lang w:eastAsia="en-GB"/>
              </w:rPr>
            </w:pPr>
            <w:r>
              <w:rPr>
                <w:rFonts w:ascii="Calibri" w:eastAsia="Times New Roman" w:hAnsi="Calibri" w:cs="Segoe UI"/>
                <w:noProof/>
                <w:color w:val="000000"/>
                <w:sz w:val="20"/>
                <w:szCs w:val="20"/>
                <w:lang w:val="fr-FR" w:eastAsia="en-GB"/>
              </w:rPr>
              <w:t>SI</w:t>
            </w:r>
            <w:r>
              <w:rPr>
                <w:rFonts w:ascii="Calibri" w:eastAsia="Times New Roman" w:hAnsi="Calibri" w:cs="Segoe UI"/>
                <w:noProof/>
                <w:color w:val="000000"/>
                <w:sz w:val="20"/>
                <w:szCs w:val="20"/>
                <w:lang w:eastAsia="en-GB"/>
              </w:rPr>
              <w:t> </w:t>
            </w:r>
          </w:p>
        </w:tc>
        <w:tc>
          <w:tcPr>
            <w:tcW w:w="1160"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6.829.483 </w:t>
            </w:r>
            <w:r>
              <w:rPr>
                <w:rFonts w:ascii="Calibri" w:eastAsia="Times New Roman" w:hAnsi="Calibri" w:cs="Segoe UI"/>
                <w:noProof/>
                <w:color w:val="000000"/>
                <w:sz w:val="18"/>
                <w:szCs w:val="18"/>
                <w:lang w:eastAsia="en-GB"/>
              </w:rPr>
              <w:t> </w:t>
            </w:r>
          </w:p>
        </w:tc>
        <w:tc>
          <w:tcPr>
            <w:tcW w:w="1276"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9.789.353 </w:t>
            </w:r>
            <w:r>
              <w:rPr>
                <w:rFonts w:ascii="Calibri" w:eastAsia="Times New Roman" w:hAnsi="Calibri" w:cs="Segoe UI"/>
                <w:noProof/>
                <w:color w:val="000000"/>
                <w:sz w:val="18"/>
                <w:szCs w:val="18"/>
                <w:lang w:eastAsia="en-GB"/>
              </w:rPr>
              <w:t> </w:t>
            </w:r>
          </w:p>
        </w:tc>
        <w:tc>
          <w:tcPr>
            <w:tcW w:w="1134" w:type="dxa"/>
            <w:hideMark/>
          </w:tcPr>
          <w:p>
            <w:pPr>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1.575.342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2.836.979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163.482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332.269 </w:t>
            </w:r>
            <w:r>
              <w:rPr>
                <w:rFonts w:ascii="Calibri" w:eastAsia="Times New Roman" w:hAnsi="Calibri" w:cs="Segoe UI"/>
                <w:noProof/>
                <w:color w:val="000000"/>
                <w:sz w:val="18"/>
                <w:szCs w:val="18"/>
                <w:lang w:eastAsia="en-GB"/>
              </w:rPr>
              <w:t> </w:t>
            </w:r>
          </w:p>
        </w:tc>
        <w:tc>
          <w:tcPr>
            <w:tcW w:w="992"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76.342 </w:t>
            </w:r>
            <w:r>
              <w:rPr>
                <w:rFonts w:ascii="Calibri" w:eastAsia="Times New Roman" w:hAnsi="Calibri" w:cs="Segoe UI"/>
                <w:noProof/>
                <w:color w:val="000000"/>
                <w:sz w:val="18"/>
                <w:szCs w:val="18"/>
                <w:lang w:eastAsia="en-GB"/>
              </w:rPr>
              <w:t> </w:t>
            </w:r>
          </w:p>
        </w:tc>
        <w:tc>
          <w:tcPr>
            <w:tcW w:w="993" w:type="dxa"/>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142.455 </w:t>
            </w:r>
            <w:r>
              <w:rPr>
                <w:rFonts w:ascii="Calibri" w:eastAsia="Times New Roman" w:hAnsi="Calibri" w:cs="Segoe UI"/>
                <w:noProof/>
                <w:color w:val="000000"/>
                <w:sz w:val="18"/>
                <w:szCs w:val="18"/>
                <w:lang w:eastAsia="en-GB"/>
              </w:rPr>
              <w:t> </w:t>
            </w:r>
          </w:p>
        </w:tc>
      </w:tr>
      <w:tr>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36" w:type="dxa"/>
            <w:hideMark/>
          </w:tcPr>
          <w:p>
            <w:pPr>
              <w:textAlignment w:val="baseline"/>
              <w:rPr>
                <w:rFonts w:ascii="Segoe UI" w:eastAsia="Times New Roman" w:hAnsi="Segoe UI" w:cs="Segoe UI"/>
                <w:noProof/>
                <w:sz w:val="20"/>
                <w:szCs w:val="20"/>
                <w:lang w:eastAsia="en-GB"/>
              </w:rPr>
            </w:pPr>
            <w:r>
              <w:rPr>
                <w:rFonts w:ascii="Calibri" w:eastAsia="Times New Roman" w:hAnsi="Calibri" w:cs="Segoe UI"/>
                <w:noProof/>
                <w:color w:val="000000"/>
                <w:sz w:val="20"/>
                <w:szCs w:val="20"/>
                <w:lang w:val="fr-FR" w:eastAsia="en-GB"/>
              </w:rPr>
              <w:t>SK</w:t>
            </w:r>
            <w:r>
              <w:rPr>
                <w:rFonts w:ascii="Calibri" w:eastAsia="Times New Roman" w:hAnsi="Calibri" w:cs="Segoe UI"/>
                <w:noProof/>
                <w:color w:val="000000"/>
                <w:sz w:val="20"/>
                <w:szCs w:val="20"/>
                <w:lang w:eastAsia="en-GB"/>
              </w:rPr>
              <w:t> </w:t>
            </w:r>
          </w:p>
        </w:tc>
        <w:tc>
          <w:tcPr>
            <w:tcW w:w="1160"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7.755.195 </w:t>
            </w:r>
            <w:r>
              <w:rPr>
                <w:rFonts w:ascii="Calibri" w:eastAsia="Times New Roman" w:hAnsi="Calibri" w:cs="Segoe UI"/>
                <w:noProof/>
                <w:color w:val="000000"/>
                <w:sz w:val="18"/>
                <w:szCs w:val="18"/>
                <w:lang w:eastAsia="en-GB"/>
              </w:rPr>
              <w:t> </w:t>
            </w:r>
          </w:p>
        </w:tc>
        <w:tc>
          <w:tcPr>
            <w:tcW w:w="1276"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11.116.264 </w:t>
            </w:r>
            <w:r>
              <w:rPr>
                <w:rFonts w:ascii="Calibri" w:eastAsia="Times New Roman" w:hAnsi="Calibri" w:cs="Segoe UI"/>
                <w:noProof/>
                <w:color w:val="000000"/>
                <w:sz w:val="18"/>
                <w:szCs w:val="18"/>
                <w:lang w:eastAsia="en-GB"/>
              </w:rPr>
              <w:t> </w:t>
            </w:r>
          </w:p>
        </w:tc>
        <w:tc>
          <w:tcPr>
            <w:tcW w:w="1134" w:type="dxa"/>
            <w:hideMark/>
          </w:tcPr>
          <w:p>
            <w:pPr>
              <w:jc w:val="right"/>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2.094.760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3.772.381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217.385 </w:t>
            </w:r>
            <w:r>
              <w:rPr>
                <w:rFonts w:ascii="Calibri" w:eastAsia="Times New Roman" w:hAnsi="Calibri" w:cs="Segoe UI"/>
                <w:noProof/>
                <w:color w:val="000000"/>
                <w:sz w:val="18"/>
                <w:szCs w:val="18"/>
                <w:lang w:eastAsia="en-GB"/>
              </w:rPr>
              <w:t> </w:t>
            </w:r>
          </w:p>
        </w:tc>
        <w:tc>
          <w:tcPr>
            <w:tcW w:w="1134"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441.824 </w:t>
            </w:r>
            <w:r>
              <w:rPr>
                <w:rFonts w:ascii="Calibri" w:eastAsia="Times New Roman" w:hAnsi="Calibri" w:cs="Segoe UI"/>
                <w:noProof/>
                <w:color w:val="000000"/>
                <w:sz w:val="18"/>
                <w:szCs w:val="18"/>
                <w:lang w:eastAsia="en-GB"/>
              </w:rPr>
              <w:t> </w:t>
            </w:r>
          </w:p>
        </w:tc>
        <w:tc>
          <w:tcPr>
            <w:tcW w:w="992"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101.514 </w:t>
            </w:r>
            <w:r>
              <w:rPr>
                <w:rFonts w:ascii="Calibri" w:eastAsia="Times New Roman" w:hAnsi="Calibri" w:cs="Segoe UI"/>
                <w:noProof/>
                <w:color w:val="000000"/>
                <w:sz w:val="18"/>
                <w:szCs w:val="18"/>
                <w:lang w:eastAsia="en-GB"/>
              </w:rPr>
              <w:t> </w:t>
            </w:r>
          </w:p>
        </w:tc>
        <w:tc>
          <w:tcPr>
            <w:tcW w:w="993" w:type="dxa"/>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18"/>
                <w:szCs w:val="18"/>
                <w:lang w:eastAsia="en-GB"/>
              </w:rPr>
            </w:pPr>
            <w:r>
              <w:rPr>
                <w:rFonts w:ascii="Calibri" w:eastAsia="Times New Roman" w:hAnsi="Calibri" w:cs="Segoe UI"/>
                <w:noProof/>
                <w:color w:val="000000"/>
                <w:sz w:val="18"/>
                <w:szCs w:val="18"/>
                <w:lang w:val="fr-FR" w:eastAsia="en-GB"/>
              </w:rPr>
              <w:t xml:space="preserve">189.425 </w:t>
            </w:r>
            <w:r>
              <w:rPr>
                <w:rFonts w:ascii="Calibri" w:eastAsia="Times New Roman" w:hAnsi="Calibri" w:cs="Segoe UI"/>
                <w:noProof/>
                <w:color w:val="000000"/>
                <w:sz w:val="18"/>
                <w:szCs w:val="18"/>
                <w:lang w:eastAsia="en-GB"/>
              </w:rPr>
              <w:t> </w:t>
            </w:r>
          </w:p>
        </w:tc>
      </w:tr>
      <w:tr>
        <w:trPr>
          <w:trHeight w:val="300"/>
        </w:trPr>
        <w:tc>
          <w:tcPr>
            <w:cnfStyle w:val="001000000000" w:firstRow="0" w:lastRow="0" w:firstColumn="1" w:lastColumn="0" w:oddVBand="0" w:evenVBand="0" w:oddHBand="0" w:evenHBand="0" w:firstRowFirstColumn="0" w:firstRowLastColumn="0" w:lastRowFirstColumn="0" w:lastRowLastColumn="0"/>
            <w:tcW w:w="9493" w:type="dxa"/>
            <w:gridSpan w:val="9"/>
          </w:tcPr>
          <w:p>
            <w:pPr>
              <w:rPr>
                <w:rFonts w:ascii="Times New Roman" w:hAnsi="Times New Roman" w:cs="Times New Roman"/>
                <w:b w:val="0"/>
                <w:i/>
                <w:noProof/>
                <w:color w:val="auto"/>
                <w:sz w:val="20"/>
                <w:szCs w:val="20"/>
              </w:rPr>
            </w:pPr>
            <w:r>
              <w:rPr>
                <w:rFonts w:ascii="Times New Roman" w:hAnsi="Times New Roman" w:cs="Times New Roman"/>
                <w:i/>
                <w:iCs/>
                <w:noProof/>
                <w:sz w:val="20"/>
                <w:szCs w:val="20"/>
              </w:rPr>
              <w:t>Source: own calculations on Eurostat data</w:t>
            </w:r>
          </w:p>
          <w:p>
            <w:pPr>
              <w:ind w:right="-1305"/>
              <w:jc w:val="both"/>
              <w:rPr>
                <w:rFonts w:ascii="Calibri" w:eastAsia="Times New Roman" w:hAnsi="Calibri" w:cs="Segoe UI"/>
                <w:b w:val="0"/>
                <w:i/>
                <w:noProof/>
                <w:color w:val="auto"/>
                <w:sz w:val="20"/>
                <w:szCs w:val="20"/>
                <w:lang w:val="en-IE" w:eastAsia="en-GB"/>
              </w:rPr>
            </w:pPr>
            <w:r>
              <w:rPr>
                <w:rFonts w:ascii="Times New Roman" w:hAnsi="Times New Roman" w:cs="Times New Roman"/>
                <w:i/>
                <w:iCs/>
                <w:noProof/>
                <w:sz w:val="20"/>
                <w:szCs w:val="20"/>
              </w:rPr>
              <w:t>Note: costs take into account existing measures in the</w:t>
            </w:r>
            <w:r>
              <w:rPr>
                <w:i/>
                <w:iCs/>
                <w:noProof/>
                <w:sz w:val="20"/>
                <w:szCs w:val="20"/>
              </w:rPr>
              <w:t xml:space="preserve"> </w:t>
            </w:r>
            <w:r>
              <w:rPr>
                <w:rFonts w:ascii="Times New Roman" w:hAnsi="Times New Roman" w:cs="Times New Roman"/>
                <w:i/>
                <w:iCs/>
                <w:noProof/>
                <w:sz w:val="20"/>
                <w:szCs w:val="20"/>
              </w:rPr>
              <w:t>Member States. Microenterprises are excluded</w:t>
            </w:r>
          </w:p>
          <w:p>
            <w:pPr>
              <w:jc w:val="center"/>
              <w:textAlignment w:val="baseline"/>
              <w:rPr>
                <w:rFonts w:ascii="Calibri" w:eastAsia="Times New Roman" w:hAnsi="Calibri" w:cs="Segoe UI"/>
                <w:noProof/>
                <w:color w:val="auto"/>
                <w:sz w:val="20"/>
                <w:szCs w:val="20"/>
                <w:lang w:val="en-IE" w:eastAsia="en-GB"/>
              </w:rPr>
            </w:pPr>
          </w:p>
        </w:tc>
      </w:tr>
    </w:tbl>
    <w:p>
      <w:pPr>
        <w:rPr>
          <w:rFonts w:ascii="Times New Roman" w:hAnsi="Times New Roman" w:cs="Times New Roman"/>
          <w:noProof/>
          <w:sz w:val="24"/>
          <w:szCs w:val="24"/>
        </w:rPr>
      </w:pPr>
    </w:p>
    <w:p>
      <w:pPr>
        <w:rPr>
          <w:rFonts w:ascii="Times New Roman" w:hAnsi="Times New Roman" w:cs="Times New Roman"/>
          <w:noProof/>
          <w:sz w:val="24"/>
          <w:szCs w:val="24"/>
        </w:rPr>
      </w:pPr>
    </w:p>
    <w:p>
      <w:pPr>
        <w:rPr>
          <w:rFonts w:ascii="Times New Roman" w:hAnsi="Times New Roman" w:cs="Times New Roman"/>
          <w:noProof/>
          <w:sz w:val="24"/>
          <w:szCs w:val="24"/>
        </w:rPr>
        <w:sectPr>
          <w:headerReference w:type="even" r:id="rId181"/>
          <w:headerReference w:type="default" r:id="rId182"/>
          <w:footerReference w:type="even" r:id="rId183"/>
          <w:footerReference w:type="default" r:id="rId184"/>
          <w:headerReference w:type="first" r:id="rId185"/>
          <w:footerReference w:type="first" r:id="rId186"/>
          <w:pgSz w:w="11906" w:h="16838"/>
          <w:pgMar w:top="1020" w:right="1701" w:bottom="1020" w:left="1587" w:header="601" w:footer="1077" w:gutter="0"/>
          <w:cols w:space="720"/>
          <w:titlePg/>
          <w:docGrid w:linePitch="299"/>
        </w:sectPr>
      </w:pPr>
    </w:p>
    <w:tbl>
      <w:tblPr>
        <w:tblStyle w:val="GridTable5DarkAccent6"/>
        <w:tblW w:w="0" w:type="auto"/>
        <w:tblLook w:val="04A0" w:firstRow="1" w:lastRow="0" w:firstColumn="1" w:lastColumn="0" w:noHBand="0" w:noVBand="1"/>
      </w:tblPr>
      <w:tblGrid>
        <w:gridCol w:w="566"/>
        <w:gridCol w:w="1194"/>
        <w:gridCol w:w="1194"/>
        <w:gridCol w:w="1087"/>
        <w:gridCol w:w="1087"/>
        <w:gridCol w:w="980"/>
        <w:gridCol w:w="980"/>
        <w:gridCol w:w="873"/>
        <w:gridCol w:w="873"/>
      </w:tblGrid>
      <w:tr>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gridSpan w:val="9"/>
            <w:hideMark/>
          </w:tcPr>
          <w:p>
            <w:pPr>
              <w:textAlignment w:val="baseline"/>
              <w:rPr>
                <w:rFonts w:eastAsia="Times New Roman"/>
                <w:noProof/>
                <w:color w:val="000000" w:themeColor="text1"/>
                <w:sz w:val="20"/>
                <w:szCs w:val="20"/>
                <w:lang w:val="en-US" w:eastAsia="en-GB"/>
              </w:rPr>
            </w:pPr>
            <w:r>
              <w:rPr>
                <w:rFonts w:eastAsia="Times New Roman"/>
                <w:noProof/>
                <w:color w:val="000000" w:themeColor="text1"/>
                <w:sz w:val="20"/>
                <w:szCs w:val="20"/>
                <w:lang w:val="en-US" w:eastAsia="en-GB"/>
              </w:rPr>
              <w:t>Sub-option 2B – Joint Pay assessment - Cost per MS and class-size – </w:t>
            </w:r>
          </w:p>
          <w:p>
            <w:pPr>
              <w:textAlignment w:val="baseline"/>
              <w:rPr>
                <w:rFonts w:eastAsia="Times New Roman"/>
                <w:noProof/>
                <w:color w:val="000000" w:themeColor="text1"/>
                <w:sz w:val="20"/>
                <w:szCs w:val="20"/>
                <w:lang w:eastAsia="en-GB"/>
              </w:rPr>
            </w:pPr>
            <w:r>
              <w:rPr>
                <w:rFonts w:eastAsia="Times New Roman"/>
                <w:noProof/>
                <w:color w:val="000000" w:themeColor="text1"/>
                <w:sz w:val="20"/>
                <w:szCs w:val="20"/>
                <w:lang w:val="en-US" w:eastAsia="en-GB"/>
              </w:rPr>
              <w:t>Minimun and maximum - Euro</w:t>
            </w:r>
            <w:r>
              <w:rPr>
                <w:rFonts w:eastAsia="Times New Roman"/>
                <w:noProof/>
                <w:color w:val="000000" w:themeColor="text1"/>
                <w:sz w:val="20"/>
                <w:szCs w:val="20"/>
                <w:lang w:eastAsia="en-GB"/>
              </w:rPr>
              <w:t> </w:t>
            </w:r>
            <w:r>
              <w:rPr>
                <w:rFonts w:eastAsia="Times New Roman"/>
                <w:noProof/>
                <w:color w:val="000000" w:themeColor="text1"/>
                <w:sz w:val="20"/>
                <w:szCs w:val="20"/>
                <w:lang w:val="en-US" w:eastAsia="en-GB"/>
              </w:rPr>
              <w:t> </w:t>
            </w:r>
            <w:r>
              <w:rPr>
                <w:rFonts w:eastAsia="Times New Roman"/>
                <w:noProof/>
                <w:color w:val="000000" w:themeColor="text1"/>
                <w:sz w:val="20"/>
                <w:szCs w:val="20"/>
                <w:lang w:eastAsia="en-GB"/>
              </w:rPr>
              <w:t> </w:t>
            </w:r>
            <w:r>
              <w:rPr>
                <w:rFonts w:eastAsia="Times New Roman"/>
                <w:noProof/>
                <w:color w:val="000000" w:themeColor="text1"/>
                <w:sz w:val="20"/>
                <w:szCs w:val="20"/>
                <w:lang w:val="en-US" w:eastAsia="en-GB"/>
              </w:rPr>
              <w:t> </w:t>
            </w:r>
            <w:r>
              <w:rPr>
                <w:rFonts w:eastAsia="Times New Roman"/>
                <w:noProof/>
                <w:color w:val="000000" w:themeColor="text1"/>
                <w:sz w:val="20"/>
                <w:szCs w:val="20"/>
                <w:lang w:eastAsia="en-GB"/>
              </w:rPr>
              <w:t>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pPr>
              <w:textAlignment w:val="baseline"/>
              <w:rPr>
                <w:rFonts w:eastAsia="Times New Roman"/>
                <w:noProof/>
                <w:sz w:val="20"/>
                <w:szCs w:val="20"/>
                <w:lang w:eastAsia="en-GB"/>
              </w:rPr>
            </w:pPr>
            <w:r>
              <w:rPr>
                <w:rFonts w:eastAsia="Times New Roman"/>
                <w:noProof/>
                <w:color w:val="FFFFFF"/>
                <w:sz w:val="20"/>
                <w:szCs w:val="20"/>
                <w:lang w:val="en-US" w:eastAsia="en-GB"/>
              </w:rPr>
              <w:t> </w:t>
            </w:r>
            <w:r>
              <w:rPr>
                <w:rFonts w:eastAsia="Times New Roman"/>
                <w:noProof/>
                <w:color w:val="FFFFFF"/>
                <w:sz w:val="20"/>
                <w:szCs w:val="20"/>
                <w:lang w:eastAsia="en-GB"/>
              </w:rPr>
              <w:t> </w:t>
            </w:r>
          </w:p>
        </w:tc>
        <w:tc>
          <w:tcPr>
            <w:tcW w:w="0" w:type="auto"/>
            <w:gridSpan w:val="2"/>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b/>
                <w:noProof/>
                <w:color w:val="000000" w:themeColor="text1"/>
                <w:sz w:val="20"/>
                <w:szCs w:val="20"/>
                <w:lang w:eastAsia="en-GB"/>
              </w:rPr>
            </w:pPr>
            <w:r>
              <w:rPr>
                <w:rFonts w:eastAsia="Times New Roman"/>
                <w:b/>
                <w:bCs/>
                <w:noProof/>
                <w:color w:val="000000" w:themeColor="text1"/>
                <w:sz w:val="20"/>
                <w:szCs w:val="20"/>
                <w:lang w:val="fr-FR" w:eastAsia="en-GB"/>
              </w:rPr>
              <w:t>50≤N&lt;250</w:t>
            </w:r>
            <w:r>
              <w:rPr>
                <w:rFonts w:eastAsia="Times New Roman"/>
                <w:b/>
                <w:bCs/>
                <w:noProof/>
                <w:color w:val="000000" w:themeColor="text1"/>
                <w:sz w:val="20"/>
                <w:szCs w:val="20"/>
                <w:lang w:eastAsia="en-GB"/>
              </w:rPr>
              <w:t> </w:t>
            </w:r>
          </w:p>
        </w:tc>
        <w:tc>
          <w:tcPr>
            <w:tcW w:w="0" w:type="auto"/>
            <w:gridSpan w:val="2"/>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b/>
                <w:noProof/>
                <w:color w:val="000000" w:themeColor="text1"/>
                <w:sz w:val="20"/>
                <w:szCs w:val="20"/>
                <w:lang w:eastAsia="en-GB"/>
              </w:rPr>
            </w:pPr>
            <w:r>
              <w:rPr>
                <w:rFonts w:eastAsia="Times New Roman"/>
                <w:b/>
                <w:bCs/>
                <w:noProof/>
                <w:color w:val="000000" w:themeColor="text1"/>
                <w:sz w:val="20"/>
                <w:szCs w:val="20"/>
                <w:lang w:val="fr-FR" w:eastAsia="en-GB"/>
              </w:rPr>
              <w:t>250≤N&lt;500</w:t>
            </w:r>
            <w:r>
              <w:rPr>
                <w:rFonts w:eastAsia="Times New Roman"/>
                <w:b/>
                <w:bCs/>
                <w:noProof/>
                <w:color w:val="000000" w:themeColor="text1"/>
                <w:sz w:val="20"/>
                <w:szCs w:val="20"/>
                <w:lang w:eastAsia="en-GB"/>
              </w:rPr>
              <w:t> </w:t>
            </w:r>
          </w:p>
        </w:tc>
        <w:tc>
          <w:tcPr>
            <w:tcW w:w="0" w:type="auto"/>
            <w:gridSpan w:val="2"/>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b/>
                <w:noProof/>
                <w:color w:val="000000" w:themeColor="text1"/>
                <w:sz w:val="20"/>
                <w:szCs w:val="20"/>
                <w:lang w:eastAsia="en-GB"/>
              </w:rPr>
            </w:pPr>
            <w:r>
              <w:rPr>
                <w:rFonts w:eastAsia="Times New Roman"/>
                <w:b/>
                <w:bCs/>
                <w:noProof/>
                <w:color w:val="000000" w:themeColor="text1"/>
                <w:sz w:val="20"/>
                <w:szCs w:val="20"/>
                <w:lang w:val="fr-FR" w:eastAsia="en-GB"/>
              </w:rPr>
              <w:t>500≤N&lt;1000</w:t>
            </w:r>
            <w:r>
              <w:rPr>
                <w:rFonts w:eastAsia="Times New Roman"/>
                <w:b/>
                <w:bCs/>
                <w:noProof/>
                <w:color w:val="000000" w:themeColor="text1"/>
                <w:sz w:val="20"/>
                <w:szCs w:val="20"/>
                <w:lang w:eastAsia="en-GB"/>
              </w:rPr>
              <w:t> </w:t>
            </w:r>
          </w:p>
        </w:tc>
        <w:tc>
          <w:tcPr>
            <w:tcW w:w="0" w:type="auto"/>
            <w:gridSpan w:val="2"/>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b/>
                <w:noProof/>
                <w:color w:val="000000" w:themeColor="text1"/>
                <w:sz w:val="20"/>
                <w:szCs w:val="20"/>
                <w:lang w:eastAsia="en-GB"/>
              </w:rPr>
            </w:pPr>
            <w:r>
              <w:rPr>
                <w:rFonts w:eastAsia="Times New Roman"/>
                <w:b/>
                <w:bCs/>
                <w:noProof/>
                <w:color w:val="000000" w:themeColor="text1"/>
                <w:sz w:val="20"/>
                <w:szCs w:val="20"/>
                <w:lang w:val="fr-FR" w:eastAsia="en-GB"/>
              </w:rPr>
              <w:t>N≥1000</w:t>
            </w:r>
            <w:r>
              <w:rPr>
                <w:rFonts w:eastAsia="Times New Roman"/>
                <w:b/>
                <w:bCs/>
                <w:noProof/>
                <w:color w:val="000000" w:themeColor="text1"/>
                <w:sz w:val="20"/>
                <w:szCs w:val="20"/>
                <w:lang w:eastAsia="en-GB"/>
              </w:rPr>
              <w:t> </w:t>
            </w:r>
          </w:p>
        </w:tc>
      </w:tr>
      <w:tr>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pPr>
              <w:textAlignment w:val="baseline"/>
              <w:rPr>
                <w:rFonts w:eastAsia="Times New Roman"/>
                <w:noProof/>
                <w:sz w:val="20"/>
                <w:szCs w:val="20"/>
                <w:lang w:eastAsia="en-GB"/>
              </w:rPr>
            </w:pPr>
            <w:r>
              <w:rPr>
                <w:rFonts w:eastAsia="Times New Roman"/>
                <w:noProof/>
                <w:color w:val="FFFFFF"/>
                <w:sz w:val="20"/>
                <w:szCs w:val="20"/>
                <w:lang w:val="fr-FR" w:eastAsia="en-GB"/>
              </w:rPr>
              <w:t> </w:t>
            </w:r>
            <w:r>
              <w:rPr>
                <w:rFonts w:eastAsia="Times New Roman"/>
                <w:noProof/>
                <w:color w:val="FFFFFF"/>
                <w:sz w:val="20"/>
                <w:szCs w:val="20"/>
                <w:lang w:eastAsia="en-GB"/>
              </w:rPr>
              <w:t> </w:t>
            </w:r>
          </w:p>
        </w:tc>
        <w:tc>
          <w:tcPr>
            <w:tcW w:w="0" w:type="auto"/>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b/>
                <w:noProof/>
                <w:color w:val="000000" w:themeColor="text1"/>
                <w:sz w:val="20"/>
                <w:szCs w:val="20"/>
                <w:lang w:eastAsia="en-GB"/>
              </w:rPr>
            </w:pPr>
            <w:r>
              <w:rPr>
                <w:rFonts w:eastAsia="Times New Roman"/>
                <w:b/>
                <w:bCs/>
                <w:noProof/>
                <w:color w:val="000000" w:themeColor="text1"/>
                <w:sz w:val="20"/>
                <w:szCs w:val="20"/>
                <w:lang w:val="fr-FR" w:eastAsia="en-GB"/>
              </w:rPr>
              <w:t>Min</w:t>
            </w:r>
            <w:r>
              <w:rPr>
                <w:rFonts w:eastAsia="Times New Roman"/>
                <w:b/>
                <w:bCs/>
                <w:noProof/>
                <w:color w:val="000000" w:themeColor="text1"/>
                <w:sz w:val="20"/>
                <w:szCs w:val="20"/>
                <w:lang w:eastAsia="en-GB"/>
              </w:rPr>
              <w:t> </w:t>
            </w:r>
          </w:p>
        </w:tc>
        <w:tc>
          <w:tcPr>
            <w:tcW w:w="0" w:type="auto"/>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b/>
                <w:noProof/>
                <w:color w:val="000000" w:themeColor="text1"/>
                <w:sz w:val="20"/>
                <w:szCs w:val="20"/>
                <w:lang w:eastAsia="en-GB"/>
              </w:rPr>
            </w:pPr>
            <w:r>
              <w:rPr>
                <w:rFonts w:eastAsia="Times New Roman"/>
                <w:b/>
                <w:bCs/>
                <w:noProof/>
                <w:color w:val="000000" w:themeColor="text1"/>
                <w:sz w:val="20"/>
                <w:szCs w:val="20"/>
                <w:lang w:val="fr-FR" w:eastAsia="en-GB"/>
              </w:rPr>
              <w:t>Max</w:t>
            </w:r>
            <w:r>
              <w:rPr>
                <w:rFonts w:eastAsia="Times New Roman"/>
                <w:b/>
                <w:bCs/>
                <w:noProof/>
                <w:color w:val="000000" w:themeColor="text1"/>
                <w:sz w:val="20"/>
                <w:szCs w:val="20"/>
                <w:lang w:eastAsia="en-GB"/>
              </w:rPr>
              <w:t> </w:t>
            </w:r>
          </w:p>
        </w:tc>
        <w:tc>
          <w:tcPr>
            <w:tcW w:w="0" w:type="auto"/>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b/>
                <w:noProof/>
                <w:color w:val="000000" w:themeColor="text1"/>
                <w:sz w:val="20"/>
                <w:szCs w:val="20"/>
                <w:lang w:eastAsia="en-GB"/>
              </w:rPr>
            </w:pPr>
            <w:r>
              <w:rPr>
                <w:rFonts w:eastAsia="Times New Roman"/>
                <w:b/>
                <w:bCs/>
                <w:noProof/>
                <w:color w:val="000000" w:themeColor="text1"/>
                <w:sz w:val="20"/>
                <w:szCs w:val="20"/>
                <w:lang w:val="fr-FR" w:eastAsia="en-GB"/>
              </w:rPr>
              <w:t>Min</w:t>
            </w:r>
            <w:r>
              <w:rPr>
                <w:rFonts w:eastAsia="Times New Roman"/>
                <w:b/>
                <w:bCs/>
                <w:noProof/>
                <w:color w:val="000000" w:themeColor="text1"/>
                <w:sz w:val="20"/>
                <w:szCs w:val="20"/>
                <w:lang w:eastAsia="en-GB"/>
              </w:rPr>
              <w:t> </w:t>
            </w:r>
          </w:p>
        </w:tc>
        <w:tc>
          <w:tcPr>
            <w:tcW w:w="0" w:type="auto"/>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b/>
                <w:noProof/>
                <w:color w:val="000000" w:themeColor="text1"/>
                <w:sz w:val="20"/>
                <w:szCs w:val="20"/>
                <w:lang w:eastAsia="en-GB"/>
              </w:rPr>
            </w:pPr>
            <w:r>
              <w:rPr>
                <w:rFonts w:eastAsia="Times New Roman"/>
                <w:b/>
                <w:bCs/>
                <w:noProof/>
                <w:color w:val="000000" w:themeColor="text1"/>
                <w:sz w:val="20"/>
                <w:szCs w:val="20"/>
                <w:lang w:val="fr-FR" w:eastAsia="en-GB"/>
              </w:rPr>
              <w:t>Max</w:t>
            </w:r>
            <w:r>
              <w:rPr>
                <w:rFonts w:eastAsia="Times New Roman"/>
                <w:b/>
                <w:bCs/>
                <w:noProof/>
                <w:color w:val="000000" w:themeColor="text1"/>
                <w:sz w:val="20"/>
                <w:szCs w:val="20"/>
                <w:lang w:eastAsia="en-GB"/>
              </w:rPr>
              <w:t> </w:t>
            </w:r>
          </w:p>
        </w:tc>
        <w:tc>
          <w:tcPr>
            <w:tcW w:w="0" w:type="auto"/>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b/>
                <w:noProof/>
                <w:color w:val="000000" w:themeColor="text1"/>
                <w:sz w:val="20"/>
                <w:szCs w:val="20"/>
                <w:lang w:eastAsia="en-GB"/>
              </w:rPr>
            </w:pPr>
            <w:r>
              <w:rPr>
                <w:rFonts w:eastAsia="Times New Roman"/>
                <w:b/>
                <w:bCs/>
                <w:noProof/>
                <w:color w:val="000000" w:themeColor="text1"/>
                <w:sz w:val="20"/>
                <w:szCs w:val="20"/>
                <w:lang w:val="fr-FR" w:eastAsia="en-GB"/>
              </w:rPr>
              <w:t>Min</w:t>
            </w:r>
            <w:r>
              <w:rPr>
                <w:rFonts w:eastAsia="Times New Roman"/>
                <w:b/>
                <w:bCs/>
                <w:noProof/>
                <w:color w:val="000000" w:themeColor="text1"/>
                <w:sz w:val="20"/>
                <w:szCs w:val="20"/>
                <w:lang w:eastAsia="en-GB"/>
              </w:rPr>
              <w:t> </w:t>
            </w:r>
          </w:p>
        </w:tc>
        <w:tc>
          <w:tcPr>
            <w:tcW w:w="0" w:type="auto"/>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b/>
                <w:noProof/>
                <w:color w:val="000000" w:themeColor="text1"/>
                <w:sz w:val="20"/>
                <w:szCs w:val="20"/>
                <w:lang w:eastAsia="en-GB"/>
              </w:rPr>
            </w:pPr>
            <w:r>
              <w:rPr>
                <w:rFonts w:eastAsia="Times New Roman"/>
                <w:b/>
                <w:bCs/>
                <w:noProof/>
                <w:color w:val="000000" w:themeColor="text1"/>
                <w:sz w:val="20"/>
                <w:szCs w:val="20"/>
                <w:lang w:val="fr-FR" w:eastAsia="en-GB"/>
              </w:rPr>
              <w:t>Max</w:t>
            </w:r>
            <w:r>
              <w:rPr>
                <w:rFonts w:eastAsia="Times New Roman"/>
                <w:b/>
                <w:bCs/>
                <w:noProof/>
                <w:color w:val="000000" w:themeColor="text1"/>
                <w:sz w:val="20"/>
                <w:szCs w:val="20"/>
                <w:lang w:eastAsia="en-GB"/>
              </w:rPr>
              <w:t> </w:t>
            </w:r>
          </w:p>
        </w:tc>
        <w:tc>
          <w:tcPr>
            <w:tcW w:w="0" w:type="auto"/>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b/>
                <w:noProof/>
                <w:color w:val="000000" w:themeColor="text1"/>
                <w:sz w:val="20"/>
                <w:szCs w:val="20"/>
                <w:lang w:eastAsia="en-GB"/>
              </w:rPr>
            </w:pPr>
            <w:r>
              <w:rPr>
                <w:rFonts w:eastAsia="Times New Roman"/>
                <w:b/>
                <w:bCs/>
                <w:noProof/>
                <w:color w:val="000000" w:themeColor="text1"/>
                <w:sz w:val="20"/>
                <w:szCs w:val="20"/>
                <w:lang w:val="fr-FR" w:eastAsia="en-GB"/>
              </w:rPr>
              <w:t>Min</w:t>
            </w:r>
            <w:r>
              <w:rPr>
                <w:rFonts w:eastAsia="Times New Roman"/>
                <w:b/>
                <w:bCs/>
                <w:noProof/>
                <w:color w:val="000000" w:themeColor="text1"/>
                <w:sz w:val="20"/>
                <w:szCs w:val="20"/>
                <w:lang w:eastAsia="en-GB"/>
              </w:rPr>
              <w:t> </w:t>
            </w:r>
          </w:p>
        </w:tc>
        <w:tc>
          <w:tcPr>
            <w:tcW w:w="0" w:type="auto"/>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b/>
                <w:noProof/>
                <w:color w:val="000000" w:themeColor="text1"/>
                <w:sz w:val="20"/>
                <w:szCs w:val="20"/>
                <w:lang w:eastAsia="en-GB"/>
              </w:rPr>
            </w:pPr>
            <w:r>
              <w:rPr>
                <w:rFonts w:eastAsia="Times New Roman"/>
                <w:b/>
                <w:bCs/>
                <w:noProof/>
                <w:color w:val="000000" w:themeColor="text1"/>
                <w:sz w:val="20"/>
                <w:szCs w:val="20"/>
                <w:lang w:val="fr-FR" w:eastAsia="en-GB"/>
              </w:rPr>
              <w:t>Max</w:t>
            </w:r>
            <w:r>
              <w:rPr>
                <w:rFonts w:eastAsia="Times New Roman"/>
                <w:b/>
                <w:bCs/>
                <w:noProof/>
                <w:color w:val="000000" w:themeColor="text1"/>
                <w:sz w:val="20"/>
                <w:szCs w:val="20"/>
                <w:lang w:eastAsia="en-GB"/>
              </w:rPr>
              <w:t>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pPr>
              <w:textAlignment w:val="baseline"/>
              <w:rPr>
                <w:rFonts w:eastAsia="Times New Roman"/>
                <w:noProof/>
                <w:sz w:val="20"/>
                <w:szCs w:val="20"/>
                <w:lang w:eastAsia="en-GB"/>
              </w:rPr>
            </w:pPr>
            <w:r>
              <w:rPr>
                <w:rFonts w:eastAsia="Times New Roman"/>
                <w:noProof/>
                <w:color w:val="000000"/>
                <w:sz w:val="20"/>
                <w:szCs w:val="20"/>
                <w:lang w:val="fr-FR" w:eastAsia="en-GB"/>
              </w:rPr>
              <w:t>AT</w:t>
            </w:r>
            <w:r>
              <w:rPr>
                <w:rFonts w:eastAsia="Times New Roman"/>
                <w:noProof/>
                <w:color w:val="000000"/>
                <w:sz w:val="20"/>
                <w:szCs w:val="20"/>
                <w:lang w:eastAsia="en-GB"/>
              </w:rPr>
              <w:t> </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14334574</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20904587</w:t>
            </w:r>
          </w:p>
        </w:tc>
        <w:tc>
          <w:tcPr>
            <w:tcW w:w="0" w:type="auto"/>
          </w:tcPr>
          <w:p>
            <w:pPr>
              <w:jc w:val="right"/>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2848134</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4300124</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365324</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486324</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133409</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173742</w:t>
            </w:r>
          </w:p>
        </w:tc>
      </w:tr>
      <w:tr>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pPr>
              <w:textAlignment w:val="baseline"/>
              <w:rPr>
                <w:rFonts w:eastAsia="Times New Roman"/>
                <w:noProof/>
                <w:sz w:val="20"/>
                <w:szCs w:val="20"/>
                <w:lang w:eastAsia="en-GB"/>
              </w:rPr>
            </w:pPr>
            <w:r>
              <w:rPr>
                <w:rFonts w:eastAsia="Times New Roman"/>
                <w:noProof/>
                <w:color w:val="000000"/>
                <w:sz w:val="20"/>
                <w:szCs w:val="20"/>
                <w:lang w:val="fr-FR" w:eastAsia="en-GB"/>
              </w:rPr>
              <w:t>BE</w:t>
            </w:r>
            <w:r>
              <w:rPr>
                <w:rFonts w:eastAsia="Times New Roman"/>
                <w:noProof/>
                <w:color w:val="000000"/>
                <w:sz w:val="20"/>
                <w:szCs w:val="20"/>
                <w:lang w:eastAsia="en-GB"/>
              </w:rPr>
              <w:t> </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12622528</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18407853</w:t>
            </w:r>
          </w:p>
        </w:tc>
        <w:tc>
          <w:tcPr>
            <w:tcW w:w="0" w:type="auto"/>
          </w:tcPr>
          <w:p>
            <w:pPr>
              <w:jc w:val="right"/>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0</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0</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0</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0</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0</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0</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pPr>
              <w:textAlignment w:val="baseline"/>
              <w:rPr>
                <w:rFonts w:eastAsia="Times New Roman"/>
                <w:noProof/>
                <w:sz w:val="20"/>
                <w:szCs w:val="20"/>
                <w:lang w:eastAsia="en-GB"/>
              </w:rPr>
            </w:pPr>
            <w:r>
              <w:rPr>
                <w:rFonts w:eastAsia="Times New Roman"/>
                <w:noProof/>
                <w:color w:val="000000"/>
                <w:sz w:val="20"/>
                <w:szCs w:val="20"/>
                <w:lang w:val="fr-FR" w:eastAsia="en-GB"/>
              </w:rPr>
              <w:t>BG</w:t>
            </w:r>
            <w:r>
              <w:rPr>
                <w:rFonts w:eastAsia="Times New Roman"/>
                <w:noProof/>
                <w:color w:val="000000"/>
                <w:sz w:val="20"/>
                <w:szCs w:val="20"/>
                <w:lang w:eastAsia="en-GB"/>
              </w:rPr>
              <w:t> </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2635776</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3843840</w:t>
            </w:r>
          </w:p>
        </w:tc>
        <w:tc>
          <w:tcPr>
            <w:tcW w:w="0" w:type="auto"/>
          </w:tcPr>
          <w:p>
            <w:pPr>
              <w:jc w:val="right"/>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396576</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598752</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50868</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67716</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18576</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24192</w:t>
            </w:r>
          </w:p>
        </w:tc>
      </w:tr>
      <w:tr>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pPr>
              <w:textAlignment w:val="baseline"/>
              <w:rPr>
                <w:rFonts w:eastAsia="Times New Roman"/>
                <w:noProof/>
                <w:sz w:val="20"/>
                <w:szCs w:val="20"/>
                <w:lang w:eastAsia="en-GB"/>
              </w:rPr>
            </w:pPr>
            <w:r>
              <w:rPr>
                <w:rFonts w:eastAsia="Times New Roman"/>
                <w:noProof/>
                <w:color w:val="000000"/>
                <w:sz w:val="20"/>
                <w:szCs w:val="20"/>
                <w:lang w:val="fr-FR" w:eastAsia="en-GB"/>
              </w:rPr>
              <w:t>CY</w:t>
            </w:r>
            <w:r>
              <w:rPr>
                <w:rFonts w:eastAsia="Times New Roman"/>
                <w:noProof/>
                <w:color w:val="000000"/>
                <w:sz w:val="20"/>
                <w:szCs w:val="20"/>
                <w:lang w:eastAsia="en-GB"/>
              </w:rPr>
              <w:t> </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696384</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1015560</w:t>
            </w:r>
          </w:p>
        </w:tc>
        <w:tc>
          <w:tcPr>
            <w:tcW w:w="0" w:type="auto"/>
          </w:tcPr>
          <w:p>
            <w:pPr>
              <w:jc w:val="right"/>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114566</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172973</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14695</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19562</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5366</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6989</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pPr>
              <w:textAlignment w:val="baseline"/>
              <w:rPr>
                <w:rFonts w:eastAsia="Times New Roman"/>
                <w:noProof/>
                <w:sz w:val="20"/>
                <w:szCs w:val="20"/>
                <w:lang w:eastAsia="en-GB"/>
              </w:rPr>
            </w:pPr>
            <w:r>
              <w:rPr>
                <w:rFonts w:eastAsia="Times New Roman"/>
                <w:noProof/>
                <w:color w:val="000000"/>
                <w:sz w:val="20"/>
                <w:szCs w:val="20"/>
                <w:lang w:val="fr-FR" w:eastAsia="en-GB"/>
              </w:rPr>
              <w:t>CZ</w:t>
            </w:r>
            <w:r>
              <w:rPr>
                <w:rFonts w:eastAsia="Times New Roman"/>
                <w:noProof/>
                <w:color w:val="000000"/>
                <w:sz w:val="20"/>
                <w:szCs w:val="20"/>
                <w:lang w:eastAsia="en-GB"/>
              </w:rPr>
              <w:t> </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9919629</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14466126</w:t>
            </w:r>
          </w:p>
        </w:tc>
        <w:tc>
          <w:tcPr>
            <w:tcW w:w="0" w:type="auto"/>
          </w:tcPr>
          <w:p>
            <w:pPr>
              <w:jc w:val="right"/>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2227304</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3362792</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285692</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380316</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104329</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135870</w:t>
            </w:r>
          </w:p>
        </w:tc>
      </w:tr>
      <w:tr>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pPr>
              <w:textAlignment w:val="baseline"/>
              <w:rPr>
                <w:rFonts w:eastAsia="Times New Roman"/>
                <w:noProof/>
                <w:sz w:val="20"/>
                <w:szCs w:val="20"/>
                <w:lang w:eastAsia="en-GB"/>
              </w:rPr>
            </w:pPr>
            <w:r>
              <w:rPr>
                <w:rFonts w:eastAsia="Times New Roman"/>
                <w:noProof/>
                <w:color w:val="000000"/>
                <w:sz w:val="20"/>
                <w:szCs w:val="20"/>
                <w:lang w:val="fr-FR" w:eastAsia="en-GB"/>
              </w:rPr>
              <w:t>DE</w:t>
            </w:r>
            <w:r>
              <w:rPr>
                <w:rFonts w:eastAsia="Times New Roman"/>
                <w:noProof/>
                <w:color w:val="000000"/>
                <w:sz w:val="20"/>
                <w:szCs w:val="20"/>
                <w:lang w:eastAsia="en-GB"/>
              </w:rPr>
              <w:t> </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277166936</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404201781</w:t>
            </w:r>
          </w:p>
        </w:tc>
        <w:tc>
          <w:tcPr>
            <w:tcW w:w="0" w:type="auto"/>
          </w:tcPr>
          <w:p>
            <w:pPr>
              <w:jc w:val="right"/>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52200592</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78812658</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0</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0</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0</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0</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pPr>
              <w:textAlignment w:val="baseline"/>
              <w:rPr>
                <w:rFonts w:eastAsia="Times New Roman"/>
                <w:noProof/>
                <w:sz w:val="20"/>
                <w:szCs w:val="20"/>
                <w:lang w:eastAsia="en-GB"/>
              </w:rPr>
            </w:pPr>
            <w:r>
              <w:rPr>
                <w:rFonts w:eastAsia="Times New Roman"/>
                <w:noProof/>
                <w:color w:val="000000"/>
                <w:sz w:val="20"/>
                <w:szCs w:val="20"/>
                <w:lang w:val="fr-FR" w:eastAsia="en-GB"/>
              </w:rPr>
              <w:t>DK</w:t>
            </w:r>
            <w:r>
              <w:rPr>
                <w:rFonts w:eastAsia="Times New Roman"/>
                <w:noProof/>
                <w:color w:val="000000"/>
                <w:sz w:val="20"/>
                <w:szCs w:val="20"/>
                <w:lang w:eastAsia="en-GB"/>
              </w:rPr>
              <w:t> </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15641461</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22810463</w:t>
            </w:r>
          </w:p>
        </w:tc>
        <w:tc>
          <w:tcPr>
            <w:tcW w:w="0" w:type="auto"/>
          </w:tcPr>
          <w:p>
            <w:pPr>
              <w:jc w:val="right"/>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0</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0</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0</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0</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0</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0</w:t>
            </w:r>
          </w:p>
        </w:tc>
      </w:tr>
      <w:tr>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pPr>
              <w:textAlignment w:val="baseline"/>
              <w:rPr>
                <w:rFonts w:eastAsia="Times New Roman"/>
                <w:noProof/>
                <w:sz w:val="20"/>
                <w:szCs w:val="20"/>
                <w:lang w:eastAsia="en-GB"/>
              </w:rPr>
            </w:pPr>
            <w:r>
              <w:rPr>
                <w:rFonts w:eastAsia="Times New Roman"/>
                <w:noProof/>
                <w:color w:val="000000"/>
                <w:sz w:val="20"/>
                <w:szCs w:val="20"/>
                <w:lang w:val="fr-FR" w:eastAsia="en-GB"/>
              </w:rPr>
              <w:t>EE</w:t>
            </w:r>
            <w:r>
              <w:rPr>
                <w:rFonts w:eastAsia="Times New Roman"/>
                <w:noProof/>
                <w:color w:val="000000"/>
                <w:sz w:val="20"/>
                <w:szCs w:val="20"/>
                <w:lang w:eastAsia="en-GB"/>
              </w:rPr>
              <w:t> </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952230</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1388668</w:t>
            </w:r>
          </w:p>
        </w:tc>
        <w:tc>
          <w:tcPr>
            <w:tcW w:w="0" w:type="auto"/>
          </w:tcPr>
          <w:p>
            <w:pPr>
              <w:jc w:val="right"/>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149549</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225790</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19182</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25536</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7005</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9123</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pPr>
              <w:textAlignment w:val="baseline"/>
              <w:rPr>
                <w:rFonts w:eastAsia="Times New Roman"/>
                <w:noProof/>
                <w:sz w:val="20"/>
                <w:szCs w:val="20"/>
                <w:lang w:eastAsia="en-GB"/>
              </w:rPr>
            </w:pPr>
            <w:r>
              <w:rPr>
                <w:rFonts w:eastAsia="Times New Roman"/>
                <w:noProof/>
                <w:color w:val="000000"/>
                <w:sz w:val="20"/>
                <w:szCs w:val="20"/>
                <w:lang w:val="fr-FR" w:eastAsia="en-GB"/>
              </w:rPr>
              <w:t>EL</w:t>
            </w:r>
            <w:r>
              <w:rPr>
                <w:rFonts w:eastAsia="Times New Roman"/>
                <w:noProof/>
                <w:color w:val="000000"/>
                <w:sz w:val="20"/>
                <w:szCs w:val="20"/>
                <w:lang w:eastAsia="en-GB"/>
              </w:rPr>
              <w:t> </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3362192</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4903197</w:t>
            </w:r>
          </w:p>
        </w:tc>
        <w:tc>
          <w:tcPr>
            <w:tcW w:w="0" w:type="auto"/>
          </w:tcPr>
          <w:p>
            <w:pPr>
              <w:jc w:val="right"/>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490353</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740336</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62897</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83729</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22969</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29913</w:t>
            </w:r>
          </w:p>
        </w:tc>
      </w:tr>
      <w:tr>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pPr>
              <w:textAlignment w:val="baseline"/>
              <w:rPr>
                <w:rFonts w:eastAsia="Times New Roman"/>
                <w:noProof/>
                <w:sz w:val="20"/>
                <w:szCs w:val="20"/>
                <w:lang w:eastAsia="en-GB"/>
              </w:rPr>
            </w:pPr>
            <w:r>
              <w:rPr>
                <w:rFonts w:eastAsia="Times New Roman"/>
                <w:noProof/>
                <w:color w:val="000000"/>
                <w:sz w:val="20"/>
                <w:szCs w:val="20"/>
                <w:lang w:val="fr-FR" w:eastAsia="en-GB"/>
              </w:rPr>
              <w:t>ES</w:t>
            </w:r>
            <w:r>
              <w:rPr>
                <w:rFonts w:eastAsia="Times New Roman"/>
                <w:noProof/>
                <w:color w:val="000000"/>
                <w:sz w:val="20"/>
                <w:szCs w:val="20"/>
                <w:lang w:eastAsia="en-GB"/>
              </w:rPr>
              <w:t> </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33900473</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49438189</w:t>
            </w:r>
          </w:p>
        </w:tc>
        <w:tc>
          <w:tcPr>
            <w:tcW w:w="0" w:type="auto"/>
          </w:tcPr>
          <w:p>
            <w:pPr>
              <w:jc w:val="right"/>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0</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0</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0</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0</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0</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0</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pPr>
              <w:textAlignment w:val="baseline"/>
              <w:rPr>
                <w:rFonts w:eastAsia="Times New Roman"/>
                <w:noProof/>
                <w:sz w:val="20"/>
                <w:szCs w:val="20"/>
                <w:lang w:eastAsia="en-GB"/>
              </w:rPr>
            </w:pPr>
            <w:r>
              <w:rPr>
                <w:rFonts w:eastAsia="Times New Roman"/>
                <w:noProof/>
                <w:color w:val="000000"/>
                <w:sz w:val="20"/>
                <w:szCs w:val="20"/>
                <w:lang w:val="fr-FR" w:eastAsia="en-GB"/>
              </w:rPr>
              <w:t>FI</w:t>
            </w:r>
            <w:r>
              <w:rPr>
                <w:rFonts w:eastAsia="Times New Roman"/>
                <w:noProof/>
                <w:color w:val="000000"/>
                <w:sz w:val="20"/>
                <w:szCs w:val="20"/>
                <w:lang w:eastAsia="en-GB"/>
              </w:rPr>
              <w:t> </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0</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0</w:t>
            </w:r>
          </w:p>
        </w:tc>
        <w:tc>
          <w:tcPr>
            <w:tcW w:w="0" w:type="auto"/>
          </w:tcPr>
          <w:p>
            <w:pPr>
              <w:jc w:val="right"/>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0</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0</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0</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0</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0</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0</w:t>
            </w:r>
          </w:p>
        </w:tc>
      </w:tr>
      <w:tr>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pPr>
              <w:textAlignment w:val="baseline"/>
              <w:rPr>
                <w:rFonts w:eastAsia="Times New Roman"/>
                <w:noProof/>
                <w:sz w:val="20"/>
                <w:szCs w:val="20"/>
                <w:lang w:eastAsia="en-GB"/>
              </w:rPr>
            </w:pPr>
            <w:r>
              <w:rPr>
                <w:rFonts w:eastAsia="Times New Roman"/>
                <w:noProof/>
                <w:color w:val="000000"/>
                <w:sz w:val="20"/>
                <w:szCs w:val="20"/>
                <w:lang w:val="fr-FR" w:eastAsia="en-GB"/>
              </w:rPr>
              <w:t>FR</w:t>
            </w:r>
            <w:r>
              <w:rPr>
                <w:rFonts w:eastAsia="Times New Roman"/>
                <w:noProof/>
                <w:color w:val="000000"/>
                <w:sz w:val="20"/>
                <w:szCs w:val="20"/>
                <w:lang w:eastAsia="en-GB"/>
              </w:rPr>
              <w:t> </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0</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0</w:t>
            </w:r>
          </w:p>
        </w:tc>
        <w:tc>
          <w:tcPr>
            <w:tcW w:w="0" w:type="auto"/>
          </w:tcPr>
          <w:p>
            <w:pPr>
              <w:jc w:val="right"/>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0</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0</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0</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0</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0</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0</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pPr>
              <w:textAlignment w:val="baseline"/>
              <w:rPr>
                <w:rFonts w:eastAsia="Times New Roman"/>
                <w:noProof/>
                <w:sz w:val="20"/>
                <w:szCs w:val="20"/>
                <w:lang w:eastAsia="en-GB"/>
              </w:rPr>
            </w:pPr>
            <w:r>
              <w:rPr>
                <w:rFonts w:eastAsia="Times New Roman"/>
                <w:noProof/>
                <w:color w:val="000000"/>
                <w:sz w:val="20"/>
                <w:szCs w:val="20"/>
                <w:lang w:val="fr-FR" w:eastAsia="en-GB"/>
              </w:rPr>
              <w:t>HR</w:t>
            </w:r>
            <w:r>
              <w:rPr>
                <w:rFonts w:eastAsia="Times New Roman"/>
                <w:noProof/>
                <w:color w:val="000000"/>
                <w:sz w:val="20"/>
                <w:szCs w:val="20"/>
                <w:lang w:eastAsia="en-GB"/>
              </w:rPr>
              <w:t> </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2072410</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3022264</w:t>
            </w:r>
          </w:p>
        </w:tc>
        <w:tc>
          <w:tcPr>
            <w:tcW w:w="0" w:type="auto"/>
          </w:tcPr>
          <w:p>
            <w:pPr>
              <w:jc w:val="right"/>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442990</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668828</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56821</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75641</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20750</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27023</w:t>
            </w:r>
          </w:p>
        </w:tc>
      </w:tr>
      <w:tr>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pPr>
              <w:textAlignment w:val="baseline"/>
              <w:rPr>
                <w:rFonts w:eastAsia="Times New Roman"/>
                <w:noProof/>
                <w:sz w:val="20"/>
                <w:szCs w:val="20"/>
                <w:lang w:eastAsia="en-GB"/>
              </w:rPr>
            </w:pPr>
            <w:r>
              <w:rPr>
                <w:rFonts w:eastAsia="Times New Roman"/>
                <w:noProof/>
                <w:color w:val="000000"/>
                <w:sz w:val="20"/>
                <w:szCs w:val="20"/>
                <w:lang w:val="fr-FR" w:eastAsia="en-GB"/>
              </w:rPr>
              <w:t>HU</w:t>
            </w:r>
            <w:r>
              <w:rPr>
                <w:rFonts w:eastAsia="Times New Roman"/>
                <w:noProof/>
                <w:color w:val="000000"/>
                <w:sz w:val="20"/>
                <w:szCs w:val="20"/>
                <w:lang w:eastAsia="en-GB"/>
              </w:rPr>
              <w:t> </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7009504</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10222193</w:t>
            </w:r>
          </w:p>
        </w:tc>
        <w:tc>
          <w:tcPr>
            <w:tcW w:w="0" w:type="auto"/>
          </w:tcPr>
          <w:p>
            <w:pPr>
              <w:jc w:val="right"/>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1387767</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2095255</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178006</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236963</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65004</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84657</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pPr>
              <w:textAlignment w:val="baseline"/>
              <w:rPr>
                <w:rFonts w:eastAsia="Times New Roman"/>
                <w:noProof/>
                <w:sz w:val="20"/>
                <w:szCs w:val="20"/>
                <w:lang w:eastAsia="en-GB"/>
              </w:rPr>
            </w:pPr>
            <w:r>
              <w:rPr>
                <w:rFonts w:eastAsia="Times New Roman"/>
                <w:noProof/>
                <w:color w:val="000000"/>
                <w:sz w:val="20"/>
                <w:szCs w:val="20"/>
                <w:lang w:val="fr-FR" w:eastAsia="en-GB"/>
              </w:rPr>
              <w:t>IE</w:t>
            </w:r>
            <w:r>
              <w:rPr>
                <w:rFonts w:eastAsia="Times New Roman"/>
                <w:noProof/>
                <w:color w:val="000000"/>
                <w:sz w:val="20"/>
                <w:szCs w:val="20"/>
                <w:lang w:eastAsia="en-GB"/>
              </w:rPr>
              <w:t> </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6957338</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10146117</w:t>
            </w:r>
          </w:p>
        </w:tc>
        <w:tc>
          <w:tcPr>
            <w:tcW w:w="0" w:type="auto"/>
          </w:tcPr>
          <w:p>
            <w:pPr>
              <w:jc w:val="right"/>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1203217</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1816622</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154334</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205451</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56360</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73399</w:t>
            </w:r>
          </w:p>
        </w:tc>
      </w:tr>
      <w:tr>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pPr>
              <w:textAlignment w:val="baseline"/>
              <w:rPr>
                <w:rFonts w:eastAsia="Times New Roman"/>
                <w:noProof/>
                <w:sz w:val="20"/>
                <w:szCs w:val="20"/>
                <w:lang w:eastAsia="en-GB"/>
              </w:rPr>
            </w:pPr>
            <w:r>
              <w:rPr>
                <w:rFonts w:eastAsia="Times New Roman"/>
                <w:noProof/>
                <w:color w:val="000000"/>
                <w:sz w:val="20"/>
                <w:szCs w:val="20"/>
                <w:lang w:val="fr-FR" w:eastAsia="en-GB"/>
              </w:rPr>
              <w:t>IT</w:t>
            </w:r>
            <w:r>
              <w:rPr>
                <w:rFonts w:eastAsia="Times New Roman"/>
                <w:noProof/>
                <w:color w:val="000000"/>
                <w:sz w:val="20"/>
                <w:szCs w:val="20"/>
                <w:lang w:eastAsia="en-GB"/>
              </w:rPr>
              <w:t> </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86317318</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125879422</w:t>
            </w:r>
          </w:p>
        </w:tc>
        <w:tc>
          <w:tcPr>
            <w:tcW w:w="0" w:type="auto"/>
          </w:tcPr>
          <w:p>
            <w:pPr>
              <w:jc w:val="right"/>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13534647</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20434663</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1736062</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2311063</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633976</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825643</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pPr>
              <w:textAlignment w:val="baseline"/>
              <w:rPr>
                <w:rFonts w:eastAsia="Times New Roman"/>
                <w:noProof/>
                <w:sz w:val="20"/>
                <w:szCs w:val="20"/>
                <w:lang w:eastAsia="en-GB"/>
              </w:rPr>
            </w:pPr>
            <w:r>
              <w:rPr>
                <w:rFonts w:eastAsia="Times New Roman"/>
                <w:noProof/>
                <w:color w:val="000000"/>
                <w:sz w:val="20"/>
                <w:szCs w:val="20"/>
                <w:lang w:val="fr-FR" w:eastAsia="en-GB"/>
              </w:rPr>
              <w:t>LT</w:t>
            </w:r>
            <w:r>
              <w:rPr>
                <w:rFonts w:eastAsia="Times New Roman"/>
                <w:noProof/>
                <w:color w:val="000000"/>
                <w:sz w:val="20"/>
                <w:szCs w:val="20"/>
                <w:lang w:eastAsia="en-GB"/>
              </w:rPr>
              <w:t> </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2128090</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3103464</w:t>
            </w:r>
          </w:p>
        </w:tc>
        <w:tc>
          <w:tcPr>
            <w:tcW w:w="0" w:type="auto"/>
          </w:tcPr>
          <w:p>
            <w:pPr>
              <w:jc w:val="right"/>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318473</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480831</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40850</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54380</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14918</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19428</w:t>
            </w:r>
          </w:p>
        </w:tc>
      </w:tr>
      <w:tr>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pPr>
              <w:textAlignment w:val="baseline"/>
              <w:rPr>
                <w:rFonts w:eastAsia="Times New Roman"/>
                <w:noProof/>
                <w:sz w:val="20"/>
                <w:szCs w:val="20"/>
                <w:lang w:eastAsia="en-GB"/>
              </w:rPr>
            </w:pPr>
            <w:r>
              <w:rPr>
                <w:rFonts w:eastAsia="Times New Roman"/>
                <w:noProof/>
                <w:color w:val="000000"/>
                <w:sz w:val="20"/>
                <w:szCs w:val="20"/>
                <w:lang w:val="fr-FR" w:eastAsia="en-GB"/>
              </w:rPr>
              <w:t>LU</w:t>
            </w:r>
            <w:r>
              <w:rPr>
                <w:rFonts w:eastAsia="Times New Roman"/>
                <w:noProof/>
                <w:color w:val="000000"/>
                <w:sz w:val="20"/>
                <w:szCs w:val="20"/>
                <w:lang w:eastAsia="en-GB"/>
              </w:rPr>
              <w:t> </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1761285</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2568541</w:t>
            </w:r>
          </w:p>
        </w:tc>
        <w:tc>
          <w:tcPr>
            <w:tcW w:w="0" w:type="auto"/>
          </w:tcPr>
          <w:p>
            <w:pPr>
              <w:jc w:val="right"/>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384685</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580799</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49343</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65686</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18019</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23467</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pPr>
              <w:textAlignment w:val="baseline"/>
              <w:rPr>
                <w:rFonts w:eastAsia="Times New Roman"/>
                <w:noProof/>
                <w:sz w:val="20"/>
                <w:szCs w:val="20"/>
                <w:lang w:eastAsia="en-GB"/>
              </w:rPr>
            </w:pPr>
            <w:r>
              <w:rPr>
                <w:rFonts w:eastAsia="Times New Roman"/>
                <w:noProof/>
                <w:color w:val="000000"/>
                <w:sz w:val="20"/>
                <w:szCs w:val="20"/>
                <w:lang w:val="fr-FR" w:eastAsia="en-GB"/>
              </w:rPr>
              <w:t>LV</w:t>
            </w:r>
            <w:r>
              <w:rPr>
                <w:rFonts w:eastAsia="Times New Roman"/>
                <w:noProof/>
                <w:color w:val="000000"/>
                <w:sz w:val="20"/>
                <w:szCs w:val="20"/>
                <w:lang w:eastAsia="en-GB"/>
              </w:rPr>
              <w:t> </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1520095</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2216806</w:t>
            </w:r>
          </w:p>
        </w:tc>
        <w:tc>
          <w:tcPr>
            <w:tcW w:w="0" w:type="auto"/>
          </w:tcPr>
          <w:p>
            <w:pPr>
              <w:jc w:val="right"/>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196103</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296078</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25154</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33485</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9186</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11963</w:t>
            </w:r>
          </w:p>
        </w:tc>
      </w:tr>
      <w:tr>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pPr>
              <w:textAlignment w:val="baseline"/>
              <w:rPr>
                <w:rFonts w:eastAsia="Times New Roman"/>
                <w:noProof/>
                <w:sz w:val="20"/>
                <w:szCs w:val="20"/>
                <w:lang w:eastAsia="en-GB"/>
              </w:rPr>
            </w:pPr>
            <w:r>
              <w:rPr>
                <w:rFonts w:eastAsia="Times New Roman"/>
                <w:noProof/>
                <w:color w:val="000000"/>
                <w:sz w:val="20"/>
                <w:szCs w:val="20"/>
                <w:lang w:val="fr-FR" w:eastAsia="en-GB"/>
              </w:rPr>
              <w:t>MT</w:t>
            </w:r>
            <w:r>
              <w:rPr>
                <w:rFonts w:eastAsia="Times New Roman"/>
                <w:noProof/>
                <w:color w:val="000000"/>
                <w:sz w:val="20"/>
                <w:szCs w:val="20"/>
                <w:lang w:eastAsia="en-GB"/>
              </w:rPr>
              <w:t> </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469104</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684110</w:t>
            </w:r>
          </w:p>
        </w:tc>
        <w:tc>
          <w:tcPr>
            <w:tcW w:w="0" w:type="auto"/>
          </w:tcPr>
          <w:p>
            <w:pPr>
              <w:jc w:val="right"/>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82528</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124601</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10586</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14092</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3866</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5034</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pPr>
              <w:textAlignment w:val="baseline"/>
              <w:rPr>
                <w:rFonts w:eastAsia="Times New Roman"/>
                <w:noProof/>
                <w:sz w:val="20"/>
                <w:szCs w:val="20"/>
                <w:lang w:eastAsia="en-GB"/>
              </w:rPr>
            </w:pPr>
            <w:r>
              <w:rPr>
                <w:rFonts w:eastAsia="Times New Roman"/>
                <w:noProof/>
                <w:color w:val="000000"/>
                <w:sz w:val="20"/>
                <w:szCs w:val="20"/>
                <w:lang w:val="fr-FR" w:eastAsia="en-GB"/>
              </w:rPr>
              <w:t>NL</w:t>
            </w:r>
            <w:r>
              <w:rPr>
                <w:rFonts w:eastAsia="Times New Roman"/>
                <w:noProof/>
                <w:color w:val="000000"/>
                <w:sz w:val="20"/>
                <w:szCs w:val="20"/>
                <w:lang w:eastAsia="en-GB"/>
              </w:rPr>
              <w:t> </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26153054</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38139871</w:t>
            </w:r>
          </w:p>
        </w:tc>
        <w:tc>
          <w:tcPr>
            <w:tcW w:w="0" w:type="auto"/>
          </w:tcPr>
          <w:p>
            <w:pPr>
              <w:jc w:val="right"/>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4762900</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7191045</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610928</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813273</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223099</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290547</w:t>
            </w:r>
          </w:p>
        </w:tc>
      </w:tr>
      <w:tr>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pPr>
              <w:textAlignment w:val="baseline"/>
              <w:rPr>
                <w:rFonts w:eastAsia="Times New Roman"/>
                <w:noProof/>
                <w:sz w:val="20"/>
                <w:szCs w:val="20"/>
                <w:lang w:eastAsia="en-GB"/>
              </w:rPr>
            </w:pPr>
            <w:r>
              <w:rPr>
                <w:rFonts w:eastAsia="Times New Roman"/>
                <w:noProof/>
                <w:color w:val="000000"/>
                <w:sz w:val="20"/>
                <w:szCs w:val="20"/>
                <w:lang w:val="fr-FR" w:eastAsia="en-GB"/>
              </w:rPr>
              <w:t>PL</w:t>
            </w:r>
            <w:r>
              <w:rPr>
                <w:rFonts w:eastAsia="Times New Roman"/>
                <w:noProof/>
                <w:color w:val="000000"/>
                <w:sz w:val="20"/>
                <w:szCs w:val="20"/>
                <w:lang w:eastAsia="en-GB"/>
              </w:rPr>
              <w:t> </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18651790</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27200526</w:t>
            </w:r>
          </w:p>
        </w:tc>
        <w:tc>
          <w:tcPr>
            <w:tcW w:w="0" w:type="auto"/>
          </w:tcPr>
          <w:p>
            <w:pPr>
              <w:jc w:val="right"/>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3985751</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6017702</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511244</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680573</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186696</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243139</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pPr>
              <w:textAlignment w:val="baseline"/>
              <w:rPr>
                <w:rFonts w:eastAsia="Times New Roman"/>
                <w:noProof/>
                <w:sz w:val="20"/>
                <w:szCs w:val="20"/>
                <w:lang w:eastAsia="en-GB"/>
              </w:rPr>
            </w:pPr>
            <w:r>
              <w:rPr>
                <w:rFonts w:eastAsia="Times New Roman"/>
                <w:noProof/>
                <w:color w:val="000000"/>
                <w:sz w:val="20"/>
                <w:szCs w:val="20"/>
                <w:lang w:val="fr-FR" w:eastAsia="en-GB"/>
              </w:rPr>
              <w:t>PT</w:t>
            </w:r>
            <w:r>
              <w:rPr>
                <w:rFonts w:eastAsia="Times New Roman"/>
                <w:noProof/>
                <w:color w:val="000000"/>
                <w:sz w:val="20"/>
                <w:szCs w:val="20"/>
                <w:lang w:eastAsia="en-GB"/>
              </w:rPr>
              <w:t> </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0</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0</w:t>
            </w:r>
          </w:p>
        </w:tc>
        <w:tc>
          <w:tcPr>
            <w:tcW w:w="0" w:type="auto"/>
          </w:tcPr>
          <w:p>
            <w:pPr>
              <w:jc w:val="right"/>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0</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0</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0</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0</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0</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0</w:t>
            </w:r>
          </w:p>
        </w:tc>
      </w:tr>
      <w:tr>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pPr>
              <w:textAlignment w:val="baseline"/>
              <w:rPr>
                <w:rFonts w:eastAsia="Times New Roman"/>
                <w:noProof/>
                <w:sz w:val="20"/>
                <w:szCs w:val="20"/>
                <w:lang w:eastAsia="en-GB"/>
              </w:rPr>
            </w:pPr>
            <w:r>
              <w:rPr>
                <w:rFonts w:eastAsia="Times New Roman"/>
                <w:noProof/>
                <w:color w:val="000000"/>
                <w:sz w:val="20"/>
                <w:szCs w:val="20"/>
                <w:lang w:val="fr-FR" w:eastAsia="en-GB"/>
              </w:rPr>
              <w:t>RO</w:t>
            </w:r>
            <w:r>
              <w:rPr>
                <w:rFonts w:eastAsia="Times New Roman"/>
                <w:noProof/>
                <w:color w:val="000000"/>
                <w:sz w:val="20"/>
                <w:szCs w:val="20"/>
                <w:lang w:eastAsia="en-GB"/>
              </w:rPr>
              <w:t> </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6152899</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8972978</w:t>
            </w:r>
          </w:p>
        </w:tc>
        <w:tc>
          <w:tcPr>
            <w:tcW w:w="0" w:type="auto"/>
          </w:tcPr>
          <w:p>
            <w:pPr>
              <w:jc w:val="right"/>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1206041</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1820885</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154696</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205933</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56492</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73571</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pPr>
              <w:textAlignment w:val="baseline"/>
              <w:rPr>
                <w:rFonts w:eastAsia="Times New Roman"/>
                <w:noProof/>
                <w:sz w:val="20"/>
                <w:szCs w:val="20"/>
                <w:lang w:eastAsia="en-GB"/>
              </w:rPr>
            </w:pPr>
            <w:r>
              <w:rPr>
                <w:rFonts w:eastAsia="Times New Roman"/>
                <w:noProof/>
                <w:color w:val="000000"/>
                <w:sz w:val="20"/>
                <w:szCs w:val="20"/>
                <w:lang w:val="fr-FR" w:eastAsia="en-GB"/>
              </w:rPr>
              <w:t>SE</w:t>
            </w:r>
            <w:r>
              <w:rPr>
                <w:rFonts w:eastAsia="Times New Roman"/>
                <w:noProof/>
                <w:color w:val="000000"/>
                <w:sz w:val="20"/>
                <w:szCs w:val="20"/>
                <w:lang w:eastAsia="en-GB"/>
              </w:rPr>
              <w:t> </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7603138</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11087910</w:t>
            </w:r>
          </w:p>
        </w:tc>
        <w:tc>
          <w:tcPr>
            <w:tcW w:w="0" w:type="auto"/>
          </w:tcPr>
          <w:p>
            <w:pPr>
              <w:jc w:val="right"/>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0</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0</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0</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0</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0</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0</w:t>
            </w:r>
          </w:p>
        </w:tc>
      </w:tr>
      <w:tr>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pPr>
              <w:textAlignment w:val="baseline"/>
              <w:rPr>
                <w:rFonts w:eastAsia="Times New Roman"/>
                <w:noProof/>
                <w:sz w:val="20"/>
                <w:szCs w:val="20"/>
                <w:lang w:eastAsia="en-GB"/>
              </w:rPr>
            </w:pPr>
            <w:r>
              <w:rPr>
                <w:rFonts w:eastAsia="Times New Roman"/>
                <w:noProof/>
                <w:color w:val="000000"/>
                <w:sz w:val="20"/>
                <w:szCs w:val="20"/>
                <w:lang w:val="fr-FR" w:eastAsia="en-GB"/>
              </w:rPr>
              <w:t>SI</w:t>
            </w:r>
            <w:r>
              <w:rPr>
                <w:rFonts w:eastAsia="Times New Roman"/>
                <w:noProof/>
                <w:color w:val="000000"/>
                <w:sz w:val="20"/>
                <w:szCs w:val="20"/>
                <w:lang w:eastAsia="en-GB"/>
              </w:rPr>
              <w:t> </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2460152</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3587721</w:t>
            </w:r>
          </w:p>
        </w:tc>
        <w:tc>
          <w:tcPr>
            <w:tcW w:w="0" w:type="auto"/>
          </w:tcPr>
          <w:p>
            <w:pPr>
              <w:jc w:val="right"/>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463737</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700152</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59483</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79184</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21722</w:t>
            </w:r>
          </w:p>
        </w:tc>
        <w:tc>
          <w:tcPr>
            <w:tcW w:w="0" w:type="auto"/>
          </w:tcPr>
          <w:p>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eastAsia="en-GB"/>
              </w:rPr>
            </w:pPr>
            <w:r>
              <w:rPr>
                <w:noProof/>
                <w:sz w:val="20"/>
                <w:szCs w:val="20"/>
              </w:rPr>
              <w:t>28289</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pPr>
              <w:textAlignment w:val="baseline"/>
              <w:rPr>
                <w:rFonts w:eastAsia="Times New Roman"/>
                <w:noProof/>
                <w:sz w:val="20"/>
                <w:szCs w:val="20"/>
                <w:lang w:eastAsia="en-GB"/>
              </w:rPr>
            </w:pPr>
            <w:r>
              <w:rPr>
                <w:rFonts w:eastAsia="Times New Roman"/>
                <w:noProof/>
                <w:color w:val="000000"/>
                <w:sz w:val="20"/>
                <w:szCs w:val="20"/>
                <w:lang w:val="fr-FR" w:eastAsia="en-GB"/>
              </w:rPr>
              <w:t>SK</w:t>
            </w:r>
            <w:r>
              <w:rPr>
                <w:rFonts w:eastAsia="Times New Roman"/>
                <w:noProof/>
                <w:color w:val="000000"/>
                <w:sz w:val="20"/>
                <w:szCs w:val="20"/>
                <w:lang w:eastAsia="en-GB"/>
              </w:rPr>
              <w:t> </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2793616</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4074024</w:t>
            </w:r>
          </w:p>
        </w:tc>
        <w:tc>
          <w:tcPr>
            <w:tcW w:w="0" w:type="auto"/>
          </w:tcPr>
          <w:p>
            <w:pPr>
              <w:jc w:val="right"/>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616639</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931004</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79095</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105292</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28884</w:t>
            </w:r>
          </w:p>
        </w:tc>
        <w:tc>
          <w:tcPr>
            <w:tcW w:w="0" w:type="auto"/>
          </w:tcPr>
          <w:p>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eastAsia="en-GB"/>
              </w:rPr>
            </w:pPr>
            <w:r>
              <w:rPr>
                <w:noProof/>
                <w:sz w:val="20"/>
                <w:szCs w:val="20"/>
              </w:rPr>
              <w:t>37616</w:t>
            </w:r>
          </w:p>
        </w:tc>
      </w:tr>
      <w:tr>
        <w:trPr>
          <w:trHeight w:val="1148"/>
        </w:trPr>
        <w:tc>
          <w:tcPr>
            <w:cnfStyle w:val="001000000000" w:firstRow="0" w:lastRow="0" w:firstColumn="1" w:lastColumn="0" w:oddVBand="0" w:evenVBand="0" w:oddHBand="0" w:evenHBand="0" w:firstRowFirstColumn="0" w:firstRowLastColumn="0" w:lastRowFirstColumn="0" w:lastRowLastColumn="0"/>
            <w:tcW w:w="0" w:type="auto"/>
            <w:gridSpan w:val="9"/>
          </w:tcPr>
          <w:p>
            <w:pPr>
              <w:rPr>
                <w:i/>
                <w:noProof/>
                <w:color w:val="auto"/>
                <w:sz w:val="20"/>
                <w:szCs w:val="20"/>
              </w:rPr>
            </w:pPr>
            <w:r>
              <w:rPr>
                <w:i/>
                <w:iCs/>
                <w:noProof/>
                <w:sz w:val="20"/>
                <w:szCs w:val="20"/>
              </w:rPr>
              <w:t>Source: own calculations on Eurostat data</w:t>
            </w:r>
          </w:p>
          <w:p>
            <w:pPr>
              <w:ind w:right="147"/>
              <w:jc w:val="both"/>
              <w:rPr>
                <w:rFonts w:eastAsia="Times New Roman"/>
                <w:noProof/>
                <w:color w:val="auto"/>
                <w:sz w:val="20"/>
                <w:szCs w:val="20"/>
                <w:lang w:val="en-US" w:eastAsia="en-GB"/>
              </w:rPr>
            </w:pPr>
            <w:r>
              <w:rPr>
                <w:i/>
                <w:iCs/>
                <w:noProof/>
                <w:sz w:val="20"/>
                <w:szCs w:val="20"/>
              </w:rPr>
              <w:t xml:space="preserve">Note: costs take into account existing measures in the Member States. Microenterprises are excluded. The cost for employers with more than 250 employees is the same as for Sub-option 2C, Measure 1. </w:t>
            </w:r>
          </w:p>
        </w:tc>
      </w:tr>
    </w:tbl>
    <w:p>
      <w:pPr>
        <w:rPr>
          <w:noProof/>
        </w:rPr>
      </w:pPr>
    </w:p>
    <w:p>
      <w:pPr>
        <w:rPr>
          <w:noProof/>
        </w:rPr>
        <w:sectPr>
          <w:headerReference w:type="even" r:id="rId187"/>
          <w:headerReference w:type="default" r:id="rId188"/>
          <w:footerReference w:type="even" r:id="rId189"/>
          <w:footerReference w:type="default" r:id="rId190"/>
          <w:headerReference w:type="first" r:id="rId191"/>
          <w:footerReference w:type="first" r:id="rId192"/>
          <w:pgSz w:w="11906" w:h="16838"/>
          <w:pgMar w:top="1020" w:right="1701" w:bottom="1020" w:left="1587" w:header="601" w:footer="1077" w:gutter="0"/>
          <w:cols w:space="720"/>
          <w:titlePg/>
          <w:docGrid w:linePitch="299"/>
        </w:sectPr>
      </w:pPr>
    </w:p>
    <w:tbl>
      <w:tblPr>
        <w:tblStyle w:val="GridTable5DarkAccent3"/>
        <w:tblW w:w="5681" w:type="pct"/>
        <w:tblLook w:val="04A0" w:firstRow="1" w:lastRow="0" w:firstColumn="1" w:lastColumn="0" w:noHBand="0" w:noVBand="1"/>
      </w:tblPr>
      <w:tblGrid>
        <w:gridCol w:w="549"/>
        <w:gridCol w:w="1355"/>
        <w:gridCol w:w="1355"/>
        <w:gridCol w:w="1251"/>
        <w:gridCol w:w="1251"/>
        <w:gridCol w:w="1146"/>
        <w:gridCol w:w="1146"/>
        <w:gridCol w:w="992"/>
        <w:gridCol w:w="992"/>
      </w:tblGrid>
      <w:tr>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6" w:type="pct"/>
            <w:gridSpan w:val="8"/>
            <w:hideMark/>
          </w:tcPr>
          <w:p>
            <w:pPr>
              <w:textAlignment w:val="baseline"/>
              <w:rPr>
                <w:rFonts w:ascii="Calibri" w:eastAsia="Times New Roman" w:hAnsi="Calibri" w:cs="Calibri"/>
                <w:noProof/>
                <w:color w:val="auto"/>
                <w:lang w:val="en-US" w:eastAsia="en-GB"/>
              </w:rPr>
            </w:pPr>
            <w:r>
              <w:rPr>
                <w:rFonts w:ascii="Calibri" w:eastAsia="Times New Roman" w:hAnsi="Calibri" w:cs="Calibri"/>
                <w:noProof/>
                <w:lang w:val="en-US" w:eastAsia="en-GB"/>
              </w:rPr>
              <w:t>Sub-option 2B - Joint pay assessment - Cost per MS and class-size – </w:t>
            </w:r>
          </w:p>
          <w:p>
            <w:pPr>
              <w:textAlignment w:val="baseline"/>
              <w:rPr>
                <w:rFonts w:ascii="Segoe UI" w:eastAsia="Times New Roman" w:hAnsi="Segoe UI" w:cs="Segoe UI"/>
                <w:noProof/>
                <w:sz w:val="20"/>
                <w:szCs w:val="20"/>
                <w:lang w:eastAsia="en-GB"/>
              </w:rPr>
            </w:pPr>
            <w:r>
              <w:rPr>
                <w:rFonts w:ascii="Calibri" w:eastAsia="Times New Roman" w:hAnsi="Calibri" w:cs="Calibri"/>
                <w:noProof/>
                <w:lang w:val="en-US" w:eastAsia="en-GB"/>
              </w:rPr>
              <w:t>Minimun and maximum - Euro</w:t>
            </w:r>
            <w:r>
              <w:rPr>
                <w:rFonts w:ascii="Calibri" w:eastAsia="Times New Roman" w:hAnsi="Calibri" w:cs="Calibri"/>
                <w:noProof/>
                <w:lang w:eastAsia="en-GB"/>
              </w:rPr>
              <w:t> </w:t>
            </w:r>
          </w:p>
        </w:tc>
        <w:tc>
          <w:tcPr>
            <w:tcW w:w="494" w:type="pct"/>
            <w:hideMark/>
          </w:tcPr>
          <w:p>
            <w:pPr>
              <w:textAlignment w:val="baseline"/>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sz w:val="20"/>
                <w:szCs w:val="20"/>
                <w:lang w:val="en-US" w:eastAsia="en-GB"/>
              </w:rPr>
              <w:t> </w:t>
            </w:r>
            <w:r>
              <w:rPr>
                <w:rFonts w:ascii="Calibri" w:eastAsia="Times New Roman" w:hAnsi="Calibri" w:cs="Calibri"/>
                <w:noProof/>
                <w:sz w:val="20"/>
                <w:szCs w:val="20"/>
                <w:lang w:eastAsia="en-GB"/>
              </w:rPr>
              <w:t>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FFFFFF"/>
                <w:sz w:val="20"/>
                <w:szCs w:val="20"/>
                <w:lang w:val="en-US" w:eastAsia="en-GB"/>
              </w:rPr>
              <w:t> </w:t>
            </w:r>
            <w:r>
              <w:rPr>
                <w:rFonts w:ascii="Calibri" w:eastAsia="Times New Roman" w:hAnsi="Calibri" w:cs="Calibri"/>
                <w:noProof/>
                <w:color w:val="FFFFFF"/>
                <w:sz w:val="20"/>
                <w:szCs w:val="20"/>
                <w:lang w:eastAsia="en-GB"/>
              </w:rPr>
              <w:t> </w:t>
            </w:r>
          </w:p>
        </w:tc>
        <w:tc>
          <w:tcPr>
            <w:tcW w:w="1350" w:type="pct"/>
            <w:gridSpan w:val="2"/>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noProof/>
                <w:color w:val="000000" w:themeColor="text1"/>
                <w:sz w:val="20"/>
                <w:szCs w:val="20"/>
                <w:lang w:eastAsia="en-GB"/>
              </w:rPr>
            </w:pPr>
            <w:r>
              <w:rPr>
                <w:rFonts w:ascii="Calibri" w:eastAsia="Times New Roman" w:hAnsi="Calibri" w:cs="Calibri"/>
                <w:b/>
                <w:bCs/>
                <w:noProof/>
                <w:color w:val="000000" w:themeColor="text1"/>
                <w:sz w:val="20"/>
                <w:szCs w:val="20"/>
                <w:lang w:val="fr-FR" w:eastAsia="en-GB"/>
              </w:rPr>
              <w:t>50≤N&lt;250</w:t>
            </w:r>
            <w:r>
              <w:rPr>
                <w:rFonts w:ascii="Calibri" w:eastAsia="Times New Roman" w:hAnsi="Calibri" w:cs="Calibri"/>
                <w:b/>
                <w:bCs/>
                <w:noProof/>
                <w:color w:val="000000" w:themeColor="text1"/>
                <w:sz w:val="20"/>
                <w:szCs w:val="20"/>
                <w:lang w:eastAsia="en-GB"/>
              </w:rPr>
              <w:t> </w:t>
            </w:r>
          </w:p>
        </w:tc>
        <w:tc>
          <w:tcPr>
            <w:tcW w:w="1246" w:type="pct"/>
            <w:gridSpan w:val="2"/>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noProof/>
                <w:color w:val="000000" w:themeColor="text1"/>
                <w:sz w:val="20"/>
                <w:szCs w:val="20"/>
                <w:lang w:eastAsia="en-GB"/>
              </w:rPr>
            </w:pPr>
            <w:r>
              <w:rPr>
                <w:rFonts w:ascii="Calibri" w:eastAsia="Times New Roman" w:hAnsi="Calibri" w:cs="Calibri"/>
                <w:b/>
                <w:bCs/>
                <w:noProof/>
                <w:color w:val="000000" w:themeColor="text1"/>
                <w:sz w:val="20"/>
                <w:szCs w:val="20"/>
                <w:lang w:val="fr-FR" w:eastAsia="en-GB"/>
              </w:rPr>
              <w:t>250≤N&lt;500</w:t>
            </w:r>
            <w:r>
              <w:rPr>
                <w:rFonts w:ascii="Calibri" w:eastAsia="Times New Roman" w:hAnsi="Calibri" w:cs="Calibri"/>
                <w:b/>
                <w:bCs/>
                <w:noProof/>
                <w:color w:val="000000" w:themeColor="text1"/>
                <w:sz w:val="20"/>
                <w:szCs w:val="20"/>
                <w:lang w:eastAsia="en-GB"/>
              </w:rPr>
              <w:t> </w:t>
            </w:r>
          </w:p>
        </w:tc>
        <w:tc>
          <w:tcPr>
            <w:tcW w:w="1142" w:type="pct"/>
            <w:gridSpan w:val="2"/>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noProof/>
                <w:color w:val="000000" w:themeColor="text1"/>
                <w:sz w:val="20"/>
                <w:szCs w:val="20"/>
                <w:lang w:eastAsia="en-GB"/>
              </w:rPr>
            </w:pPr>
            <w:r>
              <w:rPr>
                <w:rFonts w:ascii="Calibri" w:eastAsia="Times New Roman" w:hAnsi="Calibri" w:cs="Calibri"/>
                <w:b/>
                <w:bCs/>
                <w:noProof/>
                <w:color w:val="000000" w:themeColor="text1"/>
                <w:sz w:val="20"/>
                <w:szCs w:val="20"/>
                <w:lang w:val="fr-FR" w:eastAsia="en-GB"/>
              </w:rPr>
              <w:t>500≤N&lt;1000</w:t>
            </w:r>
            <w:r>
              <w:rPr>
                <w:rFonts w:ascii="Calibri" w:eastAsia="Times New Roman" w:hAnsi="Calibri" w:cs="Calibri"/>
                <w:b/>
                <w:bCs/>
                <w:noProof/>
                <w:color w:val="000000" w:themeColor="text1"/>
                <w:sz w:val="20"/>
                <w:szCs w:val="20"/>
                <w:lang w:eastAsia="en-GB"/>
              </w:rPr>
              <w:t> </w:t>
            </w:r>
          </w:p>
        </w:tc>
        <w:tc>
          <w:tcPr>
            <w:tcW w:w="988" w:type="pct"/>
            <w:gridSpan w:val="2"/>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noProof/>
                <w:color w:val="000000" w:themeColor="text1"/>
                <w:sz w:val="20"/>
                <w:szCs w:val="20"/>
                <w:lang w:eastAsia="en-GB"/>
              </w:rPr>
            </w:pPr>
            <w:r>
              <w:rPr>
                <w:rFonts w:ascii="Calibri" w:eastAsia="Times New Roman" w:hAnsi="Calibri" w:cs="Calibri"/>
                <w:b/>
                <w:bCs/>
                <w:noProof/>
                <w:color w:val="000000" w:themeColor="text1"/>
                <w:sz w:val="20"/>
                <w:szCs w:val="20"/>
                <w:lang w:val="fr-FR" w:eastAsia="en-GB"/>
              </w:rPr>
              <w:t>N≥1000</w:t>
            </w:r>
            <w:r>
              <w:rPr>
                <w:rFonts w:ascii="Calibri" w:eastAsia="Times New Roman" w:hAnsi="Calibri" w:cs="Calibri"/>
                <w:b/>
                <w:bCs/>
                <w:noProof/>
                <w:color w:val="000000" w:themeColor="text1"/>
                <w:sz w:val="20"/>
                <w:szCs w:val="20"/>
                <w:lang w:eastAsia="en-GB"/>
              </w:rPr>
              <w:t> </w:t>
            </w:r>
          </w:p>
        </w:tc>
      </w:tr>
      <w:tr>
        <w:trPr>
          <w:trHeight w:val="300"/>
        </w:trPr>
        <w:tc>
          <w:tcPr>
            <w:cnfStyle w:val="001000000000" w:firstRow="0" w:lastRow="0" w:firstColumn="1" w:lastColumn="0" w:oddVBand="0" w:evenVBand="0" w:oddHBand="0" w:evenHBand="0" w:firstRowFirstColumn="0" w:firstRowLastColumn="0" w:lastRowFirstColumn="0" w:lastRowLastColumn="0"/>
            <w:tcW w:w="274"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FFFFFF"/>
                <w:sz w:val="20"/>
                <w:szCs w:val="20"/>
                <w:lang w:val="fr-FR" w:eastAsia="en-GB"/>
              </w:rPr>
              <w:t> </w:t>
            </w:r>
            <w:r>
              <w:rPr>
                <w:rFonts w:ascii="Calibri" w:eastAsia="Times New Roman" w:hAnsi="Calibri" w:cs="Calibri"/>
                <w:noProof/>
                <w:color w:val="FFFFFF"/>
                <w:sz w:val="20"/>
                <w:szCs w:val="20"/>
                <w:lang w:eastAsia="en-GB"/>
              </w:rPr>
              <w:t> </w:t>
            </w:r>
          </w:p>
        </w:tc>
        <w:tc>
          <w:tcPr>
            <w:tcW w:w="67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noProof/>
                <w:color w:val="000000" w:themeColor="text1"/>
                <w:sz w:val="20"/>
                <w:szCs w:val="20"/>
                <w:lang w:eastAsia="en-GB"/>
              </w:rPr>
            </w:pPr>
            <w:r>
              <w:rPr>
                <w:rFonts w:ascii="Calibri" w:eastAsia="Times New Roman" w:hAnsi="Calibri" w:cs="Calibri"/>
                <w:b/>
                <w:bCs/>
                <w:noProof/>
                <w:color w:val="000000" w:themeColor="text1"/>
                <w:sz w:val="20"/>
                <w:szCs w:val="20"/>
                <w:lang w:val="fr-FR" w:eastAsia="en-GB"/>
              </w:rPr>
              <w:t>Min</w:t>
            </w:r>
            <w:r>
              <w:rPr>
                <w:rFonts w:ascii="Calibri" w:eastAsia="Times New Roman" w:hAnsi="Calibri" w:cs="Calibri"/>
                <w:b/>
                <w:bCs/>
                <w:noProof/>
                <w:color w:val="000000" w:themeColor="text1"/>
                <w:sz w:val="20"/>
                <w:szCs w:val="20"/>
                <w:lang w:eastAsia="en-GB"/>
              </w:rPr>
              <w:t> </w:t>
            </w:r>
          </w:p>
        </w:tc>
        <w:tc>
          <w:tcPr>
            <w:tcW w:w="67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noProof/>
                <w:color w:val="000000" w:themeColor="text1"/>
                <w:sz w:val="20"/>
                <w:szCs w:val="20"/>
                <w:lang w:eastAsia="en-GB"/>
              </w:rPr>
            </w:pPr>
            <w:r>
              <w:rPr>
                <w:rFonts w:ascii="Calibri" w:eastAsia="Times New Roman" w:hAnsi="Calibri" w:cs="Calibri"/>
                <w:b/>
                <w:bCs/>
                <w:noProof/>
                <w:color w:val="000000" w:themeColor="text1"/>
                <w:sz w:val="20"/>
                <w:szCs w:val="20"/>
                <w:lang w:val="fr-FR" w:eastAsia="en-GB"/>
              </w:rPr>
              <w:t>Max</w:t>
            </w:r>
            <w:r>
              <w:rPr>
                <w:rFonts w:ascii="Calibri" w:eastAsia="Times New Roman" w:hAnsi="Calibri" w:cs="Calibri"/>
                <w:b/>
                <w:bCs/>
                <w:noProof/>
                <w:color w:val="000000" w:themeColor="text1"/>
                <w:sz w:val="20"/>
                <w:szCs w:val="20"/>
                <w:lang w:eastAsia="en-GB"/>
              </w:rPr>
              <w:t> </w:t>
            </w:r>
          </w:p>
        </w:tc>
        <w:tc>
          <w:tcPr>
            <w:tcW w:w="623"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noProof/>
                <w:color w:val="000000" w:themeColor="text1"/>
                <w:sz w:val="20"/>
                <w:szCs w:val="20"/>
                <w:lang w:eastAsia="en-GB"/>
              </w:rPr>
            </w:pPr>
            <w:r>
              <w:rPr>
                <w:rFonts w:ascii="Calibri" w:eastAsia="Times New Roman" w:hAnsi="Calibri" w:cs="Calibri"/>
                <w:b/>
                <w:bCs/>
                <w:noProof/>
                <w:color w:val="000000" w:themeColor="text1"/>
                <w:sz w:val="20"/>
                <w:szCs w:val="20"/>
                <w:lang w:val="fr-FR" w:eastAsia="en-GB"/>
              </w:rPr>
              <w:t>Min</w:t>
            </w:r>
            <w:r>
              <w:rPr>
                <w:rFonts w:ascii="Calibri" w:eastAsia="Times New Roman" w:hAnsi="Calibri" w:cs="Calibri"/>
                <w:b/>
                <w:bCs/>
                <w:noProof/>
                <w:color w:val="000000" w:themeColor="text1"/>
                <w:sz w:val="20"/>
                <w:szCs w:val="20"/>
                <w:lang w:eastAsia="en-GB"/>
              </w:rPr>
              <w:t> </w:t>
            </w:r>
          </w:p>
        </w:tc>
        <w:tc>
          <w:tcPr>
            <w:tcW w:w="623"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noProof/>
                <w:color w:val="000000" w:themeColor="text1"/>
                <w:sz w:val="20"/>
                <w:szCs w:val="20"/>
                <w:lang w:eastAsia="en-GB"/>
              </w:rPr>
            </w:pPr>
            <w:r>
              <w:rPr>
                <w:rFonts w:ascii="Calibri" w:eastAsia="Times New Roman" w:hAnsi="Calibri" w:cs="Calibri"/>
                <w:b/>
                <w:bCs/>
                <w:noProof/>
                <w:color w:val="000000" w:themeColor="text1"/>
                <w:sz w:val="20"/>
                <w:szCs w:val="20"/>
                <w:lang w:val="fr-FR" w:eastAsia="en-GB"/>
              </w:rPr>
              <w:t>Max</w:t>
            </w:r>
            <w:r>
              <w:rPr>
                <w:rFonts w:ascii="Calibri" w:eastAsia="Times New Roman" w:hAnsi="Calibri" w:cs="Calibri"/>
                <w:b/>
                <w:bCs/>
                <w:noProof/>
                <w:color w:val="000000" w:themeColor="text1"/>
                <w:sz w:val="20"/>
                <w:szCs w:val="20"/>
                <w:lang w:eastAsia="en-GB"/>
              </w:rPr>
              <w:t> </w:t>
            </w:r>
          </w:p>
        </w:tc>
        <w:tc>
          <w:tcPr>
            <w:tcW w:w="571"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noProof/>
                <w:color w:val="000000" w:themeColor="text1"/>
                <w:sz w:val="20"/>
                <w:szCs w:val="20"/>
                <w:lang w:eastAsia="en-GB"/>
              </w:rPr>
            </w:pPr>
            <w:r>
              <w:rPr>
                <w:rFonts w:ascii="Calibri" w:eastAsia="Times New Roman" w:hAnsi="Calibri" w:cs="Calibri"/>
                <w:b/>
                <w:bCs/>
                <w:noProof/>
                <w:color w:val="000000" w:themeColor="text1"/>
                <w:sz w:val="20"/>
                <w:szCs w:val="20"/>
                <w:lang w:val="fr-FR" w:eastAsia="en-GB"/>
              </w:rPr>
              <w:t>Min</w:t>
            </w:r>
            <w:r>
              <w:rPr>
                <w:rFonts w:ascii="Calibri" w:eastAsia="Times New Roman" w:hAnsi="Calibri" w:cs="Calibri"/>
                <w:b/>
                <w:bCs/>
                <w:noProof/>
                <w:color w:val="000000" w:themeColor="text1"/>
                <w:sz w:val="20"/>
                <w:szCs w:val="20"/>
                <w:lang w:eastAsia="en-GB"/>
              </w:rPr>
              <w:t> </w:t>
            </w:r>
          </w:p>
        </w:tc>
        <w:tc>
          <w:tcPr>
            <w:tcW w:w="571"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noProof/>
                <w:color w:val="000000" w:themeColor="text1"/>
                <w:sz w:val="20"/>
                <w:szCs w:val="20"/>
                <w:lang w:eastAsia="en-GB"/>
              </w:rPr>
            </w:pPr>
            <w:r>
              <w:rPr>
                <w:rFonts w:ascii="Calibri" w:eastAsia="Times New Roman" w:hAnsi="Calibri" w:cs="Calibri"/>
                <w:b/>
                <w:bCs/>
                <w:noProof/>
                <w:color w:val="000000" w:themeColor="text1"/>
                <w:sz w:val="20"/>
                <w:szCs w:val="20"/>
                <w:lang w:val="fr-FR" w:eastAsia="en-GB"/>
              </w:rPr>
              <w:t>Max</w:t>
            </w:r>
            <w:r>
              <w:rPr>
                <w:rFonts w:ascii="Calibri" w:eastAsia="Times New Roman" w:hAnsi="Calibri" w:cs="Calibri"/>
                <w:b/>
                <w:bCs/>
                <w:noProof/>
                <w:color w:val="000000" w:themeColor="text1"/>
                <w:sz w:val="20"/>
                <w:szCs w:val="20"/>
                <w:lang w:eastAsia="en-GB"/>
              </w:rPr>
              <w:t> </w:t>
            </w:r>
          </w:p>
        </w:tc>
        <w:tc>
          <w:tcPr>
            <w:tcW w:w="49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noProof/>
                <w:color w:val="000000" w:themeColor="text1"/>
                <w:sz w:val="20"/>
                <w:szCs w:val="20"/>
                <w:lang w:eastAsia="en-GB"/>
              </w:rPr>
            </w:pPr>
            <w:r>
              <w:rPr>
                <w:rFonts w:ascii="Calibri" w:eastAsia="Times New Roman" w:hAnsi="Calibri" w:cs="Calibri"/>
                <w:b/>
                <w:bCs/>
                <w:noProof/>
                <w:color w:val="000000" w:themeColor="text1"/>
                <w:sz w:val="20"/>
                <w:szCs w:val="20"/>
                <w:lang w:val="fr-FR" w:eastAsia="en-GB"/>
              </w:rPr>
              <w:t>Min</w:t>
            </w:r>
            <w:r>
              <w:rPr>
                <w:rFonts w:ascii="Calibri" w:eastAsia="Times New Roman" w:hAnsi="Calibri" w:cs="Calibri"/>
                <w:b/>
                <w:bCs/>
                <w:noProof/>
                <w:color w:val="000000" w:themeColor="text1"/>
                <w:sz w:val="20"/>
                <w:szCs w:val="20"/>
                <w:lang w:eastAsia="en-GB"/>
              </w:rPr>
              <w:t> </w:t>
            </w:r>
          </w:p>
        </w:tc>
        <w:tc>
          <w:tcPr>
            <w:tcW w:w="49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noProof/>
                <w:color w:val="000000" w:themeColor="text1"/>
                <w:sz w:val="20"/>
                <w:szCs w:val="20"/>
                <w:lang w:eastAsia="en-GB"/>
              </w:rPr>
            </w:pPr>
            <w:r>
              <w:rPr>
                <w:rFonts w:ascii="Calibri" w:eastAsia="Times New Roman" w:hAnsi="Calibri" w:cs="Calibri"/>
                <w:b/>
                <w:bCs/>
                <w:noProof/>
                <w:color w:val="000000" w:themeColor="text1"/>
                <w:sz w:val="20"/>
                <w:szCs w:val="20"/>
                <w:lang w:val="fr-FR" w:eastAsia="en-GB"/>
              </w:rPr>
              <w:t>Max</w:t>
            </w:r>
            <w:r>
              <w:rPr>
                <w:rFonts w:ascii="Calibri" w:eastAsia="Times New Roman" w:hAnsi="Calibri" w:cs="Calibri"/>
                <w:b/>
                <w:bCs/>
                <w:noProof/>
                <w:color w:val="000000" w:themeColor="text1"/>
                <w:sz w:val="20"/>
                <w:szCs w:val="20"/>
                <w:lang w:eastAsia="en-GB"/>
              </w:rPr>
              <w:t>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AT</w:t>
            </w:r>
            <w:r>
              <w:rPr>
                <w:rFonts w:ascii="Calibri" w:eastAsia="Times New Roman" w:hAnsi="Calibri" w:cs="Calibri"/>
                <w:noProof/>
                <w:color w:val="000000"/>
                <w:sz w:val="20"/>
                <w:szCs w:val="20"/>
                <w:lang w:eastAsia="en-GB"/>
              </w:rPr>
              <w:t> </w:t>
            </w:r>
          </w:p>
        </w:tc>
        <w:tc>
          <w:tcPr>
            <w:tcW w:w="67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sz w:val="20"/>
                <w:szCs w:val="20"/>
                <w:lang w:val="fr-FR" w:eastAsia="en-GB"/>
              </w:rPr>
              <w:t xml:space="preserve">7.167.287 </w:t>
            </w:r>
            <w:r>
              <w:rPr>
                <w:rFonts w:ascii="Calibri" w:eastAsia="Times New Roman" w:hAnsi="Calibri" w:cs="Calibri"/>
                <w:noProof/>
                <w:sz w:val="20"/>
                <w:szCs w:val="20"/>
                <w:lang w:eastAsia="en-GB"/>
              </w:rPr>
              <w:t> </w:t>
            </w:r>
          </w:p>
        </w:tc>
        <w:tc>
          <w:tcPr>
            <w:tcW w:w="67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sz w:val="20"/>
                <w:szCs w:val="20"/>
                <w:lang w:val="fr-FR" w:eastAsia="en-GB"/>
              </w:rPr>
              <w:t xml:space="preserve">10.452.293 </w:t>
            </w:r>
            <w:r>
              <w:rPr>
                <w:rFonts w:ascii="Calibri" w:eastAsia="Times New Roman" w:hAnsi="Calibri" w:cs="Calibri"/>
                <w:noProof/>
                <w:sz w:val="20"/>
                <w:szCs w:val="20"/>
                <w:lang w:eastAsia="en-GB"/>
              </w:rPr>
              <w:t> </w:t>
            </w:r>
          </w:p>
        </w:tc>
        <w:tc>
          <w:tcPr>
            <w:tcW w:w="623" w:type="pct"/>
            <w:hideMark/>
          </w:tcPr>
          <w:p>
            <w:pPr>
              <w:jc w:val="right"/>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sz w:val="20"/>
                <w:szCs w:val="20"/>
                <w:lang w:val="fr-FR" w:eastAsia="en-GB"/>
              </w:rPr>
              <w:t xml:space="preserve">2.848.134 </w:t>
            </w:r>
            <w:r>
              <w:rPr>
                <w:rFonts w:ascii="Calibri" w:eastAsia="Times New Roman" w:hAnsi="Calibri" w:cs="Calibri"/>
                <w:noProof/>
                <w:sz w:val="20"/>
                <w:szCs w:val="20"/>
                <w:lang w:eastAsia="en-GB"/>
              </w:rPr>
              <w:t> </w:t>
            </w:r>
          </w:p>
        </w:tc>
        <w:tc>
          <w:tcPr>
            <w:tcW w:w="623"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sz w:val="20"/>
                <w:szCs w:val="20"/>
                <w:lang w:val="fr-FR" w:eastAsia="en-GB"/>
              </w:rPr>
              <w:t xml:space="preserve">4.300.124 </w:t>
            </w:r>
            <w:r>
              <w:rPr>
                <w:rFonts w:ascii="Calibri" w:eastAsia="Times New Roman" w:hAnsi="Calibri" w:cs="Calibri"/>
                <w:noProof/>
                <w:sz w:val="20"/>
                <w:szCs w:val="20"/>
                <w:lang w:eastAsia="en-GB"/>
              </w:rPr>
              <w:t> </w:t>
            </w:r>
          </w:p>
        </w:tc>
        <w:tc>
          <w:tcPr>
            <w:tcW w:w="571"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sz w:val="20"/>
                <w:szCs w:val="20"/>
                <w:lang w:val="fr-FR" w:eastAsia="en-GB"/>
              </w:rPr>
              <w:t xml:space="preserve">365.324 </w:t>
            </w:r>
            <w:r>
              <w:rPr>
                <w:rFonts w:ascii="Calibri" w:eastAsia="Times New Roman" w:hAnsi="Calibri" w:cs="Calibri"/>
                <w:noProof/>
                <w:sz w:val="20"/>
                <w:szCs w:val="20"/>
                <w:lang w:eastAsia="en-GB"/>
              </w:rPr>
              <w:t> </w:t>
            </w:r>
          </w:p>
        </w:tc>
        <w:tc>
          <w:tcPr>
            <w:tcW w:w="571"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sz w:val="20"/>
                <w:szCs w:val="20"/>
                <w:lang w:val="fr-FR" w:eastAsia="en-GB"/>
              </w:rPr>
              <w:t xml:space="preserve">486.324 </w:t>
            </w:r>
            <w:r>
              <w:rPr>
                <w:rFonts w:ascii="Calibri" w:eastAsia="Times New Roman" w:hAnsi="Calibri" w:cs="Calibri"/>
                <w:noProof/>
                <w:sz w:val="20"/>
                <w:szCs w:val="20"/>
                <w:lang w:eastAsia="en-GB"/>
              </w:rPr>
              <w:t> </w:t>
            </w:r>
          </w:p>
        </w:tc>
        <w:tc>
          <w:tcPr>
            <w:tcW w:w="49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sz w:val="20"/>
                <w:szCs w:val="20"/>
                <w:lang w:val="fr-FR" w:eastAsia="en-GB"/>
              </w:rPr>
              <w:t xml:space="preserve">133.409 </w:t>
            </w:r>
            <w:r>
              <w:rPr>
                <w:rFonts w:ascii="Calibri" w:eastAsia="Times New Roman" w:hAnsi="Calibri" w:cs="Calibri"/>
                <w:noProof/>
                <w:sz w:val="20"/>
                <w:szCs w:val="20"/>
                <w:lang w:eastAsia="en-GB"/>
              </w:rPr>
              <w:t> </w:t>
            </w:r>
          </w:p>
        </w:tc>
        <w:tc>
          <w:tcPr>
            <w:tcW w:w="49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sz w:val="20"/>
                <w:szCs w:val="20"/>
                <w:lang w:val="fr-FR" w:eastAsia="en-GB"/>
              </w:rPr>
              <w:t xml:space="preserve">173.742 </w:t>
            </w:r>
            <w:r>
              <w:rPr>
                <w:rFonts w:ascii="Calibri" w:eastAsia="Times New Roman" w:hAnsi="Calibri" w:cs="Calibri"/>
                <w:noProof/>
                <w:sz w:val="20"/>
                <w:szCs w:val="20"/>
                <w:lang w:eastAsia="en-GB"/>
              </w:rPr>
              <w:t> </w:t>
            </w:r>
          </w:p>
        </w:tc>
      </w:tr>
      <w:tr>
        <w:trPr>
          <w:trHeight w:val="300"/>
        </w:trPr>
        <w:tc>
          <w:tcPr>
            <w:cnfStyle w:val="001000000000" w:firstRow="0" w:lastRow="0" w:firstColumn="1" w:lastColumn="0" w:oddVBand="0" w:evenVBand="0" w:oddHBand="0" w:evenHBand="0" w:firstRowFirstColumn="0" w:firstRowLastColumn="0" w:lastRowFirstColumn="0" w:lastRowLastColumn="0"/>
            <w:tcW w:w="274"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BE</w:t>
            </w:r>
            <w:r>
              <w:rPr>
                <w:rFonts w:ascii="Calibri" w:eastAsia="Times New Roman" w:hAnsi="Calibri" w:cs="Calibri"/>
                <w:noProof/>
                <w:color w:val="000000"/>
                <w:sz w:val="20"/>
                <w:szCs w:val="20"/>
                <w:lang w:eastAsia="en-GB"/>
              </w:rPr>
              <w:t> </w:t>
            </w:r>
          </w:p>
        </w:tc>
        <w:tc>
          <w:tcPr>
            <w:tcW w:w="67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c>
          <w:tcPr>
            <w:tcW w:w="67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c>
          <w:tcPr>
            <w:tcW w:w="623" w:type="pct"/>
            <w:hideMark/>
          </w:tcPr>
          <w:p>
            <w:pPr>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c>
          <w:tcPr>
            <w:tcW w:w="623"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c>
          <w:tcPr>
            <w:tcW w:w="571"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c>
          <w:tcPr>
            <w:tcW w:w="571"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c>
          <w:tcPr>
            <w:tcW w:w="49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c>
          <w:tcPr>
            <w:tcW w:w="49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BG</w:t>
            </w:r>
            <w:r>
              <w:rPr>
                <w:rFonts w:ascii="Calibri" w:eastAsia="Times New Roman" w:hAnsi="Calibri" w:cs="Calibri"/>
                <w:noProof/>
                <w:color w:val="000000"/>
                <w:sz w:val="20"/>
                <w:szCs w:val="20"/>
                <w:lang w:eastAsia="en-GB"/>
              </w:rPr>
              <w:t> </w:t>
            </w:r>
          </w:p>
        </w:tc>
        <w:tc>
          <w:tcPr>
            <w:tcW w:w="67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2.635.776 </w:t>
            </w:r>
            <w:r>
              <w:rPr>
                <w:rFonts w:ascii="Calibri" w:eastAsia="Times New Roman" w:hAnsi="Calibri" w:cs="Calibri"/>
                <w:noProof/>
                <w:color w:val="000000"/>
                <w:sz w:val="20"/>
                <w:szCs w:val="20"/>
                <w:lang w:eastAsia="en-GB"/>
              </w:rPr>
              <w:t> </w:t>
            </w:r>
          </w:p>
        </w:tc>
        <w:tc>
          <w:tcPr>
            <w:tcW w:w="67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3.843.840 </w:t>
            </w:r>
            <w:r>
              <w:rPr>
                <w:rFonts w:ascii="Calibri" w:eastAsia="Times New Roman" w:hAnsi="Calibri" w:cs="Calibri"/>
                <w:noProof/>
                <w:color w:val="000000"/>
                <w:sz w:val="20"/>
                <w:szCs w:val="20"/>
                <w:lang w:eastAsia="en-GB"/>
              </w:rPr>
              <w:t> </w:t>
            </w:r>
          </w:p>
        </w:tc>
        <w:tc>
          <w:tcPr>
            <w:tcW w:w="623" w:type="pct"/>
            <w:hideMark/>
          </w:tcPr>
          <w:p>
            <w:pPr>
              <w:jc w:val="right"/>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396.576 </w:t>
            </w:r>
            <w:r>
              <w:rPr>
                <w:rFonts w:ascii="Calibri" w:eastAsia="Times New Roman" w:hAnsi="Calibri" w:cs="Calibri"/>
                <w:noProof/>
                <w:color w:val="000000"/>
                <w:sz w:val="20"/>
                <w:szCs w:val="20"/>
                <w:lang w:eastAsia="en-GB"/>
              </w:rPr>
              <w:t> </w:t>
            </w:r>
          </w:p>
        </w:tc>
        <w:tc>
          <w:tcPr>
            <w:tcW w:w="623"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598.752 </w:t>
            </w:r>
            <w:r>
              <w:rPr>
                <w:rFonts w:ascii="Calibri" w:eastAsia="Times New Roman" w:hAnsi="Calibri" w:cs="Calibri"/>
                <w:noProof/>
                <w:color w:val="000000"/>
                <w:sz w:val="20"/>
                <w:szCs w:val="20"/>
                <w:lang w:eastAsia="en-GB"/>
              </w:rPr>
              <w:t> </w:t>
            </w:r>
          </w:p>
        </w:tc>
        <w:tc>
          <w:tcPr>
            <w:tcW w:w="571"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50.868 </w:t>
            </w:r>
            <w:r>
              <w:rPr>
                <w:rFonts w:ascii="Calibri" w:eastAsia="Times New Roman" w:hAnsi="Calibri" w:cs="Calibri"/>
                <w:noProof/>
                <w:color w:val="000000"/>
                <w:sz w:val="20"/>
                <w:szCs w:val="20"/>
                <w:lang w:eastAsia="en-GB"/>
              </w:rPr>
              <w:t> </w:t>
            </w:r>
          </w:p>
        </w:tc>
        <w:tc>
          <w:tcPr>
            <w:tcW w:w="571"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67.716 </w:t>
            </w:r>
            <w:r>
              <w:rPr>
                <w:rFonts w:ascii="Calibri" w:eastAsia="Times New Roman" w:hAnsi="Calibri" w:cs="Calibri"/>
                <w:noProof/>
                <w:color w:val="000000"/>
                <w:sz w:val="20"/>
                <w:szCs w:val="20"/>
                <w:lang w:eastAsia="en-GB"/>
              </w:rPr>
              <w:t> </w:t>
            </w:r>
          </w:p>
        </w:tc>
        <w:tc>
          <w:tcPr>
            <w:tcW w:w="49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18.576 </w:t>
            </w:r>
            <w:r>
              <w:rPr>
                <w:rFonts w:ascii="Calibri" w:eastAsia="Times New Roman" w:hAnsi="Calibri" w:cs="Calibri"/>
                <w:noProof/>
                <w:color w:val="000000"/>
                <w:sz w:val="20"/>
                <w:szCs w:val="20"/>
                <w:lang w:eastAsia="en-GB"/>
              </w:rPr>
              <w:t> </w:t>
            </w:r>
          </w:p>
        </w:tc>
        <w:tc>
          <w:tcPr>
            <w:tcW w:w="49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24.192 </w:t>
            </w:r>
            <w:r>
              <w:rPr>
                <w:rFonts w:ascii="Calibri" w:eastAsia="Times New Roman" w:hAnsi="Calibri" w:cs="Calibri"/>
                <w:noProof/>
                <w:color w:val="000000"/>
                <w:sz w:val="20"/>
                <w:szCs w:val="20"/>
                <w:lang w:eastAsia="en-GB"/>
              </w:rPr>
              <w:t> </w:t>
            </w:r>
          </w:p>
        </w:tc>
      </w:tr>
      <w:tr>
        <w:trPr>
          <w:trHeight w:val="300"/>
        </w:trPr>
        <w:tc>
          <w:tcPr>
            <w:cnfStyle w:val="001000000000" w:firstRow="0" w:lastRow="0" w:firstColumn="1" w:lastColumn="0" w:oddVBand="0" w:evenVBand="0" w:oddHBand="0" w:evenHBand="0" w:firstRowFirstColumn="0" w:firstRowLastColumn="0" w:lastRowFirstColumn="0" w:lastRowLastColumn="0"/>
            <w:tcW w:w="274"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CY</w:t>
            </w:r>
            <w:r>
              <w:rPr>
                <w:rFonts w:ascii="Calibri" w:eastAsia="Times New Roman" w:hAnsi="Calibri" w:cs="Calibri"/>
                <w:noProof/>
                <w:color w:val="000000"/>
                <w:sz w:val="20"/>
                <w:szCs w:val="20"/>
                <w:lang w:eastAsia="en-GB"/>
              </w:rPr>
              <w:t> </w:t>
            </w:r>
          </w:p>
        </w:tc>
        <w:tc>
          <w:tcPr>
            <w:tcW w:w="67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696.384 </w:t>
            </w:r>
            <w:r>
              <w:rPr>
                <w:rFonts w:ascii="Calibri" w:eastAsia="Times New Roman" w:hAnsi="Calibri" w:cs="Calibri"/>
                <w:noProof/>
                <w:color w:val="000000"/>
                <w:sz w:val="20"/>
                <w:szCs w:val="20"/>
                <w:lang w:eastAsia="en-GB"/>
              </w:rPr>
              <w:t> </w:t>
            </w:r>
          </w:p>
        </w:tc>
        <w:tc>
          <w:tcPr>
            <w:tcW w:w="67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1.015.560 </w:t>
            </w:r>
            <w:r>
              <w:rPr>
                <w:rFonts w:ascii="Calibri" w:eastAsia="Times New Roman" w:hAnsi="Calibri" w:cs="Calibri"/>
                <w:noProof/>
                <w:color w:val="000000"/>
                <w:sz w:val="20"/>
                <w:szCs w:val="20"/>
                <w:lang w:eastAsia="en-GB"/>
              </w:rPr>
              <w:t> </w:t>
            </w:r>
          </w:p>
        </w:tc>
        <w:tc>
          <w:tcPr>
            <w:tcW w:w="623" w:type="pct"/>
            <w:hideMark/>
          </w:tcPr>
          <w:p>
            <w:pPr>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114.566 </w:t>
            </w:r>
            <w:r>
              <w:rPr>
                <w:rFonts w:ascii="Calibri" w:eastAsia="Times New Roman" w:hAnsi="Calibri" w:cs="Calibri"/>
                <w:noProof/>
                <w:color w:val="000000"/>
                <w:sz w:val="20"/>
                <w:szCs w:val="20"/>
                <w:lang w:eastAsia="en-GB"/>
              </w:rPr>
              <w:t> </w:t>
            </w:r>
          </w:p>
        </w:tc>
        <w:tc>
          <w:tcPr>
            <w:tcW w:w="623"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172.973 </w:t>
            </w:r>
            <w:r>
              <w:rPr>
                <w:rFonts w:ascii="Calibri" w:eastAsia="Times New Roman" w:hAnsi="Calibri" w:cs="Calibri"/>
                <w:noProof/>
                <w:color w:val="000000"/>
                <w:sz w:val="20"/>
                <w:szCs w:val="20"/>
                <w:lang w:eastAsia="en-GB"/>
              </w:rPr>
              <w:t> </w:t>
            </w:r>
          </w:p>
        </w:tc>
        <w:tc>
          <w:tcPr>
            <w:tcW w:w="571"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14.695 </w:t>
            </w:r>
            <w:r>
              <w:rPr>
                <w:rFonts w:ascii="Calibri" w:eastAsia="Times New Roman" w:hAnsi="Calibri" w:cs="Calibri"/>
                <w:noProof/>
                <w:color w:val="000000"/>
                <w:sz w:val="20"/>
                <w:szCs w:val="20"/>
                <w:lang w:eastAsia="en-GB"/>
              </w:rPr>
              <w:t> </w:t>
            </w:r>
          </w:p>
        </w:tc>
        <w:tc>
          <w:tcPr>
            <w:tcW w:w="571"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19.562 </w:t>
            </w:r>
            <w:r>
              <w:rPr>
                <w:rFonts w:ascii="Calibri" w:eastAsia="Times New Roman" w:hAnsi="Calibri" w:cs="Calibri"/>
                <w:noProof/>
                <w:color w:val="000000"/>
                <w:sz w:val="20"/>
                <w:szCs w:val="20"/>
                <w:lang w:eastAsia="en-GB"/>
              </w:rPr>
              <w:t> </w:t>
            </w:r>
          </w:p>
        </w:tc>
        <w:tc>
          <w:tcPr>
            <w:tcW w:w="49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5.366 </w:t>
            </w:r>
            <w:r>
              <w:rPr>
                <w:rFonts w:ascii="Calibri" w:eastAsia="Times New Roman" w:hAnsi="Calibri" w:cs="Calibri"/>
                <w:noProof/>
                <w:color w:val="000000"/>
                <w:sz w:val="20"/>
                <w:szCs w:val="20"/>
                <w:lang w:eastAsia="en-GB"/>
              </w:rPr>
              <w:t> </w:t>
            </w:r>
          </w:p>
        </w:tc>
        <w:tc>
          <w:tcPr>
            <w:tcW w:w="49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6.989 </w:t>
            </w:r>
            <w:r>
              <w:rPr>
                <w:rFonts w:ascii="Calibri" w:eastAsia="Times New Roman" w:hAnsi="Calibri" w:cs="Calibri"/>
                <w:noProof/>
                <w:color w:val="000000"/>
                <w:sz w:val="20"/>
                <w:szCs w:val="20"/>
                <w:lang w:eastAsia="en-GB"/>
              </w:rPr>
              <w:t>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CZ</w:t>
            </w:r>
            <w:r>
              <w:rPr>
                <w:rFonts w:ascii="Calibri" w:eastAsia="Times New Roman" w:hAnsi="Calibri" w:cs="Calibri"/>
                <w:noProof/>
                <w:color w:val="000000"/>
                <w:sz w:val="20"/>
                <w:szCs w:val="20"/>
                <w:lang w:eastAsia="en-GB"/>
              </w:rPr>
              <w:t> </w:t>
            </w:r>
          </w:p>
        </w:tc>
        <w:tc>
          <w:tcPr>
            <w:tcW w:w="67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9.919.629 </w:t>
            </w:r>
            <w:r>
              <w:rPr>
                <w:rFonts w:ascii="Calibri" w:eastAsia="Times New Roman" w:hAnsi="Calibri" w:cs="Calibri"/>
                <w:noProof/>
                <w:color w:val="000000"/>
                <w:sz w:val="20"/>
                <w:szCs w:val="20"/>
                <w:lang w:eastAsia="en-GB"/>
              </w:rPr>
              <w:t> </w:t>
            </w:r>
          </w:p>
        </w:tc>
        <w:tc>
          <w:tcPr>
            <w:tcW w:w="67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14.466.126 </w:t>
            </w:r>
            <w:r>
              <w:rPr>
                <w:rFonts w:ascii="Calibri" w:eastAsia="Times New Roman" w:hAnsi="Calibri" w:cs="Calibri"/>
                <w:noProof/>
                <w:color w:val="000000"/>
                <w:sz w:val="20"/>
                <w:szCs w:val="20"/>
                <w:lang w:eastAsia="en-GB"/>
              </w:rPr>
              <w:t> </w:t>
            </w:r>
          </w:p>
        </w:tc>
        <w:tc>
          <w:tcPr>
            <w:tcW w:w="623" w:type="pct"/>
            <w:hideMark/>
          </w:tcPr>
          <w:p>
            <w:pPr>
              <w:jc w:val="right"/>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2.227.304 </w:t>
            </w:r>
            <w:r>
              <w:rPr>
                <w:rFonts w:ascii="Calibri" w:eastAsia="Times New Roman" w:hAnsi="Calibri" w:cs="Calibri"/>
                <w:noProof/>
                <w:color w:val="000000"/>
                <w:sz w:val="20"/>
                <w:szCs w:val="20"/>
                <w:lang w:eastAsia="en-GB"/>
              </w:rPr>
              <w:t> </w:t>
            </w:r>
          </w:p>
        </w:tc>
        <w:tc>
          <w:tcPr>
            <w:tcW w:w="623"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3.362.792 </w:t>
            </w:r>
            <w:r>
              <w:rPr>
                <w:rFonts w:ascii="Calibri" w:eastAsia="Times New Roman" w:hAnsi="Calibri" w:cs="Calibri"/>
                <w:noProof/>
                <w:color w:val="000000"/>
                <w:sz w:val="20"/>
                <w:szCs w:val="20"/>
                <w:lang w:eastAsia="en-GB"/>
              </w:rPr>
              <w:t> </w:t>
            </w:r>
          </w:p>
        </w:tc>
        <w:tc>
          <w:tcPr>
            <w:tcW w:w="571"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285.692 </w:t>
            </w:r>
            <w:r>
              <w:rPr>
                <w:rFonts w:ascii="Calibri" w:eastAsia="Times New Roman" w:hAnsi="Calibri" w:cs="Calibri"/>
                <w:noProof/>
                <w:color w:val="000000"/>
                <w:sz w:val="20"/>
                <w:szCs w:val="20"/>
                <w:lang w:eastAsia="en-GB"/>
              </w:rPr>
              <w:t> </w:t>
            </w:r>
          </w:p>
        </w:tc>
        <w:tc>
          <w:tcPr>
            <w:tcW w:w="571"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380.316 </w:t>
            </w:r>
            <w:r>
              <w:rPr>
                <w:rFonts w:ascii="Calibri" w:eastAsia="Times New Roman" w:hAnsi="Calibri" w:cs="Calibri"/>
                <w:noProof/>
                <w:color w:val="000000"/>
                <w:sz w:val="20"/>
                <w:szCs w:val="20"/>
                <w:lang w:eastAsia="en-GB"/>
              </w:rPr>
              <w:t> </w:t>
            </w:r>
          </w:p>
        </w:tc>
        <w:tc>
          <w:tcPr>
            <w:tcW w:w="49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104.329 </w:t>
            </w:r>
            <w:r>
              <w:rPr>
                <w:rFonts w:ascii="Calibri" w:eastAsia="Times New Roman" w:hAnsi="Calibri" w:cs="Calibri"/>
                <w:noProof/>
                <w:color w:val="000000"/>
                <w:sz w:val="20"/>
                <w:szCs w:val="20"/>
                <w:lang w:eastAsia="en-GB"/>
              </w:rPr>
              <w:t> </w:t>
            </w:r>
          </w:p>
        </w:tc>
        <w:tc>
          <w:tcPr>
            <w:tcW w:w="49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135.870 </w:t>
            </w:r>
            <w:r>
              <w:rPr>
                <w:rFonts w:ascii="Calibri" w:eastAsia="Times New Roman" w:hAnsi="Calibri" w:cs="Calibri"/>
                <w:noProof/>
                <w:color w:val="000000"/>
                <w:sz w:val="20"/>
                <w:szCs w:val="20"/>
                <w:lang w:eastAsia="en-GB"/>
              </w:rPr>
              <w:t> </w:t>
            </w:r>
          </w:p>
        </w:tc>
      </w:tr>
      <w:tr>
        <w:trPr>
          <w:trHeight w:val="300"/>
        </w:trPr>
        <w:tc>
          <w:tcPr>
            <w:cnfStyle w:val="001000000000" w:firstRow="0" w:lastRow="0" w:firstColumn="1" w:lastColumn="0" w:oddVBand="0" w:evenVBand="0" w:oddHBand="0" w:evenHBand="0" w:firstRowFirstColumn="0" w:firstRowLastColumn="0" w:lastRowFirstColumn="0" w:lastRowLastColumn="0"/>
            <w:tcW w:w="274"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DE</w:t>
            </w:r>
            <w:r>
              <w:rPr>
                <w:rFonts w:ascii="Calibri" w:eastAsia="Times New Roman" w:hAnsi="Calibri" w:cs="Calibri"/>
                <w:noProof/>
                <w:color w:val="000000"/>
                <w:sz w:val="20"/>
                <w:szCs w:val="20"/>
                <w:lang w:eastAsia="en-GB"/>
              </w:rPr>
              <w:t> </w:t>
            </w:r>
          </w:p>
        </w:tc>
        <w:tc>
          <w:tcPr>
            <w:tcW w:w="67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277.166.936 </w:t>
            </w:r>
            <w:r>
              <w:rPr>
                <w:rFonts w:ascii="Calibri" w:eastAsia="Times New Roman" w:hAnsi="Calibri" w:cs="Calibri"/>
                <w:noProof/>
                <w:color w:val="000000"/>
                <w:sz w:val="20"/>
                <w:szCs w:val="20"/>
                <w:lang w:eastAsia="en-GB"/>
              </w:rPr>
              <w:t> </w:t>
            </w:r>
          </w:p>
        </w:tc>
        <w:tc>
          <w:tcPr>
            <w:tcW w:w="67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404.201.781 </w:t>
            </w:r>
            <w:r>
              <w:rPr>
                <w:rFonts w:ascii="Calibri" w:eastAsia="Times New Roman" w:hAnsi="Calibri" w:cs="Calibri"/>
                <w:noProof/>
                <w:color w:val="000000"/>
                <w:sz w:val="20"/>
                <w:szCs w:val="20"/>
                <w:lang w:eastAsia="en-GB"/>
              </w:rPr>
              <w:t> </w:t>
            </w:r>
          </w:p>
        </w:tc>
        <w:tc>
          <w:tcPr>
            <w:tcW w:w="623" w:type="pct"/>
            <w:hideMark/>
          </w:tcPr>
          <w:p>
            <w:pPr>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52.200.592 </w:t>
            </w:r>
            <w:r>
              <w:rPr>
                <w:rFonts w:ascii="Calibri" w:eastAsia="Times New Roman" w:hAnsi="Calibri" w:cs="Calibri"/>
                <w:noProof/>
                <w:color w:val="000000"/>
                <w:sz w:val="20"/>
                <w:szCs w:val="20"/>
                <w:lang w:eastAsia="en-GB"/>
              </w:rPr>
              <w:t> </w:t>
            </w:r>
          </w:p>
        </w:tc>
        <w:tc>
          <w:tcPr>
            <w:tcW w:w="623"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78.812.658 </w:t>
            </w:r>
            <w:r>
              <w:rPr>
                <w:rFonts w:ascii="Calibri" w:eastAsia="Times New Roman" w:hAnsi="Calibri" w:cs="Calibri"/>
                <w:noProof/>
                <w:color w:val="000000"/>
                <w:sz w:val="20"/>
                <w:szCs w:val="20"/>
                <w:lang w:eastAsia="en-GB"/>
              </w:rPr>
              <w:t> </w:t>
            </w:r>
          </w:p>
        </w:tc>
        <w:tc>
          <w:tcPr>
            <w:tcW w:w="571"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c>
          <w:tcPr>
            <w:tcW w:w="571"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c>
          <w:tcPr>
            <w:tcW w:w="49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c>
          <w:tcPr>
            <w:tcW w:w="49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DK</w:t>
            </w:r>
            <w:r>
              <w:rPr>
                <w:rFonts w:ascii="Calibri" w:eastAsia="Times New Roman" w:hAnsi="Calibri" w:cs="Calibri"/>
                <w:noProof/>
                <w:color w:val="000000"/>
                <w:sz w:val="20"/>
                <w:szCs w:val="20"/>
                <w:lang w:eastAsia="en-GB"/>
              </w:rPr>
              <w:t> </w:t>
            </w:r>
          </w:p>
        </w:tc>
        <w:tc>
          <w:tcPr>
            <w:tcW w:w="67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c>
          <w:tcPr>
            <w:tcW w:w="67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c>
          <w:tcPr>
            <w:tcW w:w="623" w:type="pct"/>
            <w:hideMark/>
          </w:tcPr>
          <w:p>
            <w:pPr>
              <w:jc w:val="right"/>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c>
          <w:tcPr>
            <w:tcW w:w="623"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c>
          <w:tcPr>
            <w:tcW w:w="571"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c>
          <w:tcPr>
            <w:tcW w:w="571"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c>
          <w:tcPr>
            <w:tcW w:w="49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c>
          <w:tcPr>
            <w:tcW w:w="49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r>
      <w:tr>
        <w:trPr>
          <w:trHeight w:val="300"/>
        </w:trPr>
        <w:tc>
          <w:tcPr>
            <w:cnfStyle w:val="001000000000" w:firstRow="0" w:lastRow="0" w:firstColumn="1" w:lastColumn="0" w:oddVBand="0" w:evenVBand="0" w:oddHBand="0" w:evenHBand="0" w:firstRowFirstColumn="0" w:firstRowLastColumn="0" w:lastRowFirstColumn="0" w:lastRowLastColumn="0"/>
            <w:tcW w:w="274"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EE</w:t>
            </w:r>
            <w:r>
              <w:rPr>
                <w:rFonts w:ascii="Calibri" w:eastAsia="Times New Roman" w:hAnsi="Calibri" w:cs="Calibri"/>
                <w:noProof/>
                <w:color w:val="000000"/>
                <w:sz w:val="20"/>
                <w:szCs w:val="20"/>
                <w:lang w:eastAsia="en-GB"/>
              </w:rPr>
              <w:t> </w:t>
            </w:r>
          </w:p>
        </w:tc>
        <w:tc>
          <w:tcPr>
            <w:tcW w:w="67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c>
          <w:tcPr>
            <w:tcW w:w="67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c>
          <w:tcPr>
            <w:tcW w:w="623" w:type="pct"/>
            <w:hideMark/>
          </w:tcPr>
          <w:p>
            <w:pPr>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149.549 </w:t>
            </w:r>
            <w:r>
              <w:rPr>
                <w:rFonts w:ascii="Calibri" w:eastAsia="Times New Roman" w:hAnsi="Calibri" w:cs="Calibri"/>
                <w:noProof/>
                <w:color w:val="000000"/>
                <w:sz w:val="20"/>
                <w:szCs w:val="20"/>
                <w:lang w:eastAsia="en-GB"/>
              </w:rPr>
              <w:t> </w:t>
            </w:r>
          </w:p>
        </w:tc>
        <w:tc>
          <w:tcPr>
            <w:tcW w:w="623"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225.790 </w:t>
            </w:r>
            <w:r>
              <w:rPr>
                <w:rFonts w:ascii="Calibri" w:eastAsia="Times New Roman" w:hAnsi="Calibri" w:cs="Calibri"/>
                <w:noProof/>
                <w:color w:val="000000"/>
                <w:sz w:val="20"/>
                <w:szCs w:val="20"/>
                <w:lang w:eastAsia="en-GB"/>
              </w:rPr>
              <w:t> </w:t>
            </w:r>
          </w:p>
        </w:tc>
        <w:tc>
          <w:tcPr>
            <w:tcW w:w="571"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19.182 </w:t>
            </w:r>
            <w:r>
              <w:rPr>
                <w:rFonts w:ascii="Calibri" w:eastAsia="Times New Roman" w:hAnsi="Calibri" w:cs="Calibri"/>
                <w:noProof/>
                <w:color w:val="000000"/>
                <w:sz w:val="20"/>
                <w:szCs w:val="20"/>
                <w:lang w:eastAsia="en-GB"/>
              </w:rPr>
              <w:t> </w:t>
            </w:r>
          </w:p>
        </w:tc>
        <w:tc>
          <w:tcPr>
            <w:tcW w:w="571"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25.536 </w:t>
            </w:r>
            <w:r>
              <w:rPr>
                <w:rFonts w:ascii="Calibri" w:eastAsia="Times New Roman" w:hAnsi="Calibri" w:cs="Calibri"/>
                <w:noProof/>
                <w:color w:val="000000"/>
                <w:sz w:val="20"/>
                <w:szCs w:val="20"/>
                <w:lang w:eastAsia="en-GB"/>
              </w:rPr>
              <w:t> </w:t>
            </w:r>
          </w:p>
        </w:tc>
        <w:tc>
          <w:tcPr>
            <w:tcW w:w="49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7.005 </w:t>
            </w:r>
            <w:r>
              <w:rPr>
                <w:rFonts w:ascii="Calibri" w:eastAsia="Times New Roman" w:hAnsi="Calibri" w:cs="Calibri"/>
                <w:noProof/>
                <w:color w:val="000000"/>
                <w:sz w:val="20"/>
                <w:szCs w:val="20"/>
                <w:lang w:eastAsia="en-GB"/>
              </w:rPr>
              <w:t> </w:t>
            </w:r>
          </w:p>
        </w:tc>
        <w:tc>
          <w:tcPr>
            <w:tcW w:w="49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9.123 </w:t>
            </w:r>
            <w:r>
              <w:rPr>
                <w:rFonts w:ascii="Calibri" w:eastAsia="Times New Roman" w:hAnsi="Calibri" w:cs="Calibri"/>
                <w:noProof/>
                <w:color w:val="000000"/>
                <w:sz w:val="20"/>
                <w:szCs w:val="20"/>
                <w:lang w:eastAsia="en-GB"/>
              </w:rPr>
              <w:t>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EL</w:t>
            </w:r>
            <w:r>
              <w:rPr>
                <w:rFonts w:ascii="Calibri" w:eastAsia="Times New Roman" w:hAnsi="Calibri" w:cs="Calibri"/>
                <w:noProof/>
                <w:color w:val="000000"/>
                <w:sz w:val="20"/>
                <w:szCs w:val="20"/>
                <w:lang w:eastAsia="en-GB"/>
              </w:rPr>
              <w:t> </w:t>
            </w:r>
          </w:p>
        </w:tc>
        <w:tc>
          <w:tcPr>
            <w:tcW w:w="67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3.362.192 </w:t>
            </w:r>
            <w:r>
              <w:rPr>
                <w:rFonts w:ascii="Calibri" w:eastAsia="Times New Roman" w:hAnsi="Calibri" w:cs="Calibri"/>
                <w:noProof/>
                <w:color w:val="000000"/>
                <w:sz w:val="20"/>
                <w:szCs w:val="20"/>
                <w:lang w:eastAsia="en-GB"/>
              </w:rPr>
              <w:t> </w:t>
            </w:r>
          </w:p>
        </w:tc>
        <w:tc>
          <w:tcPr>
            <w:tcW w:w="67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4.903.197 </w:t>
            </w:r>
            <w:r>
              <w:rPr>
                <w:rFonts w:ascii="Calibri" w:eastAsia="Times New Roman" w:hAnsi="Calibri" w:cs="Calibri"/>
                <w:noProof/>
                <w:color w:val="000000"/>
                <w:sz w:val="20"/>
                <w:szCs w:val="20"/>
                <w:lang w:eastAsia="en-GB"/>
              </w:rPr>
              <w:t> </w:t>
            </w:r>
          </w:p>
        </w:tc>
        <w:tc>
          <w:tcPr>
            <w:tcW w:w="623" w:type="pct"/>
            <w:hideMark/>
          </w:tcPr>
          <w:p>
            <w:pPr>
              <w:jc w:val="right"/>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490.353 </w:t>
            </w:r>
            <w:r>
              <w:rPr>
                <w:rFonts w:ascii="Calibri" w:eastAsia="Times New Roman" w:hAnsi="Calibri" w:cs="Calibri"/>
                <w:noProof/>
                <w:color w:val="000000"/>
                <w:sz w:val="20"/>
                <w:szCs w:val="20"/>
                <w:lang w:eastAsia="en-GB"/>
              </w:rPr>
              <w:t> </w:t>
            </w:r>
          </w:p>
        </w:tc>
        <w:tc>
          <w:tcPr>
            <w:tcW w:w="623"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740.336 </w:t>
            </w:r>
            <w:r>
              <w:rPr>
                <w:rFonts w:ascii="Calibri" w:eastAsia="Times New Roman" w:hAnsi="Calibri" w:cs="Calibri"/>
                <w:noProof/>
                <w:color w:val="000000"/>
                <w:sz w:val="20"/>
                <w:szCs w:val="20"/>
                <w:lang w:eastAsia="en-GB"/>
              </w:rPr>
              <w:t> </w:t>
            </w:r>
          </w:p>
        </w:tc>
        <w:tc>
          <w:tcPr>
            <w:tcW w:w="571"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62.897 </w:t>
            </w:r>
            <w:r>
              <w:rPr>
                <w:rFonts w:ascii="Calibri" w:eastAsia="Times New Roman" w:hAnsi="Calibri" w:cs="Calibri"/>
                <w:noProof/>
                <w:color w:val="000000"/>
                <w:sz w:val="20"/>
                <w:szCs w:val="20"/>
                <w:lang w:eastAsia="en-GB"/>
              </w:rPr>
              <w:t> </w:t>
            </w:r>
          </w:p>
        </w:tc>
        <w:tc>
          <w:tcPr>
            <w:tcW w:w="571"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83.729 </w:t>
            </w:r>
            <w:r>
              <w:rPr>
                <w:rFonts w:ascii="Calibri" w:eastAsia="Times New Roman" w:hAnsi="Calibri" w:cs="Calibri"/>
                <w:noProof/>
                <w:color w:val="000000"/>
                <w:sz w:val="20"/>
                <w:szCs w:val="20"/>
                <w:lang w:eastAsia="en-GB"/>
              </w:rPr>
              <w:t> </w:t>
            </w:r>
          </w:p>
        </w:tc>
        <w:tc>
          <w:tcPr>
            <w:tcW w:w="49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22.969 </w:t>
            </w:r>
            <w:r>
              <w:rPr>
                <w:rFonts w:ascii="Calibri" w:eastAsia="Times New Roman" w:hAnsi="Calibri" w:cs="Calibri"/>
                <w:noProof/>
                <w:color w:val="000000"/>
                <w:sz w:val="20"/>
                <w:szCs w:val="20"/>
                <w:lang w:eastAsia="en-GB"/>
              </w:rPr>
              <w:t> </w:t>
            </w:r>
          </w:p>
        </w:tc>
        <w:tc>
          <w:tcPr>
            <w:tcW w:w="49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29.913 </w:t>
            </w:r>
            <w:r>
              <w:rPr>
                <w:rFonts w:ascii="Calibri" w:eastAsia="Times New Roman" w:hAnsi="Calibri" w:cs="Calibri"/>
                <w:noProof/>
                <w:color w:val="000000"/>
                <w:sz w:val="20"/>
                <w:szCs w:val="20"/>
                <w:lang w:eastAsia="en-GB"/>
              </w:rPr>
              <w:t> </w:t>
            </w:r>
          </w:p>
        </w:tc>
      </w:tr>
      <w:tr>
        <w:trPr>
          <w:trHeight w:val="300"/>
        </w:trPr>
        <w:tc>
          <w:tcPr>
            <w:cnfStyle w:val="001000000000" w:firstRow="0" w:lastRow="0" w:firstColumn="1" w:lastColumn="0" w:oddVBand="0" w:evenVBand="0" w:oddHBand="0" w:evenHBand="0" w:firstRowFirstColumn="0" w:firstRowLastColumn="0" w:lastRowFirstColumn="0" w:lastRowLastColumn="0"/>
            <w:tcW w:w="274"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ES</w:t>
            </w:r>
            <w:r>
              <w:rPr>
                <w:rFonts w:ascii="Calibri" w:eastAsia="Times New Roman" w:hAnsi="Calibri" w:cs="Calibri"/>
                <w:noProof/>
                <w:color w:val="000000"/>
                <w:sz w:val="20"/>
                <w:szCs w:val="20"/>
                <w:lang w:eastAsia="en-GB"/>
              </w:rPr>
              <w:t> </w:t>
            </w:r>
          </w:p>
        </w:tc>
        <w:tc>
          <w:tcPr>
            <w:tcW w:w="67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c>
          <w:tcPr>
            <w:tcW w:w="67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c>
          <w:tcPr>
            <w:tcW w:w="623" w:type="pct"/>
            <w:hideMark/>
          </w:tcPr>
          <w:p>
            <w:pPr>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c>
          <w:tcPr>
            <w:tcW w:w="623"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c>
          <w:tcPr>
            <w:tcW w:w="571"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c>
          <w:tcPr>
            <w:tcW w:w="571"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c>
          <w:tcPr>
            <w:tcW w:w="49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c>
          <w:tcPr>
            <w:tcW w:w="49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FI</w:t>
            </w:r>
            <w:r>
              <w:rPr>
                <w:rFonts w:ascii="Calibri" w:eastAsia="Times New Roman" w:hAnsi="Calibri" w:cs="Calibri"/>
                <w:noProof/>
                <w:color w:val="000000"/>
                <w:sz w:val="20"/>
                <w:szCs w:val="20"/>
                <w:lang w:eastAsia="en-GB"/>
              </w:rPr>
              <w:t> </w:t>
            </w:r>
          </w:p>
        </w:tc>
        <w:tc>
          <w:tcPr>
            <w:tcW w:w="67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c>
          <w:tcPr>
            <w:tcW w:w="67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c>
          <w:tcPr>
            <w:tcW w:w="623" w:type="pct"/>
            <w:hideMark/>
          </w:tcPr>
          <w:p>
            <w:pPr>
              <w:jc w:val="right"/>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c>
          <w:tcPr>
            <w:tcW w:w="623"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c>
          <w:tcPr>
            <w:tcW w:w="571"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c>
          <w:tcPr>
            <w:tcW w:w="571"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c>
          <w:tcPr>
            <w:tcW w:w="49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c>
          <w:tcPr>
            <w:tcW w:w="49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r>
      <w:tr>
        <w:trPr>
          <w:trHeight w:val="300"/>
        </w:trPr>
        <w:tc>
          <w:tcPr>
            <w:cnfStyle w:val="001000000000" w:firstRow="0" w:lastRow="0" w:firstColumn="1" w:lastColumn="0" w:oddVBand="0" w:evenVBand="0" w:oddHBand="0" w:evenHBand="0" w:firstRowFirstColumn="0" w:firstRowLastColumn="0" w:lastRowFirstColumn="0" w:lastRowLastColumn="0"/>
            <w:tcW w:w="274"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FR</w:t>
            </w:r>
            <w:r>
              <w:rPr>
                <w:rFonts w:ascii="Calibri" w:eastAsia="Times New Roman" w:hAnsi="Calibri" w:cs="Calibri"/>
                <w:noProof/>
                <w:color w:val="000000"/>
                <w:sz w:val="20"/>
                <w:szCs w:val="20"/>
                <w:lang w:eastAsia="en-GB"/>
              </w:rPr>
              <w:t> </w:t>
            </w:r>
          </w:p>
        </w:tc>
        <w:tc>
          <w:tcPr>
            <w:tcW w:w="67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c>
          <w:tcPr>
            <w:tcW w:w="67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c>
          <w:tcPr>
            <w:tcW w:w="623" w:type="pct"/>
            <w:hideMark/>
          </w:tcPr>
          <w:p>
            <w:pPr>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c>
          <w:tcPr>
            <w:tcW w:w="623"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c>
          <w:tcPr>
            <w:tcW w:w="571"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c>
          <w:tcPr>
            <w:tcW w:w="571"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c>
          <w:tcPr>
            <w:tcW w:w="49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c>
          <w:tcPr>
            <w:tcW w:w="49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r>
      <w:tr>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274"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HR</w:t>
            </w:r>
            <w:r>
              <w:rPr>
                <w:rFonts w:ascii="Calibri" w:eastAsia="Times New Roman" w:hAnsi="Calibri" w:cs="Calibri"/>
                <w:noProof/>
                <w:color w:val="000000"/>
                <w:sz w:val="20"/>
                <w:szCs w:val="20"/>
                <w:lang w:eastAsia="en-GB"/>
              </w:rPr>
              <w:t> </w:t>
            </w:r>
          </w:p>
        </w:tc>
        <w:tc>
          <w:tcPr>
            <w:tcW w:w="67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2.072.410 </w:t>
            </w:r>
            <w:r>
              <w:rPr>
                <w:rFonts w:ascii="Calibri" w:eastAsia="Times New Roman" w:hAnsi="Calibri" w:cs="Calibri"/>
                <w:noProof/>
                <w:color w:val="000000"/>
                <w:sz w:val="20"/>
                <w:szCs w:val="20"/>
                <w:lang w:eastAsia="en-GB"/>
              </w:rPr>
              <w:t> </w:t>
            </w:r>
          </w:p>
        </w:tc>
        <w:tc>
          <w:tcPr>
            <w:tcW w:w="67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3.022.264 </w:t>
            </w:r>
            <w:r>
              <w:rPr>
                <w:rFonts w:ascii="Calibri" w:eastAsia="Times New Roman" w:hAnsi="Calibri" w:cs="Calibri"/>
                <w:noProof/>
                <w:color w:val="000000"/>
                <w:sz w:val="20"/>
                <w:szCs w:val="20"/>
                <w:lang w:eastAsia="en-GB"/>
              </w:rPr>
              <w:t> </w:t>
            </w:r>
          </w:p>
        </w:tc>
        <w:tc>
          <w:tcPr>
            <w:tcW w:w="623" w:type="pct"/>
            <w:hideMark/>
          </w:tcPr>
          <w:p>
            <w:pPr>
              <w:jc w:val="right"/>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442.990 </w:t>
            </w:r>
            <w:r>
              <w:rPr>
                <w:rFonts w:ascii="Calibri" w:eastAsia="Times New Roman" w:hAnsi="Calibri" w:cs="Calibri"/>
                <w:noProof/>
                <w:color w:val="000000"/>
                <w:sz w:val="20"/>
                <w:szCs w:val="20"/>
                <w:lang w:eastAsia="en-GB"/>
              </w:rPr>
              <w:t> </w:t>
            </w:r>
          </w:p>
        </w:tc>
        <w:tc>
          <w:tcPr>
            <w:tcW w:w="623"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668.828 </w:t>
            </w:r>
            <w:r>
              <w:rPr>
                <w:rFonts w:ascii="Calibri" w:eastAsia="Times New Roman" w:hAnsi="Calibri" w:cs="Calibri"/>
                <w:noProof/>
                <w:color w:val="000000"/>
                <w:sz w:val="20"/>
                <w:szCs w:val="20"/>
                <w:lang w:eastAsia="en-GB"/>
              </w:rPr>
              <w:t> </w:t>
            </w:r>
          </w:p>
        </w:tc>
        <w:tc>
          <w:tcPr>
            <w:tcW w:w="571"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56.821 </w:t>
            </w:r>
            <w:r>
              <w:rPr>
                <w:rFonts w:ascii="Calibri" w:eastAsia="Times New Roman" w:hAnsi="Calibri" w:cs="Calibri"/>
                <w:noProof/>
                <w:color w:val="000000"/>
                <w:sz w:val="20"/>
                <w:szCs w:val="20"/>
                <w:lang w:eastAsia="en-GB"/>
              </w:rPr>
              <w:t> </w:t>
            </w:r>
          </w:p>
        </w:tc>
        <w:tc>
          <w:tcPr>
            <w:tcW w:w="571"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75.641 </w:t>
            </w:r>
            <w:r>
              <w:rPr>
                <w:rFonts w:ascii="Calibri" w:eastAsia="Times New Roman" w:hAnsi="Calibri" w:cs="Calibri"/>
                <w:noProof/>
                <w:color w:val="000000"/>
                <w:sz w:val="20"/>
                <w:szCs w:val="20"/>
                <w:lang w:eastAsia="en-GB"/>
              </w:rPr>
              <w:t> </w:t>
            </w:r>
          </w:p>
        </w:tc>
        <w:tc>
          <w:tcPr>
            <w:tcW w:w="49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20.750 </w:t>
            </w:r>
            <w:r>
              <w:rPr>
                <w:rFonts w:ascii="Calibri" w:eastAsia="Times New Roman" w:hAnsi="Calibri" w:cs="Calibri"/>
                <w:noProof/>
                <w:color w:val="000000"/>
                <w:sz w:val="20"/>
                <w:szCs w:val="20"/>
                <w:lang w:eastAsia="en-GB"/>
              </w:rPr>
              <w:t> </w:t>
            </w:r>
          </w:p>
        </w:tc>
        <w:tc>
          <w:tcPr>
            <w:tcW w:w="49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27.023 </w:t>
            </w:r>
            <w:r>
              <w:rPr>
                <w:rFonts w:ascii="Calibri" w:eastAsia="Times New Roman" w:hAnsi="Calibri" w:cs="Calibri"/>
                <w:noProof/>
                <w:color w:val="000000"/>
                <w:sz w:val="20"/>
                <w:szCs w:val="20"/>
                <w:lang w:eastAsia="en-GB"/>
              </w:rPr>
              <w:t> </w:t>
            </w:r>
          </w:p>
        </w:tc>
      </w:tr>
      <w:tr>
        <w:trPr>
          <w:trHeight w:val="300"/>
        </w:trPr>
        <w:tc>
          <w:tcPr>
            <w:cnfStyle w:val="001000000000" w:firstRow="0" w:lastRow="0" w:firstColumn="1" w:lastColumn="0" w:oddVBand="0" w:evenVBand="0" w:oddHBand="0" w:evenHBand="0" w:firstRowFirstColumn="0" w:firstRowLastColumn="0" w:lastRowFirstColumn="0" w:lastRowLastColumn="0"/>
            <w:tcW w:w="274"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HU</w:t>
            </w:r>
            <w:r>
              <w:rPr>
                <w:rFonts w:ascii="Calibri" w:eastAsia="Times New Roman" w:hAnsi="Calibri" w:cs="Calibri"/>
                <w:noProof/>
                <w:color w:val="000000"/>
                <w:sz w:val="20"/>
                <w:szCs w:val="20"/>
                <w:lang w:eastAsia="en-GB"/>
              </w:rPr>
              <w:t> </w:t>
            </w:r>
          </w:p>
        </w:tc>
        <w:tc>
          <w:tcPr>
            <w:tcW w:w="67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7.009.504 </w:t>
            </w:r>
            <w:r>
              <w:rPr>
                <w:rFonts w:ascii="Calibri" w:eastAsia="Times New Roman" w:hAnsi="Calibri" w:cs="Calibri"/>
                <w:noProof/>
                <w:color w:val="000000"/>
                <w:sz w:val="20"/>
                <w:szCs w:val="20"/>
                <w:lang w:eastAsia="en-GB"/>
              </w:rPr>
              <w:t> </w:t>
            </w:r>
          </w:p>
        </w:tc>
        <w:tc>
          <w:tcPr>
            <w:tcW w:w="67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10.222.193 </w:t>
            </w:r>
            <w:r>
              <w:rPr>
                <w:rFonts w:ascii="Calibri" w:eastAsia="Times New Roman" w:hAnsi="Calibri" w:cs="Calibri"/>
                <w:noProof/>
                <w:color w:val="000000"/>
                <w:sz w:val="20"/>
                <w:szCs w:val="20"/>
                <w:lang w:eastAsia="en-GB"/>
              </w:rPr>
              <w:t> </w:t>
            </w:r>
          </w:p>
        </w:tc>
        <w:tc>
          <w:tcPr>
            <w:tcW w:w="623" w:type="pct"/>
            <w:hideMark/>
          </w:tcPr>
          <w:p>
            <w:pPr>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1.387.767 </w:t>
            </w:r>
            <w:r>
              <w:rPr>
                <w:rFonts w:ascii="Calibri" w:eastAsia="Times New Roman" w:hAnsi="Calibri" w:cs="Calibri"/>
                <w:noProof/>
                <w:color w:val="000000"/>
                <w:sz w:val="20"/>
                <w:szCs w:val="20"/>
                <w:lang w:eastAsia="en-GB"/>
              </w:rPr>
              <w:t> </w:t>
            </w:r>
          </w:p>
        </w:tc>
        <w:tc>
          <w:tcPr>
            <w:tcW w:w="623"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2.095.255 </w:t>
            </w:r>
            <w:r>
              <w:rPr>
                <w:rFonts w:ascii="Calibri" w:eastAsia="Times New Roman" w:hAnsi="Calibri" w:cs="Calibri"/>
                <w:noProof/>
                <w:color w:val="000000"/>
                <w:sz w:val="20"/>
                <w:szCs w:val="20"/>
                <w:lang w:eastAsia="en-GB"/>
              </w:rPr>
              <w:t> </w:t>
            </w:r>
          </w:p>
        </w:tc>
        <w:tc>
          <w:tcPr>
            <w:tcW w:w="571"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178.006 </w:t>
            </w:r>
            <w:r>
              <w:rPr>
                <w:rFonts w:ascii="Calibri" w:eastAsia="Times New Roman" w:hAnsi="Calibri" w:cs="Calibri"/>
                <w:noProof/>
                <w:color w:val="000000"/>
                <w:sz w:val="20"/>
                <w:szCs w:val="20"/>
                <w:lang w:eastAsia="en-GB"/>
              </w:rPr>
              <w:t> </w:t>
            </w:r>
          </w:p>
        </w:tc>
        <w:tc>
          <w:tcPr>
            <w:tcW w:w="571"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236.963 </w:t>
            </w:r>
            <w:r>
              <w:rPr>
                <w:rFonts w:ascii="Calibri" w:eastAsia="Times New Roman" w:hAnsi="Calibri" w:cs="Calibri"/>
                <w:noProof/>
                <w:color w:val="000000"/>
                <w:sz w:val="20"/>
                <w:szCs w:val="20"/>
                <w:lang w:eastAsia="en-GB"/>
              </w:rPr>
              <w:t> </w:t>
            </w:r>
          </w:p>
        </w:tc>
        <w:tc>
          <w:tcPr>
            <w:tcW w:w="49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65.004 </w:t>
            </w:r>
            <w:r>
              <w:rPr>
                <w:rFonts w:ascii="Calibri" w:eastAsia="Times New Roman" w:hAnsi="Calibri" w:cs="Calibri"/>
                <w:noProof/>
                <w:color w:val="000000"/>
                <w:sz w:val="20"/>
                <w:szCs w:val="20"/>
                <w:lang w:eastAsia="en-GB"/>
              </w:rPr>
              <w:t> </w:t>
            </w:r>
          </w:p>
        </w:tc>
        <w:tc>
          <w:tcPr>
            <w:tcW w:w="49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84.657 </w:t>
            </w:r>
            <w:r>
              <w:rPr>
                <w:rFonts w:ascii="Calibri" w:eastAsia="Times New Roman" w:hAnsi="Calibri" w:cs="Calibri"/>
                <w:noProof/>
                <w:color w:val="000000"/>
                <w:sz w:val="20"/>
                <w:szCs w:val="20"/>
                <w:lang w:eastAsia="en-GB"/>
              </w:rPr>
              <w:t>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IE</w:t>
            </w:r>
            <w:r>
              <w:rPr>
                <w:rFonts w:ascii="Calibri" w:eastAsia="Times New Roman" w:hAnsi="Calibri" w:cs="Calibri"/>
                <w:noProof/>
                <w:color w:val="000000"/>
                <w:sz w:val="20"/>
                <w:szCs w:val="20"/>
                <w:lang w:eastAsia="en-GB"/>
              </w:rPr>
              <w:t> </w:t>
            </w:r>
          </w:p>
        </w:tc>
        <w:tc>
          <w:tcPr>
            <w:tcW w:w="67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6.957.338 </w:t>
            </w:r>
            <w:r>
              <w:rPr>
                <w:rFonts w:ascii="Calibri" w:eastAsia="Times New Roman" w:hAnsi="Calibri" w:cs="Calibri"/>
                <w:noProof/>
                <w:color w:val="000000"/>
                <w:sz w:val="20"/>
                <w:szCs w:val="20"/>
                <w:lang w:eastAsia="en-GB"/>
              </w:rPr>
              <w:t> </w:t>
            </w:r>
          </w:p>
        </w:tc>
        <w:tc>
          <w:tcPr>
            <w:tcW w:w="67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10.146.117 </w:t>
            </w:r>
            <w:r>
              <w:rPr>
                <w:rFonts w:ascii="Calibri" w:eastAsia="Times New Roman" w:hAnsi="Calibri" w:cs="Calibri"/>
                <w:noProof/>
                <w:color w:val="000000"/>
                <w:sz w:val="20"/>
                <w:szCs w:val="20"/>
                <w:lang w:eastAsia="en-GB"/>
              </w:rPr>
              <w:t> </w:t>
            </w:r>
          </w:p>
        </w:tc>
        <w:tc>
          <w:tcPr>
            <w:tcW w:w="623" w:type="pct"/>
            <w:hideMark/>
          </w:tcPr>
          <w:p>
            <w:pPr>
              <w:jc w:val="right"/>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1.203.217 </w:t>
            </w:r>
            <w:r>
              <w:rPr>
                <w:rFonts w:ascii="Calibri" w:eastAsia="Times New Roman" w:hAnsi="Calibri" w:cs="Calibri"/>
                <w:noProof/>
                <w:color w:val="000000"/>
                <w:sz w:val="20"/>
                <w:szCs w:val="20"/>
                <w:lang w:eastAsia="en-GB"/>
              </w:rPr>
              <w:t> </w:t>
            </w:r>
          </w:p>
        </w:tc>
        <w:tc>
          <w:tcPr>
            <w:tcW w:w="623"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1.816.622 </w:t>
            </w:r>
            <w:r>
              <w:rPr>
                <w:rFonts w:ascii="Calibri" w:eastAsia="Times New Roman" w:hAnsi="Calibri" w:cs="Calibri"/>
                <w:noProof/>
                <w:color w:val="000000"/>
                <w:sz w:val="20"/>
                <w:szCs w:val="20"/>
                <w:lang w:eastAsia="en-GB"/>
              </w:rPr>
              <w:t> </w:t>
            </w:r>
          </w:p>
        </w:tc>
        <w:tc>
          <w:tcPr>
            <w:tcW w:w="571"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154.334 </w:t>
            </w:r>
            <w:r>
              <w:rPr>
                <w:rFonts w:ascii="Calibri" w:eastAsia="Times New Roman" w:hAnsi="Calibri" w:cs="Calibri"/>
                <w:noProof/>
                <w:color w:val="000000"/>
                <w:sz w:val="20"/>
                <w:szCs w:val="20"/>
                <w:lang w:eastAsia="en-GB"/>
              </w:rPr>
              <w:t> </w:t>
            </w:r>
          </w:p>
        </w:tc>
        <w:tc>
          <w:tcPr>
            <w:tcW w:w="571"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205.451 </w:t>
            </w:r>
            <w:r>
              <w:rPr>
                <w:rFonts w:ascii="Calibri" w:eastAsia="Times New Roman" w:hAnsi="Calibri" w:cs="Calibri"/>
                <w:noProof/>
                <w:color w:val="000000"/>
                <w:sz w:val="20"/>
                <w:szCs w:val="20"/>
                <w:lang w:eastAsia="en-GB"/>
              </w:rPr>
              <w:t> </w:t>
            </w:r>
          </w:p>
        </w:tc>
        <w:tc>
          <w:tcPr>
            <w:tcW w:w="49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56.360 </w:t>
            </w:r>
            <w:r>
              <w:rPr>
                <w:rFonts w:ascii="Calibri" w:eastAsia="Times New Roman" w:hAnsi="Calibri" w:cs="Calibri"/>
                <w:noProof/>
                <w:color w:val="000000"/>
                <w:sz w:val="20"/>
                <w:szCs w:val="20"/>
                <w:lang w:eastAsia="en-GB"/>
              </w:rPr>
              <w:t> </w:t>
            </w:r>
          </w:p>
        </w:tc>
        <w:tc>
          <w:tcPr>
            <w:tcW w:w="49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73.399 </w:t>
            </w:r>
            <w:r>
              <w:rPr>
                <w:rFonts w:ascii="Calibri" w:eastAsia="Times New Roman" w:hAnsi="Calibri" w:cs="Calibri"/>
                <w:noProof/>
                <w:color w:val="000000"/>
                <w:sz w:val="20"/>
                <w:szCs w:val="20"/>
                <w:lang w:eastAsia="en-GB"/>
              </w:rPr>
              <w:t> </w:t>
            </w:r>
          </w:p>
        </w:tc>
      </w:tr>
      <w:tr>
        <w:trPr>
          <w:trHeight w:val="300"/>
        </w:trPr>
        <w:tc>
          <w:tcPr>
            <w:cnfStyle w:val="001000000000" w:firstRow="0" w:lastRow="0" w:firstColumn="1" w:lastColumn="0" w:oddVBand="0" w:evenVBand="0" w:oddHBand="0" w:evenHBand="0" w:firstRowFirstColumn="0" w:firstRowLastColumn="0" w:lastRowFirstColumn="0" w:lastRowLastColumn="0"/>
            <w:tcW w:w="274"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IT</w:t>
            </w:r>
            <w:r>
              <w:rPr>
                <w:rFonts w:ascii="Calibri" w:eastAsia="Times New Roman" w:hAnsi="Calibri" w:cs="Calibri"/>
                <w:noProof/>
                <w:color w:val="000000"/>
                <w:sz w:val="20"/>
                <w:szCs w:val="20"/>
                <w:lang w:eastAsia="en-GB"/>
              </w:rPr>
              <w:t> </w:t>
            </w:r>
          </w:p>
        </w:tc>
        <w:tc>
          <w:tcPr>
            <w:tcW w:w="67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43.158.659 </w:t>
            </w:r>
            <w:r>
              <w:rPr>
                <w:rFonts w:ascii="Calibri" w:eastAsia="Times New Roman" w:hAnsi="Calibri" w:cs="Calibri"/>
                <w:noProof/>
                <w:color w:val="000000"/>
                <w:sz w:val="20"/>
                <w:szCs w:val="20"/>
                <w:lang w:eastAsia="en-GB"/>
              </w:rPr>
              <w:t> </w:t>
            </w:r>
          </w:p>
        </w:tc>
        <w:tc>
          <w:tcPr>
            <w:tcW w:w="67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62.939.711 </w:t>
            </w:r>
            <w:r>
              <w:rPr>
                <w:rFonts w:ascii="Calibri" w:eastAsia="Times New Roman" w:hAnsi="Calibri" w:cs="Calibri"/>
                <w:noProof/>
                <w:color w:val="000000"/>
                <w:sz w:val="20"/>
                <w:szCs w:val="20"/>
                <w:lang w:eastAsia="en-GB"/>
              </w:rPr>
              <w:t> </w:t>
            </w:r>
          </w:p>
        </w:tc>
        <w:tc>
          <w:tcPr>
            <w:tcW w:w="623" w:type="pct"/>
            <w:hideMark/>
          </w:tcPr>
          <w:p>
            <w:pPr>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13.534.647 </w:t>
            </w:r>
            <w:r>
              <w:rPr>
                <w:rFonts w:ascii="Calibri" w:eastAsia="Times New Roman" w:hAnsi="Calibri" w:cs="Calibri"/>
                <w:noProof/>
                <w:color w:val="000000"/>
                <w:sz w:val="20"/>
                <w:szCs w:val="20"/>
                <w:lang w:eastAsia="en-GB"/>
              </w:rPr>
              <w:t> </w:t>
            </w:r>
          </w:p>
        </w:tc>
        <w:tc>
          <w:tcPr>
            <w:tcW w:w="623"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20.434.663 </w:t>
            </w:r>
            <w:r>
              <w:rPr>
                <w:rFonts w:ascii="Calibri" w:eastAsia="Times New Roman" w:hAnsi="Calibri" w:cs="Calibri"/>
                <w:noProof/>
                <w:color w:val="000000"/>
                <w:sz w:val="20"/>
                <w:szCs w:val="20"/>
                <w:lang w:eastAsia="en-GB"/>
              </w:rPr>
              <w:t> </w:t>
            </w:r>
          </w:p>
        </w:tc>
        <w:tc>
          <w:tcPr>
            <w:tcW w:w="571"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1.736.062 </w:t>
            </w:r>
            <w:r>
              <w:rPr>
                <w:rFonts w:ascii="Calibri" w:eastAsia="Times New Roman" w:hAnsi="Calibri" w:cs="Calibri"/>
                <w:noProof/>
                <w:color w:val="000000"/>
                <w:sz w:val="20"/>
                <w:szCs w:val="20"/>
                <w:lang w:eastAsia="en-GB"/>
              </w:rPr>
              <w:t> </w:t>
            </w:r>
          </w:p>
        </w:tc>
        <w:tc>
          <w:tcPr>
            <w:tcW w:w="571"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2.311.063 </w:t>
            </w:r>
            <w:r>
              <w:rPr>
                <w:rFonts w:ascii="Calibri" w:eastAsia="Times New Roman" w:hAnsi="Calibri" w:cs="Calibri"/>
                <w:noProof/>
                <w:color w:val="000000"/>
                <w:sz w:val="20"/>
                <w:szCs w:val="20"/>
                <w:lang w:eastAsia="en-GB"/>
              </w:rPr>
              <w:t> </w:t>
            </w:r>
          </w:p>
        </w:tc>
        <w:tc>
          <w:tcPr>
            <w:tcW w:w="49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633.976 </w:t>
            </w:r>
            <w:r>
              <w:rPr>
                <w:rFonts w:ascii="Calibri" w:eastAsia="Times New Roman" w:hAnsi="Calibri" w:cs="Calibri"/>
                <w:noProof/>
                <w:color w:val="000000"/>
                <w:sz w:val="20"/>
                <w:szCs w:val="20"/>
                <w:lang w:eastAsia="en-GB"/>
              </w:rPr>
              <w:t> </w:t>
            </w:r>
          </w:p>
        </w:tc>
        <w:tc>
          <w:tcPr>
            <w:tcW w:w="49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825.643 </w:t>
            </w:r>
            <w:r>
              <w:rPr>
                <w:rFonts w:ascii="Calibri" w:eastAsia="Times New Roman" w:hAnsi="Calibri" w:cs="Calibri"/>
                <w:noProof/>
                <w:color w:val="000000"/>
                <w:sz w:val="20"/>
                <w:szCs w:val="20"/>
                <w:lang w:eastAsia="en-GB"/>
              </w:rPr>
              <w:t>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LT</w:t>
            </w:r>
            <w:r>
              <w:rPr>
                <w:rFonts w:ascii="Calibri" w:eastAsia="Times New Roman" w:hAnsi="Calibri" w:cs="Calibri"/>
                <w:noProof/>
                <w:color w:val="000000"/>
                <w:sz w:val="20"/>
                <w:szCs w:val="20"/>
                <w:lang w:eastAsia="en-GB"/>
              </w:rPr>
              <w:t> </w:t>
            </w:r>
          </w:p>
        </w:tc>
        <w:tc>
          <w:tcPr>
            <w:tcW w:w="67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c>
          <w:tcPr>
            <w:tcW w:w="67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c>
          <w:tcPr>
            <w:tcW w:w="623" w:type="pct"/>
            <w:hideMark/>
          </w:tcPr>
          <w:p>
            <w:pPr>
              <w:jc w:val="right"/>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318.473 </w:t>
            </w:r>
            <w:r>
              <w:rPr>
                <w:rFonts w:ascii="Calibri" w:eastAsia="Times New Roman" w:hAnsi="Calibri" w:cs="Calibri"/>
                <w:noProof/>
                <w:color w:val="000000"/>
                <w:sz w:val="20"/>
                <w:szCs w:val="20"/>
                <w:lang w:eastAsia="en-GB"/>
              </w:rPr>
              <w:t> </w:t>
            </w:r>
          </w:p>
        </w:tc>
        <w:tc>
          <w:tcPr>
            <w:tcW w:w="623"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480.831 </w:t>
            </w:r>
            <w:r>
              <w:rPr>
                <w:rFonts w:ascii="Calibri" w:eastAsia="Times New Roman" w:hAnsi="Calibri" w:cs="Calibri"/>
                <w:noProof/>
                <w:color w:val="000000"/>
                <w:sz w:val="20"/>
                <w:szCs w:val="20"/>
                <w:lang w:eastAsia="en-GB"/>
              </w:rPr>
              <w:t> </w:t>
            </w:r>
          </w:p>
        </w:tc>
        <w:tc>
          <w:tcPr>
            <w:tcW w:w="571"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40.850 </w:t>
            </w:r>
            <w:r>
              <w:rPr>
                <w:rFonts w:ascii="Calibri" w:eastAsia="Times New Roman" w:hAnsi="Calibri" w:cs="Calibri"/>
                <w:noProof/>
                <w:color w:val="000000"/>
                <w:sz w:val="20"/>
                <w:szCs w:val="20"/>
                <w:lang w:eastAsia="en-GB"/>
              </w:rPr>
              <w:t> </w:t>
            </w:r>
          </w:p>
        </w:tc>
        <w:tc>
          <w:tcPr>
            <w:tcW w:w="571"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54.380 </w:t>
            </w:r>
            <w:r>
              <w:rPr>
                <w:rFonts w:ascii="Calibri" w:eastAsia="Times New Roman" w:hAnsi="Calibri" w:cs="Calibri"/>
                <w:noProof/>
                <w:color w:val="000000"/>
                <w:sz w:val="20"/>
                <w:szCs w:val="20"/>
                <w:lang w:eastAsia="en-GB"/>
              </w:rPr>
              <w:t> </w:t>
            </w:r>
          </w:p>
        </w:tc>
        <w:tc>
          <w:tcPr>
            <w:tcW w:w="49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14.918 </w:t>
            </w:r>
            <w:r>
              <w:rPr>
                <w:rFonts w:ascii="Calibri" w:eastAsia="Times New Roman" w:hAnsi="Calibri" w:cs="Calibri"/>
                <w:noProof/>
                <w:color w:val="000000"/>
                <w:sz w:val="20"/>
                <w:szCs w:val="20"/>
                <w:lang w:eastAsia="en-GB"/>
              </w:rPr>
              <w:t> </w:t>
            </w:r>
          </w:p>
        </w:tc>
        <w:tc>
          <w:tcPr>
            <w:tcW w:w="49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19.428 </w:t>
            </w:r>
            <w:r>
              <w:rPr>
                <w:rFonts w:ascii="Calibri" w:eastAsia="Times New Roman" w:hAnsi="Calibri" w:cs="Calibri"/>
                <w:noProof/>
                <w:color w:val="000000"/>
                <w:sz w:val="20"/>
                <w:szCs w:val="20"/>
                <w:lang w:eastAsia="en-GB"/>
              </w:rPr>
              <w:t> </w:t>
            </w:r>
          </w:p>
        </w:tc>
      </w:tr>
      <w:tr>
        <w:trPr>
          <w:trHeight w:val="300"/>
        </w:trPr>
        <w:tc>
          <w:tcPr>
            <w:cnfStyle w:val="001000000000" w:firstRow="0" w:lastRow="0" w:firstColumn="1" w:lastColumn="0" w:oddVBand="0" w:evenVBand="0" w:oddHBand="0" w:evenHBand="0" w:firstRowFirstColumn="0" w:firstRowLastColumn="0" w:lastRowFirstColumn="0" w:lastRowLastColumn="0"/>
            <w:tcW w:w="274"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LU</w:t>
            </w:r>
            <w:r>
              <w:rPr>
                <w:rFonts w:ascii="Calibri" w:eastAsia="Times New Roman" w:hAnsi="Calibri" w:cs="Calibri"/>
                <w:noProof/>
                <w:color w:val="000000"/>
                <w:sz w:val="20"/>
                <w:szCs w:val="20"/>
                <w:lang w:eastAsia="en-GB"/>
              </w:rPr>
              <w:t> </w:t>
            </w:r>
          </w:p>
        </w:tc>
        <w:tc>
          <w:tcPr>
            <w:tcW w:w="67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c>
          <w:tcPr>
            <w:tcW w:w="67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c>
          <w:tcPr>
            <w:tcW w:w="623" w:type="pct"/>
            <w:hideMark/>
          </w:tcPr>
          <w:p>
            <w:pPr>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384.685 </w:t>
            </w:r>
            <w:r>
              <w:rPr>
                <w:rFonts w:ascii="Calibri" w:eastAsia="Times New Roman" w:hAnsi="Calibri" w:cs="Calibri"/>
                <w:noProof/>
                <w:color w:val="000000"/>
                <w:sz w:val="20"/>
                <w:szCs w:val="20"/>
                <w:lang w:eastAsia="en-GB"/>
              </w:rPr>
              <w:t> </w:t>
            </w:r>
          </w:p>
        </w:tc>
        <w:tc>
          <w:tcPr>
            <w:tcW w:w="623"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580.799 </w:t>
            </w:r>
            <w:r>
              <w:rPr>
                <w:rFonts w:ascii="Calibri" w:eastAsia="Times New Roman" w:hAnsi="Calibri" w:cs="Calibri"/>
                <w:noProof/>
                <w:color w:val="000000"/>
                <w:sz w:val="20"/>
                <w:szCs w:val="20"/>
                <w:lang w:eastAsia="en-GB"/>
              </w:rPr>
              <w:t> </w:t>
            </w:r>
          </w:p>
        </w:tc>
        <w:tc>
          <w:tcPr>
            <w:tcW w:w="571"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49.343 </w:t>
            </w:r>
            <w:r>
              <w:rPr>
                <w:rFonts w:ascii="Calibri" w:eastAsia="Times New Roman" w:hAnsi="Calibri" w:cs="Calibri"/>
                <w:noProof/>
                <w:color w:val="000000"/>
                <w:sz w:val="20"/>
                <w:szCs w:val="20"/>
                <w:lang w:eastAsia="en-GB"/>
              </w:rPr>
              <w:t> </w:t>
            </w:r>
          </w:p>
        </w:tc>
        <w:tc>
          <w:tcPr>
            <w:tcW w:w="571"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65.686 </w:t>
            </w:r>
            <w:r>
              <w:rPr>
                <w:rFonts w:ascii="Calibri" w:eastAsia="Times New Roman" w:hAnsi="Calibri" w:cs="Calibri"/>
                <w:noProof/>
                <w:color w:val="000000"/>
                <w:sz w:val="20"/>
                <w:szCs w:val="20"/>
                <w:lang w:eastAsia="en-GB"/>
              </w:rPr>
              <w:t> </w:t>
            </w:r>
          </w:p>
        </w:tc>
        <w:tc>
          <w:tcPr>
            <w:tcW w:w="49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18.019 </w:t>
            </w:r>
            <w:r>
              <w:rPr>
                <w:rFonts w:ascii="Calibri" w:eastAsia="Times New Roman" w:hAnsi="Calibri" w:cs="Calibri"/>
                <w:noProof/>
                <w:color w:val="000000"/>
                <w:sz w:val="20"/>
                <w:szCs w:val="20"/>
                <w:lang w:eastAsia="en-GB"/>
              </w:rPr>
              <w:t> </w:t>
            </w:r>
          </w:p>
        </w:tc>
        <w:tc>
          <w:tcPr>
            <w:tcW w:w="49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23.467 </w:t>
            </w:r>
            <w:r>
              <w:rPr>
                <w:rFonts w:ascii="Calibri" w:eastAsia="Times New Roman" w:hAnsi="Calibri" w:cs="Calibri"/>
                <w:noProof/>
                <w:color w:val="000000"/>
                <w:sz w:val="20"/>
                <w:szCs w:val="20"/>
                <w:lang w:eastAsia="en-GB"/>
              </w:rPr>
              <w:t>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LV</w:t>
            </w:r>
            <w:r>
              <w:rPr>
                <w:rFonts w:ascii="Calibri" w:eastAsia="Times New Roman" w:hAnsi="Calibri" w:cs="Calibri"/>
                <w:noProof/>
                <w:color w:val="000000"/>
                <w:sz w:val="20"/>
                <w:szCs w:val="20"/>
                <w:lang w:eastAsia="en-GB"/>
              </w:rPr>
              <w:t> </w:t>
            </w:r>
          </w:p>
        </w:tc>
        <w:tc>
          <w:tcPr>
            <w:tcW w:w="67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1.520.095 </w:t>
            </w:r>
            <w:r>
              <w:rPr>
                <w:rFonts w:ascii="Calibri" w:eastAsia="Times New Roman" w:hAnsi="Calibri" w:cs="Calibri"/>
                <w:noProof/>
                <w:color w:val="000000"/>
                <w:sz w:val="20"/>
                <w:szCs w:val="20"/>
                <w:lang w:eastAsia="en-GB"/>
              </w:rPr>
              <w:t> </w:t>
            </w:r>
          </w:p>
        </w:tc>
        <w:tc>
          <w:tcPr>
            <w:tcW w:w="67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2.216.806 </w:t>
            </w:r>
            <w:r>
              <w:rPr>
                <w:rFonts w:ascii="Calibri" w:eastAsia="Times New Roman" w:hAnsi="Calibri" w:cs="Calibri"/>
                <w:noProof/>
                <w:color w:val="000000"/>
                <w:sz w:val="20"/>
                <w:szCs w:val="20"/>
                <w:lang w:eastAsia="en-GB"/>
              </w:rPr>
              <w:t> </w:t>
            </w:r>
          </w:p>
        </w:tc>
        <w:tc>
          <w:tcPr>
            <w:tcW w:w="623" w:type="pct"/>
            <w:hideMark/>
          </w:tcPr>
          <w:p>
            <w:pPr>
              <w:jc w:val="right"/>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196.103 </w:t>
            </w:r>
            <w:r>
              <w:rPr>
                <w:rFonts w:ascii="Calibri" w:eastAsia="Times New Roman" w:hAnsi="Calibri" w:cs="Calibri"/>
                <w:noProof/>
                <w:color w:val="000000"/>
                <w:sz w:val="20"/>
                <w:szCs w:val="20"/>
                <w:lang w:eastAsia="en-GB"/>
              </w:rPr>
              <w:t> </w:t>
            </w:r>
          </w:p>
        </w:tc>
        <w:tc>
          <w:tcPr>
            <w:tcW w:w="623"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296.078 </w:t>
            </w:r>
            <w:r>
              <w:rPr>
                <w:rFonts w:ascii="Calibri" w:eastAsia="Times New Roman" w:hAnsi="Calibri" w:cs="Calibri"/>
                <w:noProof/>
                <w:color w:val="000000"/>
                <w:sz w:val="20"/>
                <w:szCs w:val="20"/>
                <w:lang w:eastAsia="en-GB"/>
              </w:rPr>
              <w:t> </w:t>
            </w:r>
          </w:p>
        </w:tc>
        <w:tc>
          <w:tcPr>
            <w:tcW w:w="571"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25.154 </w:t>
            </w:r>
            <w:r>
              <w:rPr>
                <w:rFonts w:ascii="Calibri" w:eastAsia="Times New Roman" w:hAnsi="Calibri" w:cs="Calibri"/>
                <w:noProof/>
                <w:color w:val="000000"/>
                <w:sz w:val="20"/>
                <w:szCs w:val="20"/>
                <w:lang w:eastAsia="en-GB"/>
              </w:rPr>
              <w:t> </w:t>
            </w:r>
          </w:p>
        </w:tc>
        <w:tc>
          <w:tcPr>
            <w:tcW w:w="571"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33.485 </w:t>
            </w:r>
            <w:r>
              <w:rPr>
                <w:rFonts w:ascii="Calibri" w:eastAsia="Times New Roman" w:hAnsi="Calibri" w:cs="Calibri"/>
                <w:noProof/>
                <w:color w:val="000000"/>
                <w:sz w:val="20"/>
                <w:szCs w:val="20"/>
                <w:lang w:eastAsia="en-GB"/>
              </w:rPr>
              <w:t> </w:t>
            </w:r>
          </w:p>
        </w:tc>
        <w:tc>
          <w:tcPr>
            <w:tcW w:w="49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9.186 </w:t>
            </w:r>
            <w:r>
              <w:rPr>
                <w:rFonts w:ascii="Calibri" w:eastAsia="Times New Roman" w:hAnsi="Calibri" w:cs="Calibri"/>
                <w:noProof/>
                <w:color w:val="000000"/>
                <w:sz w:val="20"/>
                <w:szCs w:val="20"/>
                <w:lang w:eastAsia="en-GB"/>
              </w:rPr>
              <w:t> </w:t>
            </w:r>
          </w:p>
        </w:tc>
        <w:tc>
          <w:tcPr>
            <w:tcW w:w="49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11.963 </w:t>
            </w:r>
            <w:r>
              <w:rPr>
                <w:rFonts w:ascii="Calibri" w:eastAsia="Times New Roman" w:hAnsi="Calibri" w:cs="Calibri"/>
                <w:noProof/>
                <w:color w:val="000000"/>
                <w:sz w:val="20"/>
                <w:szCs w:val="20"/>
                <w:lang w:eastAsia="en-GB"/>
              </w:rPr>
              <w:t> </w:t>
            </w:r>
          </w:p>
        </w:tc>
      </w:tr>
      <w:tr>
        <w:trPr>
          <w:trHeight w:val="300"/>
        </w:trPr>
        <w:tc>
          <w:tcPr>
            <w:cnfStyle w:val="001000000000" w:firstRow="0" w:lastRow="0" w:firstColumn="1" w:lastColumn="0" w:oddVBand="0" w:evenVBand="0" w:oddHBand="0" w:evenHBand="0" w:firstRowFirstColumn="0" w:firstRowLastColumn="0" w:lastRowFirstColumn="0" w:lastRowLastColumn="0"/>
            <w:tcW w:w="274"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MT</w:t>
            </w:r>
            <w:r>
              <w:rPr>
                <w:rFonts w:ascii="Calibri" w:eastAsia="Times New Roman" w:hAnsi="Calibri" w:cs="Calibri"/>
                <w:noProof/>
                <w:color w:val="000000"/>
                <w:sz w:val="20"/>
                <w:szCs w:val="20"/>
                <w:lang w:eastAsia="en-GB"/>
              </w:rPr>
              <w:t> </w:t>
            </w:r>
          </w:p>
        </w:tc>
        <w:tc>
          <w:tcPr>
            <w:tcW w:w="67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469.104 </w:t>
            </w:r>
            <w:r>
              <w:rPr>
                <w:rFonts w:ascii="Calibri" w:eastAsia="Times New Roman" w:hAnsi="Calibri" w:cs="Calibri"/>
                <w:noProof/>
                <w:color w:val="000000"/>
                <w:sz w:val="20"/>
                <w:szCs w:val="20"/>
                <w:lang w:eastAsia="en-GB"/>
              </w:rPr>
              <w:t> </w:t>
            </w:r>
          </w:p>
        </w:tc>
        <w:tc>
          <w:tcPr>
            <w:tcW w:w="67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684.110 </w:t>
            </w:r>
            <w:r>
              <w:rPr>
                <w:rFonts w:ascii="Calibri" w:eastAsia="Times New Roman" w:hAnsi="Calibri" w:cs="Calibri"/>
                <w:noProof/>
                <w:color w:val="000000"/>
                <w:sz w:val="20"/>
                <w:szCs w:val="20"/>
                <w:lang w:eastAsia="en-GB"/>
              </w:rPr>
              <w:t> </w:t>
            </w:r>
          </w:p>
        </w:tc>
        <w:tc>
          <w:tcPr>
            <w:tcW w:w="623" w:type="pct"/>
            <w:hideMark/>
          </w:tcPr>
          <w:p>
            <w:pPr>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82.528 </w:t>
            </w:r>
            <w:r>
              <w:rPr>
                <w:rFonts w:ascii="Calibri" w:eastAsia="Times New Roman" w:hAnsi="Calibri" w:cs="Calibri"/>
                <w:noProof/>
                <w:color w:val="000000"/>
                <w:sz w:val="20"/>
                <w:szCs w:val="20"/>
                <w:lang w:eastAsia="en-GB"/>
              </w:rPr>
              <w:t> </w:t>
            </w:r>
          </w:p>
        </w:tc>
        <w:tc>
          <w:tcPr>
            <w:tcW w:w="623"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124.601 </w:t>
            </w:r>
            <w:r>
              <w:rPr>
                <w:rFonts w:ascii="Calibri" w:eastAsia="Times New Roman" w:hAnsi="Calibri" w:cs="Calibri"/>
                <w:noProof/>
                <w:color w:val="000000"/>
                <w:sz w:val="20"/>
                <w:szCs w:val="20"/>
                <w:lang w:eastAsia="en-GB"/>
              </w:rPr>
              <w:t> </w:t>
            </w:r>
          </w:p>
        </w:tc>
        <w:tc>
          <w:tcPr>
            <w:tcW w:w="571"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10.586 </w:t>
            </w:r>
            <w:r>
              <w:rPr>
                <w:rFonts w:ascii="Calibri" w:eastAsia="Times New Roman" w:hAnsi="Calibri" w:cs="Calibri"/>
                <w:noProof/>
                <w:color w:val="000000"/>
                <w:sz w:val="20"/>
                <w:szCs w:val="20"/>
                <w:lang w:eastAsia="en-GB"/>
              </w:rPr>
              <w:t> </w:t>
            </w:r>
          </w:p>
        </w:tc>
        <w:tc>
          <w:tcPr>
            <w:tcW w:w="571"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14.092 </w:t>
            </w:r>
            <w:r>
              <w:rPr>
                <w:rFonts w:ascii="Calibri" w:eastAsia="Times New Roman" w:hAnsi="Calibri" w:cs="Calibri"/>
                <w:noProof/>
                <w:color w:val="000000"/>
                <w:sz w:val="20"/>
                <w:szCs w:val="20"/>
                <w:lang w:eastAsia="en-GB"/>
              </w:rPr>
              <w:t> </w:t>
            </w:r>
          </w:p>
        </w:tc>
        <w:tc>
          <w:tcPr>
            <w:tcW w:w="49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3.866 </w:t>
            </w:r>
            <w:r>
              <w:rPr>
                <w:rFonts w:ascii="Calibri" w:eastAsia="Times New Roman" w:hAnsi="Calibri" w:cs="Calibri"/>
                <w:noProof/>
                <w:color w:val="000000"/>
                <w:sz w:val="20"/>
                <w:szCs w:val="20"/>
                <w:lang w:eastAsia="en-GB"/>
              </w:rPr>
              <w:t> </w:t>
            </w:r>
          </w:p>
        </w:tc>
        <w:tc>
          <w:tcPr>
            <w:tcW w:w="49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5.034 </w:t>
            </w:r>
            <w:r>
              <w:rPr>
                <w:rFonts w:ascii="Calibri" w:eastAsia="Times New Roman" w:hAnsi="Calibri" w:cs="Calibri"/>
                <w:noProof/>
                <w:color w:val="000000"/>
                <w:sz w:val="20"/>
                <w:szCs w:val="20"/>
                <w:lang w:eastAsia="en-GB"/>
              </w:rPr>
              <w:t>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NL</w:t>
            </w:r>
            <w:r>
              <w:rPr>
                <w:rFonts w:ascii="Calibri" w:eastAsia="Times New Roman" w:hAnsi="Calibri" w:cs="Calibri"/>
                <w:noProof/>
                <w:color w:val="000000"/>
                <w:sz w:val="20"/>
                <w:szCs w:val="20"/>
                <w:lang w:eastAsia="en-GB"/>
              </w:rPr>
              <w:t> </w:t>
            </w:r>
          </w:p>
        </w:tc>
        <w:tc>
          <w:tcPr>
            <w:tcW w:w="67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26.153.054 </w:t>
            </w:r>
            <w:r>
              <w:rPr>
                <w:rFonts w:ascii="Calibri" w:eastAsia="Times New Roman" w:hAnsi="Calibri" w:cs="Calibri"/>
                <w:noProof/>
                <w:color w:val="000000"/>
                <w:sz w:val="20"/>
                <w:szCs w:val="20"/>
                <w:lang w:eastAsia="en-GB"/>
              </w:rPr>
              <w:t> </w:t>
            </w:r>
          </w:p>
        </w:tc>
        <w:tc>
          <w:tcPr>
            <w:tcW w:w="67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38.139.871 </w:t>
            </w:r>
            <w:r>
              <w:rPr>
                <w:rFonts w:ascii="Calibri" w:eastAsia="Times New Roman" w:hAnsi="Calibri" w:cs="Calibri"/>
                <w:noProof/>
                <w:color w:val="000000"/>
                <w:sz w:val="20"/>
                <w:szCs w:val="20"/>
                <w:lang w:eastAsia="en-GB"/>
              </w:rPr>
              <w:t> </w:t>
            </w:r>
          </w:p>
        </w:tc>
        <w:tc>
          <w:tcPr>
            <w:tcW w:w="623" w:type="pct"/>
            <w:hideMark/>
          </w:tcPr>
          <w:p>
            <w:pPr>
              <w:jc w:val="right"/>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4.762.900 </w:t>
            </w:r>
            <w:r>
              <w:rPr>
                <w:rFonts w:ascii="Calibri" w:eastAsia="Times New Roman" w:hAnsi="Calibri" w:cs="Calibri"/>
                <w:noProof/>
                <w:color w:val="000000"/>
                <w:sz w:val="20"/>
                <w:szCs w:val="20"/>
                <w:lang w:eastAsia="en-GB"/>
              </w:rPr>
              <w:t> </w:t>
            </w:r>
          </w:p>
        </w:tc>
        <w:tc>
          <w:tcPr>
            <w:tcW w:w="623"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7.191.045 </w:t>
            </w:r>
            <w:r>
              <w:rPr>
                <w:rFonts w:ascii="Calibri" w:eastAsia="Times New Roman" w:hAnsi="Calibri" w:cs="Calibri"/>
                <w:noProof/>
                <w:color w:val="000000"/>
                <w:sz w:val="20"/>
                <w:szCs w:val="20"/>
                <w:lang w:eastAsia="en-GB"/>
              </w:rPr>
              <w:t> </w:t>
            </w:r>
          </w:p>
        </w:tc>
        <w:tc>
          <w:tcPr>
            <w:tcW w:w="571"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610.928 </w:t>
            </w:r>
            <w:r>
              <w:rPr>
                <w:rFonts w:ascii="Calibri" w:eastAsia="Times New Roman" w:hAnsi="Calibri" w:cs="Calibri"/>
                <w:noProof/>
                <w:color w:val="000000"/>
                <w:sz w:val="20"/>
                <w:szCs w:val="20"/>
                <w:lang w:eastAsia="en-GB"/>
              </w:rPr>
              <w:t> </w:t>
            </w:r>
          </w:p>
        </w:tc>
        <w:tc>
          <w:tcPr>
            <w:tcW w:w="571"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813.273 </w:t>
            </w:r>
            <w:r>
              <w:rPr>
                <w:rFonts w:ascii="Calibri" w:eastAsia="Times New Roman" w:hAnsi="Calibri" w:cs="Calibri"/>
                <w:noProof/>
                <w:color w:val="000000"/>
                <w:sz w:val="20"/>
                <w:szCs w:val="20"/>
                <w:lang w:eastAsia="en-GB"/>
              </w:rPr>
              <w:t> </w:t>
            </w:r>
          </w:p>
        </w:tc>
        <w:tc>
          <w:tcPr>
            <w:tcW w:w="49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223.099 </w:t>
            </w:r>
            <w:r>
              <w:rPr>
                <w:rFonts w:ascii="Calibri" w:eastAsia="Times New Roman" w:hAnsi="Calibri" w:cs="Calibri"/>
                <w:noProof/>
                <w:color w:val="000000"/>
                <w:sz w:val="20"/>
                <w:szCs w:val="20"/>
                <w:lang w:eastAsia="en-GB"/>
              </w:rPr>
              <w:t> </w:t>
            </w:r>
          </w:p>
        </w:tc>
        <w:tc>
          <w:tcPr>
            <w:tcW w:w="49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290.547 </w:t>
            </w:r>
            <w:r>
              <w:rPr>
                <w:rFonts w:ascii="Calibri" w:eastAsia="Times New Roman" w:hAnsi="Calibri" w:cs="Calibri"/>
                <w:noProof/>
                <w:color w:val="000000"/>
                <w:sz w:val="20"/>
                <w:szCs w:val="20"/>
                <w:lang w:eastAsia="en-GB"/>
              </w:rPr>
              <w:t> </w:t>
            </w:r>
          </w:p>
        </w:tc>
      </w:tr>
      <w:tr>
        <w:trPr>
          <w:trHeight w:val="300"/>
        </w:trPr>
        <w:tc>
          <w:tcPr>
            <w:cnfStyle w:val="001000000000" w:firstRow="0" w:lastRow="0" w:firstColumn="1" w:lastColumn="0" w:oddVBand="0" w:evenVBand="0" w:oddHBand="0" w:evenHBand="0" w:firstRowFirstColumn="0" w:firstRowLastColumn="0" w:lastRowFirstColumn="0" w:lastRowLastColumn="0"/>
            <w:tcW w:w="274"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PL</w:t>
            </w:r>
            <w:r>
              <w:rPr>
                <w:rFonts w:ascii="Calibri" w:eastAsia="Times New Roman" w:hAnsi="Calibri" w:cs="Calibri"/>
                <w:noProof/>
                <w:color w:val="000000"/>
                <w:sz w:val="20"/>
                <w:szCs w:val="20"/>
                <w:lang w:eastAsia="en-GB"/>
              </w:rPr>
              <w:t> </w:t>
            </w:r>
          </w:p>
        </w:tc>
        <w:tc>
          <w:tcPr>
            <w:tcW w:w="67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18.651.790 </w:t>
            </w:r>
            <w:r>
              <w:rPr>
                <w:rFonts w:ascii="Calibri" w:eastAsia="Times New Roman" w:hAnsi="Calibri" w:cs="Calibri"/>
                <w:noProof/>
                <w:color w:val="000000"/>
                <w:sz w:val="20"/>
                <w:szCs w:val="20"/>
                <w:lang w:eastAsia="en-GB"/>
              </w:rPr>
              <w:t> </w:t>
            </w:r>
          </w:p>
        </w:tc>
        <w:tc>
          <w:tcPr>
            <w:tcW w:w="67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27.200.526 </w:t>
            </w:r>
            <w:r>
              <w:rPr>
                <w:rFonts w:ascii="Calibri" w:eastAsia="Times New Roman" w:hAnsi="Calibri" w:cs="Calibri"/>
                <w:noProof/>
                <w:color w:val="000000"/>
                <w:sz w:val="20"/>
                <w:szCs w:val="20"/>
                <w:lang w:eastAsia="en-GB"/>
              </w:rPr>
              <w:t> </w:t>
            </w:r>
          </w:p>
        </w:tc>
        <w:tc>
          <w:tcPr>
            <w:tcW w:w="623" w:type="pct"/>
            <w:hideMark/>
          </w:tcPr>
          <w:p>
            <w:pPr>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3.985.751 </w:t>
            </w:r>
            <w:r>
              <w:rPr>
                <w:rFonts w:ascii="Calibri" w:eastAsia="Times New Roman" w:hAnsi="Calibri" w:cs="Calibri"/>
                <w:noProof/>
                <w:color w:val="000000"/>
                <w:sz w:val="20"/>
                <w:szCs w:val="20"/>
                <w:lang w:eastAsia="en-GB"/>
              </w:rPr>
              <w:t> </w:t>
            </w:r>
          </w:p>
        </w:tc>
        <w:tc>
          <w:tcPr>
            <w:tcW w:w="623"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6.017.702 </w:t>
            </w:r>
            <w:r>
              <w:rPr>
                <w:rFonts w:ascii="Calibri" w:eastAsia="Times New Roman" w:hAnsi="Calibri" w:cs="Calibri"/>
                <w:noProof/>
                <w:color w:val="000000"/>
                <w:sz w:val="20"/>
                <w:szCs w:val="20"/>
                <w:lang w:eastAsia="en-GB"/>
              </w:rPr>
              <w:t> </w:t>
            </w:r>
          </w:p>
        </w:tc>
        <w:tc>
          <w:tcPr>
            <w:tcW w:w="571"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511.244 </w:t>
            </w:r>
            <w:r>
              <w:rPr>
                <w:rFonts w:ascii="Calibri" w:eastAsia="Times New Roman" w:hAnsi="Calibri" w:cs="Calibri"/>
                <w:noProof/>
                <w:color w:val="000000"/>
                <w:sz w:val="20"/>
                <w:szCs w:val="20"/>
                <w:lang w:eastAsia="en-GB"/>
              </w:rPr>
              <w:t> </w:t>
            </w:r>
          </w:p>
        </w:tc>
        <w:tc>
          <w:tcPr>
            <w:tcW w:w="571"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680.573 </w:t>
            </w:r>
            <w:r>
              <w:rPr>
                <w:rFonts w:ascii="Calibri" w:eastAsia="Times New Roman" w:hAnsi="Calibri" w:cs="Calibri"/>
                <w:noProof/>
                <w:color w:val="000000"/>
                <w:sz w:val="20"/>
                <w:szCs w:val="20"/>
                <w:lang w:eastAsia="en-GB"/>
              </w:rPr>
              <w:t> </w:t>
            </w:r>
          </w:p>
        </w:tc>
        <w:tc>
          <w:tcPr>
            <w:tcW w:w="49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186.696 </w:t>
            </w:r>
            <w:r>
              <w:rPr>
                <w:rFonts w:ascii="Calibri" w:eastAsia="Times New Roman" w:hAnsi="Calibri" w:cs="Calibri"/>
                <w:noProof/>
                <w:color w:val="000000"/>
                <w:sz w:val="20"/>
                <w:szCs w:val="20"/>
                <w:lang w:eastAsia="en-GB"/>
              </w:rPr>
              <w:t> </w:t>
            </w:r>
          </w:p>
        </w:tc>
        <w:tc>
          <w:tcPr>
            <w:tcW w:w="49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243.139 </w:t>
            </w:r>
            <w:r>
              <w:rPr>
                <w:rFonts w:ascii="Calibri" w:eastAsia="Times New Roman" w:hAnsi="Calibri" w:cs="Calibri"/>
                <w:noProof/>
                <w:color w:val="000000"/>
                <w:sz w:val="20"/>
                <w:szCs w:val="20"/>
                <w:lang w:eastAsia="en-GB"/>
              </w:rPr>
              <w:t>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PT</w:t>
            </w:r>
            <w:r>
              <w:rPr>
                <w:rFonts w:ascii="Calibri" w:eastAsia="Times New Roman" w:hAnsi="Calibri" w:cs="Calibri"/>
                <w:noProof/>
                <w:color w:val="000000"/>
                <w:sz w:val="20"/>
                <w:szCs w:val="20"/>
                <w:lang w:eastAsia="en-GB"/>
              </w:rPr>
              <w:t> </w:t>
            </w:r>
          </w:p>
        </w:tc>
        <w:tc>
          <w:tcPr>
            <w:tcW w:w="67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c>
          <w:tcPr>
            <w:tcW w:w="67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c>
          <w:tcPr>
            <w:tcW w:w="623" w:type="pct"/>
            <w:hideMark/>
          </w:tcPr>
          <w:p>
            <w:pPr>
              <w:jc w:val="right"/>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c>
          <w:tcPr>
            <w:tcW w:w="623"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c>
          <w:tcPr>
            <w:tcW w:w="571"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c>
          <w:tcPr>
            <w:tcW w:w="571"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c>
          <w:tcPr>
            <w:tcW w:w="49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c>
          <w:tcPr>
            <w:tcW w:w="49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r>
      <w:tr>
        <w:trPr>
          <w:trHeight w:val="300"/>
        </w:trPr>
        <w:tc>
          <w:tcPr>
            <w:cnfStyle w:val="001000000000" w:firstRow="0" w:lastRow="0" w:firstColumn="1" w:lastColumn="0" w:oddVBand="0" w:evenVBand="0" w:oddHBand="0" w:evenHBand="0" w:firstRowFirstColumn="0" w:firstRowLastColumn="0" w:lastRowFirstColumn="0" w:lastRowLastColumn="0"/>
            <w:tcW w:w="274"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RO</w:t>
            </w:r>
            <w:r>
              <w:rPr>
                <w:rFonts w:ascii="Calibri" w:eastAsia="Times New Roman" w:hAnsi="Calibri" w:cs="Calibri"/>
                <w:noProof/>
                <w:color w:val="000000"/>
                <w:sz w:val="20"/>
                <w:szCs w:val="20"/>
                <w:lang w:eastAsia="en-GB"/>
              </w:rPr>
              <w:t> </w:t>
            </w:r>
          </w:p>
        </w:tc>
        <w:tc>
          <w:tcPr>
            <w:tcW w:w="67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6.152.899 </w:t>
            </w:r>
            <w:r>
              <w:rPr>
                <w:rFonts w:ascii="Calibri" w:eastAsia="Times New Roman" w:hAnsi="Calibri" w:cs="Calibri"/>
                <w:noProof/>
                <w:color w:val="000000"/>
                <w:sz w:val="20"/>
                <w:szCs w:val="20"/>
                <w:lang w:eastAsia="en-GB"/>
              </w:rPr>
              <w:t> </w:t>
            </w:r>
          </w:p>
        </w:tc>
        <w:tc>
          <w:tcPr>
            <w:tcW w:w="67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8.972.978 </w:t>
            </w:r>
            <w:r>
              <w:rPr>
                <w:rFonts w:ascii="Calibri" w:eastAsia="Times New Roman" w:hAnsi="Calibri" w:cs="Calibri"/>
                <w:noProof/>
                <w:color w:val="000000"/>
                <w:sz w:val="20"/>
                <w:szCs w:val="20"/>
                <w:lang w:eastAsia="en-GB"/>
              </w:rPr>
              <w:t> </w:t>
            </w:r>
          </w:p>
        </w:tc>
        <w:tc>
          <w:tcPr>
            <w:tcW w:w="623" w:type="pct"/>
            <w:hideMark/>
          </w:tcPr>
          <w:p>
            <w:pPr>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1.206.041 </w:t>
            </w:r>
            <w:r>
              <w:rPr>
                <w:rFonts w:ascii="Calibri" w:eastAsia="Times New Roman" w:hAnsi="Calibri" w:cs="Calibri"/>
                <w:noProof/>
                <w:color w:val="000000"/>
                <w:sz w:val="20"/>
                <w:szCs w:val="20"/>
                <w:lang w:eastAsia="en-GB"/>
              </w:rPr>
              <w:t> </w:t>
            </w:r>
          </w:p>
        </w:tc>
        <w:tc>
          <w:tcPr>
            <w:tcW w:w="623"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1.820.885 </w:t>
            </w:r>
            <w:r>
              <w:rPr>
                <w:rFonts w:ascii="Calibri" w:eastAsia="Times New Roman" w:hAnsi="Calibri" w:cs="Calibri"/>
                <w:noProof/>
                <w:color w:val="000000"/>
                <w:sz w:val="20"/>
                <w:szCs w:val="20"/>
                <w:lang w:eastAsia="en-GB"/>
              </w:rPr>
              <w:t> </w:t>
            </w:r>
          </w:p>
        </w:tc>
        <w:tc>
          <w:tcPr>
            <w:tcW w:w="571"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154.696 </w:t>
            </w:r>
            <w:r>
              <w:rPr>
                <w:rFonts w:ascii="Calibri" w:eastAsia="Times New Roman" w:hAnsi="Calibri" w:cs="Calibri"/>
                <w:noProof/>
                <w:color w:val="000000"/>
                <w:sz w:val="20"/>
                <w:szCs w:val="20"/>
                <w:lang w:eastAsia="en-GB"/>
              </w:rPr>
              <w:t> </w:t>
            </w:r>
          </w:p>
        </w:tc>
        <w:tc>
          <w:tcPr>
            <w:tcW w:w="571"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205.933 </w:t>
            </w:r>
            <w:r>
              <w:rPr>
                <w:rFonts w:ascii="Calibri" w:eastAsia="Times New Roman" w:hAnsi="Calibri" w:cs="Calibri"/>
                <w:noProof/>
                <w:color w:val="000000"/>
                <w:sz w:val="20"/>
                <w:szCs w:val="20"/>
                <w:lang w:eastAsia="en-GB"/>
              </w:rPr>
              <w:t> </w:t>
            </w:r>
          </w:p>
        </w:tc>
        <w:tc>
          <w:tcPr>
            <w:tcW w:w="49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56.492 </w:t>
            </w:r>
            <w:r>
              <w:rPr>
                <w:rFonts w:ascii="Calibri" w:eastAsia="Times New Roman" w:hAnsi="Calibri" w:cs="Calibri"/>
                <w:noProof/>
                <w:color w:val="000000"/>
                <w:sz w:val="20"/>
                <w:szCs w:val="20"/>
                <w:lang w:eastAsia="en-GB"/>
              </w:rPr>
              <w:t> </w:t>
            </w:r>
          </w:p>
        </w:tc>
        <w:tc>
          <w:tcPr>
            <w:tcW w:w="49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73.571 </w:t>
            </w:r>
            <w:r>
              <w:rPr>
                <w:rFonts w:ascii="Calibri" w:eastAsia="Times New Roman" w:hAnsi="Calibri" w:cs="Calibri"/>
                <w:noProof/>
                <w:color w:val="000000"/>
                <w:sz w:val="20"/>
                <w:szCs w:val="20"/>
                <w:lang w:eastAsia="en-GB"/>
              </w:rPr>
              <w:t>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SE</w:t>
            </w:r>
            <w:r>
              <w:rPr>
                <w:rFonts w:ascii="Calibri" w:eastAsia="Times New Roman" w:hAnsi="Calibri" w:cs="Calibri"/>
                <w:noProof/>
                <w:color w:val="000000"/>
                <w:sz w:val="20"/>
                <w:szCs w:val="20"/>
                <w:lang w:eastAsia="en-GB"/>
              </w:rPr>
              <w:t> </w:t>
            </w:r>
          </w:p>
        </w:tc>
        <w:tc>
          <w:tcPr>
            <w:tcW w:w="67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c>
          <w:tcPr>
            <w:tcW w:w="67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c>
          <w:tcPr>
            <w:tcW w:w="623" w:type="pct"/>
            <w:hideMark/>
          </w:tcPr>
          <w:p>
            <w:pPr>
              <w:jc w:val="right"/>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c>
          <w:tcPr>
            <w:tcW w:w="623"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c>
          <w:tcPr>
            <w:tcW w:w="571"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c>
          <w:tcPr>
            <w:tcW w:w="571"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c>
          <w:tcPr>
            <w:tcW w:w="49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c>
          <w:tcPr>
            <w:tcW w:w="49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0 </w:t>
            </w:r>
            <w:r>
              <w:rPr>
                <w:rFonts w:ascii="Calibri" w:eastAsia="Times New Roman" w:hAnsi="Calibri" w:cs="Calibri"/>
                <w:noProof/>
                <w:color w:val="000000"/>
                <w:sz w:val="20"/>
                <w:szCs w:val="20"/>
                <w:lang w:eastAsia="en-GB"/>
              </w:rPr>
              <w:t> </w:t>
            </w:r>
          </w:p>
        </w:tc>
      </w:tr>
      <w:tr>
        <w:trPr>
          <w:trHeight w:val="300"/>
        </w:trPr>
        <w:tc>
          <w:tcPr>
            <w:cnfStyle w:val="001000000000" w:firstRow="0" w:lastRow="0" w:firstColumn="1" w:lastColumn="0" w:oddVBand="0" w:evenVBand="0" w:oddHBand="0" w:evenHBand="0" w:firstRowFirstColumn="0" w:firstRowLastColumn="0" w:lastRowFirstColumn="0" w:lastRowLastColumn="0"/>
            <w:tcW w:w="274"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SI</w:t>
            </w:r>
            <w:r>
              <w:rPr>
                <w:rFonts w:ascii="Calibri" w:eastAsia="Times New Roman" w:hAnsi="Calibri" w:cs="Calibri"/>
                <w:noProof/>
                <w:color w:val="000000"/>
                <w:sz w:val="20"/>
                <w:szCs w:val="20"/>
                <w:lang w:eastAsia="en-GB"/>
              </w:rPr>
              <w:t> </w:t>
            </w:r>
          </w:p>
        </w:tc>
        <w:tc>
          <w:tcPr>
            <w:tcW w:w="67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2.460.152 </w:t>
            </w:r>
            <w:r>
              <w:rPr>
                <w:rFonts w:ascii="Calibri" w:eastAsia="Times New Roman" w:hAnsi="Calibri" w:cs="Calibri"/>
                <w:noProof/>
                <w:color w:val="000000"/>
                <w:sz w:val="20"/>
                <w:szCs w:val="20"/>
                <w:lang w:eastAsia="en-GB"/>
              </w:rPr>
              <w:t> </w:t>
            </w:r>
          </w:p>
        </w:tc>
        <w:tc>
          <w:tcPr>
            <w:tcW w:w="67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3.587.721 </w:t>
            </w:r>
            <w:r>
              <w:rPr>
                <w:rFonts w:ascii="Calibri" w:eastAsia="Times New Roman" w:hAnsi="Calibri" w:cs="Calibri"/>
                <w:noProof/>
                <w:color w:val="000000"/>
                <w:sz w:val="20"/>
                <w:szCs w:val="20"/>
                <w:lang w:eastAsia="en-GB"/>
              </w:rPr>
              <w:t> </w:t>
            </w:r>
          </w:p>
        </w:tc>
        <w:tc>
          <w:tcPr>
            <w:tcW w:w="623" w:type="pct"/>
            <w:hideMark/>
          </w:tcPr>
          <w:p>
            <w:pPr>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463.737 </w:t>
            </w:r>
            <w:r>
              <w:rPr>
                <w:rFonts w:ascii="Calibri" w:eastAsia="Times New Roman" w:hAnsi="Calibri" w:cs="Calibri"/>
                <w:noProof/>
                <w:color w:val="000000"/>
                <w:sz w:val="20"/>
                <w:szCs w:val="20"/>
                <w:lang w:eastAsia="en-GB"/>
              </w:rPr>
              <w:t> </w:t>
            </w:r>
          </w:p>
        </w:tc>
        <w:tc>
          <w:tcPr>
            <w:tcW w:w="623"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700.152 </w:t>
            </w:r>
            <w:r>
              <w:rPr>
                <w:rFonts w:ascii="Calibri" w:eastAsia="Times New Roman" w:hAnsi="Calibri" w:cs="Calibri"/>
                <w:noProof/>
                <w:color w:val="000000"/>
                <w:sz w:val="20"/>
                <w:szCs w:val="20"/>
                <w:lang w:eastAsia="en-GB"/>
              </w:rPr>
              <w:t> </w:t>
            </w:r>
          </w:p>
        </w:tc>
        <w:tc>
          <w:tcPr>
            <w:tcW w:w="571"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59.483 </w:t>
            </w:r>
            <w:r>
              <w:rPr>
                <w:rFonts w:ascii="Calibri" w:eastAsia="Times New Roman" w:hAnsi="Calibri" w:cs="Calibri"/>
                <w:noProof/>
                <w:color w:val="000000"/>
                <w:sz w:val="20"/>
                <w:szCs w:val="20"/>
                <w:lang w:eastAsia="en-GB"/>
              </w:rPr>
              <w:t> </w:t>
            </w:r>
          </w:p>
        </w:tc>
        <w:tc>
          <w:tcPr>
            <w:tcW w:w="571"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79.184 </w:t>
            </w:r>
            <w:r>
              <w:rPr>
                <w:rFonts w:ascii="Calibri" w:eastAsia="Times New Roman" w:hAnsi="Calibri" w:cs="Calibri"/>
                <w:noProof/>
                <w:color w:val="000000"/>
                <w:sz w:val="20"/>
                <w:szCs w:val="20"/>
                <w:lang w:eastAsia="en-GB"/>
              </w:rPr>
              <w:t> </w:t>
            </w:r>
          </w:p>
        </w:tc>
        <w:tc>
          <w:tcPr>
            <w:tcW w:w="49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21.722 </w:t>
            </w:r>
            <w:r>
              <w:rPr>
                <w:rFonts w:ascii="Calibri" w:eastAsia="Times New Roman" w:hAnsi="Calibri" w:cs="Calibri"/>
                <w:noProof/>
                <w:color w:val="000000"/>
                <w:sz w:val="20"/>
                <w:szCs w:val="20"/>
                <w:lang w:eastAsia="en-GB"/>
              </w:rPr>
              <w:t> </w:t>
            </w:r>
          </w:p>
        </w:tc>
        <w:tc>
          <w:tcPr>
            <w:tcW w:w="49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28.289 </w:t>
            </w:r>
            <w:r>
              <w:rPr>
                <w:rFonts w:ascii="Calibri" w:eastAsia="Times New Roman" w:hAnsi="Calibri" w:cs="Calibri"/>
                <w:noProof/>
                <w:color w:val="000000"/>
                <w:sz w:val="20"/>
                <w:szCs w:val="20"/>
                <w:lang w:eastAsia="en-GB"/>
              </w:rPr>
              <w:t>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SK</w:t>
            </w:r>
            <w:r>
              <w:rPr>
                <w:rFonts w:ascii="Calibri" w:eastAsia="Times New Roman" w:hAnsi="Calibri" w:cs="Calibri"/>
                <w:noProof/>
                <w:color w:val="000000"/>
                <w:sz w:val="20"/>
                <w:szCs w:val="20"/>
                <w:lang w:eastAsia="en-GB"/>
              </w:rPr>
              <w:t> </w:t>
            </w:r>
          </w:p>
        </w:tc>
        <w:tc>
          <w:tcPr>
            <w:tcW w:w="67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2.793.616 </w:t>
            </w:r>
            <w:r>
              <w:rPr>
                <w:rFonts w:ascii="Calibri" w:eastAsia="Times New Roman" w:hAnsi="Calibri" w:cs="Calibri"/>
                <w:noProof/>
                <w:color w:val="000000"/>
                <w:sz w:val="20"/>
                <w:szCs w:val="20"/>
                <w:lang w:eastAsia="en-GB"/>
              </w:rPr>
              <w:t> </w:t>
            </w:r>
          </w:p>
        </w:tc>
        <w:tc>
          <w:tcPr>
            <w:tcW w:w="67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4.074.024 </w:t>
            </w:r>
            <w:r>
              <w:rPr>
                <w:rFonts w:ascii="Calibri" w:eastAsia="Times New Roman" w:hAnsi="Calibri" w:cs="Calibri"/>
                <w:noProof/>
                <w:color w:val="000000"/>
                <w:sz w:val="20"/>
                <w:szCs w:val="20"/>
                <w:lang w:eastAsia="en-GB"/>
              </w:rPr>
              <w:t> </w:t>
            </w:r>
          </w:p>
        </w:tc>
        <w:tc>
          <w:tcPr>
            <w:tcW w:w="623" w:type="pct"/>
            <w:hideMark/>
          </w:tcPr>
          <w:p>
            <w:pPr>
              <w:jc w:val="right"/>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616.639 </w:t>
            </w:r>
            <w:r>
              <w:rPr>
                <w:rFonts w:ascii="Calibri" w:eastAsia="Times New Roman" w:hAnsi="Calibri" w:cs="Calibri"/>
                <w:noProof/>
                <w:color w:val="000000"/>
                <w:sz w:val="20"/>
                <w:szCs w:val="20"/>
                <w:lang w:eastAsia="en-GB"/>
              </w:rPr>
              <w:t> </w:t>
            </w:r>
          </w:p>
        </w:tc>
        <w:tc>
          <w:tcPr>
            <w:tcW w:w="623"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931.004 </w:t>
            </w:r>
            <w:r>
              <w:rPr>
                <w:rFonts w:ascii="Calibri" w:eastAsia="Times New Roman" w:hAnsi="Calibri" w:cs="Calibri"/>
                <w:noProof/>
                <w:color w:val="000000"/>
                <w:sz w:val="20"/>
                <w:szCs w:val="20"/>
                <w:lang w:eastAsia="en-GB"/>
              </w:rPr>
              <w:t> </w:t>
            </w:r>
          </w:p>
        </w:tc>
        <w:tc>
          <w:tcPr>
            <w:tcW w:w="571"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79.095 </w:t>
            </w:r>
            <w:r>
              <w:rPr>
                <w:rFonts w:ascii="Calibri" w:eastAsia="Times New Roman" w:hAnsi="Calibri" w:cs="Calibri"/>
                <w:noProof/>
                <w:color w:val="000000"/>
                <w:sz w:val="20"/>
                <w:szCs w:val="20"/>
                <w:lang w:eastAsia="en-GB"/>
              </w:rPr>
              <w:t> </w:t>
            </w:r>
          </w:p>
        </w:tc>
        <w:tc>
          <w:tcPr>
            <w:tcW w:w="571"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105.292 </w:t>
            </w:r>
            <w:r>
              <w:rPr>
                <w:rFonts w:ascii="Calibri" w:eastAsia="Times New Roman" w:hAnsi="Calibri" w:cs="Calibri"/>
                <w:noProof/>
                <w:color w:val="000000"/>
                <w:sz w:val="20"/>
                <w:szCs w:val="20"/>
                <w:lang w:eastAsia="en-GB"/>
              </w:rPr>
              <w:t> </w:t>
            </w:r>
          </w:p>
        </w:tc>
        <w:tc>
          <w:tcPr>
            <w:tcW w:w="49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28.884 </w:t>
            </w:r>
            <w:r>
              <w:rPr>
                <w:rFonts w:ascii="Calibri" w:eastAsia="Times New Roman" w:hAnsi="Calibri" w:cs="Calibri"/>
                <w:noProof/>
                <w:color w:val="000000"/>
                <w:sz w:val="20"/>
                <w:szCs w:val="20"/>
                <w:lang w:eastAsia="en-GB"/>
              </w:rPr>
              <w:t> </w:t>
            </w:r>
          </w:p>
        </w:tc>
        <w:tc>
          <w:tcPr>
            <w:tcW w:w="49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 xml:space="preserve">37.616 </w:t>
            </w:r>
            <w:r>
              <w:rPr>
                <w:rFonts w:ascii="Calibri" w:eastAsia="Times New Roman" w:hAnsi="Calibri" w:cs="Calibri"/>
                <w:noProof/>
                <w:color w:val="000000"/>
                <w:sz w:val="20"/>
                <w:szCs w:val="20"/>
                <w:lang w:eastAsia="en-GB"/>
              </w:rPr>
              <w:t> </w:t>
            </w:r>
          </w:p>
        </w:tc>
      </w:tr>
      <w:tr>
        <w:trPr>
          <w:trHeight w:val="862"/>
        </w:trPr>
        <w:tc>
          <w:tcPr>
            <w:cnfStyle w:val="001000000000" w:firstRow="0" w:lastRow="0" w:firstColumn="1" w:lastColumn="0" w:oddVBand="0" w:evenVBand="0" w:oddHBand="0" w:evenHBand="0" w:firstRowFirstColumn="0" w:firstRowLastColumn="0" w:lastRowFirstColumn="0" w:lastRowLastColumn="0"/>
            <w:tcW w:w="5000" w:type="pct"/>
            <w:gridSpan w:val="9"/>
          </w:tcPr>
          <w:p>
            <w:pPr>
              <w:rPr>
                <w:rFonts w:ascii="Times New Roman" w:hAnsi="Times New Roman" w:cs="Times New Roman"/>
                <w:b w:val="0"/>
                <w:i/>
                <w:noProof/>
                <w:color w:val="auto"/>
                <w:sz w:val="20"/>
                <w:szCs w:val="20"/>
              </w:rPr>
            </w:pPr>
            <w:r>
              <w:rPr>
                <w:rFonts w:ascii="Times New Roman" w:hAnsi="Times New Roman" w:cs="Times New Roman"/>
                <w:i/>
                <w:iCs/>
                <w:noProof/>
                <w:sz w:val="20"/>
                <w:szCs w:val="20"/>
              </w:rPr>
              <w:t>Source: own calculations on Eurostat data</w:t>
            </w:r>
          </w:p>
          <w:p>
            <w:pPr>
              <w:ind w:right="-1305"/>
              <w:rPr>
                <w:rFonts w:ascii="Calibri" w:eastAsia="Times New Roman" w:hAnsi="Calibri" w:cs="Calibri"/>
                <w:noProof/>
                <w:color w:val="000000"/>
                <w:sz w:val="20"/>
                <w:szCs w:val="20"/>
                <w:lang w:eastAsia="en-GB"/>
              </w:rPr>
            </w:pPr>
            <w:r>
              <w:rPr>
                <w:rFonts w:ascii="Times New Roman" w:hAnsi="Times New Roman" w:cs="Times New Roman"/>
                <w:i/>
                <w:iCs/>
                <w:noProof/>
                <w:sz w:val="20"/>
                <w:szCs w:val="20"/>
              </w:rPr>
              <w:t>Note: costs take into account existing measures in the</w:t>
            </w:r>
            <w:r>
              <w:rPr>
                <w:i/>
                <w:iCs/>
                <w:noProof/>
                <w:sz w:val="20"/>
                <w:szCs w:val="20"/>
              </w:rPr>
              <w:t xml:space="preserve"> </w:t>
            </w:r>
            <w:r>
              <w:rPr>
                <w:rFonts w:ascii="Times New Roman" w:hAnsi="Times New Roman" w:cs="Times New Roman"/>
                <w:i/>
                <w:iCs/>
                <w:noProof/>
                <w:sz w:val="20"/>
                <w:szCs w:val="20"/>
              </w:rPr>
              <w:t xml:space="preserve">Member States. Microenterprises are excluded – </w:t>
            </w:r>
            <w:r>
              <w:rPr>
                <w:rFonts w:ascii="Times New Roman" w:hAnsi="Times New Roman" w:cs="Times New Roman"/>
                <w:i/>
                <w:noProof/>
                <w:sz w:val="20"/>
                <w:szCs w:val="20"/>
              </w:rPr>
              <w:br/>
            </w:r>
            <w:r>
              <w:rPr>
                <w:rFonts w:ascii="Times New Roman" w:hAnsi="Times New Roman" w:cs="Times New Roman"/>
                <w:i/>
                <w:iCs/>
                <w:noProof/>
                <w:sz w:val="20"/>
                <w:szCs w:val="20"/>
              </w:rPr>
              <w:t>Costs for the joint pay assessment under option 2C are the same for employers with more than 250 employees</w:t>
            </w:r>
          </w:p>
        </w:tc>
      </w:tr>
    </w:tbl>
    <w:p>
      <w:pPr>
        <w:rPr>
          <w:rFonts w:ascii="Times New Roman" w:hAnsi="Times New Roman" w:cs="Times New Roman"/>
          <w:noProof/>
          <w:sz w:val="24"/>
          <w:szCs w:val="24"/>
        </w:rPr>
      </w:pPr>
    </w:p>
    <w:p>
      <w:pPr>
        <w:rPr>
          <w:rFonts w:ascii="Times New Roman" w:hAnsi="Times New Roman" w:cs="Times New Roman"/>
          <w:noProof/>
          <w:sz w:val="24"/>
          <w:szCs w:val="24"/>
        </w:rPr>
        <w:sectPr>
          <w:headerReference w:type="even" r:id="rId193"/>
          <w:headerReference w:type="default" r:id="rId194"/>
          <w:footerReference w:type="even" r:id="rId195"/>
          <w:footerReference w:type="default" r:id="rId196"/>
          <w:headerReference w:type="first" r:id="rId197"/>
          <w:footerReference w:type="first" r:id="rId198"/>
          <w:pgSz w:w="11906" w:h="16838"/>
          <w:pgMar w:top="1020" w:right="1701" w:bottom="1020" w:left="1587" w:header="601" w:footer="1077" w:gutter="0"/>
          <w:cols w:space="720"/>
          <w:titlePg/>
          <w:docGrid w:linePitch="299"/>
        </w:sectPr>
      </w:pPr>
    </w:p>
    <w:tbl>
      <w:tblPr>
        <w:tblStyle w:val="GridTable5DarkAccent6"/>
        <w:tblW w:w="5000" w:type="pct"/>
        <w:tblLayout w:type="fixed"/>
        <w:tblLook w:val="04A0" w:firstRow="1" w:lastRow="0" w:firstColumn="1" w:lastColumn="0" w:noHBand="0" w:noVBand="1"/>
      </w:tblPr>
      <w:tblGrid>
        <w:gridCol w:w="512"/>
        <w:gridCol w:w="1046"/>
        <w:gridCol w:w="1141"/>
        <w:gridCol w:w="1046"/>
        <w:gridCol w:w="1184"/>
        <w:gridCol w:w="1030"/>
        <w:gridCol w:w="970"/>
        <w:gridCol w:w="926"/>
        <w:gridCol w:w="979"/>
      </w:tblGrid>
      <w:tr>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9"/>
            <w:hideMark/>
          </w:tcPr>
          <w:p>
            <w:pPr>
              <w:textAlignment w:val="baseline"/>
              <w:rPr>
                <w:rFonts w:ascii="Calibri" w:eastAsia="Times New Roman" w:hAnsi="Calibri" w:cs="Calibri"/>
                <w:noProof/>
                <w:color w:val="auto"/>
                <w:sz w:val="20"/>
                <w:szCs w:val="20"/>
                <w:lang w:val="en-US" w:eastAsia="en-GB"/>
              </w:rPr>
            </w:pPr>
            <w:r>
              <w:rPr>
                <w:rFonts w:ascii="Calibri" w:eastAsia="Times New Roman" w:hAnsi="Calibri" w:cs="Calibri"/>
                <w:noProof/>
                <w:color w:val="auto"/>
                <w:sz w:val="20"/>
                <w:szCs w:val="20"/>
                <w:lang w:val="en-US" w:eastAsia="en-GB"/>
              </w:rPr>
              <w:t>Sub-option 2c – Bazsic Pay reporting - cost per MS and class-size – </w:t>
            </w:r>
          </w:p>
          <w:p>
            <w:pPr>
              <w:textAlignment w:val="baseline"/>
              <w:rPr>
                <w:rFonts w:ascii="Segoe UI" w:eastAsia="Times New Roman" w:hAnsi="Segoe UI" w:cs="Segoe UI"/>
                <w:noProof/>
                <w:color w:val="auto"/>
                <w:sz w:val="20"/>
                <w:szCs w:val="20"/>
                <w:lang w:eastAsia="en-GB"/>
              </w:rPr>
            </w:pPr>
            <w:r>
              <w:rPr>
                <w:rFonts w:ascii="Calibri" w:eastAsia="Times New Roman" w:hAnsi="Calibri" w:cs="Calibri"/>
                <w:noProof/>
                <w:color w:val="auto"/>
                <w:sz w:val="20"/>
                <w:szCs w:val="20"/>
                <w:lang w:val="en-US" w:eastAsia="en-GB"/>
              </w:rPr>
              <w:t>Minimun and maximum - Euro</w:t>
            </w:r>
            <w:r>
              <w:rPr>
                <w:rFonts w:ascii="Calibri" w:eastAsia="Times New Roman" w:hAnsi="Calibri" w:cs="Calibri"/>
                <w:noProof/>
                <w:color w:val="auto"/>
                <w:sz w:val="20"/>
                <w:szCs w:val="20"/>
                <w:lang w:eastAsia="en-GB"/>
              </w:rPr>
              <w:t> </w:t>
            </w:r>
            <w:r>
              <w:rPr>
                <w:rFonts w:ascii="Calibri" w:eastAsia="Times New Roman" w:hAnsi="Calibri" w:cs="Calibri"/>
                <w:noProof/>
                <w:color w:val="auto"/>
                <w:sz w:val="20"/>
                <w:szCs w:val="20"/>
                <w:lang w:val="en-US" w:eastAsia="en-GB"/>
              </w:rPr>
              <w:t> </w:t>
            </w:r>
            <w:r>
              <w:rPr>
                <w:rFonts w:ascii="Calibri" w:eastAsia="Times New Roman" w:hAnsi="Calibri" w:cs="Calibri"/>
                <w:noProof/>
                <w:color w:val="auto"/>
                <w:sz w:val="20"/>
                <w:szCs w:val="20"/>
                <w:lang w:eastAsia="en-GB"/>
              </w:rPr>
              <w:t> </w:t>
            </w:r>
            <w:r>
              <w:rPr>
                <w:rFonts w:ascii="Calibri" w:eastAsia="Times New Roman" w:hAnsi="Calibri" w:cs="Calibri"/>
                <w:noProof/>
                <w:color w:val="auto"/>
                <w:sz w:val="20"/>
                <w:szCs w:val="20"/>
                <w:lang w:val="en-US" w:eastAsia="en-GB"/>
              </w:rPr>
              <w:t> </w:t>
            </w:r>
            <w:r>
              <w:rPr>
                <w:rFonts w:ascii="Calibri" w:eastAsia="Times New Roman" w:hAnsi="Calibri" w:cs="Calibri"/>
                <w:noProof/>
                <w:color w:val="auto"/>
                <w:sz w:val="20"/>
                <w:szCs w:val="20"/>
                <w:lang w:eastAsia="en-GB"/>
              </w:rPr>
              <w:t>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FFFFFF"/>
                <w:sz w:val="20"/>
                <w:szCs w:val="20"/>
                <w:lang w:val="en-US" w:eastAsia="en-GB"/>
              </w:rPr>
              <w:t> </w:t>
            </w:r>
            <w:r>
              <w:rPr>
                <w:rFonts w:ascii="Calibri" w:eastAsia="Times New Roman" w:hAnsi="Calibri" w:cs="Calibri"/>
                <w:noProof/>
                <w:color w:val="FFFFFF"/>
                <w:sz w:val="20"/>
                <w:szCs w:val="20"/>
                <w:lang w:eastAsia="en-GB"/>
              </w:rPr>
              <w:t> </w:t>
            </w:r>
          </w:p>
        </w:tc>
        <w:tc>
          <w:tcPr>
            <w:tcW w:w="1238" w:type="pct"/>
            <w:gridSpan w:val="2"/>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noProof/>
                <w:sz w:val="20"/>
                <w:szCs w:val="20"/>
                <w:lang w:eastAsia="en-GB"/>
              </w:rPr>
            </w:pPr>
            <w:r>
              <w:rPr>
                <w:rFonts w:ascii="Calibri" w:eastAsia="Times New Roman" w:hAnsi="Calibri" w:cs="Calibri"/>
                <w:b/>
                <w:noProof/>
                <w:sz w:val="20"/>
                <w:szCs w:val="20"/>
                <w:lang w:eastAsia="en-GB"/>
              </w:rPr>
              <w:t>50≤N&lt;250 </w:t>
            </w:r>
          </w:p>
        </w:tc>
        <w:tc>
          <w:tcPr>
            <w:tcW w:w="1262" w:type="pct"/>
            <w:gridSpan w:val="2"/>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noProof/>
                <w:sz w:val="20"/>
                <w:szCs w:val="20"/>
                <w:lang w:eastAsia="en-GB"/>
              </w:rPr>
            </w:pPr>
            <w:r>
              <w:rPr>
                <w:rFonts w:ascii="Calibri" w:eastAsia="Times New Roman" w:hAnsi="Calibri" w:cs="Calibri"/>
                <w:b/>
                <w:noProof/>
                <w:sz w:val="20"/>
                <w:szCs w:val="20"/>
                <w:lang w:eastAsia="en-GB"/>
              </w:rPr>
              <w:t>250≤N&lt;5</w:t>
            </w:r>
            <w:r>
              <w:rPr>
                <w:rFonts w:ascii="Calibri" w:eastAsia="Times New Roman" w:hAnsi="Calibri" w:cs="Calibri"/>
                <w:b/>
                <w:noProof/>
                <w:sz w:val="20"/>
                <w:szCs w:val="20"/>
                <w:lang w:val="fr-FR" w:eastAsia="en-GB"/>
              </w:rPr>
              <w:t>00</w:t>
            </w:r>
            <w:r>
              <w:rPr>
                <w:rFonts w:ascii="Calibri" w:eastAsia="Times New Roman" w:hAnsi="Calibri" w:cs="Calibri"/>
                <w:b/>
                <w:noProof/>
                <w:sz w:val="20"/>
                <w:szCs w:val="20"/>
                <w:lang w:eastAsia="en-GB"/>
              </w:rPr>
              <w:t> </w:t>
            </w:r>
          </w:p>
        </w:tc>
        <w:tc>
          <w:tcPr>
            <w:tcW w:w="1132" w:type="pct"/>
            <w:gridSpan w:val="2"/>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noProof/>
                <w:sz w:val="20"/>
                <w:szCs w:val="20"/>
                <w:lang w:eastAsia="en-GB"/>
              </w:rPr>
            </w:pPr>
            <w:r>
              <w:rPr>
                <w:rFonts w:ascii="Calibri" w:eastAsia="Times New Roman" w:hAnsi="Calibri" w:cs="Calibri"/>
                <w:b/>
                <w:noProof/>
                <w:sz w:val="20"/>
                <w:szCs w:val="20"/>
                <w:lang w:val="fr-FR" w:eastAsia="en-GB"/>
              </w:rPr>
              <w:t>500≤N&lt;1000</w:t>
            </w:r>
            <w:r>
              <w:rPr>
                <w:rFonts w:ascii="Calibri" w:eastAsia="Times New Roman" w:hAnsi="Calibri" w:cs="Calibri"/>
                <w:b/>
                <w:noProof/>
                <w:sz w:val="20"/>
                <w:szCs w:val="20"/>
                <w:lang w:eastAsia="en-GB"/>
              </w:rPr>
              <w:t> </w:t>
            </w:r>
          </w:p>
        </w:tc>
        <w:tc>
          <w:tcPr>
            <w:tcW w:w="1078" w:type="pct"/>
            <w:gridSpan w:val="2"/>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noProof/>
                <w:sz w:val="20"/>
                <w:szCs w:val="20"/>
                <w:lang w:eastAsia="en-GB"/>
              </w:rPr>
            </w:pPr>
            <w:r>
              <w:rPr>
                <w:rFonts w:ascii="Calibri" w:eastAsia="Times New Roman" w:hAnsi="Calibri" w:cs="Calibri"/>
                <w:b/>
                <w:noProof/>
                <w:sz w:val="20"/>
                <w:szCs w:val="20"/>
                <w:lang w:val="fr-FR" w:eastAsia="en-GB"/>
              </w:rPr>
              <w:t>N≥1000</w:t>
            </w:r>
            <w:r>
              <w:rPr>
                <w:rFonts w:ascii="Calibri" w:eastAsia="Times New Roman" w:hAnsi="Calibri" w:cs="Calibri"/>
                <w:b/>
                <w:noProof/>
                <w:sz w:val="20"/>
                <w:szCs w:val="20"/>
                <w:lang w:eastAsia="en-GB"/>
              </w:rPr>
              <w:t> </w:t>
            </w:r>
          </w:p>
        </w:tc>
      </w:tr>
      <w:tr>
        <w:trPr>
          <w:trHeight w:val="300"/>
        </w:trPr>
        <w:tc>
          <w:tcPr>
            <w:cnfStyle w:val="001000000000" w:firstRow="0" w:lastRow="0" w:firstColumn="1" w:lastColumn="0" w:oddVBand="0" w:evenVBand="0" w:oddHBand="0" w:evenHBand="0" w:firstRowFirstColumn="0" w:firstRowLastColumn="0" w:lastRowFirstColumn="0" w:lastRowLastColumn="0"/>
            <w:tcW w:w="290"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FFFFFF"/>
                <w:sz w:val="20"/>
                <w:szCs w:val="20"/>
                <w:lang w:val="fr-FR" w:eastAsia="en-GB"/>
              </w:rPr>
              <w:t> </w:t>
            </w:r>
            <w:r>
              <w:rPr>
                <w:rFonts w:ascii="Calibri" w:eastAsia="Times New Roman" w:hAnsi="Calibri" w:cs="Calibri"/>
                <w:noProof/>
                <w:color w:val="FFFFFF"/>
                <w:sz w:val="20"/>
                <w:szCs w:val="20"/>
                <w:lang w:eastAsia="en-GB"/>
              </w:rPr>
              <w:t> </w:t>
            </w:r>
          </w:p>
        </w:tc>
        <w:tc>
          <w:tcPr>
            <w:tcW w:w="592"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noProof/>
                <w:sz w:val="20"/>
                <w:szCs w:val="20"/>
                <w:lang w:eastAsia="en-GB"/>
              </w:rPr>
            </w:pPr>
            <w:r>
              <w:rPr>
                <w:rFonts w:ascii="Calibri" w:eastAsia="Times New Roman" w:hAnsi="Calibri" w:cs="Calibri"/>
                <w:b/>
                <w:noProof/>
                <w:sz w:val="20"/>
                <w:szCs w:val="20"/>
                <w:lang w:val="fr-FR" w:eastAsia="en-GB"/>
              </w:rPr>
              <w:t>Min</w:t>
            </w:r>
            <w:r>
              <w:rPr>
                <w:rFonts w:ascii="Calibri" w:eastAsia="Times New Roman" w:hAnsi="Calibri" w:cs="Calibri"/>
                <w:b/>
                <w:noProof/>
                <w:sz w:val="20"/>
                <w:szCs w:val="20"/>
                <w:lang w:eastAsia="en-GB"/>
              </w:rPr>
              <w:t> </w:t>
            </w:r>
          </w:p>
        </w:tc>
        <w:tc>
          <w:tcPr>
            <w:tcW w:w="646"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noProof/>
                <w:sz w:val="20"/>
                <w:szCs w:val="20"/>
                <w:lang w:eastAsia="en-GB"/>
              </w:rPr>
            </w:pPr>
            <w:r>
              <w:rPr>
                <w:rFonts w:ascii="Calibri" w:eastAsia="Times New Roman" w:hAnsi="Calibri" w:cs="Calibri"/>
                <w:b/>
                <w:noProof/>
                <w:sz w:val="20"/>
                <w:szCs w:val="20"/>
                <w:lang w:val="fr-FR" w:eastAsia="en-GB"/>
              </w:rPr>
              <w:t>Max</w:t>
            </w:r>
            <w:r>
              <w:rPr>
                <w:rFonts w:ascii="Calibri" w:eastAsia="Times New Roman" w:hAnsi="Calibri" w:cs="Calibri"/>
                <w:b/>
                <w:noProof/>
                <w:sz w:val="20"/>
                <w:szCs w:val="20"/>
                <w:lang w:eastAsia="en-GB"/>
              </w:rPr>
              <w:t> </w:t>
            </w:r>
          </w:p>
        </w:tc>
        <w:tc>
          <w:tcPr>
            <w:tcW w:w="592"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noProof/>
                <w:sz w:val="20"/>
                <w:szCs w:val="20"/>
                <w:lang w:eastAsia="en-GB"/>
              </w:rPr>
            </w:pPr>
            <w:r>
              <w:rPr>
                <w:rFonts w:ascii="Calibri" w:eastAsia="Times New Roman" w:hAnsi="Calibri" w:cs="Calibri"/>
                <w:b/>
                <w:noProof/>
                <w:sz w:val="20"/>
                <w:szCs w:val="20"/>
                <w:lang w:val="fr-FR" w:eastAsia="en-GB"/>
              </w:rPr>
              <w:t>Min</w:t>
            </w:r>
            <w:r>
              <w:rPr>
                <w:rFonts w:ascii="Calibri" w:eastAsia="Times New Roman" w:hAnsi="Calibri" w:cs="Calibri"/>
                <w:b/>
                <w:noProof/>
                <w:sz w:val="20"/>
                <w:szCs w:val="20"/>
                <w:lang w:eastAsia="en-GB"/>
              </w:rPr>
              <w:t> </w:t>
            </w:r>
          </w:p>
        </w:tc>
        <w:tc>
          <w:tcPr>
            <w:tcW w:w="670"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noProof/>
                <w:sz w:val="20"/>
                <w:szCs w:val="20"/>
                <w:lang w:eastAsia="en-GB"/>
              </w:rPr>
            </w:pPr>
            <w:r>
              <w:rPr>
                <w:rFonts w:ascii="Calibri" w:eastAsia="Times New Roman" w:hAnsi="Calibri" w:cs="Calibri"/>
                <w:b/>
                <w:noProof/>
                <w:sz w:val="20"/>
                <w:szCs w:val="20"/>
                <w:lang w:val="fr-FR" w:eastAsia="en-GB"/>
              </w:rPr>
              <w:t>Max</w:t>
            </w:r>
            <w:r>
              <w:rPr>
                <w:rFonts w:ascii="Calibri" w:eastAsia="Times New Roman" w:hAnsi="Calibri" w:cs="Calibri"/>
                <w:b/>
                <w:noProof/>
                <w:sz w:val="20"/>
                <w:szCs w:val="20"/>
                <w:lang w:eastAsia="en-GB"/>
              </w:rPr>
              <w:t> </w:t>
            </w:r>
          </w:p>
        </w:tc>
        <w:tc>
          <w:tcPr>
            <w:tcW w:w="583"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noProof/>
                <w:sz w:val="20"/>
                <w:szCs w:val="20"/>
                <w:lang w:eastAsia="en-GB"/>
              </w:rPr>
            </w:pPr>
            <w:r>
              <w:rPr>
                <w:rFonts w:ascii="Calibri" w:eastAsia="Times New Roman" w:hAnsi="Calibri" w:cs="Calibri"/>
                <w:b/>
                <w:noProof/>
                <w:sz w:val="20"/>
                <w:szCs w:val="20"/>
                <w:lang w:val="fr-FR" w:eastAsia="en-GB"/>
              </w:rPr>
              <w:t>Min</w:t>
            </w:r>
            <w:r>
              <w:rPr>
                <w:rFonts w:ascii="Calibri" w:eastAsia="Times New Roman" w:hAnsi="Calibri" w:cs="Calibri"/>
                <w:b/>
                <w:noProof/>
                <w:sz w:val="20"/>
                <w:szCs w:val="20"/>
                <w:lang w:eastAsia="en-GB"/>
              </w:rPr>
              <w:t> </w:t>
            </w:r>
          </w:p>
        </w:tc>
        <w:tc>
          <w:tcPr>
            <w:tcW w:w="549"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noProof/>
                <w:sz w:val="20"/>
                <w:szCs w:val="20"/>
                <w:lang w:eastAsia="en-GB"/>
              </w:rPr>
            </w:pPr>
            <w:r>
              <w:rPr>
                <w:rFonts w:ascii="Calibri" w:eastAsia="Times New Roman" w:hAnsi="Calibri" w:cs="Calibri"/>
                <w:b/>
                <w:noProof/>
                <w:sz w:val="20"/>
                <w:szCs w:val="20"/>
                <w:lang w:val="fr-FR" w:eastAsia="en-GB"/>
              </w:rPr>
              <w:t>Max</w:t>
            </w:r>
            <w:r>
              <w:rPr>
                <w:rFonts w:ascii="Calibri" w:eastAsia="Times New Roman" w:hAnsi="Calibri" w:cs="Calibri"/>
                <w:b/>
                <w:noProof/>
                <w:sz w:val="20"/>
                <w:szCs w:val="20"/>
                <w:lang w:eastAsia="en-GB"/>
              </w:rPr>
              <w:t> </w:t>
            </w:r>
          </w:p>
        </w:tc>
        <w:tc>
          <w:tcPr>
            <w:tcW w:w="52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noProof/>
                <w:sz w:val="20"/>
                <w:szCs w:val="20"/>
                <w:lang w:eastAsia="en-GB"/>
              </w:rPr>
            </w:pPr>
            <w:r>
              <w:rPr>
                <w:rFonts w:ascii="Calibri" w:eastAsia="Times New Roman" w:hAnsi="Calibri" w:cs="Calibri"/>
                <w:b/>
                <w:noProof/>
                <w:sz w:val="20"/>
                <w:szCs w:val="20"/>
                <w:lang w:val="fr-FR" w:eastAsia="en-GB"/>
              </w:rPr>
              <w:t>Min</w:t>
            </w:r>
            <w:r>
              <w:rPr>
                <w:rFonts w:ascii="Calibri" w:eastAsia="Times New Roman" w:hAnsi="Calibri" w:cs="Calibri"/>
                <w:b/>
                <w:noProof/>
                <w:sz w:val="20"/>
                <w:szCs w:val="20"/>
                <w:lang w:eastAsia="en-GB"/>
              </w:rPr>
              <w:t> </w:t>
            </w:r>
          </w:p>
        </w:tc>
        <w:tc>
          <w:tcPr>
            <w:tcW w:w="55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noProof/>
                <w:sz w:val="20"/>
                <w:szCs w:val="20"/>
                <w:lang w:eastAsia="en-GB"/>
              </w:rPr>
            </w:pPr>
            <w:r>
              <w:rPr>
                <w:rFonts w:ascii="Calibri" w:eastAsia="Times New Roman" w:hAnsi="Calibri" w:cs="Calibri"/>
                <w:b/>
                <w:noProof/>
                <w:sz w:val="20"/>
                <w:szCs w:val="20"/>
                <w:lang w:val="fr-FR" w:eastAsia="en-GB"/>
              </w:rPr>
              <w:t>Max</w:t>
            </w:r>
            <w:r>
              <w:rPr>
                <w:rFonts w:ascii="Calibri" w:eastAsia="Times New Roman" w:hAnsi="Calibri" w:cs="Calibri"/>
                <w:b/>
                <w:noProof/>
                <w:sz w:val="20"/>
                <w:szCs w:val="20"/>
                <w:lang w:eastAsia="en-GB"/>
              </w:rPr>
              <w:t>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AT</w:t>
            </w:r>
            <w:r>
              <w:rPr>
                <w:rFonts w:ascii="Calibri" w:eastAsia="Times New Roman" w:hAnsi="Calibri" w:cs="Calibri"/>
                <w:noProof/>
                <w:color w:val="000000"/>
                <w:sz w:val="20"/>
                <w:szCs w:val="20"/>
                <w:lang w:eastAsia="en-GB"/>
              </w:rPr>
              <w:t> </w:t>
            </w:r>
          </w:p>
        </w:tc>
        <w:tc>
          <w:tcPr>
            <w:tcW w:w="592"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2253593</w:t>
            </w:r>
          </w:p>
        </w:tc>
        <w:tc>
          <w:tcPr>
            <w:tcW w:w="646"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3702331</w:t>
            </w:r>
          </w:p>
        </w:tc>
        <w:tc>
          <w:tcPr>
            <w:tcW w:w="592" w:type="pct"/>
            <w:hideMark/>
          </w:tcPr>
          <w:p>
            <w:pPr>
              <w:jc w:val="right"/>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670"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83"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49"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2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5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r>
      <w:tr>
        <w:trPr>
          <w:trHeight w:val="300"/>
        </w:trPr>
        <w:tc>
          <w:tcPr>
            <w:cnfStyle w:val="001000000000" w:firstRow="0" w:lastRow="0" w:firstColumn="1" w:lastColumn="0" w:oddVBand="0" w:evenVBand="0" w:oddHBand="0" w:evenHBand="0" w:firstRowFirstColumn="0" w:firstRowLastColumn="0" w:lastRowFirstColumn="0" w:lastRowLastColumn="0"/>
            <w:tcW w:w="290"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BE</w:t>
            </w:r>
            <w:r>
              <w:rPr>
                <w:rFonts w:ascii="Calibri" w:eastAsia="Times New Roman" w:hAnsi="Calibri" w:cs="Calibri"/>
                <w:noProof/>
                <w:color w:val="000000"/>
                <w:sz w:val="20"/>
                <w:szCs w:val="20"/>
                <w:lang w:eastAsia="en-GB"/>
              </w:rPr>
              <w:t> </w:t>
            </w:r>
          </w:p>
        </w:tc>
        <w:tc>
          <w:tcPr>
            <w:tcW w:w="592"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2061465</w:t>
            </w:r>
          </w:p>
        </w:tc>
        <w:tc>
          <w:tcPr>
            <w:tcW w:w="646"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3386692</w:t>
            </w:r>
          </w:p>
        </w:tc>
        <w:tc>
          <w:tcPr>
            <w:tcW w:w="592" w:type="pct"/>
            <w:hideMark/>
          </w:tcPr>
          <w:p>
            <w:pPr>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670"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83"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49"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2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5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BG</w:t>
            </w:r>
            <w:r>
              <w:rPr>
                <w:rFonts w:ascii="Calibri" w:eastAsia="Times New Roman" w:hAnsi="Calibri" w:cs="Calibri"/>
                <w:noProof/>
                <w:color w:val="000000"/>
                <w:sz w:val="20"/>
                <w:szCs w:val="20"/>
                <w:lang w:eastAsia="en-GB"/>
              </w:rPr>
              <w:t> </w:t>
            </w:r>
          </w:p>
        </w:tc>
        <w:tc>
          <w:tcPr>
            <w:tcW w:w="592"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768768</w:t>
            </w:r>
          </w:p>
        </w:tc>
        <w:tc>
          <w:tcPr>
            <w:tcW w:w="646"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1262976</w:t>
            </w:r>
          </w:p>
        </w:tc>
        <w:tc>
          <w:tcPr>
            <w:tcW w:w="592" w:type="pct"/>
            <w:hideMark/>
          </w:tcPr>
          <w:p>
            <w:pPr>
              <w:jc w:val="right"/>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108864</w:t>
            </w:r>
          </w:p>
        </w:tc>
        <w:tc>
          <w:tcPr>
            <w:tcW w:w="670"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171072</w:t>
            </w:r>
          </w:p>
        </w:tc>
        <w:tc>
          <w:tcPr>
            <w:tcW w:w="583"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11988</w:t>
            </w:r>
          </w:p>
        </w:tc>
        <w:tc>
          <w:tcPr>
            <w:tcW w:w="549"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19764</w:t>
            </w:r>
          </w:p>
        </w:tc>
        <w:tc>
          <w:tcPr>
            <w:tcW w:w="52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5184</w:t>
            </w:r>
          </w:p>
        </w:tc>
        <w:tc>
          <w:tcPr>
            <w:tcW w:w="55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7776</w:t>
            </w:r>
          </w:p>
        </w:tc>
      </w:tr>
      <w:tr>
        <w:trPr>
          <w:trHeight w:val="300"/>
        </w:trPr>
        <w:tc>
          <w:tcPr>
            <w:cnfStyle w:val="001000000000" w:firstRow="0" w:lastRow="0" w:firstColumn="1" w:lastColumn="0" w:oddVBand="0" w:evenVBand="0" w:oddHBand="0" w:evenHBand="0" w:firstRowFirstColumn="0" w:firstRowLastColumn="0" w:lastRowFirstColumn="0" w:lastRowLastColumn="0"/>
            <w:tcW w:w="290"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CY</w:t>
            </w:r>
            <w:r>
              <w:rPr>
                <w:rFonts w:ascii="Calibri" w:eastAsia="Times New Roman" w:hAnsi="Calibri" w:cs="Calibri"/>
                <w:noProof/>
                <w:color w:val="000000"/>
                <w:sz w:val="20"/>
                <w:szCs w:val="20"/>
                <w:lang w:eastAsia="en-GB"/>
              </w:rPr>
              <w:t> </w:t>
            </w:r>
          </w:p>
        </w:tc>
        <w:tc>
          <w:tcPr>
            <w:tcW w:w="592"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203112</w:t>
            </w:r>
          </w:p>
        </w:tc>
        <w:tc>
          <w:tcPr>
            <w:tcW w:w="646"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333684</w:t>
            </w:r>
          </w:p>
        </w:tc>
        <w:tc>
          <w:tcPr>
            <w:tcW w:w="592" w:type="pct"/>
            <w:hideMark/>
          </w:tcPr>
          <w:p>
            <w:pPr>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31450</w:t>
            </w:r>
          </w:p>
        </w:tc>
        <w:tc>
          <w:tcPr>
            <w:tcW w:w="670"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49421</w:t>
            </w:r>
          </w:p>
        </w:tc>
        <w:tc>
          <w:tcPr>
            <w:tcW w:w="583"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3463</w:t>
            </w:r>
          </w:p>
        </w:tc>
        <w:tc>
          <w:tcPr>
            <w:tcW w:w="549"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5710</w:t>
            </w:r>
          </w:p>
        </w:tc>
        <w:tc>
          <w:tcPr>
            <w:tcW w:w="52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1498</w:t>
            </w:r>
          </w:p>
        </w:tc>
        <w:tc>
          <w:tcPr>
            <w:tcW w:w="55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2246</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CZ</w:t>
            </w:r>
            <w:r>
              <w:rPr>
                <w:rFonts w:ascii="Calibri" w:eastAsia="Times New Roman" w:hAnsi="Calibri" w:cs="Calibri"/>
                <w:noProof/>
                <w:color w:val="000000"/>
                <w:sz w:val="20"/>
                <w:szCs w:val="20"/>
                <w:lang w:eastAsia="en-GB"/>
              </w:rPr>
              <w:t> </w:t>
            </w:r>
          </w:p>
        </w:tc>
        <w:tc>
          <w:tcPr>
            <w:tcW w:w="592"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2801626</w:t>
            </w:r>
          </w:p>
        </w:tc>
        <w:tc>
          <w:tcPr>
            <w:tcW w:w="646"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4602672</w:t>
            </w:r>
          </w:p>
        </w:tc>
        <w:tc>
          <w:tcPr>
            <w:tcW w:w="592" w:type="pct"/>
            <w:hideMark/>
          </w:tcPr>
          <w:p>
            <w:pPr>
              <w:jc w:val="right"/>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592059</w:t>
            </w:r>
          </w:p>
        </w:tc>
        <w:tc>
          <w:tcPr>
            <w:tcW w:w="670"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930379</w:t>
            </w:r>
          </w:p>
        </w:tc>
        <w:tc>
          <w:tcPr>
            <w:tcW w:w="583"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65197</w:t>
            </w:r>
          </w:p>
        </w:tc>
        <w:tc>
          <w:tcPr>
            <w:tcW w:w="549"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107487</w:t>
            </w:r>
          </w:p>
        </w:tc>
        <w:tc>
          <w:tcPr>
            <w:tcW w:w="52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28193</w:t>
            </w:r>
          </w:p>
        </w:tc>
        <w:tc>
          <w:tcPr>
            <w:tcW w:w="55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42290</w:t>
            </w:r>
          </w:p>
        </w:tc>
      </w:tr>
      <w:tr>
        <w:trPr>
          <w:trHeight w:val="300"/>
        </w:trPr>
        <w:tc>
          <w:tcPr>
            <w:cnfStyle w:val="001000000000" w:firstRow="0" w:lastRow="0" w:firstColumn="1" w:lastColumn="0" w:oddVBand="0" w:evenVBand="0" w:oddHBand="0" w:evenHBand="0" w:firstRowFirstColumn="0" w:firstRowLastColumn="0" w:lastRowFirstColumn="0" w:lastRowLastColumn="0"/>
            <w:tcW w:w="290"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DE</w:t>
            </w:r>
            <w:r>
              <w:rPr>
                <w:rFonts w:ascii="Calibri" w:eastAsia="Times New Roman" w:hAnsi="Calibri" w:cs="Calibri"/>
                <w:noProof/>
                <w:color w:val="000000"/>
                <w:sz w:val="20"/>
                <w:szCs w:val="20"/>
                <w:lang w:eastAsia="en-GB"/>
              </w:rPr>
              <w:t> </w:t>
            </w:r>
          </w:p>
        </w:tc>
        <w:tc>
          <w:tcPr>
            <w:tcW w:w="592"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71560260</w:t>
            </w:r>
          </w:p>
        </w:tc>
        <w:tc>
          <w:tcPr>
            <w:tcW w:w="646"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117563285</w:t>
            </w:r>
          </w:p>
        </w:tc>
        <w:tc>
          <w:tcPr>
            <w:tcW w:w="592" w:type="pct"/>
            <w:hideMark/>
          </w:tcPr>
          <w:p>
            <w:pPr>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12684606</w:t>
            </w:r>
          </w:p>
        </w:tc>
        <w:tc>
          <w:tcPr>
            <w:tcW w:w="670"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19932952</w:t>
            </w:r>
          </w:p>
        </w:tc>
        <w:tc>
          <w:tcPr>
            <w:tcW w:w="583"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49"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2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5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DK</w:t>
            </w:r>
            <w:r>
              <w:rPr>
                <w:rFonts w:ascii="Calibri" w:eastAsia="Times New Roman" w:hAnsi="Calibri" w:cs="Calibri"/>
                <w:noProof/>
                <w:color w:val="000000"/>
                <w:sz w:val="20"/>
                <w:szCs w:val="20"/>
                <w:lang w:eastAsia="en-GB"/>
              </w:rPr>
              <w:t> </w:t>
            </w:r>
          </w:p>
        </w:tc>
        <w:tc>
          <w:tcPr>
            <w:tcW w:w="592"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646"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92" w:type="pct"/>
            <w:hideMark/>
          </w:tcPr>
          <w:p>
            <w:pPr>
              <w:jc w:val="right"/>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670"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83"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49"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2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5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r>
      <w:tr>
        <w:trPr>
          <w:trHeight w:val="300"/>
        </w:trPr>
        <w:tc>
          <w:tcPr>
            <w:cnfStyle w:val="001000000000" w:firstRow="0" w:lastRow="0" w:firstColumn="1" w:lastColumn="0" w:oddVBand="0" w:evenVBand="0" w:oddHBand="0" w:evenHBand="0" w:firstRowFirstColumn="0" w:firstRowLastColumn="0" w:lastRowFirstColumn="0" w:lastRowLastColumn="0"/>
            <w:tcW w:w="290"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EE</w:t>
            </w:r>
            <w:r>
              <w:rPr>
                <w:rFonts w:ascii="Calibri" w:eastAsia="Times New Roman" w:hAnsi="Calibri" w:cs="Calibri"/>
                <w:noProof/>
                <w:color w:val="000000"/>
                <w:sz w:val="20"/>
                <w:szCs w:val="20"/>
                <w:lang w:eastAsia="en-GB"/>
              </w:rPr>
              <w:t> </w:t>
            </w:r>
          </w:p>
        </w:tc>
        <w:tc>
          <w:tcPr>
            <w:tcW w:w="592"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646"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92" w:type="pct"/>
            <w:hideMark/>
          </w:tcPr>
          <w:p>
            <w:pPr>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670"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83"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49"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2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5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EL</w:t>
            </w:r>
            <w:r>
              <w:rPr>
                <w:rFonts w:ascii="Calibri" w:eastAsia="Times New Roman" w:hAnsi="Calibri" w:cs="Calibri"/>
                <w:noProof/>
                <w:color w:val="000000"/>
                <w:sz w:val="20"/>
                <w:szCs w:val="20"/>
                <w:lang w:eastAsia="en-GB"/>
              </w:rPr>
              <w:t> </w:t>
            </w:r>
          </w:p>
        </w:tc>
        <w:tc>
          <w:tcPr>
            <w:tcW w:w="592"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1072761</w:t>
            </w:r>
          </w:p>
        </w:tc>
        <w:tc>
          <w:tcPr>
            <w:tcW w:w="646"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1762393</w:t>
            </w:r>
          </w:p>
        </w:tc>
        <w:tc>
          <w:tcPr>
            <w:tcW w:w="592" w:type="pct"/>
            <w:hideMark/>
          </w:tcPr>
          <w:p>
            <w:pPr>
              <w:jc w:val="right"/>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147252</w:t>
            </w:r>
          </w:p>
        </w:tc>
        <w:tc>
          <w:tcPr>
            <w:tcW w:w="670"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231395</w:t>
            </w:r>
          </w:p>
        </w:tc>
        <w:tc>
          <w:tcPr>
            <w:tcW w:w="583"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16215</w:t>
            </w:r>
          </w:p>
        </w:tc>
        <w:tc>
          <w:tcPr>
            <w:tcW w:w="549"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26733</w:t>
            </w:r>
          </w:p>
        </w:tc>
        <w:tc>
          <w:tcPr>
            <w:tcW w:w="52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7012</w:t>
            </w:r>
          </w:p>
        </w:tc>
        <w:tc>
          <w:tcPr>
            <w:tcW w:w="55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10518</w:t>
            </w:r>
          </w:p>
        </w:tc>
      </w:tr>
      <w:tr>
        <w:trPr>
          <w:trHeight w:val="300"/>
        </w:trPr>
        <w:tc>
          <w:tcPr>
            <w:cnfStyle w:val="001000000000" w:firstRow="0" w:lastRow="0" w:firstColumn="1" w:lastColumn="0" w:oddVBand="0" w:evenVBand="0" w:oddHBand="0" w:evenHBand="0" w:firstRowFirstColumn="0" w:firstRowLastColumn="0" w:lastRowFirstColumn="0" w:lastRowLastColumn="0"/>
            <w:tcW w:w="290"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ES</w:t>
            </w:r>
            <w:r>
              <w:rPr>
                <w:rFonts w:ascii="Calibri" w:eastAsia="Times New Roman" w:hAnsi="Calibri" w:cs="Calibri"/>
                <w:noProof/>
                <w:color w:val="000000"/>
                <w:sz w:val="20"/>
                <w:szCs w:val="20"/>
                <w:lang w:eastAsia="en-GB"/>
              </w:rPr>
              <w:t> </w:t>
            </w:r>
          </w:p>
        </w:tc>
        <w:tc>
          <w:tcPr>
            <w:tcW w:w="592"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646"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92" w:type="pct"/>
            <w:hideMark/>
          </w:tcPr>
          <w:p>
            <w:pPr>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670"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83"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49"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2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5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FI</w:t>
            </w:r>
            <w:r>
              <w:rPr>
                <w:rFonts w:ascii="Calibri" w:eastAsia="Times New Roman" w:hAnsi="Calibri" w:cs="Calibri"/>
                <w:noProof/>
                <w:color w:val="000000"/>
                <w:sz w:val="20"/>
                <w:szCs w:val="20"/>
                <w:lang w:eastAsia="en-GB"/>
              </w:rPr>
              <w:t> </w:t>
            </w:r>
          </w:p>
        </w:tc>
        <w:tc>
          <w:tcPr>
            <w:tcW w:w="592"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646"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92" w:type="pct"/>
            <w:hideMark/>
          </w:tcPr>
          <w:p>
            <w:pPr>
              <w:jc w:val="right"/>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670"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83"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49"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2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5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r>
      <w:tr>
        <w:trPr>
          <w:trHeight w:val="300"/>
        </w:trPr>
        <w:tc>
          <w:tcPr>
            <w:cnfStyle w:val="001000000000" w:firstRow="0" w:lastRow="0" w:firstColumn="1" w:lastColumn="0" w:oddVBand="0" w:evenVBand="0" w:oddHBand="0" w:evenHBand="0" w:firstRowFirstColumn="0" w:firstRowLastColumn="0" w:lastRowFirstColumn="0" w:lastRowLastColumn="0"/>
            <w:tcW w:w="290"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FR</w:t>
            </w:r>
            <w:r>
              <w:rPr>
                <w:rFonts w:ascii="Calibri" w:eastAsia="Times New Roman" w:hAnsi="Calibri" w:cs="Calibri"/>
                <w:noProof/>
                <w:color w:val="000000"/>
                <w:sz w:val="20"/>
                <w:szCs w:val="20"/>
                <w:lang w:eastAsia="en-GB"/>
              </w:rPr>
              <w:t> </w:t>
            </w:r>
          </w:p>
        </w:tc>
        <w:tc>
          <w:tcPr>
            <w:tcW w:w="592"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646"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92" w:type="pct"/>
            <w:hideMark/>
          </w:tcPr>
          <w:p>
            <w:pPr>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670"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83"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49"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2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5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HR</w:t>
            </w:r>
            <w:r>
              <w:rPr>
                <w:rFonts w:ascii="Calibri" w:eastAsia="Times New Roman" w:hAnsi="Calibri" w:cs="Calibri"/>
                <w:noProof/>
                <w:color w:val="000000"/>
                <w:sz w:val="20"/>
                <w:szCs w:val="20"/>
                <w:lang w:eastAsia="en-GB"/>
              </w:rPr>
              <w:t> </w:t>
            </w:r>
          </w:p>
        </w:tc>
        <w:tc>
          <w:tcPr>
            <w:tcW w:w="592"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604453</w:t>
            </w:r>
          </w:p>
        </w:tc>
        <w:tc>
          <w:tcPr>
            <w:tcW w:w="646"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993030</w:t>
            </w:r>
          </w:p>
        </w:tc>
        <w:tc>
          <w:tcPr>
            <w:tcW w:w="592" w:type="pct"/>
            <w:hideMark/>
          </w:tcPr>
          <w:p>
            <w:pPr>
              <w:jc w:val="right"/>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121605</w:t>
            </w:r>
          </w:p>
        </w:tc>
        <w:tc>
          <w:tcPr>
            <w:tcW w:w="670"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191094</w:t>
            </w:r>
          </w:p>
        </w:tc>
        <w:tc>
          <w:tcPr>
            <w:tcW w:w="583"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13391</w:t>
            </w:r>
          </w:p>
        </w:tc>
        <w:tc>
          <w:tcPr>
            <w:tcW w:w="549"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22077</w:t>
            </w:r>
          </w:p>
        </w:tc>
        <w:tc>
          <w:tcPr>
            <w:tcW w:w="52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5791</w:t>
            </w:r>
          </w:p>
        </w:tc>
        <w:tc>
          <w:tcPr>
            <w:tcW w:w="55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8686</w:t>
            </w:r>
          </w:p>
        </w:tc>
      </w:tr>
      <w:tr>
        <w:trPr>
          <w:trHeight w:val="300"/>
        </w:trPr>
        <w:tc>
          <w:tcPr>
            <w:cnfStyle w:val="001000000000" w:firstRow="0" w:lastRow="0" w:firstColumn="1" w:lastColumn="0" w:oddVBand="0" w:evenVBand="0" w:oddHBand="0" w:evenHBand="0" w:firstRowFirstColumn="0" w:firstRowLastColumn="0" w:lastRowFirstColumn="0" w:lastRowLastColumn="0"/>
            <w:tcW w:w="290"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HU</w:t>
            </w:r>
            <w:r>
              <w:rPr>
                <w:rFonts w:ascii="Calibri" w:eastAsia="Times New Roman" w:hAnsi="Calibri" w:cs="Calibri"/>
                <w:noProof/>
                <w:color w:val="000000"/>
                <w:sz w:val="20"/>
                <w:szCs w:val="20"/>
                <w:lang w:eastAsia="en-GB"/>
              </w:rPr>
              <w:t> </w:t>
            </w:r>
          </w:p>
        </w:tc>
        <w:tc>
          <w:tcPr>
            <w:tcW w:w="592"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1777976</w:t>
            </w:r>
          </w:p>
        </w:tc>
        <w:tc>
          <w:tcPr>
            <w:tcW w:w="646"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2920961</w:t>
            </w:r>
          </w:p>
        </w:tc>
        <w:tc>
          <w:tcPr>
            <w:tcW w:w="592" w:type="pct"/>
            <w:hideMark/>
          </w:tcPr>
          <w:p>
            <w:pPr>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331304</w:t>
            </w:r>
          </w:p>
        </w:tc>
        <w:tc>
          <w:tcPr>
            <w:tcW w:w="670"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520620</w:t>
            </w:r>
          </w:p>
        </w:tc>
        <w:tc>
          <w:tcPr>
            <w:tcW w:w="583"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36483</w:t>
            </w:r>
          </w:p>
        </w:tc>
        <w:tc>
          <w:tcPr>
            <w:tcW w:w="549"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60147</w:t>
            </w:r>
          </w:p>
        </w:tc>
        <w:tc>
          <w:tcPr>
            <w:tcW w:w="52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15776</w:t>
            </w:r>
          </w:p>
        </w:tc>
        <w:tc>
          <w:tcPr>
            <w:tcW w:w="55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23665</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IE</w:t>
            </w:r>
            <w:r>
              <w:rPr>
                <w:rFonts w:ascii="Calibri" w:eastAsia="Times New Roman" w:hAnsi="Calibri" w:cs="Calibri"/>
                <w:noProof/>
                <w:color w:val="000000"/>
                <w:sz w:val="20"/>
                <w:szCs w:val="20"/>
                <w:lang w:eastAsia="en-GB"/>
              </w:rPr>
              <w:t> </w:t>
            </w:r>
          </w:p>
        </w:tc>
        <w:tc>
          <w:tcPr>
            <w:tcW w:w="592"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2272493</w:t>
            </w:r>
          </w:p>
        </w:tc>
        <w:tc>
          <w:tcPr>
            <w:tcW w:w="646"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3733382</w:t>
            </w:r>
          </w:p>
        </w:tc>
        <w:tc>
          <w:tcPr>
            <w:tcW w:w="592" w:type="pct"/>
            <w:hideMark/>
          </w:tcPr>
          <w:p>
            <w:pPr>
              <w:jc w:val="right"/>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369892</w:t>
            </w:r>
          </w:p>
        </w:tc>
        <w:tc>
          <w:tcPr>
            <w:tcW w:w="670"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581259</w:t>
            </w:r>
          </w:p>
        </w:tc>
        <w:tc>
          <w:tcPr>
            <w:tcW w:w="583"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40732</w:t>
            </w:r>
          </w:p>
        </w:tc>
        <w:tc>
          <w:tcPr>
            <w:tcW w:w="549"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67153</w:t>
            </w:r>
          </w:p>
        </w:tc>
        <w:tc>
          <w:tcPr>
            <w:tcW w:w="52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17614</w:t>
            </w:r>
          </w:p>
        </w:tc>
        <w:tc>
          <w:tcPr>
            <w:tcW w:w="55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26421</w:t>
            </w:r>
          </w:p>
        </w:tc>
      </w:tr>
      <w:tr>
        <w:trPr>
          <w:trHeight w:val="300"/>
        </w:trPr>
        <w:tc>
          <w:tcPr>
            <w:cnfStyle w:val="001000000000" w:firstRow="0" w:lastRow="0" w:firstColumn="1" w:lastColumn="0" w:oddVBand="0" w:evenVBand="0" w:oddHBand="0" w:evenHBand="0" w:firstRowFirstColumn="0" w:firstRowLastColumn="0" w:lastRowFirstColumn="0" w:lastRowLastColumn="0"/>
            <w:tcW w:w="290"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IT</w:t>
            </w:r>
            <w:r>
              <w:rPr>
                <w:rFonts w:ascii="Calibri" w:eastAsia="Times New Roman" w:hAnsi="Calibri" w:cs="Calibri"/>
                <w:noProof/>
                <w:color w:val="000000"/>
                <w:sz w:val="20"/>
                <w:szCs w:val="20"/>
                <w:lang w:eastAsia="en-GB"/>
              </w:rPr>
              <w:t> </w:t>
            </w:r>
          </w:p>
        </w:tc>
        <w:tc>
          <w:tcPr>
            <w:tcW w:w="592"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10626313</w:t>
            </w:r>
          </w:p>
        </w:tc>
        <w:tc>
          <w:tcPr>
            <w:tcW w:w="646"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17457514</w:t>
            </w:r>
          </w:p>
        </w:tc>
        <w:tc>
          <w:tcPr>
            <w:tcW w:w="592" w:type="pct"/>
            <w:hideMark/>
          </w:tcPr>
          <w:p>
            <w:pPr>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670"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83"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49"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2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5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LT</w:t>
            </w:r>
            <w:r>
              <w:rPr>
                <w:rFonts w:ascii="Calibri" w:eastAsia="Times New Roman" w:hAnsi="Calibri" w:cs="Calibri"/>
                <w:noProof/>
                <w:color w:val="000000"/>
                <w:sz w:val="20"/>
                <w:szCs w:val="20"/>
                <w:lang w:eastAsia="en-GB"/>
              </w:rPr>
              <w:t> </w:t>
            </w:r>
          </w:p>
        </w:tc>
        <w:tc>
          <w:tcPr>
            <w:tcW w:w="592"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646"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92" w:type="pct"/>
            <w:hideMark/>
          </w:tcPr>
          <w:p>
            <w:pPr>
              <w:jc w:val="right"/>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670"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83"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49"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2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5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r>
      <w:tr>
        <w:trPr>
          <w:trHeight w:val="300"/>
        </w:trPr>
        <w:tc>
          <w:tcPr>
            <w:cnfStyle w:val="001000000000" w:firstRow="0" w:lastRow="0" w:firstColumn="1" w:lastColumn="0" w:oddVBand="0" w:evenVBand="0" w:oddHBand="0" w:evenHBand="0" w:firstRowFirstColumn="0" w:firstRowLastColumn="0" w:lastRowFirstColumn="0" w:lastRowLastColumn="0"/>
            <w:tcW w:w="290"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LU</w:t>
            </w:r>
            <w:r>
              <w:rPr>
                <w:rFonts w:ascii="Calibri" w:eastAsia="Times New Roman" w:hAnsi="Calibri" w:cs="Calibri"/>
                <w:noProof/>
                <w:color w:val="000000"/>
                <w:sz w:val="20"/>
                <w:szCs w:val="20"/>
                <w:lang w:eastAsia="en-GB"/>
              </w:rPr>
              <w:t> </w:t>
            </w:r>
          </w:p>
        </w:tc>
        <w:tc>
          <w:tcPr>
            <w:tcW w:w="592"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646"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92" w:type="pct"/>
            <w:hideMark/>
          </w:tcPr>
          <w:p>
            <w:pPr>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670"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83"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49"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2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5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LV</w:t>
            </w:r>
            <w:r>
              <w:rPr>
                <w:rFonts w:ascii="Calibri" w:eastAsia="Times New Roman" w:hAnsi="Calibri" w:cs="Calibri"/>
                <w:noProof/>
                <w:color w:val="000000"/>
                <w:sz w:val="20"/>
                <w:szCs w:val="20"/>
                <w:lang w:eastAsia="en-GB"/>
              </w:rPr>
              <w:t> </w:t>
            </w:r>
          </w:p>
        </w:tc>
        <w:tc>
          <w:tcPr>
            <w:tcW w:w="592"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436736</w:t>
            </w:r>
          </w:p>
        </w:tc>
        <w:tc>
          <w:tcPr>
            <w:tcW w:w="646"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717495</w:t>
            </w:r>
          </w:p>
        </w:tc>
        <w:tc>
          <w:tcPr>
            <w:tcW w:w="592" w:type="pct"/>
            <w:hideMark/>
          </w:tcPr>
          <w:p>
            <w:pPr>
              <w:jc w:val="right"/>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53028</w:t>
            </w:r>
          </w:p>
        </w:tc>
        <w:tc>
          <w:tcPr>
            <w:tcW w:w="670"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83330</w:t>
            </w:r>
          </w:p>
        </w:tc>
        <w:tc>
          <w:tcPr>
            <w:tcW w:w="583"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5839</w:t>
            </w:r>
          </w:p>
        </w:tc>
        <w:tc>
          <w:tcPr>
            <w:tcW w:w="549"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9627</w:t>
            </w:r>
          </w:p>
        </w:tc>
        <w:tc>
          <w:tcPr>
            <w:tcW w:w="52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2525</w:t>
            </w:r>
          </w:p>
        </w:tc>
        <w:tc>
          <w:tcPr>
            <w:tcW w:w="55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3788</w:t>
            </w:r>
          </w:p>
        </w:tc>
      </w:tr>
      <w:tr>
        <w:trPr>
          <w:trHeight w:val="300"/>
        </w:trPr>
        <w:tc>
          <w:tcPr>
            <w:cnfStyle w:val="001000000000" w:firstRow="0" w:lastRow="0" w:firstColumn="1" w:lastColumn="0" w:oddVBand="0" w:evenVBand="0" w:oddHBand="0" w:evenHBand="0" w:firstRowFirstColumn="0" w:firstRowLastColumn="0" w:lastRowFirstColumn="0" w:lastRowLastColumn="0"/>
            <w:tcW w:w="290"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MT</w:t>
            </w:r>
            <w:r>
              <w:rPr>
                <w:rFonts w:ascii="Calibri" w:eastAsia="Times New Roman" w:hAnsi="Calibri" w:cs="Calibri"/>
                <w:noProof/>
                <w:color w:val="000000"/>
                <w:sz w:val="20"/>
                <w:szCs w:val="20"/>
                <w:lang w:eastAsia="en-GB"/>
              </w:rPr>
              <w:t> </w:t>
            </w:r>
          </w:p>
        </w:tc>
        <w:tc>
          <w:tcPr>
            <w:tcW w:w="592"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136822</w:t>
            </w:r>
          </w:p>
        </w:tc>
        <w:tc>
          <w:tcPr>
            <w:tcW w:w="646"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224779</w:t>
            </w:r>
          </w:p>
        </w:tc>
        <w:tc>
          <w:tcPr>
            <w:tcW w:w="592" w:type="pct"/>
            <w:hideMark/>
          </w:tcPr>
          <w:p>
            <w:pPr>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22655</w:t>
            </w:r>
          </w:p>
        </w:tc>
        <w:tc>
          <w:tcPr>
            <w:tcW w:w="670"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35600</w:t>
            </w:r>
          </w:p>
        </w:tc>
        <w:tc>
          <w:tcPr>
            <w:tcW w:w="583"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2495</w:t>
            </w:r>
          </w:p>
        </w:tc>
        <w:tc>
          <w:tcPr>
            <w:tcW w:w="549"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4113</w:t>
            </w:r>
          </w:p>
        </w:tc>
        <w:tc>
          <w:tcPr>
            <w:tcW w:w="52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1079</w:t>
            </w:r>
          </w:p>
        </w:tc>
        <w:tc>
          <w:tcPr>
            <w:tcW w:w="55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1618</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NL</w:t>
            </w:r>
            <w:r>
              <w:rPr>
                <w:rFonts w:ascii="Calibri" w:eastAsia="Times New Roman" w:hAnsi="Calibri" w:cs="Calibri"/>
                <w:noProof/>
                <w:color w:val="000000"/>
                <w:sz w:val="20"/>
                <w:szCs w:val="20"/>
                <w:lang w:eastAsia="en-GB"/>
              </w:rPr>
              <w:t> </w:t>
            </w:r>
          </w:p>
        </w:tc>
        <w:tc>
          <w:tcPr>
            <w:tcW w:w="592"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7853949</w:t>
            </w:r>
          </w:p>
        </w:tc>
        <w:tc>
          <w:tcPr>
            <w:tcW w:w="646"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12902917</w:t>
            </w:r>
          </w:p>
        </w:tc>
        <w:tc>
          <w:tcPr>
            <w:tcW w:w="592" w:type="pct"/>
            <w:hideMark/>
          </w:tcPr>
          <w:p>
            <w:pPr>
              <w:jc w:val="right"/>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1346196</w:t>
            </w:r>
          </w:p>
        </w:tc>
        <w:tc>
          <w:tcPr>
            <w:tcW w:w="670"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2115450</w:t>
            </w:r>
          </w:p>
        </w:tc>
        <w:tc>
          <w:tcPr>
            <w:tcW w:w="583"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148242</w:t>
            </w:r>
          </w:p>
        </w:tc>
        <w:tc>
          <w:tcPr>
            <w:tcW w:w="549"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244399</w:t>
            </w:r>
          </w:p>
        </w:tc>
        <w:tc>
          <w:tcPr>
            <w:tcW w:w="52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64105</w:t>
            </w:r>
          </w:p>
        </w:tc>
        <w:tc>
          <w:tcPr>
            <w:tcW w:w="55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96157</w:t>
            </w:r>
          </w:p>
        </w:tc>
      </w:tr>
      <w:tr>
        <w:trPr>
          <w:trHeight w:val="300"/>
        </w:trPr>
        <w:tc>
          <w:tcPr>
            <w:cnfStyle w:val="001000000000" w:firstRow="0" w:lastRow="0" w:firstColumn="1" w:lastColumn="0" w:oddVBand="0" w:evenVBand="0" w:oddHBand="0" w:evenHBand="0" w:firstRowFirstColumn="0" w:firstRowLastColumn="0" w:lastRowFirstColumn="0" w:lastRowLastColumn="0"/>
            <w:tcW w:w="290"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PL</w:t>
            </w:r>
            <w:r>
              <w:rPr>
                <w:rFonts w:ascii="Calibri" w:eastAsia="Times New Roman" w:hAnsi="Calibri" w:cs="Calibri"/>
                <w:noProof/>
                <w:color w:val="000000"/>
                <w:sz w:val="20"/>
                <w:szCs w:val="20"/>
                <w:lang w:eastAsia="en-GB"/>
              </w:rPr>
              <w:t> </w:t>
            </w:r>
          </w:p>
        </w:tc>
        <w:tc>
          <w:tcPr>
            <w:tcW w:w="592"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5086981</w:t>
            </w:r>
          </w:p>
        </w:tc>
        <w:tc>
          <w:tcPr>
            <w:tcW w:w="646"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8357183</w:t>
            </w:r>
          </w:p>
        </w:tc>
        <w:tc>
          <w:tcPr>
            <w:tcW w:w="592" w:type="pct"/>
            <w:hideMark/>
          </w:tcPr>
          <w:p>
            <w:pPr>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1023106</w:t>
            </w:r>
          </w:p>
        </w:tc>
        <w:tc>
          <w:tcPr>
            <w:tcW w:w="670"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1607739</w:t>
            </w:r>
          </w:p>
        </w:tc>
        <w:tc>
          <w:tcPr>
            <w:tcW w:w="583"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112663</w:t>
            </w:r>
          </w:p>
        </w:tc>
        <w:tc>
          <w:tcPr>
            <w:tcW w:w="549"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185743</w:t>
            </w:r>
          </w:p>
        </w:tc>
        <w:tc>
          <w:tcPr>
            <w:tcW w:w="52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48719</w:t>
            </w:r>
          </w:p>
        </w:tc>
        <w:tc>
          <w:tcPr>
            <w:tcW w:w="55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73079</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PT</w:t>
            </w:r>
            <w:r>
              <w:rPr>
                <w:rFonts w:ascii="Calibri" w:eastAsia="Times New Roman" w:hAnsi="Calibri" w:cs="Calibri"/>
                <w:noProof/>
                <w:color w:val="000000"/>
                <w:sz w:val="20"/>
                <w:szCs w:val="20"/>
                <w:lang w:eastAsia="en-GB"/>
              </w:rPr>
              <w:t> </w:t>
            </w:r>
          </w:p>
        </w:tc>
        <w:tc>
          <w:tcPr>
            <w:tcW w:w="592"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646"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92" w:type="pct"/>
            <w:hideMark/>
          </w:tcPr>
          <w:p>
            <w:pPr>
              <w:jc w:val="right"/>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670"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83"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49"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2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5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r>
      <w:tr>
        <w:trPr>
          <w:trHeight w:val="300"/>
        </w:trPr>
        <w:tc>
          <w:tcPr>
            <w:cnfStyle w:val="001000000000" w:firstRow="0" w:lastRow="0" w:firstColumn="1" w:lastColumn="0" w:oddVBand="0" w:evenVBand="0" w:oddHBand="0" w:evenHBand="0" w:firstRowFirstColumn="0" w:firstRowLastColumn="0" w:lastRowFirstColumn="0" w:lastRowLastColumn="0"/>
            <w:tcW w:w="290"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RO</w:t>
            </w:r>
            <w:r>
              <w:rPr>
                <w:rFonts w:ascii="Calibri" w:eastAsia="Times New Roman" w:hAnsi="Calibri" w:cs="Calibri"/>
                <w:noProof/>
                <w:color w:val="000000"/>
                <w:sz w:val="20"/>
                <w:szCs w:val="20"/>
                <w:lang w:eastAsia="en-GB"/>
              </w:rPr>
              <w:t> </w:t>
            </w:r>
          </w:p>
        </w:tc>
        <w:tc>
          <w:tcPr>
            <w:tcW w:w="592"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1794596</w:t>
            </w:r>
          </w:p>
        </w:tc>
        <w:tc>
          <w:tcPr>
            <w:tcW w:w="646"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2948264</w:t>
            </w:r>
          </w:p>
        </w:tc>
        <w:tc>
          <w:tcPr>
            <w:tcW w:w="592" w:type="pct"/>
            <w:hideMark/>
          </w:tcPr>
          <w:p>
            <w:pPr>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331070</w:t>
            </w:r>
          </w:p>
        </w:tc>
        <w:tc>
          <w:tcPr>
            <w:tcW w:w="670"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520253</w:t>
            </w:r>
          </w:p>
        </w:tc>
        <w:tc>
          <w:tcPr>
            <w:tcW w:w="583"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36457</w:t>
            </w:r>
          </w:p>
        </w:tc>
        <w:tc>
          <w:tcPr>
            <w:tcW w:w="549"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60105</w:t>
            </w:r>
          </w:p>
        </w:tc>
        <w:tc>
          <w:tcPr>
            <w:tcW w:w="52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15765</w:t>
            </w:r>
          </w:p>
        </w:tc>
        <w:tc>
          <w:tcPr>
            <w:tcW w:w="55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23648</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SE</w:t>
            </w:r>
            <w:r>
              <w:rPr>
                <w:rFonts w:ascii="Calibri" w:eastAsia="Times New Roman" w:hAnsi="Calibri" w:cs="Calibri"/>
                <w:noProof/>
                <w:color w:val="000000"/>
                <w:sz w:val="20"/>
                <w:szCs w:val="20"/>
                <w:lang w:eastAsia="en-GB"/>
              </w:rPr>
              <w:t> </w:t>
            </w:r>
          </w:p>
        </w:tc>
        <w:tc>
          <w:tcPr>
            <w:tcW w:w="592"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646"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92" w:type="pct"/>
            <w:hideMark/>
          </w:tcPr>
          <w:p>
            <w:pPr>
              <w:jc w:val="right"/>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670"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83"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49"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2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5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r>
      <w:tr>
        <w:trPr>
          <w:trHeight w:val="300"/>
        </w:trPr>
        <w:tc>
          <w:tcPr>
            <w:cnfStyle w:val="001000000000" w:firstRow="0" w:lastRow="0" w:firstColumn="1" w:lastColumn="0" w:oddVBand="0" w:evenVBand="0" w:oddHBand="0" w:evenHBand="0" w:firstRowFirstColumn="0" w:firstRowLastColumn="0" w:lastRowFirstColumn="0" w:lastRowLastColumn="0"/>
            <w:tcW w:w="290"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SI</w:t>
            </w:r>
            <w:r>
              <w:rPr>
                <w:rFonts w:ascii="Calibri" w:eastAsia="Times New Roman" w:hAnsi="Calibri" w:cs="Calibri"/>
                <w:noProof/>
                <w:color w:val="000000"/>
                <w:sz w:val="20"/>
                <w:szCs w:val="20"/>
                <w:lang w:eastAsia="en-GB"/>
              </w:rPr>
              <w:t> </w:t>
            </w:r>
          </w:p>
        </w:tc>
        <w:tc>
          <w:tcPr>
            <w:tcW w:w="592"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689999</w:t>
            </w:r>
          </w:p>
        </w:tc>
        <w:tc>
          <w:tcPr>
            <w:tcW w:w="646"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1133570</w:t>
            </w:r>
          </w:p>
        </w:tc>
        <w:tc>
          <w:tcPr>
            <w:tcW w:w="592" w:type="pct"/>
            <w:hideMark/>
          </w:tcPr>
          <w:p>
            <w:pPr>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122414</w:t>
            </w:r>
          </w:p>
        </w:tc>
        <w:tc>
          <w:tcPr>
            <w:tcW w:w="670"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192364</w:t>
            </w:r>
          </w:p>
        </w:tc>
        <w:tc>
          <w:tcPr>
            <w:tcW w:w="583"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13480</w:t>
            </w:r>
          </w:p>
        </w:tc>
        <w:tc>
          <w:tcPr>
            <w:tcW w:w="549"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22224</w:t>
            </w:r>
          </w:p>
        </w:tc>
        <w:tc>
          <w:tcPr>
            <w:tcW w:w="52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5829</w:t>
            </w:r>
          </w:p>
        </w:tc>
        <w:tc>
          <w:tcPr>
            <w:tcW w:w="55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8744</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SK</w:t>
            </w:r>
            <w:r>
              <w:rPr>
                <w:rFonts w:ascii="Calibri" w:eastAsia="Times New Roman" w:hAnsi="Calibri" w:cs="Calibri"/>
                <w:noProof/>
                <w:color w:val="000000"/>
                <w:sz w:val="20"/>
                <w:szCs w:val="20"/>
                <w:lang w:eastAsia="en-GB"/>
              </w:rPr>
              <w:t> </w:t>
            </w:r>
          </w:p>
        </w:tc>
        <w:tc>
          <w:tcPr>
            <w:tcW w:w="592"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844082</w:t>
            </w:r>
          </w:p>
        </w:tc>
        <w:tc>
          <w:tcPr>
            <w:tcW w:w="646"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1386706</w:t>
            </w:r>
          </w:p>
        </w:tc>
        <w:tc>
          <w:tcPr>
            <w:tcW w:w="592" w:type="pct"/>
            <w:hideMark/>
          </w:tcPr>
          <w:p>
            <w:pPr>
              <w:jc w:val="right"/>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175356</w:t>
            </w:r>
          </w:p>
        </w:tc>
        <w:tc>
          <w:tcPr>
            <w:tcW w:w="670"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275559</w:t>
            </w:r>
          </w:p>
        </w:tc>
        <w:tc>
          <w:tcPr>
            <w:tcW w:w="583"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19310</w:t>
            </w:r>
          </w:p>
        </w:tc>
        <w:tc>
          <w:tcPr>
            <w:tcW w:w="549"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31835</w:t>
            </w:r>
          </w:p>
        </w:tc>
        <w:tc>
          <w:tcPr>
            <w:tcW w:w="52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8350</w:t>
            </w:r>
          </w:p>
        </w:tc>
        <w:tc>
          <w:tcPr>
            <w:tcW w:w="55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12525</w:t>
            </w:r>
          </w:p>
        </w:tc>
      </w:tr>
      <w:tr>
        <w:trPr>
          <w:trHeight w:val="567"/>
        </w:trPr>
        <w:tc>
          <w:tcPr>
            <w:cnfStyle w:val="001000000000" w:firstRow="0" w:lastRow="0" w:firstColumn="1" w:lastColumn="0" w:oddVBand="0" w:evenVBand="0" w:oddHBand="0" w:evenHBand="0" w:firstRowFirstColumn="0" w:firstRowLastColumn="0" w:lastRowFirstColumn="0" w:lastRowLastColumn="0"/>
            <w:tcW w:w="5000" w:type="pct"/>
            <w:gridSpan w:val="9"/>
          </w:tcPr>
          <w:p>
            <w:pPr>
              <w:rPr>
                <w:rFonts w:ascii="Times New Roman" w:hAnsi="Times New Roman" w:cs="Times New Roman"/>
                <w:b w:val="0"/>
                <w:i/>
                <w:noProof/>
                <w:color w:val="auto"/>
                <w:sz w:val="20"/>
                <w:szCs w:val="20"/>
              </w:rPr>
            </w:pPr>
            <w:r>
              <w:rPr>
                <w:rFonts w:ascii="Times New Roman" w:hAnsi="Times New Roman" w:cs="Times New Roman"/>
                <w:i/>
                <w:noProof/>
                <w:sz w:val="20"/>
                <w:szCs w:val="20"/>
              </w:rPr>
              <w:t>Source: own calculations on Eurostat data</w:t>
            </w:r>
          </w:p>
          <w:p>
            <w:pPr>
              <w:ind w:right="-1305"/>
              <w:jc w:val="both"/>
              <w:rPr>
                <w:rFonts w:ascii="Calibri" w:eastAsia="Times New Roman" w:hAnsi="Calibri" w:cs="Calibri"/>
                <w:noProof/>
                <w:color w:val="000000"/>
                <w:sz w:val="20"/>
                <w:szCs w:val="20"/>
                <w:lang w:val="en-US" w:eastAsia="en-GB"/>
              </w:rPr>
            </w:pPr>
            <w:r>
              <w:rPr>
                <w:rFonts w:ascii="Times New Roman" w:hAnsi="Times New Roman" w:cs="Times New Roman"/>
                <w:i/>
                <w:noProof/>
                <w:sz w:val="20"/>
                <w:szCs w:val="20"/>
              </w:rPr>
              <w:t>Note: costs take into account existing measures in the</w:t>
            </w:r>
            <w:r>
              <w:rPr>
                <w:i/>
                <w:noProof/>
                <w:sz w:val="20"/>
                <w:szCs w:val="20"/>
              </w:rPr>
              <w:t xml:space="preserve"> </w:t>
            </w:r>
            <w:r>
              <w:rPr>
                <w:rFonts w:ascii="Times New Roman" w:hAnsi="Times New Roman" w:cs="Times New Roman"/>
                <w:i/>
                <w:noProof/>
                <w:sz w:val="20"/>
                <w:szCs w:val="20"/>
              </w:rPr>
              <w:t>Member States. Microenterprises are excluded.</w:t>
            </w:r>
          </w:p>
        </w:tc>
      </w:tr>
    </w:tbl>
    <w:p>
      <w:pPr>
        <w:rPr>
          <w:rFonts w:ascii="Times New Roman" w:hAnsi="Times New Roman" w:cs="Times New Roman"/>
          <w:noProof/>
          <w:sz w:val="24"/>
          <w:szCs w:val="24"/>
        </w:rPr>
      </w:pPr>
    </w:p>
    <w:p>
      <w:pPr>
        <w:rPr>
          <w:rFonts w:ascii="Times New Roman" w:hAnsi="Times New Roman" w:cs="Times New Roman"/>
          <w:noProof/>
          <w:sz w:val="24"/>
          <w:szCs w:val="24"/>
        </w:rPr>
      </w:pPr>
      <w:r>
        <w:rPr>
          <w:rFonts w:ascii="Times New Roman" w:hAnsi="Times New Roman" w:cs="Times New Roman"/>
          <w:noProof/>
          <w:sz w:val="24"/>
          <w:szCs w:val="24"/>
        </w:rPr>
        <w:br w:type="page"/>
      </w:r>
    </w:p>
    <w:tbl>
      <w:tblPr>
        <w:tblStyle w:val="GridTable5DarkAccent6"/>
        <w:tblW w:w="5446" w:type="pct"/>
        <w:tblLook w:val="04A0" w:firstRow="1" w:lastRow="0" w:firstColumn="1" w:lastColumn="0" w:noHBand="0" w:noVBand="1"/>
      </w:tblPr>
      <w:tblGrid>
        <w:gridCol w:w="550"/>
        <w:gridCol w:w="1355"/>
        <w:gridCol w:w="1355"/>
        <w:gridCol w:w="1251"/>
        <w:gridCol w:w="1251"/>
        <w:gridCol w:w="991"/>
        <w:gridCol w:w="991"/>
        <w:gridCol w:w="887"/>
        <w:gridCol w:w="991"/>
      </w:tblGrid>
      <w:tr>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24" w:type="pct"/>
            <w:gridSpan w:val="7"/>
            <w:hideMark/>
          </w:tcPr>
          <w:p>
            <w:pPr>
              <w:textAlignment w:val="baseline"/>
              <w:rPr>
                <w:rFonts w:ascii="Calibri" w:eastAsia="Times New Roman" w:hAnsi="Calibri" w:cs="Calibri"/>
                <w:noProof/>
                <w:color w:val="auto"/>
                <w:sz w:val="20"/>
                <w:szCs w:val="20"/>
                <w:lang w:val="en-US" w:eastAsia="en-GB"/>
              </w:rPr>
            </w:pPr>
            <w:r>
              <w:rPr>
                <w:rFonts w:ascii="Calibri" w:eastAsia="Times New Roman" w:hAnsi="Calibri" w:cs="Calibri"/>
                <w:noProof/>
                <w:color w:val="auto"/>
                <w:sz w:val="20"/>
                <w:szCs w:val="20"/>
                <w:lang w:val="en-US" w:eastAsia="en-GB"/>
              </w:rPr>
              <w:t>Sub-option 2D - Pay reporting full - cost per MS and class-size – </w:t>
            </w:r>
          </w:p>
          <w:p>
            <w:pPr>
              <w:textAlignment w:val="baseline"/>
              <w:rPr>
                <w:rFonts w:ascii="Segoe UI" w:eastAsia="Times New Roman" w:hAnsi="Segoe UI" w:cs="Segoe UI"/>
                <w:noProof/>
                <w:color w:val="auto"/>
                <w:sz w:val="20"/>
                <w:szCs w:val="20"/>
                <w:lang w:eastAsia="en-GB"/>
              </w:rPr>
            </w:pPr>
            <w:r>
              <w:rPr>
                <w:rFonts w:ascii="Calibri" w:eastAsia="Times New Roman" w:hAnsi="Calibri" w:cs="Calibri"/>
                <w:noProof/>
                <w:color w:val="auto"/>
                <w:sz w:val="20"/>
                <w:szCs w:val="20"/>
                <w:lang w:val="en-US" w:eastAsia="en-GB"/>
              </w:rPr>
              <w:t>Minimun and maximum - Euro</w:t>
            </w:r>
            <w:r>
              <w:rPr>
                <w:rFonts w:ascii="Calibri" w:eastAsia="Times New Roman" w:hAnsi="Calibri" w:cs="Calibri"/>
                <w:noProof/>
                <w:color w:val="auto"/>
                <w:sz w:val="20"/>
                <w:szCs w:val="20"/>
                <w:lang w:eastAsia="en-GB"/>
              </w:rPr>
              <w:t> </w:t>
            </w:r>
          </w:p>
        </w:tc>
        <w:tc>
          <w:tcPr>
            <w:tcW w:w="461" w:type="pct"/>
            <w:hideMark/>
          </w:tcPr>
          <w:p>
            <w:pPr>
              <w:textAlignment w:val="baseline"/>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noProof/>
                <w:color w:val="auto"/>
                <w:sz w:val="20"/>
                <w:szCs w:val="20"/>
                <w:lang w:eastAsia="en-GB"/>
              </w:rPr>
            </w:pPr>
            <w:r>
              <w:rPr>
                <w:rFonts w:ascii="Calibri" w:eastAsia="Times New Roman" w:hAnsi="Calibri" w:cs="Calibri"/>
                <w:noProof/>
                <w:color w:val="auto"/>
                <w:sz w:val="20"/>
                <w:szCs w:val="20"/>
                <w:lang w:val="en-US" w:eastAsia="en-GB"/>
              </w:rPr>
              <w:t> </w:t>
            </w:r>
            <w:r>
              <w:rPr>
                <w:rFonts w:ascii="Calibri" w:eastAsia="Times New Roman" w:hAnsi="Calibri" w:cs="Calibri"/>
                <w:noProof/>
                <w:color w:val="auto"/>
                <w:sz w:val="20"/>
                <w:szCs w:val="20"/>
                <w:lang w:eastAsia="en-GB"/>
              </w:rPr>
              <w:t> </w:t>
            </w:r>
          </w:p>
        </w:tc>
        <w:tc>
          <w:tcPr>
            <w:tcW w:w="515" w:type="pct"/>
            <w:hideMark/>
          </w:tcPr>
          <w:p>
            <w:pPr>
              <w:textAlignment w:val="baseline"/>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noProof/>
                <w:color w:val="auto"/>
                <w:sz w:val="20"/>
                <w:szCs w:val="20"/>
                <w:lang w:eastAsia="en-GB"/>
              </w:rPr>
            </w:pPr>
            <w:r>
              <w:rPr>
                <w:rFonts w:ascii="Calibri" w:eastAsia="Times New Roman" w:hAnsi="Calibri" w:cs="Calibri"/>
                <w:noProof/>
                <w:color w:val="auto"/>
                <w:sz w:val="20"/>
                <w:szCs w:val="20"/>
                <w:lang w:val="en-US" w:eastAsia="en-GB"/>
              </w:rPr>
              <w:t> </w:t>
            </w:r>
            <w:r>
              <w:rPr>
                <w:rFonts w:ascii="Calibri" w:eastAsia="Times New Roman" w:hAnsi="Calibri" w:cs="Calibri"/>
                <w:noProof/>
                <w:color w:val="auto"/>
                <w:sz w:val="20"/>
                <w:szCs w:val="20"/>
                <w:lang w:eastAsia="en-GB"/>
              </w:rPr>
              <w:t>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 w:type="pct"/>
            <w:hideMark/>
          </w:tcPr>
          <w:p>
            <w:pPr>
              <w:textAlignment w:val="baseline"/>
              <w:rPr>
                <w:rFonts w:ascii="Segoe UI" w:eastAsia="Times New Roman" w:hAnsi="Segoe UI" w:cs="Segoe UI"/>
                <w:noProof/>
                <w:color w:val="auto"/>
                <w:sz w:val="20"/>
                <w:szCs w:val="20"/>
                <w:lang w:eastAsia="en-GB"/>
              </w:rPr>
            </w:pPr>
            <w:r>
              <w:rPr>
                <w:rFonts w:ascii="Calibri" w:eastAsia="Times New Roman" w:hAnsi="Calibri" w:cs="Calibri"/>
                <w:noProof/>
                <w:color w:val="auto"/>
                <w:sz w:val="20"/>
                <w:szCs w:val="20"/>
                <w:lang w:val="en-US" w:eastAsia="en-GB"/>
              </w:rPr>
              <w:t> </w:t>
            </w:r>
            <w:r>
              <w:rPr>
                <w:rFonts w:ascii="Calibri" w:eastAsia="Times New Roman" w:hAnsi="Calibri" w:cs="Calibri"/>
                <w:noProof/>
                <w:color w:val="auto"/>
                <w:sz w:val="20"/>
                <w:szCs w:val="20"/>
                <w:lang w:eastAsia="en-GB"/>
              </w:rPr>
              <w:t> </w:t>
            </w:r>
          </w:p>
        </w:tc>
        <w:tc>
          <w:tcPr>
            <w:tcW w:w="1408" w:type="pct"/>
            <w:gridSpan w:val="2"/>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noProof/>
                <w:sz w:val="20"/>
                <w:szCs w:val="20"/>
                <w:lang w:eastAsia="en-GB"/>
              </w:rPr>
            </w:pPr>
            <w:r>
              <w:rPr>
                <w:rFonts w:ascii="Calibri" w:eastAsia="Times New Roman" w:hAnsi="Calibri" w:cs="Calibri"/>
                <w:b/>
                <w:noProof/>
                <w:sz w:val="20"/>
                <w:szCs w:val="20"/>
                <w:lang w:val="fr-FR" w:eastAsia="en-GB"/>
              </w:rPr>
              <w:t>50≤N&lt;250</w:t>
            </w:r>
            <w:r>
              <w:rPr>
                <w:rFonts w:ascii="Calibri" w:eastAsia="Times New Roman" w:hAnsi="Calibri" w:cs="Calibri"/>
                <w:b/>
                <w:noProof/>
                <w:sz w:val="20"/>
                <w:szCs w:val="20"/>
                <w:lang w:eastAsia="en-GB"/>
              </w:rPr>
              <w:t> </w:t>
            </w:r>
          </w:p>
        </w:tc>
        <w:tc>
          <w:tcPr>
            <w:tcW w:w="1300" w:type="pct"/>
            <w:gridSpan w:val="2"/>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noProof/>
                <w:sz w:val="20"/>
                <w:szCs w:val="20"/>
                <w:lang w:eastAsia="en-GB"/>
              </w:rPr>
            </w:pPr>
            <w:r>
              <w:rPr>
                <w:rFonts w:ascii="Calibri" w:eastAsia="Times New Roman" w:hAnsi="Calibri" w:cs="Calibri"/>
                <w:b/>
                <w:noProof/>
                <w:sz w:val="20"/>
                <w:szCs w:val="20"/>
                <w:lang w:val="fr-FR" w:eastAsia="en-GB"/>
              </w:rPr>
              <w:t>250≤N&lt;500</w:t>
            </w:r>
            <w:r>
              <w:rPr>
                <w:rFonts w:ascii="Calibri" w:eastAsia="Times New Roman" w:hAnsi="Calibri" w:cs="Calibri"/>
                <w:b/>
                <w:noProof/>
                <w:sz w:val="20"/>
                <w:szCs w:val="20"/>
                <w:lang w:eastAsia="en-GB"/>
              </w:rPr>
              <w:t> </w:t>
            </w:r>
          </w:p>
        </w:tc>
        <w:tc>
          <w:tcPr>
            <w:tcW w:w="1030" w:type="pct"/>
            <w:gridSpan w:val="2"/>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noProof/>
                <w:sz w:val="20"/>
                <w:szCs w:val="20"/>
                <w:lang w:eastAsia="en-GB"/>
              </w:rPr>
            </w:pPr>
            <w:r>
              <w:rPr>
                <w:rFonts w:ascii="Calibri" w:eastAsia="Times New Roman" w:hAnsi="Calibri" w:cs="Calibri"/>
                <w:b/>
                <w:noProof/>
                <w:sz w:val="20"/>
                <w:szCs w:val="20"/>
                <w:lang w:val="fr-FR" w:eastAsia="en-GB"/>
              </w:rPr>
              <w:t>500≤N&lt;1000</w:t>
            </w:r>
            <w:r>
              <w:rPr>
                <w:rFonts w:ascii="Calibri" w:eastAsia="Times New Roman" w:hAnsi="Calibri" w:cs="Calibri"/>
                <w:b/>
                <w:noProof/>
                <w:sz w:val="20"/>
                <w:szCs w:val="20"/>
                <w:lang w:eastAsia="en-GB"/>
              </w:rPr>
              <w:t> </w:t>
            </w:r>
          </w:p>
        </w:tc>
        <w:tc>
          <w:tcPr>
            <w:tcW w:w="976" w:type="pct"/>
            <w:gridSpan w:val="2"/>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noProof/>
                <w:sz w:val="20"/>
                <w:szCs w:val="20"/>
                <w:lang w:eastAsia="en-GB"/>
              </w:rPr>
            </w:pPr>
            <w:r>
              <w:rPr>
                <w:rFonts w:ascii="Calibri" w:eastAsia="Times New Roman" w:hAnsi="Calibri" w:cs="Calibri"/>
                <w:b/>
                <w:noProof/>
                <w:sz w:val="20"/>
                <w:szCs w:val="20"/>
                <w:lang w:val="fr-FR" w:eastAsia="en-GB"/>
              </w:rPr>
              <w:t>N≥1000</w:t>
            </w:r>
            <w:r>
              <w:rPr>
                <w:rFonts w:ascii="Calibri" w:eastAsia="Times New Roman" w:hAnsi="Calibri" w:cs="Calibri"/>
                <w:b/>
                <w:noProof/>
                <w:sz w:val="20"/>
                <w:szCs w:val="20"/>
                <w:lang w:eastAsia="en-GB"/>
              </w:rPr>
              <w:t> </w:t>
            </w:r>
          </w:p>
        </w:tc>
      </w:tr>
      <w:tr>
        <w:trPr>
          <w:trHeight w:val="300"/>
        </w:trPr>
        <w:tc>
          <w:tcPr>
            <w:cnfStyle w:val="001000000000" w:firstRow="0" w:lastRow="0" w:firstColumn="1" w:lastColumn="0" w:oddVBand="0" w:evenVBand="0" w:oddHBand="0" w:evenHBand="0" w:firstRowFirstColumn="0" w:firstRowLastColumn="0" w:lastRowFirstColumn="0" w:lastRowLastColumn="0"/>
            <w:tcW w:w="286" w:type="pct"/>
            <w:hideMark/>
          </w:tcPr>
          <w:p>
            <w:pPr>
              <w:textAlignment w:val="baseline"/>
              <w:rPr>
                <w:rFonts w:ascii="Segoe UI" w:eastAsia="Times New Roman" w:hAnsi="Segoe UI" w:cs="Segoe UI"/>
                <w:noProof/>
                <w:color w:val="auto"/>
                <w:sz w:val="20"/>
                <w:szCs w:val="20"/>
                <w:lang w:eastAsia="en-GB"/>
              </w:rPr>
            </w:pPr>
            <w:r>
              <w:rPr>
                <w:rFonts w:ascii="Calibri" w:eastAsia="Times New Roman" w:hAnsi="Calibri" w:cs="Calibri"/>
                <w:noProof/>
                <w:color w:val="auto"/>
                <w:sz w:val="20"/>
                <w:szCs w:val="20"/>
                <w:lang w:val="fr-FR" w:eastAsia="en-GB"/>
              </w:rPr>
              <w:t> </w:t>
            </w:r>
            <w:r>
              <w:rPr>
                <w:rFonts w:ascii="Calibri" w:eastAsia="Times New Roman" w:hAnsi="Calibri" w:cs="Calibri"/>
                <w:noProof/>
                <w:color w:val="auto"/>
                <w:sz w:val="20"/>
                <w:szCs w:val="20"/>
                <w:lang w:eastAsia="en-GB"/>
              </w:rPr>
              <w:t> </w:t>
            </w:r>
          </w:p>
        </w:tc>
        <w:tc>
          <w:tcPr>
            <w:tcW w:w="70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noProof/>
                <w:sz w:val="20"/>
                <w:szCs w:val="20"/>
                <w:lang w:eastAsia="en-GB"/>
              </w:rPr>
            </w:pPr>
            <w:r>
              <w:rPr>
                <w:rFonts w:ascii="Calibri" w:eastAsia="Times New Roman" w:hAnsi="Calibri" w:cs="Calibri"/>
                <w:b/>
                <w:noProof/>
                <w:sz w:val="20"/>
                <w:szCs w:val="20"/>
                <w:lang w:val="fr-FR" w:eastAsia="en-GB"/>
              </w:rPr>
              <w:t>Min</w:t>
            </w:r>
            <w:r>
              <w:rPr>
                <w:rFonts w:ascii="Calibri" w:eastAsia="Times New Roman" w:hAnsi="Calibri" w:cs="Calibri"/>
                <w:b/>
                <w:noProof/>
                <w:sz w:val="20"/>
                <w:szCs w:val="20"/>
                <w:lang w:eastAsia="en-GB"/>
              </w:rPr>
              <w:t> </w:t>
            </w:r>
          </w:p>
        </w:tc>
        <w:tc>
          <w:tcPr>
            <w:tcW w:w="70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noProof/>
                <w:sz w:val="20"/>
                <w:szCs w:val="20"/>
                <w:lang w:eastAsia="en-GB"/>
              </w:rPr>
            </w:pPr>
            <w:r>
              <w:rPr>
                <w:rFonts w:ascii="Calibri" w:eastAsia="Times New Roman" w:hAnsi="Calibri" w:cs="Calibri"/>
                <w:b/>
                <w:noProof/>
                <w:sz w:val="20"/>
                <w:szCs w:val="20"/>
                <w:lang w:val="fr-FR" w:eastAsia="en-GB"/>
              </w:rPr>
              <w:t>Max</w:t>
            </w:r>
            <w:r>
              <w:rPr>
                <w:rFonts w:ascii="Calibri" w:eastAsia="Times New Roman" w:hAnsi="Calibri" w:cs="Calibri"/>
                <w:b/>
                <w:noProof/>
                <w:sz w:val="20"/>
                <w:szCs w:val="20"/>
                <w:lang w:eastAsia="en-GB"/>
              </w:rPr>
              <w:t> </w:t>
            </w:r>
          </w:p>
        </w:tc>
        <w:tc>
          <w:tcPr>
            <w:tcW w:w="650"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noProof/>
                <w:sz w:val="20"/>
                <w:szCs w:val="20"/>
                <w:lang w:eastAsia="en-GB"/>
              </w:rPr>
            </w:pPr>
            <w:r>
              <w:rPr>
                <w:rFonts w:ascii="Calibri" w:eastAsia="Times New Roman" w:hAnsi="Calibri" w:cs="Calibri"/>
                <w:b/>
                <w:noProof/>
                <w:sz w:val="20"/>
                <w:szCs w:val="20"/>
                <w:lang w:val="fr-FR" w:eastAsia="en-GB"/>
              </w:rPr>
              <w:t>Min</w:t>
            </w:r>
            <w:r>
              <w:rPr>
                <w:rFonts w:ascii="Calibri" w:eastAsia="Times New Roman" w:hAnsi="Calibri" w:cs="Calibri"/>
                <w:b/>
                <w:noProof/>
                <w:sz w:val="20"/>
                <w:szCs w:val="20"/>
                <w:lang w:eastAsia="en-GB"/>
              </w:rPr>
              <w:t> </w:t>
            </w:r>
          </w:p>
        </w:tc>
        <w:tc>
          <w:tcPr>
            <w:tcW w:w="650"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noProof/>
                <w:sz w:val="20"/>
                <w:szCs w:val="20"/>
                <w:lang w:eastAsia="en-GB"/>
              </w:rPr>
            </w:pPr>
            <w:r>
              <w:rPr>
                <w:rFonts w:ascii="Calibri" w:eastAsia="Times New Roman" w:hAnsi="Calibri" w:cs="Calibri"/>
                <w:b/>
                <w:noProof/>
                <w:sz w:val="20"/>
                <w:szCs w:val="20"/>
                <w:lang w:val="fr-FR" w:eastAsia="en-GB"/>
              </w:rPr>
              <w:t>Max</w:t>
            </w:r>
            <w:r>
              <w:rPr>
                <w:rFonts w:ascii="Calibri" w:eastAsia="Times New Roman" w:hAnsi="Calibri" w:cs="Calibri"/>
                <w:b/>
                <w:noProof/>
                <w:sz w:val="20"/>
                <w:szCs w:val="20"/>
                <w:lang w:eastAsia="en-GB"/>
              </w:rPr>
              <w:t> </w:t>
            </w:r>
          </w:p>
        </w:tc>
        <w:tc>
          <w:tcPr>
            <w:tcW w:w="51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noProof/>
                <w:sz w:val="20"/>
                <w:szCs w:val="20"/>
                <w:lang w:eastAsia="en-GB"/>
              </w:rPr>
            </w:pPr>
            <w:r>
              <w:rPr>
                <w:rFonts w:ascii="Calibri" w:eastAsia="Times New Roman" w:hAnsi="Calibri" w:cs="Calibri"/>
                <w:b/>
                <w:noProof/>
                <w:sz w:val="20"/>
                <w:szCs w:val="20"/>
                <w:lang w:val="fr-FR" w:eastAsia="en-GB"/>
              </w:rPr>
              <w:t>Min</w:t>
            </w:r>
            <w:r>
              <w:rPr>
                <w:rFonts w:ascii="Calibri" w:eastAsia="Times New Roman" w:hAnsi="Calibri" w:cs="Calibri"/>
                <w:b/>
                <w:noProof/>
                <w:sz w:val="20"/>
                <w:szCs w:val="20"/>
                <w:lang w:eastAsia="en-GB"/>
              </w:rPr>
              <w:t> </w:t>
            </w:r>
          </w:p>
        </w:tc>
        <w:tc>
          <w:tcPr>
            <w:tcW w:w="51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noProof/>
                <w:sz w:val="20"/>
                <w:szCs w:val="20"/>
                <w:lang w:eastAsia="en-GB"/>
              </w:rPr>
            </w:pPr>
            <w:r>
              <w:rPr>
                <w:rFonts w:ascii="Calibri" w:eastAsia="Times New Roman" w:hAnsi="Calibri" w:cs="Calibri"/>
                <w:b/>
                <w:noProof/>
                <w:sz w:val="20"/>
                <w:szCs w:val="20"/>
                <w:lang w:val="fr-FR" w:eastAsia="en-GB"/>
              </w:rPr>
              <w:t>Max</w:t>
            </w:r>
            <w:r>
              <w:rPr>
                <w:rFonts w:ascii="Calibri" w:eastAsia="Times New Roman" w:hAnsi="Calibri" w:cs="Calibri"/>
                <w:b/>
                <w:noProof/>
                <w:sz w:val="20"/>
                <w:szCs w:val="20"/>
                <w:lang w:eastAsia="en-GB"/>
              </w:rPr>
              <w:t> </w:t>
            </w:r>
          </w:p>
        </w:tc>
        <w:tc>
          <w:tcPr>
            <w:tcW w:w="461"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noProof/>
                <w:sz w:val="20"/>
                <w:szCs w:val="20"/>
                <w:lang w:eastAsia="en-GB"/>
              </w:rPr>
            </w:pPr>
            <w:r>
              <w:rPr>
                <w:rFonts w:ascii="Calibri" w:eastAsia="Times New Roman" w:hAnsi="Calibri" w:cs="Calibri"/>
                <w:b/>
                <w:noProof/>
                <w:sz w:val="20"/>
                <w:szCs w:val="20"/>
                <w:lang w:val="fr-FR" w:eastAsia="en-GB"/>
              </w:rPr>
              <w:t>Min</w:t>
            </w:r>
            <w:r>
              <w:rPr>
                <w:rFonts w:ascii="Calibri" w:eastAsia="Times New Roman" w:hAnsi="Calibri" w:cs="Calibri"/>
                <w:b/>
                <w:noProof/>
                <w:sz w:val="20"/>
                <w:szCs w:val="20"/>
                <w:lang w:eastAsia="en-GB"/>
              </w:rPr>
              <w:t> </w:t>
            </w:r>
          </w:p>
        </w:tc>
        <w:tc>
          <w:tcPr>
            <w:tcW w:w="51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noProof/>
                <w:sz w:val="20"/>
                <w:szCs w:val="20"/>
                <w:lang w:eastAsia="en-GB"/>
              </w:rPr>
            </w:pPr>
            <w:r>
              <w:rPr>
                <w:rFonts w:ascii="Calibri" w:eastAsia="Times New Roman" w:hAnsi="Calibri" w:cs="Calibri"/>
                <w:b/>
                <w:noProof/>
                <w:sz w:val="20"/>
                <w:szCs w:val="20"/>
                <w:lang w:val="fr-FR" w:eastAsia="en-GB"/>
              </w:rPr>
              <w:t>Max</w:t>
            </w:r>
            <w:r>
              <w:rPr>
                <w:rFonts w:ascii="Calibri" w:eastAsia="Times New Roman" w:hAnsi="Calibri" w:cs="Calibri"/>
                <w:b/>
                <w:noProof/>
                <w:sz w:val="20"/>
                <w:szCs w:val="20"/>
                <w:lang w:eastAsia="en-GB"/>
              </w:rPr>
              <w:t> </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AT</w:t>
            </w:r>
            <w:r>
              <w:rPr>
                <w:rFonts w:ascii="Calibri" w:eastAsia="Times New Roman" w:hAnsi="Calibri" w:cs="Calibri"/>
                <w:noProof/>
                <w:color w:val="000000"/>
                <w:sz w:val="20"/>
                <w:szCs w:val="20"/>
                <w:lang w:eastAsia="en-GB"/>
              </w:rPr>
              <w:t> </w:t>
            </w:r>
          </w:p>
        </w:tc>
        <w:tc>
          <w:tcPr>
            <w:tcW w:w="70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3219419</w:t>
            </w:r>
          </w:p>
        </w:tc>
        <w:tc>
          <w:tcPr>
            <w:tcW w:w="70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5955924</w:t>
            </w:r>
          </w:p>
        </w:tc>
        <w:tc>
          <w:tcPr>
            <w:tcW w:w="650" w:type="pct"/>
            <w:hideMark/>
          </w:tcPr>
          <w:p>
            <w:pPr>
              <w:jc w:val="right"/>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650"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1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1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461"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1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r>
      <w:tr>
        <w:trPr>
          <w:trHeight w:val="300"/>
        </w:trPr>
        <w:tc>
          <w:tcPr>
            <w:cnfStyle w:val="001000000000" w:firstRow="0" w:lastRow="0" w:firstColumn="1" w:lastColumn="0" w:oddVBand="0" w:evenVBand="0" w:oddHBand="0" w:evenHBand="0" w:firstRowFirstColumn="0" w:firstRowLastColumn="0" w:lastRowFirstColumn="0" w:lastRowLastColumn="0"/>
            <w:tcW w:w="286"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BE</w:t>
            </w:r>
            <w:r>
              <w:rPr>
                <w:rFonts w:ascii="Calibri" w:eastAsia="Times New Roman" w:hAnsi="Calibri" w:cs="Calibri"/>
                <w:noProof/>
                <w:color w:val="000000"/>
                <w:sz w:val="20"/>
                <w:szCs w:val="20"/>
                <w:lang w:eastAsia="en-GB"/>
              </w:rPr>
              <w:t> </w:t>
            </w:r>
          </w:p>
        </w:tc>
        <w:tc>
          <w:tcPr>
            <w:tcW w:w="70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2944950</w:t>
            </w:r>
          </w:p>
        </w:tc>
        <w:tc>
          <w:tcPr>
            <w:tcW w:w="70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5448157</w:t>
            </w:r>
          </w:p>
        </w:tc>
        <w:tc>
          <w:tcPr>
            <w:tcW w:w="650" w:type="pct"/>
            <w:hideMark/>
          </w:tcPr>
          <w:p>
            <w:pPr>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650"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1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1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461"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1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BG</w:t>
            </w:r>
            <w:r>
              <w:rPr>
                <w:rFonts w:ascii="Calibri" w:eastAsia="Times New Roman" w:hAnsi="Calibri" w:cs="Calibri"/>
                <w:noProof/>
                <w:color w:val="000000"/>
                <w:sz w:val="20"/>
                <w:szCs w:val="20"/>
                <w:lang w:eastAsia="en-GB"/>
              </w:rPr>
              <w:t> </w:t>
            </w:r>
          </w:p>
        </w:tc>
        <w:tc>
          <w:tcPr>
            <w:tcW w:w="70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1098240</w:t>
            </w:r>
          </w:p>
        </w:tc>
        <w:tc>
          <w:tcPr>
            <w:tcW w:w="70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2031744</w:t>
            </w:r>
          </w:p>
        </w:tc>
        <w:tc>
          <w:tcPr>
            <w:tcW w:w="650" w:type="pct"/>
            <w:hideMark/>
          </w:tcPr>
          <w:p>
            <w:pPr>
              <w:jc w:val="right"/>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155520</w:t>
            </w:r>
          </w:p>
        </w:tc>
        <w:tc>
          <w:tcPr>
            <w:tcW w:w="650"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295488</w:t>
            </w:r>
          </w:p>
        </w:tc>
        <w:tc>
          <w:tcPr>
            <w:tcW w:w="51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17172</w:t>
            </w:r>
          </w:p>
        </w:tc>
        <w:tc>
          <w:tcPr>
            <w:tcW w:w="51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32724</w:t>
            </w:r>
          </w:p>
        </w:tc>
        <w:tc>
          <w:tcPr>
            <w:tcW w:w="461"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6912</w:t>
            </w:r>
          </w:p>
        </w:tc>
        <w:tc>
          <w:tcPr>
            <w:tcW w:w="51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12096</w:t>
            </w:r>
          </w:p>
        </w:tc>
      </w:tr>
      <w:tr>
        <w:trPr>
          <w:trHeight w:val="300"/>
        </w:trPr>
        <w:tc>
          <w:tcPr>
            <w:cnfStyle w:val="001000000000" w:firstRow="0" w:lastRow="0" w:firstColumn="1" w:lastColumn="0" w:oddVBand="0" w:evenVBand="0" w:oddHBand="0" w:evenHBand="0" w:firstRowFirstColumn="0" w:firstRowLastColumn="0" w:lastRowFirstColumn="0" w:lastRowLastColumn="0"/>
            <w:tcW w:w="286"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CY</w:t>
            </w:r>
            <w:r>
              <w:rPr>
                <w:rFonts w:ascii="Calibri" w:eastAsia="Times New Roman" w:hAnsi="Calibri" w:cs="Calibri"/>
                <w:noProof/>
                <w:color w:val="000000"/>
                <w:sz w:val="20"/>
                <w:szCs w:val="20"/>
                <w:lang w:eastAsia="en-GB"/>
              </w:rPr>
              <w:t> </w:t>
            </w:r>
          </w:p>
        </w:tc>
        <w:tc>
          <w:tcPr>
            <w:tcW w:w="70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290160</w:t>
            </w:r>
          </w:p>
        </w:tc>
        <w:tc>
          <w:tcPr>
            <w:tcW w:w="70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536796</w:t>
            </w:r>
          </w:p>
        </w:tc>
        <w:tc>
          <w:tcPr>
            <w:tcW w:w="650" w:type="pct"/>
            <w:hideMark/>
          </w:tcPr>
          <w:p>
            <w:pPr>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44928</w:t>
            </w:r>
          </w:p>
        </w:tc>
        <w:tc>
          <w:tcPr>
            <w:tcW w:w="650"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85363</w:t>
            </w:r>
          </w:p>
        </w:tc>
        <w:tc>
          <w:tcPr>
            <w:tcW w:w="51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4961</w:t>
            </w:r>
          </w:p>
        </w:tc>
        <w:tc>
          <w:tcPr>
            <w:tcW w:w="51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9454</w:t>
            </w:r>
          </w:p>
        </w:tc>
        <w:tc>
          <w:tcPr>
            <w:tcW w:w="461"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1997</w:t>
            </w:r>
          </w:p>
        </w:tc>
        <w:tc>
          <w:tcPr>
            <w:tcW w:w="51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3494</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CZ</w:t>
            </w:r>
            <w:r>
              <w:rPr>
                <w:rFonts w:ascii="Calibri" w:eastAsia="Times New Roman" w:hAnsi="Calibri" w:cs="Calibri"/>
                <w:noProof/>
                <w:color w:val="000000"/>
                <w:sz w:val="20"/>
                <w:szCs w:val="20"/>
                <w:lang w:eastAsia="en-GB"/>
              </w:rPr>
              <w:t> </w:t>
            </w:r>
          </w:p>
        </w:tc>
        <w:tc>
          <w:tcPr>
            <w:tcW w:w="70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4002323</w:t>
            </w:r>
          </w:p>
        </w:tc>
        <w:tc>
          <w:tcPr>
            <w:tcW w:w="70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7404298</w:t>
            </w:r>
          </w:p>
        </w:tc>
        <w:tc>
          <w:tcPr>
            <w:tcW w:w="650" w:type="pct"/>
            <w:hideMark/>
          </w:tcPr>
          <w:p>
            <w:pPr>
              <w:jc w:val="right"/>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845799</w:t>
            </w:r>
          </w:p>
        </w:tc>
        <w:tc>
          <w:tcPr>
            <w:tcW w:w="650"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1607018</w:t>
            </w:r>
          </w:p>
        </w:tc>
        <w:tc>
          <w:tcPr>
            <w:tcW w:w="51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93390</w:t>
            </w:r>
          </w:p>
        </w:tc>
        <w:tc>
          <w:tcPr>
            <w:tcW w:w="51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177970</w:t>
            </w:r>
          </w:p>
        </w:tc>
        <w:tc>
          <w:tcPr>
            <w:tcW w:w="461"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37591</w:t>
            </w:r>
          </w:p>
        </w:tc>
        <w:tc>
          <w:tcPr>
            <w:tcW w:w="51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65784</w:t>
            </w:r>
          </w:p>
        </w:tc>
      </w:tr>
      <w:tr>
        <w:trPr>
          <w:trHeight w:val="300"/>
        </w:trPr>
        <w:tc>
          <w:tcPr>
            <w:cnfStyle w:val="001000000000" w:firstRow="0" w:lastRow="0" w:firstColumn="1" w:lastColumn="0" w:oddVBand="0" w:evenVBand="0" w:oddHBand="0" w:evenHBand="0" w:firstRowFirstColumn="0" w:firstRowLastColumn="0" w:lastRowFirstColumn="0" w:lastRowLastColumn="0"/>
            <w:tcW w:w="286"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DE</w:t>
            </w:r>
            <w:r>
              <w:rPr>
                <w:rFonts w:ascii="Calibri" w:eastAsia="Times New Roman" w:hAnsi="Calibri" w:cs="Calibri"/>
                <w:noProof/>
                <w:color w:val="000000"/>
                <w:sz w:val="20"/>
                <w:szCs w:val="20"/>
                <w:lang w:eastAsia="en-GB"/>
              </w:rPr>
              <w:t> </w:t>
            </w:r>
          </w:p>
        </w:tc>
        <w:tc>
          <w:tcPr>
            <w:tcW w:w="70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102228944</w:t>
            </w:r>
          </w:p>
        </w:tc>
        <w:tc>
          <w:tcPr>
            <w:tcW w:w="70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189123546</w:t>
            </w:r>
          </w:p>
        </w:tc>
        <w:tc>
          <w:tcPr>
            <w:tcW w:w="650" w:type="pct"/>
            <w:hideMark/>
          </w:tcPr>
          <w:p>
            <w:pPr>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18120866</w:t>
            </w:r>
          </w:p>
        </w:tc>
        <w:tc>
          <w:tcPr>
            <w:tcW w:w="650"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34429645</w:t>
            </w:r>
          </w:p>
        </w:tc>
        <w:tc>
          <w:tcPr>
            <w:tcW w:w="51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1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461"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1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DK</w:t>
            </w:r>
            <w:r>
              <w:rPr>
                <w:rFonts w:ascii="Calibri" w:eastAsia="Times New Roman" w:hAnsi="Calibri" w:cs="Calibri"/>
                <w:noProof/>
                <w:color w:val="000000"/>
                <w:sz w:val="20"/>
                <w:szCs w:val="20"/>
                <w:lang w:eastAsia="en-GB"/>
              </w:rPr>
              <w:t> </w:t>
            </w:r>
          </w:p>
        </w:tc>
        <w:tc>
          <w:tcPr>
            <w:tcW w:w="70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70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650" w:type="pct"/>
            <w:hideMark/>
          </w:tcPr>
          <w:p>
            <w:pPr>
              <w:jc w:val="right"/>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650"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1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1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461"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1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r>
      <w:tr>
        <w:trPr>
          <w:trHeight w:val="300"/>
        </w:trPr>
        <w:tc>
          <w:tcPr>
            <w:cnfStyle w:val="001000000000" w:firstRow="0" w:lastRow="0" w:firstColumn="1" w:lastColumn="0" w:oddVBand="0" w:evenVBand="0" w:oddHBand="0" w:evenHBand="0" w:firstRowFirstColumn="0" w:firstRowLastColumn="0" w:lastRowFirstColumn="0" w:lastRowLastColumn="0"/>
            <w:tcW w:w="286"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EE</w:t>
            </w:r>
            <w:r>
              <w:rPr>
                <w:rFonts w:ascii="Calibri" w:eastAsia="Times New Roman" w:hAnsi="Calibri" w:cs="Calibri"/>
                <w:noProof/>
                <w:color w:val="000000"/>
                <w:sz w:val="20"/>
                <w:szCs w:val="20"/>
                <w:lang w:eastAsia="en-GB"/>
              </w:rPr>
              <w:t> </w:t>
            </w:r>
          </w:p>
        </w:tc>
        <w:tc>
          <w:tcPr>
            <w:tcW w:w="70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70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650" w:type="pct"/>
            <w:hideMark/>
          </w:tcPr>
          <w:p>
            <w:pPr>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650"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1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1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461"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1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EL</w:t>
            </w:r>
            <w:r>
              <w:rPr>
                <w:rFonts w:ascii="Calibri" w:eastAsia="Times New Roman" w:hAnsi="Calibri" w:cs="Calibri"/>
                <w:noProof/>
                <w:color w:val="000000"/>
                <w:sz w:val="20"/>
                <w:szCs w:val="20"/>
                <w:lang w:eastAsia="en-GB"/>
              </w:rPr>
              <w:t> </w:t>
            </w:r>
          </w:p>
        </w:tc>
        <w:tc>
          <w:tcPr>
            <w:tcW w:w="70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1532516</w:t>
            </w:r>
          </w:p>
        </w:tc>
        <w:tc>
          <w:tcPr>
            <w:tcW w:w="70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2835155</w:t>
            </w:r>
          </w:p>
        </w:tc>
        <w:tc>
          <w:tcPr>
            <w:tcW w:w="650" w:type="pct"/>
            <w:hideMark/>
          </w:tcPr>
          <w:p>
            <w:pPr>
              <w:jc w:val="right"/>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210360</w:t>
            </w:r>
          </w:p>
        </w:tc>
        <w:tc>
          <w:tcPr>
            <w:tcW w:w="650"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399683</w:t>
            </w:r>
          </w:p>
        </w:tc>
        <w:tc>
          <w:tcPr>
            <w:tcW w:w="51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23227</w:t>
            </w:r>
          </w:p>
        </w:tc>
        <w:tc>
          <w:tcPr>
            <w:tcW w:w="51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44263</w:t>
            </w:r>
          </w:p>
        </w:tc>
        <w:tc>
          <w:tcPr>
            <w:tcW w:w="461"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9349</w:t>
            </w:r>
          </w:p>
        </w:tc>
        <w:tc>
          <w:tcPr>
            <w:tcW w:w="51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16361</w:t>
            </w:r>
          </w:p>
        </w:tc>
      </w:tr>
      <w:tr>
        <w:trPr>
          <w:trHeight w:val="300"/>
        </w:trPr>
        <w:tc>
          <w:tcPr>
            <w:cnfStyle w:val="001000000000" w:firstRow="0" w:lastRow="0" w:firstColumn="1" w:lastColumn="0" w:oddVBand="0" w:evenVBand="0" w:oddHBand="0" w:evenHBand="0" w:firstRowFirstColumn="0" w:firstRowLastColumn="0" w:lastRowFirstColumn="0" w:lastRowLastColumn="0"/>
            <w:tcW w:w="286"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ES</w:t>
            </w:r>
            <w:r>
              <w:rPr>
                <w:rFonts w:ascii="Calibri" w:eastAsia="Times New Roman" w:hAnsi="Calibri" w:cs="Calibri"/>
                <w:noProof/>
                <w:color w:val="000000"/>
                <w:sz w:val="20"/>
                <w:szCs w:val="20"/>
                <w:lang w:eastAsia="en-GB"/>
              </w:rPr>
              <w:t> </w:t>
            </w:r>
          </w:p>
        </w:tc>
        <w:tc>
          <w:tcPr>
            <w:tcW w:w="70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70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650" w:type="pct"/>
            <w:hideMark/>
          </w:tcPr>
          <w:p>
            <w:pPr>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650"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1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1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461"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1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FI</w:t>
            </w:r>
            <w:r>
              <w:rPr>
                <w:rFonts w:ascii="Calibri" w:eastAsia="Times New Roman" w:hAnsi="Calibri" w:cs="Calibri"/>
                <w:noProof/>
                <w:color w:val="000000"/>
                <w:sz w:val="20"/>
                <w:szCs w:val="20"/>
                <w:lang w:eastAsia="en-GB"/>
              </w:rPr>
              <w:t> </w:t>
            </w:r>
          </w:p>
        </w:tc>
        <w:tc>
          <w:tcPr>
            <w:tcW w:w="70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70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650" w:type="pct"/>
            <w:hideMark/>
          </w:tcPr>
          <w:p>
            <w:pPr>
              <w:jc w:val="right"/>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650"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1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1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461"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1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r>
      <w:tr>
        <w:trPr>
          <w:trHeight w:val="300"/>
        </w:trPr>
        <w:tc>
          <w:tcPr>
            <w:cnfStyle w:val="001000000000" w:firstRow="0" w:lastRow="0" w:firstColumn="1" w:lastColumn="0" w:oddVBand="0" w:evenVBand="0" w:oddHBand="0" w:evenHBand="0" w:firstRowFirstColumn="0" w:firstRowLastColumn="0" w:lastRowFirstColumn="0" w:lastRowLastColumn="0"/>
            <w:tcW w:w="286"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FR</w:t>
            </w:r>
            <w:r>
              <w:rPr>
                <w:rFonts w:ascii="Calibri" w:eastAsia="Times New Roman" w:hAnsi="Calibri" w:cs="Calibri"/>
                <w:noProof/>
                <w:color w:val="000000"/>
                <w:sz w:val="20"/>
                <w:szCs w:val="20"/>
                <w:lang w:eastAsia="en-GB"/>
              </w:rPr>
              <w:t> </w:t>
            </w:r>
          </w:p>
        </w:tc>
        <w:tc>
          <w:tcPr>
            <w:tcW w:w="70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70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650" w:type="pct"/>
            <w:hideMark/>
          </w:tcPr>
          <w:p>
            <w:pPr>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650"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1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1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461"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1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HR</w:t>
            </w:r>
            <w:r>
              <w:rPr>
                <w:rFonts w:ascii="Calibri" w:eastAsia="Times New Roman" w:hAnsi="Calibri" w:cs="Calibri"/>
                <w:noProof/>
                <w:color w:val="000000"/>
                <w:sz w:val="20"/>
                <w:szCs w:val="20"/>
                <w:lang w:eastAsia="en-GB"/>
              </w:rPr>
              <w:t> </w:t>
            </w:r>
          </w:p>
        </w:tc>
        <w:tc>
          <w:tcPr>
            <w:tcW w:w="70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863504</w:t>
            </w:r>
          </w:p>
        </w:tc>
        <w:tc>
          <w:tcPr>
            <w:tcW w:w="70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1597482</w:t>
            </w:r>
          </w:p>
        </w:tc>
        <w:tc>
          <w:tcPr>
            <w:tcW w:w="650" w:type="pct"/>
            <w:hideMark/>
          </w:tcPr>
          <w:p>
            <w:pPr>
              <w:jc w:val="right"/>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173722</w:t>
            </w:r>
          </w:p>
        </w:tc>
        <w:tc>
          <w:tcPr>
            <w:tcW w:w="650"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330071</w:t>
            </w:r>
          </w:p>
        </w:tc>
        <w:tc>
          <w:tcPr>
            <w:tcW w:w="51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19182</w:t>
            </w:r>
          </w:p>
        </w:tc>
        <w:tc>
          <w:tcPr>
            <w:tcW w:w="51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36554</w:t>
            </w:r>
          </w:p>
        </w:tc>
        <w:tc>
          <w:tcPr>
            <w:tcW w:w="461"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7721</w:t>
            </w:r>
          </w:p>
        </w:tc>
        <w:tc>
          <w:tcPr>
            <w:tcW w:w="51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13512</w:t>
            </w:r>
          </w:p>
        </w:tc>
      </w:tr>
      <w:tr>
        <w:trPr>
          <w:trHeight w:val="300"/>
        </w:trPr>
        <w:tc>
          <w:tcPr>
            <w:cnfStyle w:val="001000000000" w:firstRow="0" w:lastRow="0" w:firstColumn="1" w:lastColumn="0" w:oddVBand="0" w:evenVBand="0" w:oddHBand="0" w:evenHBand="0" w:firstRowFirstColumn="0" w:firstRowLastColumn="0" w:lastRowFirstColumn="0" w:lastRowLastColumn="0"/>
            <w:tcW w:w="286"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HU</w:t>
            </w:r>
            <w:r>
              <w:rPr>
                <w:rFonts w:ascii="Calibri" w:eastAsia="Times New Roman" w:hAnsi="Calibri" w:cs="Calibri"/>
                <w:noProof/>
                <w:color w:val="000000"/>
                <w:sz w:val="20"/>
                <w:szCs w:val="20"/>
                <w:lang w:eastAsia="en-GB"/>
              </w:rPr>
              <w:t> </w:t>
            </w:r>
          </w:p>
        </w:tc>
        <w:tc>
          <w:tcPr>
            <w:tcW w:w="70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2539966</w:t>
            </w:r>
          </w:p>
        </w:tc>
        <w:tc>
          <w:tcPr>
            <w:tcW w:w="70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4698938</w:t>
            </w:r>
          </w:p>
        </w:tc>
        <w:tc>
          <w:tcPr>
            <w:tcW w:w="650" w:type="pct"/>
            <w:hideMark/>
          </w:tcPr>
          <w:p>
            <w:pPr>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473291</w:t>
            </w:r>
          </w:p>
        </w:tc>
        <w:tc>
          <w:tcPr>
            <w:tcW w:w="650"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899253</w:t>
            </w:r>
          </w:p>
        </w:tc>
        <w:tc>
          <w:tcPr>
            <w:tcW w:w="51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52259</w:t>
            </w:r>
          </w:p>
        </w:tc>
        <w:tc>
          <w:tcPr>
            <w:tcW w:w="51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99588</w:t>
            </w:r>
          </w:p>
        </w:tc>
        <w:tc>
          <w:tcPr>
            <w:tcW w:w="461"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21035</w:t>
            </w:r>
          </w:p>
        </w:tc>
        <w:tc>
          <w:tcPr>
            <w:tcW w:w="51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36812</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IE</w:t>
            </w:r>
            <w:r>
              <w:rPr>
                <w:rFonts w:ascii="Calibri" w:eastAsia="Times New Roman" w:hAnsi="Calibri" w:cs="Calibri"/>
                <w:noProof/>
                <w:color w:val="000000"/>
                <w:sz w:val="20"/>
                <w:szCs w:val="20"/>
                <w:lang w:eastAsia="en-GB"/>
              </w:rPr>
              <w:t> </w:t>
            </w:r>
          </w:p>
        </w:tc>
        <w:tc>
          <w:tcPr>
            <w:tcW w:w="70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3246419</w:t>
            </w:r>
          </w:p>
        </w:tc>
        <w:tc>
          <w:tcPr>
            <w:tcW w:w="70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6005876</w:t>
            </w:r>
          </w:p>
        </w:tc>
        <w:tc>
          <w:tcPr>
            <w:tcW w:w="650" w:type="pct"/>
            <w:hideMark/>
          </w:tcPr>
          <w:p>
            <w:pPr>
              <w:jc w:val="right"/>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528417</w:t>
            </w:r>
          </w:p>
        </w:tc>
        <w:tc>
          <w:tcPr>
            <w:tcW w:w="650"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1003992</w:t>
            </w:r>
          </w:p>
        </w:tc>
        <w:tc>
          <w:tcPr>
            <w:tcW w:w="51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58346</w:t>
            </w:r>
          </w:p>
        </w:tc>
        <w:tc>
          <w:tcPr>
            <w:tcW w:w="51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111188</w:t>
            </w:r>
          </w:p>
        </w:tc>
        <w:tc>
          <w:tcPr>
            <w:tcW w:w="461"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23485</w:t>
            </w:r>
          </w:p>
        </w:tc>
        <w:tc>
          <w:tcPr>
            <w:tcW w:w="51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41099</w:t>
            </w:r>
          </w:p>
        </w:tc>
      </w:tr>
      <w:tr>
        <w:trPr>
          <w:trHeight w:val="300"/>
        </w:trPr>
        <w:tc>
          <w:tcPr>
            <w:cnfStyle w:val="001000000000" w:firstRow="0" w:lastRow="0" w:firstColumn="1" w:lastColumn="0" w:oddVBand="0" w:evenVBand="0" w:oddHBand="0" w:evenHBand="0" w:firstRowFirstColumn="0" w:firstRowLastColumn="0" w:lastRowFirstColumn="0" w:lastRowLastColumn="0"/>
            <w:tcW w:w="286"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IT</w:t>
            </w:r>
            <w:r>
              <w:rPr>
                <w:rFonts w:ascii="Calibri" w:eastAsia="Times New Roman" w:hAnsi="Calibri" w:cs="Calibri"/>
                <w:noProof/>
                <w:color w:val="000000"/>
                <w:sz w:val="20"/>
                <w:szCs w:val="20"/>
                <w:lang w:eastAsia="en-GB"/>
              </w:rPr>
              <w:t> </w:t>
            </w:r>
          </w:p>
        </w:tc>
        <w:tc>
          <w:tcPr>
            <w:tcW w:w="70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15180447</w:t>
            </w:r>
          </w:p>
        </w:tc>
        <w:tc>
          <w:tcPr>
            <w:tcW w:w="70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28083827</w:t>
            </w:r>
          </w:p>
        </w:tc>
        <w:tc>
          <w:tcPr>
            <w:tcW w:w="650" w:type="pct"/>
            <w:hideMark/>
          </w:tcPr>
          <w:p>
            <w:pPr>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650"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1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1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461"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1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LT</w:t>
            </w:r>
            <w:r>
              <w:rPr>
                <w:rFonts w:ascii="Calibri" w:eastAsia="Times New Roman" w:hAnsi="Calibri" w:cs="Calibri"/>
                <w:noProof/>
                <w:color w:val="000000"/>
                <w:sz w:val="20"/>
                <w:szCs w:val="20"/>
                <w:lang w:eastAsia="en-GB"/>
              </w:rPr>
              <w:t> </w:t>
            </w:r>
          </w:p>
        </w:tc>
        <w:tc>
          <w:tcPr>
            <w:tcW w:w="70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70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650" w:type="pct"/>
            <w:hideMark/>
          </w:tcPr>
          <w:p>
            <w:pPr>
              <w:jc w:val="right"/>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650"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1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1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461"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1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r>
      <w:tr>
        <w:trPr>
          <w:trHeight w:val="300"/>
        </w:trPr>
        <w:tc>
          <w:tcPr>
            <w:cnfStyle w:val="001000000000" w:firstRow="0" w:lastRow="0" w:firstColumn="1" w:lastColumn="0" w:oddVBand="0" w:evenVBand="0" w:oddHBand="0" w:evenHBand="0" w:firstRowFirstColumn="0" w:firstRowLastColumn="0" w:lastRowFirstColumn="0" w:lastRowLastColumn="0"/>
            <w:tcW w:w="286"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LU</w:t>
            </w:r>
            <w:r>
              <w:rPr>
                <w:rFonts w:ascii="Calibri" w:eastAsia="Times New Roman" w:hAnsi="Calibri" w:cs="Calibri"/>
                <w:noProof/>
                <w:color w:val="000000"/>
                <w:sz w:val="20"/>
                <w:szCs w:val="20"/>
                <w:lang w:eastAsia="en-GB"/>
              </w:rPr>
              <w:t> </w:t>
            </w:r>
          </w:p>
        </w:tc>
        <w:tc>
          <w:tcPr>
            <w:tcW w:w="70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70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650" w:type="pct"/>
            <w:hideMark/>
          </w:tcPr>
          <w:p>
            <w:pPr>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650"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1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1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461"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1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LV</w:t>
            </w:r>
            <w:r>
              <w:rPr>
                <w:rFonts w:ascii="Calibri" w:eastAsia="Times New Roman" w:hAnsi="Calibri" w:cs="Calibri"/>
                <w:noProof/>
                <w:color w:val="000000"/>
                <w:sz w:val="20"/>
                <w:szCs w:val="20"/>
                <w:lang w:eastAsia="en-GB"/>
              </w:rPr>
              <w:t> </w:t>
            </w:r>
          </w:p>
        </w:tc>
        <w:tc>
          <w:tcPr>
            <w:tcW w:w="70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623909</w:t>
            </w:r>
          </w:p>
        </w:tc>
        <w:tc>
          <w:tcPr>
            <w:tcW w:w="70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1154231</w:t>
            </w:r>
          </w:p>
        </w:tc>
        <w:tc>
          <w:tcPr>
            <w:tcW w:w="650" w:type="pct"/>
            <w:hideMark/>
          </w:tcPr>
          <w:p>
            <w:pPr>
              <w:jc w:val="right"/>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75754</w:t>
            </w:r>
          </w:p>
        </w:tc>
        <w:tc>
          <w:tcPr>
            <w:tcW w:w="650"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143933</w:t>
            </w:r>
          </w:p>
        </w:tc>
        <w:tc>
          <w:tcPr>
            <w:tcW w:w="51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8365</w:t>
            </w:r>
          </w:p>
        </w:tc>
        <w:tc>
          <w:tcPr>
            <w:tcW w:w="51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15940</w:t>
            </w:r>
          </w:p>
        </w:tc>
        <w:tc>
          <w:tcPr>
            <w:tcW w:w="461"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3367</w:t>
            </w:r>
          </w:p>
        </w:tc>
        <w:tc>
          <w:tcPr>
            <w:tcW w:w="51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5892</w:t>
            </w:r>
          </w:p>
        </w:tc>
      </w:tr>
      <w:tr>
        <w:trPr>
          <w:trHeight w:val="300"/>
        </w:trPr>
        <w:tc>
          <w:tcPr>
            <w:cnfStyle w:val="001000000000" w:firstRow="0" w:lastRow="0" w:firstColumn="1" w:lastColumn="0" w:oddVBand="0" w:evenVBand="0" w:oddHBand="0" w:evenHBand="0" w:firstRowFirstColumn="0" w:firstRowLastColumn="0" w:lastRowFirstColumn="0" w:lastRowLastColumn="0"/>
            <w:tcW w:w="286"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MT</w:t>
            </w:r>
            <w:r>
              <w:rPr>
                <w:rFonts w:ascii="Calibri" w:eastAsia="Times New Roman" w:hAnsi="Calibri" w:cs="Calibri"/>
                <w:noProof/>
                <w:color w:val="000000"/>
                <w:sz w:val="20"/>
                <w:szCs w:val="20"/>
                <w:lang w:eastAsia="en-GB"/>
              </w:rPr>
              <w:t> </w:t>
            </w:r>
          </w:p>
        </w:tc>
        <w:tc>
          <w:tcPr>
            <w:tcW w:w="70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195460</w:t>
            </w:r>
          </w:p>
        </w:tc>
        <w:tc>
          <w:tcPr>
            <w:tcW w:w="70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361601</w:t>
            </w:r>
          </w:p>
        </w:tc>
        <w:tc>
          <w:tcPr>
            <w:tcW w:w="650" w:type="pct"/>
            <w:hideMark/>
          </w:tcPr>
          <w:p>
            <w:pPr>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32364</w:t>
            </w:r>
          </w:p>
        </w:tc>
        <w:tc>
          <w:tcPr>
            <w:tcW w:w="650"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61492</w:t>
            </w:r>
          </w:p>
        </w:tc>
        <w:tc>
          <w:tcPr>
            <w:tcW w:w="51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3574</w:t>
            </w:r>
          </w:p>
        </w:tc>
        <w:tc>
          <w:tcPr>
            <w:tcW w:w="51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6810</w:t>
            </w:r>
          </w:p>
        </w:tc>
        <w:tc>
          <w:tcPr>
            <w:tcW w:w="461"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1438</w:t>
            </w:r>
          </w:p>
        </w:tc>
        <w:tc>
          <w:tcPr>
            <w:tcW w:w="51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2517</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NL</w:t>
            </w:r>
            <w:r>
              <w:rPr>
                <w:rFonts w:ascii="Calibri" w:eastAsia="Times New Roman" w:hAnsi="Calibri" w:cs="Calibri"/>
                <w:noProof/>
                <w:color w:val="000000"/>
                <w:sz w:val="20"/>
                <w:szCs w:val="20"/>
                <w:lang w:eastAsia="en-GB"/>
              </w:rPr>
              <w:t> </w:t>
            </w:r>
          </w:p>
        </w:tc>
        <w:tc>
          <w:tcPr>
            <w:tcW w:w="70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11219928</w:t>
            </w:r>
          </w:p>
        </w:tc>
        <w:tc>
          <w:tcPr>
            <w:tcW w:w="70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20756866</w:t>
            </w:r>
          </w:p>
        </w:tc>
        <w:tc>
          <w:tcPr>
            <w:tcW w:w="650" w:type="pct"/>
            <w:hideMark/>
          </w:tcPr>
          <w:p>
            <w:pPr>
              <w:jc w:val="right"/>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1923137</w:t>
            </w:r>
          </w:p>
        </w:tc>
        <w:tc>
          <w:tcPr>
            <w:tcW w:w="650"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3653960</w:t>
            </w:r>
          </w:p>
        </w:tc>
        <w:tc>
          <w:tcPr>
            <w:tcW w:w="51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212346</w:t>
            </w:r>
          </w:p>
        </w:tc>
        <w:tc>
          <w:tcPr>
            <w:tcW w:w="51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404660</w:t>
            </w:r>
          </w:p>
        </w:tc>
        <w:tc>
          <w:tcPr>
            <w:tcW w:w="461"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85473</w:t>
            </w:r>
          </w:p>
        </w:tc>
        <w:tc>
          <w:tcPr>
            <w:tcW w:w="51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149577</w:t>
            </w:r>
          </w:p>
        </w:tc>
      </w:tr>
      <w:tr>
        <w:trPr>
          <w:trHeight w:val="300"/>
        </w:trPr>
        <w:tc>
          <w:tcPr>
            <w:cnfStyle w:val="001000000000" w:firstRow="0" w:lastRow="0" w:firstColumn="1" w:lastColumn="0" w:oddVBand="0" w:evenVBand="0" w:oddHBand="0" w:evenHBand="0" w:firstRowFirstColumn="0" w:firstRowLastColumn="0" w:lastRowFirstColumn="0" w:lastRowLastColumn="0"/>
            <w:tcW w:w="286"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PL</w:t>
            </w:r>
            <w:r>
              <w:rPr>
                <w:rFonts w:ascii="Calibri" w:eastAsia="Times New Roman" w:hAnsi="Calibri" w:cs="Calibri"/>
                <w:noProof/>
                <w:color w:val="000000"/>
                <w:sz w:val="20"/>
                <w:szCs w:val="20"/>
                <w:lang w:eastAsia="en-GB"/>
              </w:rPr>
              <w:t> </w:t>
            </w:r>
          </w:p>
        </w:tc>
        <w:tc>
          <w:tcPr>
            <w:tcW w:w="70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7267115</w:t>
            </w:r>
          </w:p>
        </w:tc>
        <w:tc>
          <w:tcPr>
            <w:tcW w:w="70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13444163</w:t>
            </w:r>
          </w:p>
        </w:tc>
        <w:tc>
          <w:tcPr>
            <w:tcW w:w="650" w:type="pct"/>
            <w:hideMark/>
          </w:tcPr>
          <w:p>
            <w:pPr>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1461580</w:t>
            </w:r>
          </w:p>
        </w:tc>
        <w:tc>
          <w:tcPr>
            <w:tcW w:w="650"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2777003</w:t>
            </w:r>
          </w:p>
        </w:tc>
        <w:tc>
          <w:tcPr>
            <w:tcW w:w="51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161383</w:t>
            </w:r>
          </w:p>
        </w:tc>
        <w:tc>
          <w:tcPr>
            <w:tcW w:w="51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307541</w:t>
            </w:r>
          </w:p>
        </w:tc>
        <w:tc>
          <w:tcPr>
            <w:tcW w:w="461"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64959</w:t>
            </w:r>
          </w:p>
        </w:tc>
        <w:tc>
          <w:tcPr>
            <w:tcW w:w="51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113678</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PT</w:t>
            </w:r>
            <w:r>
              <w:rPr>
                <w:rFonts w:ascii="Calibri" w:eastAsia="Times New Roman" w:hAnsi="Calibri" w:cs="Calibri"/>
                <w:noProof/>
                <w:color w:val="000000"/>
                <w:sz w:val="20"/>
                <w:szCs w:val="20"/>
                <w:lang w:eastAsia="en-GB"/>
              </w:rPr>
              <w:t> </w:t>
            </w:r>
          </w:p>
        </w:tc>
        <w:tc>
          <w:tcPr>
            <w:tcW w:w="70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70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650" w:type="pct"/>
            <w:hideMark/>
          </w:tcPr>
          <w:p>
            <w:pPr>
              <w:jc w:val="right"/>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650"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1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1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461"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1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r>
      <w:tr>
        <w:trPr>
          <w:trHeight w:val="300"/>
        </w:trPr>
        <w:tc>
          <w:tcPr>
            <w:cnfStyle w:val="001000000000" w:firstRow="0" w:lastRow="0" w:firstColumn="1" w:lastColumn="0" w:oddVBand="0" w:evenVBand="0" w:oddHBand="0" w:evenHBand="0" w:firstRowFirstColumn="0" w:firstRowLastColumn="0" w:lastRowFirstColumn="0" w:lastRowLastColumn="0"/>
            <w:tcW w:w="286"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RO</w:t>
            </w:r>
            <w:r>
              <w:rPr>
                <w:rFonts w:ascii="Calibri" w:eastAsia="Times New Roman" w:hAnsi="Calibri" w:cs="Calibri"/>
                <w:noProof/>
                <w:color w:val="000000"/>
                <w:sz w:val="20"/>
                <w:szCs w:val="20"/>
                <w:lang w:eastAsia="en-GB"/>
              </w:rPr>
              <w:t> </w:t>
            </w:r>
          </w:p>
        </w:tc>
        <w:tc>
          <w:tcPr>
            <w:tcW w:w="70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2563708</w:t>
            </w:r>
          </w:p>
        </w:tc>
        <w:tc>
          <w:tcPr>
            <w:tcW w:w="70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4742860</w:t>
            </w:r>
          </w:p>
        </w:tc>
        <w:tc>
          <w:tcPr>
            <w:tcW w:w="650" w:type="pct"/>
            <w:hideMark/>
          </w:tcPr>
          <w:p>
            <w:pPr>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472957</w:t>
            </w:r>
          </w:p>
        </w:tc>
        <w:tc>
          <w:tcPr>
            <w:tcW w:w="650"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898619</w:t>
            </w:r>
          </w:p>
        </w:tc>
        <w:tc>
          <w:tcPr>
            <w:tcW w:w="51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52222</w:t>
            </w:r>
          </w:p>
        </w:tc>
        <w:tc>
          <w:tcPr>
            <w:tcW w:w="51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99518</w:t>
            </w:r>
          </w:p>
        </w:tc>
        <w:tc>
          <w:tcPr>
            <w:tcW w:w="461"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21020</w:t>
            </w:r>
          </w:p>
        </w:tc>
        <w:tc>
          <w:tcPr>
            <w:tcW w:w="51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36786</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SE</w:t>
            </w:r>
            <w:r>
              <w:rPr>
                <w:rFonts w:ascii="Calibri" w:eastAsia="Times New Roman" w:hAnsi="Calibri" w:cs="Calibri"/>
                <w:noProof/>
                <w:color w:val="000000"/>
                <w:sz w:val="20"/>
                <w:szCs w:val="20"/>
                <w:lang w:eastAsia="en-GB"/>
              </w:rPr>
              <w:t> </w:t>
            </w:r>
          </w:p>
        </w:tc>
        <w:tc>
          <w:tcPr>
            <w:tcW w:w="70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70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650" w:type="pct"/>
            <w:hideMark/>
          </w:tcPr>
          <w:p>
            <w:pPr>
              <w:jc w:val="right"/>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650"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1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1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461"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c>
          <w:tcPr>
            <w:tcW w:w="51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0</w:t>
            </w:r>
          </w:p>
        </w:tc>
      </w:tr>
      <w:tr>
        <w:trPr>
          <w:trHeight w:val="300"/>
        </w:trPr>
        <w:tc>
          <w:tcPr>
            <w:cnfStyle w:val="001000000000" w:firstRow="0" w:lastRow="0" w:firstColumn="1" w:lastColumn="0" w:oddVBand="0" w:evenVBand="0" w:oddHBand="0" w:evenHBand="0" w:firstRowFirstColumn="0" w:firstRowLastColumn="0" w:lastRowFirstColumn="0" w:lastRowLastColumn="0"/>
            <w:tcW w:w="286"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SI</w:t>
            </w:r>
            <w:r>
              <w:rPr>
                <w:rFonts w:ascii="Calibri" w:eastAsia="Times New Roman" w:hAnsi="Calibri" w:cs="Calibri"/>
                <w:noProof/>
                <w:color w:val="000000"/>
                <w:sz w:val="20"/>
                <w:szCs w:val="20"/>
                <w:lang w:eastAsia="en-GB"/>
              </w:rPr>
              <w:t> </w:t>
            </w:r>
          </w:p>
        </w:tc>
        <w:tc>
          <w:tcPr>
            <w:tcW w:w="70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985713</w:t>
            </w:r>
          </w:p>
        </w:tc>
        <w:tc>
          <w:tcPr>
            <w:tcW w:w="704"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1823569</w:t>
            </w:r>
          </w:p>
        </w:tc>
        <w:tc>
          <w:tcPr>
            <w:tcW w:w="650" w:type="pct"/>
            <w:hideMark/>
          </w:tcPr>
          <w:p>
            <w:pPr>
              <w:jc w:val="right"/>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174877</w:t>
            </w:r>
          </w:p>
        </w:tc>
        <w:tc>
          <w:tcPr>
            <w:tcW w:w="650"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332265</w:t>
            </w:r>
          </w:p>
        </w:tc>
        <w:tc>
          <w:tcPr>
            <w:tcW w:w="51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19309</w:t>
            </w:r>
          </w:p>
        </w:tc>
        <w:tc>
          <w:tcPr>
            <w:tcW w:w="51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36797</w:t>
            </w:r>
          </w:p>
        </w:tc>
        <w:tc>
          <w:tcPr>
            <w:tcW w:w="461"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7772</w:t>
            </w:r>
          </w:p>
        </w:tc>
        <w:tc>
          <w:tcPr>
            <w:tcW w:w="515" w:type="pct"/>
            <w:hideMark/>
          </w:tcPr>
          <w:p>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13602</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 w:type="pct"/>
            <w:hideMark/>
          </w:tcPr>
          <w:p>
            <w:pPr>
              <w:textAlignment w:val="baseline"/>
              <w:rPr>
                <w:rFonts w:ascii="Segoe UI" w:eastAsia="Times New Roman" w:hAnsi="Segoe UI" w:cs="Segoe UI"/>
                <w:noProof/>
                <w:sz w:val="20"/>
                <w:szCs w:val="20"/>
                <w:lang w:eastAsia="en-GB"/>
              </w:rPr>
            </w:pPr>
            <w:r>
              <w:rPr>
                <w:rFonts w:ascii="Calibri" w:eastAsia="Times New Roman" w:hAnsi="Calibri" w:cs="Calibri"/>
                <w:noProof/>
                <w:color w:val="000000"/>
                <w:sz w:val="20"/>
                <w:szCs w:val="20"/>
                <w:lang w:val="fr-FR" w:eastAsia="en-GB"/>
              </w:rPr>
              <w:t>SK</w:t>
            </w:r>
            <w:r>
              <w:rPr>
                <w:rFonts w:ascii="Calibri" w:eastAsia="Times New Roman" w:hAnsi="Calibri" w:cs="Calibri"/>
                <w:noProof/>
                <w:color w:val="000000"/>
                <w:sz w:val="20"/>
                <w:szCs w:val="20"/>
                <w:lang w:eastAsia="en-GB"/>
              </w:rPr>
              <w:t> </w:t>
            </w:r>
          </w:p>
        </w:tc>
        <w:tc>
          <w:tcPr>
            <w:tcW w:w="70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1205831</w:t>
            </w:r>
          </w:p>
        </w:tc>
        <w:tc>
          <w:tcPr>
            <w:tcW w:w="704"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2230788</w:t>
            </w:r>
          </w:p>
        </w:tc>
        <w:tc>
          <w:tcPr>
            <w:tcW w:w="650" w:type="pct"/>
            <w:hideMark/>
          </w:tcPr>
          <w:p>
            <w:pPr>
              <w:jc w:val="right"/>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250508</w:t>
            </w:r>
          </w:p>
        </w:tc>
        <w:tc>
          <w:tcPr>
            <w:tcW w:w="650"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475966</w:t>
            </w:r>
          </w:p>
        </w:tc>
        <w:tc>
          <w:tcPr>
            <w:tcW w:w="51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27660</w:t>
            </w:r>
          </w:p>
        </w:tc>
        <w:tc>
          <w:tcPr>
            <w:tcW w:w="51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52711</w:t>
            </w:r>
          </w:p>
        </w:tc>
        <w:tc>
          <w:tcPr>
            <w:tcW w:w="461"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11134</w:t>
            </w:r>
          </w:p>
        </w:tc>
        <w:tc>
          <w:tcPr>
            <w:tcW w:w="515" w:type="pct"/>
            <w:hideMark/>
          </w:tcPr>
          <w:p>
            <w:pPr>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noProof/>
                <w:sz w:val="20"/>
                <w:szCs w:val="20"/>
                <w:lang w:eastAsia="en-GB"/>
              </w:rPr>
            </w:pPr>
            <w:r>
              <w:rPr>
                <w:noProof/>
                <w:sz w:val="20"/>
                <w:szCs w:val="20"/>
              </w:rPr>
              <w:t>19484</w:t>
            </w:r>
          </w:p>
        </w:tc>
      </w:tr>
      <w:tr>
        <w:trPr>
          <w:trHeight w:val="551"/>
        </w:trPr>
        <w:tc>
          <w:tcPr>
            <w:cnfStyle w:val="001000000000" w:firstRow="0" w:lastRow="0" w:firstColumn="1" w:lastColumn="0" w:oddVBand="0" w:evenVBand="0" w:oddHBand="0" w:evenHBand="0" w:firstRowFirstColumn="0" w:firstRowLastColumn="0" w:lastRowFirstColumn="0" w:lastRowLastColumn="0"/>
            <w:tcW w:w="5000" w:type="pct"/>
            <w:gridSpan w:val="9"/>
          </w:tcPr>
          <w:p>
            <w:pPr>
              <w:rPr>
                <w:rFonts w:ascii="Times New Roman" w:hAnsi="Times New Roman" w:cs="Times New Roman"/>
                <w:b w:val="0"/>
                <w:i/>
                <w:noProof/>
                <w:color w:val="auto"/>
                <w:sz w:val="20"/>
                <w:szCs w:val="20"/>
              </w:rPr>
            </w:pPr>
            <w:r>
              <w:rPr>
                <w:rFonts w:ascii="Times New Roman" w:hAnsi="Times New Roman" w:cs="Times New Roman"/>
                <w:i/>
                <w:noProof/>
                <w:sz w:val="20"/>
                <w:szCs w:val="20"/>
              </w:rPr>
              <w:t>Source: own calculations on Eurostat data</w:t>
            </w:r>
          </w:p>
          <w:p>
            <w:pPr>
              <w:ind w:right="-1305"/>
              <w:jc w:val="both"/>
              <w:rPr>
                <w:rFonts w:ascii="Calibri" w:eastAsia="Times New Roman" w:hAnsi="Calibri" w:cs="Calibri"/>
                <w:noProof/>
                <w:color w:val="000000"/>
                <w:sz w:val="20"/>
                <w:szCs w:val="20"/>
                <w:lang w:val="en-US" w:eastAsia="en-GB"/>
              </w:rPr>
            </w:pPr>
            <w:r>
              <w:rPr>
                <w:rFonts w:ascii="Times New Roman" w:hAnsi="Times New Roman" w:cs="Times New Roman"/>
                <w:i/>
                <w:noProof/>
                <w:sz w:val="20"/>
                <w:szCs w:val="20"/>
              </w:rPr>
              <w:t>Note: costs take into account existing measures in the</w:t>
            </w:r>
            <w:r>
              <w:rPr>
                <w:i/>
                <w:noProof/>
                <w:sz w:val="20"/>
                <w:szCs w:val="20"/>
              </w:rPr>
              <w:t xml:space="preserve"> </w:t>
            </w:r>
            <w:r>
              <w:rPr>
                <w:rFonts w:ascii="Times New Roman" w:hAnsi="Times New Roman" w:cs="Times New Roman"/>
                <w:i/>
                <w:noProof/>
                <w:sz w:val="20"/>
                <w:szCs w:val="20"/>
              </w:rPr>
              <w:t>Member States. Microenterprises are excluded.</w:t>
            </w:r>
          </w:p>
        </w:tc>
      </w:tr>
    </w:tbl>
    <w:p>
      <w:pPr>
        <w:rPr>
          <w:rFonts w:ascii="Times New Roman" w:hAnsi="Times New Roman" w:cs="Times New Roman"/>
          <w:noProof/>
          <w:sz w:val="24"/>
          <w:szCs w:val="24"/>
        </w:rPr>
      </w:pPr>
    </w:p>
    <w:p>
      <w:pPr>
        <w:rPr>
          <w:rFonts w:ascii="Times New Roman" w:hAnsi="Times New Roman" w:cs="Times New Roman"/>
          <w:noProof/>
          <w:sz w:val="24"/>
          <w:szCs w:val="24"/>
        </w:rPr>
      </w:pPr>
    </w:p>
    <w:p>
      <w:pPr>
        <w:rPr>
          <w:rFonts w:ascii="Times New Roman" w:hAnsi="Times New Roman" w:cs="Times New Roman"/>
          <w:noProof/>
          <w:sz w:val="24"/>
          <w:szCs w:val="24"/>
        </w:rPr>
      </w:pPr>
    </w:p>
    <w:p>
      <w:pPr>
        <w:rPr>
          <w:rFonts w:ascii="Times New Roman" w:hAnsi="Times New Roman" w:cs="Times New Roman"/>
          <w:noProof/>
          <w:sz w:val="24"/>
          <w:szCs w:val="24"/>
        </w:rPr>
        <w:sectPr>
          <w:headerReference w:type="even" r:id="rId199"/>
          <w:headerReference w:type="default" r:id="rId200"/>
          <w:footerReference w:type="even" r:id="rId201"/>
          <w:footerReference w:type="default" r:id="rId202"/>
          <w:headerReference w:type="first" r:id="rId203"/>
          <w:footerReference w:type="first" r:id="rId204"/>
          <w:pgSz w:w="11906" w:h="16838"/>
          <w:pgMar w:top="1020" w:right="1701" w:bottom="1020" w:left="1587" w:header="601" w:footer="1077" w:gutter="0"/>
          <w:cols w:space="720"/>
          <w:titlePg/>
          <w:docGrid w:linePitch="299"/>
        </w:sectPr>
      </w:pPr>
    </w:p>
    <w:tbl>
      <w:tblPr>
        <w:tblStyle w:val="ListTable3-Accent31"/>
        <w:tblpPr w:leftFromText="180" w:rightFromText="180" w:vertAnchor="text" w:horzAnchor="margin" w:tblpXSpec="center" w:tblpY="476"/>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247"/>
        <w:gridCol w:w="1872"/>
        <w:gridCol w:w="2268"/>
        <w:gridCol w:w="2410"/>
      </w:tblGrid>
      <w:tr>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4" w:type="dxa"/>
            <w:shd w:val="clear" w:color="auto" w:fill="0000FF"/>
          </w:tcPr>
          <w:p>
            <w:pPr>
              <w:rPr>
                <w:rFonts w:ascii="Times New Roman" w:hAnsi="Times New Roman" w:cs="Times New Roman"/>
                <w:noProof/>
                <w:szCs w:val="20"/>
              </w:rPr>
            </w:pPr>
            <w:r>
              <w:rPr>
                <w:rFonts w:ascii="Times New Roman" w:hAnsi="Times New Roman" w:cs="Times New Roman"/>
                <w:noProof/>
                <w:szCs w:val="20"/>
              </w:rPr>
              <w:t>Issue</w:t>
            </w:r>
          </w:p>
        </w:tc>
        <w:tc>
          <w:tcPr>
            <w:tcW w:w="1247" w:type="dxa"/>
            <w:shd w:val="clear" w:color="auto" w:fill="0000FF"/>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Cs w:val="20"/>
              </w:rPr>
            </w:pPr>
            <w:r>
              <w:rPr>
                <w:rFonts w:ascii="Times New Roman" w:hAnsi="Times New Roman" w:cs="Times New Roman"/>
                <w:noProof/>
                <w:szCs w:val="20"/>
              </w:rPr>
              <w:t>Absent</w:t>
            </w:r>
          </w:p>
        </w:tc>
        <w:tc>
          <w:tcPr>
            <w:cnfStyle w:val="000010000000" w:firstRow="0" w:lastRow="0" w:firstColumn="0" w:lastColumn="0" w:oddVBand="1" w:evenVBand="0" w:oddHBand="0" w:evenHBand="0" w:firstRowFirstColumn="0" w:firstRowLastColumn="0" w:lastRowFirstColumn="0" w:lastRowLastColumn="0"/>
            <w:tcW w:w="1872" w:type="dxa"/>
            <w:shd w:val="clear" w:color="auto" w:fill="0000FF"/>
          </w:tcPr>
          <w:p>
            <w:pPr>
              <w:rPr>
                <w:rFonts w:ascii="Times New Roman" w:hAnsi="Times New Roman" w:cs="Times New Roman"/>
                <w:noProof/>
                <w:szCs w:val="20"/>
              </w:rPr>
            </w:pPr>
            <w:r>
              <w:rPr>
                <w:rFonts w:ascii="Times New Roman" w:hAnsi="Times New Roman" w:cs="Times New Roman"/>
                <w:noProof/>
                <w:szCs w:val="20"/>
              </w:rPr>
              <w:t>Limited</w:t>
            </w:r>
          </w:p>
        </w:tc>
        <w:tc>
          <w:tcPr>
            <w:tcW w:w="2268" w:type="dxa"/>
            <w:shd w:val="clear" w:color="auto" w:fill="0000FF"/>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Cs w:val="20"/>
              </w:rPr>
            </w:pPr>
            <w:r>
              <w:rPr>
                <w:rFonts w:ascii="Times New Roman" w:hAnsi="Times New Roman" w:cs="Times New Roman"/>
                <w:noProof/>
                <w:szCs w:val="20"/>
              </w:rPr>
              <w:t>Moderate</w:t>
            </w:r>
          </w:p>
        </w:tc>
        <w:tc>
          <w:tcPr>
            <w:cnfStyle w:val="000010000000" w:firstRow="0" w:lastRow="0" w:firstColumn="0" w:lastColumn="0" w:oddVBand="1" w:evenVBand="0" w:oddHBand="0" w:evenHBand="0" w:firstRowFirstColumn="0" w:firstRowLastColumn="0" w:lastRowFirstColumn="0" w:lastRowLastColumn="0"/>
            <w:tcW w:w="2410" w:type="dxa"/>
            <w:shd w:val="clear" w:color="auto" w:fill="0000FF"/>
          </w:tcPr>
          <w:p>
            <w:pPr>
              <w:rPr>
                <w:rFonts w:ascii="Times New Roman" w:hAnsi="Times New Roman" w:cs="Times New Roman"/>
                <w:noProof/>
                <w:szCs w:val="20"/>
              </w:rPr>
            </w:pPr>
            <w:r>
              <w:rPr>
                <w:rFonts w:ascii="Times New Roman" w:hAnsi="Times New Roman" w:cs="Times New Roman"/>
                <w:noProof/>
                <w:szCs w:val="20"/>
              </w:rPr>
              <w:t>Significant</w:t>
            </w:r>
          </w:p>
        </w:tc>
      </w:tr>
      <w:tr>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pPr>
              <w:rPr>
                <w:rFonts w:ascii="Times New Roman" w:hAnsi="Times New Roman" w:cs="Times New Roman"/>
                <w:noProof/>
                <w:sz w:val="20"/>
                <w:szCs w:val="20"/>
              </w:rPr>
            </w:pPr>
            <w:r>
              <w:rPr>
                <w:rFonts w:ascii="Times New Roman" w:hAnsi="Times New Roman" w:cs="Times New Roman"/>
                <w:noProof/>
                <w:sz w:val="20"/>
                <w:szCs w:val="20"/>
              </w:rPr>
              <w:t>Issue of legal clarity on concept of equal pay for equal work or work of equal value</w:t>
            </w:r>
          </w:p>
        </w:tc>
        <w:tc>
          <w:tcPr>
            <w:tcW w:w="1247" w:type="dxa"/>
          </w:tcPr>
          <w:p>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BE, IE, LU, NL, PL</w:t>
            </w:r>
          </w:p>
        </w:tc>
        <w:tc>
          <w:tcPr>
            <w:cnfStyle w:val="000010000000" w:firstRow="0" w:lastRow="0" w:firstColumn="0" w:lastColumn="0" w:oddVBand="1" w:evenVBand="0" w:oddHBand="0" w:evenHBand="0" w:firstRowFirstColumn="0" w:firstRowLastColumn="0" w:lastRowFirstColumn="0" w:lastRowLastColumn="0"/>
            <w:tcW w:w="1872" w:type="dxa"/>
          </w:tcPr>
          <w:p>
            <w:pPr>
              <w:rPr>
                <w:rFonts w:ascii="Times New Roman" w:hAnsi="Times New Roman" w:cs="Times New Roman"/>
                <w:noProof/>
                <w:sz w:val="20"/>
                <w:szCs w:val="20"/>
                <w:lang w:val="fr-BE"/>
              </w:rPr>
            </w:pPr>
            <w:r>
              <w:rPr>
                <w:rFonts w:ascii="Times New Roman" w:hAnsi="Times New Roman" w:cs="Times New Roman"/>
                <w:noProof/>
                <w:sz w:val="20"/>
                <w:szCs w:val="20"/>
                <w:lang w:val="fr-BE"/>
              </w:rPr>
              <w:t>CY, DE, ES, HR, PT, SE, UK</w:t>
            </w:r>
          </w:p>
        </w:tc>
        <w:tc>
          <w:tcPr>
            <w:tcW w:w="2268" w:type="dxa"/>
          </w:tcPr>
          <w:p>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 xml:space="preserve">FR, LV, MT, SK </w:t>
            </w:r>
          </w:p>
        </w:tc>
        <w:tc>
          <w:tcPr>
            <w:cnfStyle w:val="000010000000" w:firstRow="0" w:lastRow="0" w:firstColumn="0" w:lastColumn="0" w:oddVBand="1" w:evenVBand="0" w:oddHBand="0" w:evenHBand="0" w:firstRowFirstColumn="0" w:firstRowLastColumn="0" w:lastRowFirstColumn="0" w:lastRowLastColumn="0"/>
            <w:tcW w:w="2410" w:type="dxa"/>
          </w:tcPr>
          <w:p>
            <w:pPr>
              <w:rPr>
                <w:rFonts w:ascii="Times New Roman" w:hAnsi="Times New Roman" w:cs="Times New Roman"/>
                <w:noProof/>
                <w:sz w:val="20"/>
                <w:szCs w:val="20"/>
              </w:rPr>
            </w:pPr>
            <w:r>
              <w:rPr>
                <w:rFonts w:ascii="Times New Roman" w:hAnsi="Times New Roman" w:cs="Times New Roman"/>
                <w:noProof/>
                <w:sz w:val="20"/>
                <w:szCs w:val="20"/>
              </w:rPr>
              <w:t>AT, BG, CZ, DK, EE, EL, HU, IT, LT, SI, FI</w:t>
            </w:r>
          </w:p>
        </w:tc>
      </w:tr>
      <w:tr>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pPr>
              <w:rPr>
                <w:rFonts w:ascii="Times New Roman" w:hAnsi="Times New Roman" w:cs="Times New Roman"/>
                <w:noProof/>
                <w:sz w:val="20"/>
                <w:szCs w:val="20"/>
              </w:rPr>
            </w:pPr>
            <w:r>
              <w:rPr>
                <w:rFonts w:ascii="Times New Roman" w:hAnsi="Times New Roman" w:cs="Times New Roman"/>
                <w:noProof/>
                <w:sz w:val="20"/>
                <w:szCs w:val="20"/>
              </w:rPr>
              <w:t>Access to justice and defence of rights</w:t>
            </w:r>
          </w:p>
        </w:tc>
        <w:tc>
          <w:tcPr>
            <w:tcW w:w="1247" w:type="dxa"/>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p>
        </w:tc>
        <w:tc>
          <w:tcPr>
            <w:cnfStyle w:val="000010000000" w:firstRow="0" w:lastRow="0" w:firstColumn="0" w:lastColumn="0" w:oddVBand="1" w:evenVBand="0" w:oddHBand="0" w:evenHBand="0" w:firstRowFirstColumn="0" w:firstRowLastColumn="0" w:lastRowFirstColumn="0" w:lastRowLastColumn="0"/>
            <w:tcW w:w="1872" w:type="dxa"/>
          </w:tcPr>
          <w:p>
            <w:pPr>
              <w:rPr>
                <w:rFonts w:ascii="Times New Roman" w:hAnsi="Times New Roman" w:cs="Times New Roman"/>
                <w:noProof/>
                <w:sz w:val="20"/>
                <w:szCs w:val="20"/>
              </w:rPr>
            </w:pPr>
            <w:r>
              <w:rPr>
                <w:rFonts w:ascii="Times New Roman" w:hAnsi="Times New Roman" w:cs="Times New Roman"/>
                <w:noProof/>
                <w:sz w:val="20"/>
                <w:szCs w:val="20"/>
              </w:rPr>
              <w:t>DK, FR, HU, IT, PT</w:t>
            </w:r>
          </w:p>
        </w:tc>
        <w:tc>
          <w:tcPr>
            <w:tcW w:w="2268" w:type="dxa"/>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val="fr-BE"/>
              </w:rPr>
            </w:pPr>
            <w:r>
              <w:rPr>
                <w:rFonts w:ascii="Times New Roman" w:hAnsi="Times New Roman" w:cs="Times New Roman"/>
                <w:noProof/>
                <w:sz w:val="20"/>
                <w:szCs w:val="20"/>
                <w:lang w:val="fr-BE"/>
              </w:rPr>
              <w:t>AT, CY, ES, FI, IE, LT, MT, SE</w:t>
            </w:r>
          </w:p>
        </w:tc>
        <w:tc>
          <w:tcPr>
            <w:cnfStyle w:val="000010000000" w:firstRow="0" w:lastRow="0" w:firstColumn="0" w:lastColumn="0" w:oddVBand="1" w:evenVBand="0" w:oddHBand="0" w:evenHBand="0" w:firstRowFirstColumn="0" w:firstRowLastColumn="0" w:lastRowFirstColumn="0" w:lastRowLastColumn="0"/>
            <w:tcW w:w="2410" w:type="dxa"/>
          </w:tcPr>
          <w:p>
            <w:pPr>
              <w:rPr>
                <w:rFonts w:ascii="Times New Roman" w:hAnsi="Times New Roman" w:cs="Times New Roman"/>
                <w:noProof/>
                <w:sz w:val="20"/>
                <w:szCs w:val="20"/>
                <w:lang w:val="fr-BE"/>
              </w:rPr>
            </w:pPr>
            <w:r>
              <w:rPr>
                <w:rFonts w:ascii="Times New Roman" w:hAnsi="Times New Roman" w:cs="Times New Roman"/>
                <w:noProof/>
                <w:sz w:val="20"/>
                <w:szCs w:val="20"/>
                <w:lang w:val="fr-BE"/>
              </w:rPr>
              <w:t>BE, BG, CZ, DE, EE, EL, HR, LU, LV, NL, PL, RO SI, SK, UK</w:t>
            </w:r>
          </w:p>
        </w:tc>
      </w:tr>
      <w:tr>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pPr>
              <w:rPr>
                <w:rFonts w:ascii="Times New Roman" w:hAnsi="Times New Roman" w:cs="Times New Roman"/>
                <w:noProof/>
                <w:sz w:val="20"/>
                <w:szCs w:val="20"/>
              </w:rPr>
            </w:pPr>
            <w:r>
              <w:rPr>
                <w:rFonts w:ascii="Times New Roman" w:hAnsi="Times New Roman" w:cs="Times New Roman"/>
                <w:noProof/>
                <w:sz w:val="20"/>
                <w:szCs w:val="20"/>
              </w:rPr>
              <w:t xml:space="preserve">Compensation or reparation to victims </w:t>
            </w:r>
          </w:p>
        </w:tc>
        <w:tc>
          <w:tcPr>
            <w:tcW w:w="1247" w:type="dxa"/>
          </w:tcPr>
          <w:p>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p>
        </w:tc>
        <w:tc>
          <w:tcPr>
            <w:cnfStyle w:val="000010000000" w:firstRow="0" w:lastRow="0" w:firstColumn="0" w:lastColumn="0" w:oddVBand="1" w:evenVBand="0" w:oddHBand="0" w:evenHBand="0" w:firstRowFirstColumn="0" w:firstRowLastColumn="0" w:lastRowFirstColumn="0" w:lastRowLastColumn="0"/>
            <w:tcW w:w="1872" w:type="dxa"/>
          </w:tcPr>
          <w:p>
            <w:pPr>
              <w:rPr>
                <w:rFonts w:ascii="Times New Roman" w:hAnsi="Times New Roman" w:cs="Times New Roman"/>
                <w:noProof/>
                <w:sz w:val="20"/>
                <w:szCs w:val="20"/>
                <w:lang w:val="de-DE"/>
              </w:rPr>
            </w:pPr>
            <w:r>
              <w:rPr>
                <w:rFonts w:ascii="Times New Roman" w:hAnsi="Times New Roman" w:cs="Times New Roman"/>
                <w:noProof/>
                <w:sz w:val="20"/>
                <w:szCs w:val="20"/>
                <w:lang w:val="de-DE"/>
              </w:rPr>
              <w:t>CY, ES, FR, IE, LU, MT</w:t>
            </w:r>
          </w:p>
        </w:tc>
        <w:tc>
          <w:tcPr>
            <w:tcW w:w="2268" w:type="dxa"/>
          </w:tcPr>
          <w:p>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AT, BE, BG, CZ, DK, FI, PT, RO, SE, UK</w:t>
            </w:r>
          </w:p>
        </w:tc>
        <w:tc>
          <w:tcPr>
            <w:cnfStyle w:val="000010000000" w:firstRow="0" w:lastRow="0" w:firstColumn="0" w:lastColumn="0" w:oddVBand="1" w:evenVBand="0" w:oddHBand="0" w:evenHBand="0" w:firstRowFirstColumn="0" w:firstRowLastColumn="0" w:lastRowFirstColumn="0" w:lastRowLastColumn="0"/>
            <w:tcW w:w="2410" w:type="dxa"/>
          </w:tcPr>
          <w:p>
            <w:pPr>
              <w:rPr>
                <w:rFonts w:ascii="Times New Roman" w:hAnsi="Times New Roman" w:cs="Times New Roman"/>
                <w:noProof/>
                <w:sz w:val="20"/>
                <w:szCs w:val="20"/>
                <w:lang w:val="fr-BE"/>
              </w:rPr>
            </w:pPr>
            <w:r>
              <w:rPr>
                <w:rFonts w:ascii="Times New Roman" w:hAnsi="Times New Roman" w:cs="Times New Roman"/>
                <w:noProof/>
                <w:sz w:val="20"/>
                <w:szCs w:val="20"/>
                <w:lang w:val="fr-BE"/>
              </w:rPr>
              <w:t>DE, EE, EL, HR, HU, IT, LT, LV, NL, PL, SI, SK</w:t>
            </w:r>
          </w:p>
        </w:tc>
      </w:tr>
      <w:tr>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pPr>
              <w:rPr>
                <w:rFonts w:ascii="Times New Roman" w:hAnsi="Times New Roman" w:cs="Times New Roman"/>
                <w:noProof/>
                <w:sz w:val="20"/>
                <w:szCs w:val="20"/>
              </w:rPr>
            </w:pPr>
            <w:r>
              <w:rPr>
                <w:rFonts w:ascii="Times New Roman" w:hAnsi="Times New Roman" w:cs="Times New Roman"/>
                <w:noProof/>
                <w:sz w:val="20"/>
                <w:szCs w:val="20"/>
              </w:rPr>
              <w:t xml:space="preserve">Application of the reversed burden of proof </w:t>
            </w:r>
          </w:p>
        </w:tc>
        <w:tc>
          <w:tcPr>
            <w:tcW w:w="1247" w:type="dxa"/>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p>
        </w:tc>
        <w:tc>
          <w:tcPr>
            <w:cnfStyle w:val="000010000000" w:firstRow="0" w:lastRow="0" w:firstColumn="0" w:lastColumn="0" w:oddVBand="1" w:evenVBand="0" w:oddHBand="0" w:evenHBand="0" w:firstRowFirstColumn="0" w:firstRowLastColumn="0" w:lastRowFirstColumn="0" w:lastRowLastColumn="0"/>
            <w:tcW w:w="1872" w:type="dxa"/>
          </w:tcPr>
          <w:p>
            <w:pPr>
              <w:rPr>
                <w:rFonts w:ascii="Times New Roman" w:hAnsi="Times New Roman" w:cs="Times New Roman"/>
                <w:noProof/>
                <w:sz w:val="20"/>
                <w:szCs w:val="20"/>
              </w:rPr>
            </w:pPr>
            <w:r>
              <w:rPr>
                <w:rFonts w:ascii="Times New Roman" w:hAnsi="Times New Roman" w:cs="Times New Roman"/>
                <w:noProof/>
                <w:sz w:val="20"/>
                <w:szCs w:val="20"/>
              </w:rPr>
              <w:t xml:space="preserve">SE </w:t>
            </w:r>
          </w:p>
        </w:tc>
        <w:tc>
          <w:tcPr>
            <w:tcW w:w="2268" w:type="dxa"/>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BE, DE, DK, ES, FI, FR, HU, IE, IT, LT, LU, LV, MT, PT, RO, UK</w:t>
            </w:r>
          </w:p>
        </w:tc>
        <w:tc>
          <w:tcPr>
            <w:cnfStyle w:val="000010000000" w:firstRow="0" w:lastRow="0" w:firstColumn="0" w:lastColumn="0" w:oddVBand="1" w:evenVBand="0" w:oddHBand="0" w:evenHBand="0" w:firstRowFirstColumn="0" w:firstRowLastColumn="0" w:lastRowFirstColumn="0" w:lastRowLastColumn="0"/>
            <w:tcW w:w="2410" w:type="dxa"/>
          </w:tcPr>
          <w:p>
            <w:pPr>
              <w:rPr>
                <w:rFonts w:ascii="Times New Roman" w:hAnsi="Times New Roman" w:cs="Times New Roman"/>
                <w:noProof/>
                <w:sz w:val="20"/>
                <w:szCs w:val="20"/>
              </w:rPr>
            </w:pPr>
            <w:r>
              <w:rPr>
                <w:rFonts w:ascii="Times New Roman" w:hAnsi="Times New Roman" w:cs="Times New Roman"/>
                <w:noProof/>
                <w:sz w:val="20"/>
                <w:szCs w:val="20"/>
              </w:rPr>
              <w:t>AT, BG, CY, CZ, EE, EL, HR, NL, PL, SI, SK</w:t>
            </w:r>
          </w:p>
        </w:tc>
      </w:tr>
      <w:tr>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pPr>
              <w:rPr>
                <w:rFonts w:ascii="Times New Roman" w:hAnsi="Times New Roman" w:cs="Times New Roman"/>
                <w:noProof/>
                <w:sz w:val="20"/>
                <w:szCs w:val="20"/>
              </w:rPr>
            </w:pPr>
            <w:r>
              <w:rPr>
                <w:rFonts w:ascii="Times New Roman" w:hAnsi="Times New Roman" w:cs="Times New Roman"/>
                <w:noProof/>
                <w:sz w:val="20"/>
                <w:szCs w:val="20"/>
              </w:rPr>
              <w:t>Promotion, development and use of gender-neutral job evaluation and classification systems</w:t>
            </w:r>
          </w:p>
        </w:tc>
        <w:tc>
          <w:tcPr>
            <w:tcW w:w="1247" w:type="dxa"/>
            <w:shd w:val="clear" w:color="auto" w:fill="auto"/>
          </w:tcPr>
          <w:p>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p>
        </w:tc>
        <w:tc>
          <w:tcPr>
            <w:cnfStyle w:val="000010000000" w:firstRow="0" w:lastRow="0" w:firstColumn="0" w:lastColumn="0" w:oddVBand="1" w:evenVBand="0" w:oddHBand="0" w:evenHBand="0" w:firstRowFirstColumn="0" w:firstRowLastColumn="0" w:lastRowFirstColumn="0" w:lastRowLastColumn="0"/>
            <w:tcW w:w="1872" w:type="dxa"/>
            <w:shd w:val="clear" w:color="auto" w:fill="auto"/>
          </w:tcPr>
          <w:p>
            <w:pPr>
              <w:rPr>
                <w:rFonts w:ascii="Times New Roman" w:hAnsi="Times New Roman" w:cs="Times New Roman"/>
                <w:noProof/>
                <w:sz w:val="20"/>
                <w:szCs w:val="20"/>
              </w:rPr>
            </w:pPr>
            <w:r>
              <w:rPr>
                <w:rFonts w:ascii="Times New Roman" w:hAnsi="Times New Roman" w:cs="Times New Roman"/>
                <w:noProof/>
                <w:sz w:val="20"/>
                <w:szCs w:val="20"/>
              </w:rPr>
              <w:t xml:space="preserve">BE, ES, IE, IT, LT, LU, NL </w:t>
            </w:r>
          </w:p>
        </w:tc>
        <w:tc>
          <w:tcPr>
            <w:tcW w:w="2268" w:type="dxa"/>
            <w:shd w:val="clear" w:color="auto" w:fill="auto"/>
          </w:tcPr>
          <w:p>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val="it-IT"/>
              </w:rPr>
            </w:pPr>
            <w:r>
              <w:rPr>
                <w:rFonts w:ascii="Times New Roman" w:hAnsi="Times New Roman" w:cs="Times New Roman"/>
                <w:noProof/>
                <w:sz w:val="20"/>
                <w:szCs w:val="20"/>
                <w:lang w:val="it-IT"/>
              </w:rPr>
              <w:t xml:space="preserve">CZ, FI, HU, PL, RO, SE, SI, SK, UK </w:t>
            </w:r>
          </w:p>
        </w:tc>
        <w:tc>
          <w:tcPr>
            <w:cnfStyle w:val="000010000000" w:firstRow="0" w:lastRow="0" w:firstColumn="0" w:lastColumn="0" w:oddVBand="1" w:evenVBand="0" w:oddHBand="0" w:evenHBand="0" w:firstRowFirstColumn="0" w:firstRowLastColumn="0" w:lastRowFirstColumn="0" w:lastRowLastColumn="0"/>
            <w:tcW w:w="2410" w:type="dxa"/>
            <w:shd w:val="clear" w:color="auto" w:fill="auto"/>
          </w:tcPr>
          <w:p>
            <w:pPr>
              <w:rPr>
                <w:rFonts w:ascii="Times New Roman" w:hAnsi="Times New Roman" w:cs="Times New Roman"/>
                <w:noProof/>
                <w:sz w:val="20"/>
                <w:szCs w:val="20"/>
              </w:rPr>
            </w:pPr>
            <w:r>
              <w:rPr>
                <w:rFonts w:ascii="Times New Roman" w:hAnsi="Times New Roman" w:cs="Times New Roman"/>
                <w:noProof/>
                <w:sz w:val="20"/>
                <w:szCs w:val="20"/>
              </w:rPr>
              <w:t xml:space="preserve">AT, BG, CY, DE, DK, EE, EL, FR, HR, LV, MT, PT </w:t>
            </w:r>
          </w:p>
        </w:tc>
      </w:tr>
      <w:tr>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pPr>
              <w:rPr>
                <w:rFonts w:ascii="Times New Roman" w:hAnsi="Times New Roman" w:cs="Times New Roman"/>
                <w:noProof/>
                <w:sz w:val="20"/>
                <w:szCs w:val="20"/>
              </w:rPr>
            </w:pPr>
            <w:r>
              <w:rPr>
                <w:rFonts w:ascii="Times New Roman" w:hAnsi="Times New Roman" w:cs="Times New Roman"/>
                <w:noProof/>
                <w:sz w:val="20"/>
                <w:szCs w:val="20"/>
              </w:rPr>
              <w:t>Clear powers and promotion of equality bodies</w:t>
            </w:r>
          </w:p>
        </w:tc>
        <w:tc>
          <w:tcPr>
            <w:tcW w:w="1247" w:type="dxa"/>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BE, CZ, FR, HU, LU</w:t>
            </w:r>
          </w:p>
        </w:tc>
        <w:tc>
          <w:tcPr>
            <w:cnfStyle w:val="000010000000" w:firstRow="0" w:lastRow="0" w:firstColumn="0" w:lastColumn="0" w:oddVBand="1" w:evenVBand="0" w:oddHBand="0" w:evenHBand="0" w:firstRowFirstColumn="0" w:firstRowLastColumn="0" w:lastRowFirstColumn="0" w:lastRowLastColumn="0"/>
            <w:tcW w:w="1872" w:type="dxa"/>
          </w:tcPr>
          <w:p>
            <w:pPr>
              <w:rPr>
                <w:rFonts w:ascii="Times New Roman" w:hAnsi="Times New Roman" w:cs="Times New Roman"/>
                <w:noProof/>
                <w:sz w:val="20"/>
                <w:szCs w:val="20"/>
                <w:lang w:val="sv-SE"/>
              </w:rPr>
            </w:pPr>
            <w:r>
              <w:rPr>
                <w:rFonts w:ascii="Times New Roman" w:hAnsi="Times New Roman" w:cs="Times New Roman"/>
                <w:noProof/>
                <w:sz w:val="20"/>
                <w:szCs w:val="20"/>
                <w:lang w:val="sv-SE"/>
              </w:rPr>
              <w:t>DK, FI, HR, LT, NL, RO, SE</w:t>
            </w:r>
          </w:p>
        </w:tc>
        <w:tc>
          <w:tcPr>
            <w:tcW w:w="2268" w:type="dxa"/>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val="fr-BE"/>
              </w:rPr>
            </w:pPr>
            <w:r>
              <w:rPr>
                <w:rFonts w:ascii="Times New Roman" w:hAnsi="Times New Roman" w:cs="Times New Roman"/>
                <w:noProof/>
                <w:sz w:val="20"/>
                <w:szCs w:val="20"/>
                <w:lang w:val="fr-BE"/>
              </w:rPr>
              <w:t xml:space="preserve">CY, DE, ES, IT, LV, MT, SI </w:t>
            </w:r>
          </w:p>
        </w:tc>
        <w:tc>
          <w:tcPr>
            <w:cnfStyle w:val="000010000000" w:firstRow="0" w:lastRow="0" w:firstColumn="0" w:lastColumn="0" w:oddVBand="1" w:evenVBand="0" w:oddHBand="0" w:evenHBand="0" w:firstRowFirstColumn="0" w:firstRowLastColumn="0" w:lastRowFirstColumn="0" w:lastRowLastColumn="0"/>
            <w:tcW w:w="2410" w:type="dxa"/>
          </w:tcPr>
          <w:p>
            <w:pPr>
              <w:rPr>
                <w:rFonts w:ascii="Times New Roman" w:hAnsi="Times New Roman" w:cs="Times New Roman"/>
                <w:noProof/>
                <w:sz w:val="20"/>
                <w:szCs w:val="20"/>
                <w:lang w:val="nl-BE"/>
              </w:rPr>
            </w:pPr>
            <w:r>
              <w:rPr>
                <w:rFonts w:ascii="Times New Roman" w:hAnsi="Times New Roman" w:cs="Times New Roman"/>
                <w:noProof/>
                <w:sz w:val="20"/>
                <w:szCs w:val="20"/>
                <w:lang w:val="nl-BE"/>
              </w:rPr>
              <w:t>AT, BG, EE, EL, IE, LU, PL, PT, SK, UK</w:t>
            </w:r>
          </w:p>
        </w:tc>
      </w:tr>
    </w:tbl>
    <w:p>
      <w:pPr>
        <w:pStyle w:val="Heading3"/>
        <w:numPr>
          <w:ilvl w:val="0"/>
          <w:numId w:val="57"/>
        </w:numPr>
        <w:ind w:left="426" w:hanging="426"/>
        <w:rPr>
          <w:b/>
          <w:noProof/>
        </w:rPr>
      </w:pPr>
      <w:r>
        <w:rPr>
          <w:noProof/>
        </w:rPr>
        <w:t>Mapping of the issues by relevance</w:t>
      </w:r>
    </w:p>
    <w:p>
      <w:pPr>
        <w:pStyle w:val="paragraph"/>
        <w:spacing w:line="276" w:lineRule="auto"/>
        <w:jc w:val="both"/>
        <w:textAlignment w:val="baseline"/>
        <w:rPr>
          <w:i/>
          <w:noProof/>
          <w:sz w:val="18"/>
          <w:lang w:val="en-GB"/>
        </w:rPr>
      </w:pPr>
      <w:r>
        <w:rPr>
          <w:i/>
          <w:noProof/>
          <w:sz w:val="18"/>
          <w:lang w:val="en-GB"/>
        </w:rPr>
        <w:t>Source: ICF country fiches (2019).</w:t>
      </w:r>
    </w:p>
    <w:p>
      <w:pPr>
        <w:pStyle w:val="Heading3"/>
        <w:numPr>
          <w:ilvl w:val="0"/>
          <w:numId w:val="57"/>
        </w:numPr>
        <w:ind w:left="426" w:hanging="426"/>
        <w:rPr>
          <w:b/>
          <w:noProof/>
        </w:rPr>
      </w:pPr>
      <w:r>
        <w:rPr>
          <w:b/>
          <w:noProof/>
        </w:rPr>
        <w:t>Qualitative assessment of costs in the 2020 Evaluation</w:t>
      </w:r>
    </w:p>
    <w:tbl>
      <w:tblPr>
        <w:tblW w:w="5681"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F2F2F2" w:fill="F2F2F2"/>
        <w:tblCellMar>
          <w:left w:w="0" w:type="dxa"/>
          <w:right w:w="0" w:type="dxa"/>
        </w:tblCellMar>
        <w:tblLook w:val="0000" w:firstRow="0" w:lastRow="0" w:firstColumn="0" w:lastColumn="0" w:noHBand="0" w:noVBand="0"/>
      </w:tblPr>
      <w:tblGrid>
        <w:gridCol w:w="1752"/>
        <w:gridCol w:w="651"/>
        <w:gridCol w:w="708"/>
        <w:gridCol w:w="608"/>
        <w:gridCol w:w="551"/>
        <w:gridCol w:w="5533"/>
      </w:tblGrid>
      <w:tr>
        <w:trPr>
          <w:cantSplit/>
          <w:trHeight w:val="1474"/>
          <w:tblHeader/>
        </w:trPr>
        <w:tc>
          <w:tcPr>
            <w:tcW w:w="894" w:type="pct"/>
            <w:shd w:val="clear" w:color="auto" w:fill="002395"/>
          </w:tcPr>
          <w:p>
            <w:pPr>
              <w:pStyle w:val="TableHeading"/>
              <w:ind w:left="227" w:right="113"/>
              <w:jc w:val="both"/>
              <w:rPr>
                <w:rFonts w:ascii="Times New Roman" w:hAnsi="Times New Roman" w:cs="Times New Roman"/>
                <w:noProof/>
              </w:rPr>
            </w:pPr>
            <w:r>
              <w:rPr>
                <w:rFonts w:ascii="Times New Roman" w:hAnsi="Times New Roman" w:cs="Times New Roman"/>
                <w:noProof/>
              </w:rPr>
              <w:t>Type of cost</w:t>
            </w:r>
          </w:p>
        </w:tc>
        <w:tc>
          <w:tcPr>
            <w:tcW w:w="332" w:type="pct"/>
            <w:shd w:val="clear" w:color="auto" w:fill="002395"/>
            <w:textDirection w:val="btLr"/>
          </w:tcPr>
          <w:p>
            <w:pPr>
              <w:pStyle w:val="TableHeading"/>
              <w:ind w:left="227" w:right="113"/>
              <w:jc w:val="both"/>
              <w:rPr>
                <w:rFonts w:ascii="Times New Roman" w:hAnsi="Times New Roman" w:cs="Times New Roman"/>
                <w:noProof/>
              </w:rPr>
            </w:pPr>
            <w:r>
              <w:rPr>
                <w:rFonts w:ascii="Times New Roman" w:hAnsi="Times New Roman" w:cs="Times New Roman"/>
                <w:noProof/>
              </w:rPr>
              <w:t>Citizens</w:t>
            </w:r>
          </w:p>
        </w:tc>
        <w:tc>
          <w:tcPr>
            <w:tcW w:w="361" w:type="pct"/>
            <w:shd w:val="clear" w:color="auto" w:fill="002395"/>
            <w:textDirection w:val="btLr"/>
          </w:tcPr>
          <w:p>
            <w:pPr>
              <w:pStyle w:val="TableHeading"/>
              <w:ind w:left="227" w:right="113"/>
              <w:jc w:val="both"/>
              <w:rPr>
                <w:rFonts w:ascii="Times New Roman" w:hAnsi="Times New Roman" w:cs="Times New Roman"/>
                <w:noProof/>
              </w:rPr>
            </w:pPr>
            <w:r>
              <w:rPr>
                <w:rFonts w:ascii="Times New Roman" w:hAnsi="Times New Roman" w:cs="Times New Roman"/>
                <w:noProof/>
              </w:rPr>
              <w:t>Businesses</w:t>
            </w:r>
          </w:p>
        </w:tc>
        <w:tc>
          <w:tcPr>
            <w:tcW w:w="310" w:type="pct"/>
            <w:shd w:val="clear" w:color="auto" w:fill="002395"/>
            <w:textDirection w:val="btLr"/>
          </w:tcPr>
          <w:p>
            <w:pPr>
              <w:pStyle w:val="TableHeading"/>
              <w:ind w:left="227" w:right="113"/>
              <w:jc w:val="both"/>
              <w:rPr>
                <w:rFonts w:ascii="Times New Roman" w:hAnsi="Times New Roman" w:cs="Times New Roman"/>
                <w:noProof/>
              </w:rPr>
            </w:pPr>
            <w:r>
              <w:rPr>
                <w:rFonts w:ascii="Times New Roman" w:hAnsi="Times New Roman" w:cs="Times New Roman"/>
                <w:noProof/>
              </w:rPr>
              <w:t>Member States</w:t>
            </w:r>
          </w:p>
        </w:tc>
        <w:tc>
          <w:tcPr>
            <w:tcW w:w="281" w:type="pct"/>
            <w:shd w:val="clear" w:color="auto" w:fill="002395"/>
            <w:textDirection w:val="btLr"/>
          </w:tcPr>
          <w:p>
            <w:pPr>
              <w:pStyle w:val="TableHeading"/>
              <w:ind w:left="227" w:right="113"/>
              <w:jc w:val="both"/>
              <w:rPr>
                <w:rFonts w:ascii="Times New Roman" w:hAnsi="Times New Roman" w:cs="Times New Roman"/>
                <w:noProof/>
              </w:rPr>
            </w:pPr>
            <w:r>
              <w:rPr>
                <w:rFonts w:ascii="Times New Roman" w:hAnsi="Times New Roman" w:cs="Times New Roman"/>
                <w:noProof/>
              </w:rPr>
              <w:t>Trade unions</w:t>
            </w:r>
          </w:p>
        </w:tc>
        <w:tc>
          <w:tcPr>
            <w:tcW w:w="2822" w:type="pct"/>
            <w:shd w:val="clear" w:color="auto" w:fill="002395"/>
          </w:tcPr>
          <w:p>
            <w:pPr>
              <w:pStyle w:val="TableHeading"/>
              <w:ind w:left="227" w:right="113"/>
              <w:jc w:val="both"/>
              <w:rPr>
                <w:rFonts w:ascii="Times New Roman" w:hAnsi="Times New Roman" w:cs="Times New Roman"/>
                <w:noProof/>
              </w:rPr>
            </w:pPr>
            <w:r>
              <w:rPr>
                <w:rFonts w:ascii="Times New Roman" w:hAnsi="Times New Roman" w:cs="Times New Roman"/>
                <w:noProof/>
              </w:rPr>
              <w:t>Explanation</w:t>
            </w:r>
          </w:p>
        </w:tc>
      </w:tr>
      <w:tr>
        <w:trPr>
          <w:cantSplit/>
          <w:trHeight w:val="437"/>
        </w:trPr>
        <w:tc>
          <w:tcPr>
            <w:tcW w:w="894" w:type="pct"/>
            <w:shd w:val="clear" w:color="auto" w:fill="F2F2F2" w:themeFill="background1" w:themeFillShade="F2"/>
          </w:tcPr>
          <w:p>
            <w:pPr>
              <w:pStyle w:val="TableText"/>
              <w:ind w:left="227" w:right="113"/>
              <w:jc w:val="both"/>
              <w:rPr>
                <w:rFonts w:ascii="Times New Roman" w:hAnsi="Times New Roman" w:cs="Times New Roman"/>
                <w:noProof/>
              </w:rPr>
            </w:pPr>
            <w:r>
              <w:rPr>
                <w:rFonts w:ascii="Times New Roman" w:hAnsi="Times New Roman" w:cs="Times New Roman"/>
                <w:noProof/>
              </w:rPr>
              <w:t>Enforcement and monitoring of the Recast Directive</w:t>
            </w:r>
          </w:p>
        </w:tc>
        <w:tc>
          <w:tcPr>
            <w:tcW w:w="332" w:type="pct"/>
            <w:shd w:val="clear" w:color="auto" w:fill="F2F2F2" w:themeFill="background1" w:themeFillShade="F2"/>
          </w:tcPr>
          <w:p>
            <w:pPr>
              <w:pStyle w:val="TableText"/>
              <w:ind w:left="227" w:right="113"/>
              <w:jc w:val="both"/>
              <w:rPr>
                <w:rFonts w:ascii="Times New Roman" w:hAnsi="Times New Roman" w:cs="Times New Roman"/>
                <w:noProof/>
              </w:rPr>
            </w:pPr>
          </w:p>
        </w:tc>
        <w:tc>
          <w:tcPr>
            <w:tcW w:w="361" w:type="pct"/>
            <w:shd w:val="clear" w:color="auto" w:fill="F2F2F2" w:themeFill="background1" w:themeFillShade="F2"/>
          </w:tcPr>
          <w:p>
            <w:pPr>
              <w:pStyle w:val="TableText"/>
              <w:ind w:left="227" w:right="113"/>
              <w:jc w:val="both"/>
              <w:rPr>
                <w:rFonts w:ascii="Times New Roman" w:hAnsi="Times New Roman" w:cs="Times New Roman"/>
                <w:noProof/>
              </w:rPr>
            </w:pPr>
          </w:p>
        </w:tc>
        <w:tc>
          <w:tcPr>
            <w:tcW w:w="310" w:type="pct"/>
            <w:shd w:val="clear" w:color="auto" w:fill="F2F2F2" w:themeFill="background1" w:themeFillShade="F2"/>
          </w:tcPr>
          <w:p>
            <w:pPr>
              <w:pStyle w:val="TableText"/>
              <w:ind w:left="227" w:right="113"/>
              <w:jc w:val="both"/>
              <w:rPr>
                <w:rFonts w:ascii="Times New Roman" w:hAnsi="Times New Roman" w:cs="Times New Roman"/>
                <w:noProof/>
              </w:rPr>
            </w:pPr>
            <w:r>
              <w:rPr>
                <w:rFonts w:ascii="Times New Roman" w:hAnsi="Times New Roman" w:cs="Times New Roman"/>
                <w:noProof/>
              </w:rPr>
              <w:t>0/*</w:t>
            </w:r>
          </w:p>
        </w:tc>
        <w:tc>
          <w:tcPr>
            <w:tcW w:w="281" w:type="pct"/>
            <w:shd w:val="clear" w:color="auto" w:fill="F2F2F2" w:themeFill="background1" w:themeFillShade="F2"/>
          </w:tcPr>
          <w:p>
            <w:pPr>
              <w:pStyle w:val="TableText"/>
              <w:ind w:left="227" w:right="113"/>
              <w:jc w:val="both"/>
              <w:rPr>
                <w:rFonts w:ascii="Times New Roman" w:hAnsi="Times New Roman" w:cs="Times New Roman"/>
                <w:noProof/>
              </w:rPr>
            </w:pPr>
          </w:p>
        </w:tc>
        <w:tc>
          <w:tcPr>
            <w:tcW w:w="2822" w:type="pct"/>
            <w:shd w:val="clear" w:color="auto" w:fill="F2F2F2" w:themeFill="background1" w:themeFillShade="F2"/>
          </w:tcPr>
          <w:p>
            <w:pPr>
              <w:pStyle w:val="TableText"/>
              <w:ind w:left="227" w:right="113"/>
              <w:jc w:val="both"/>
              <w:rPr>
                <w:rFonts w:ascii="Times New Roman" w:hAnsi="Times New Roman" w:cs="Times New Roman"/>
                <w:noProof/>
              </w:rPr>
            </w:pPr>
            <w:r>
              <w:rPr>
                <w:rFonts w:ascii="Times New Roman" w:hAnsi="Times New Roman" w:cs="Times New Roman"/>
                <w:noProof/>
              </w:rPr>
              <w:t>Some Member States (e.g. SE, ES, SK) reallocated resources. In others (e.g. EE, PT, NL), stakeholders consider the allocated resources insufficient to guarantee effective implementation of the legislation.</w:t>
            </w:r>
          </w:p>
        </w:tc>
      </w:tr>
      <w:tr>
        <w:trPr>
          <w:cantSplit/>
          <w:trHeight w:val="543"/>
        </w:trPr>
        <w:tc>
          <w:tcPr>
            <w:tcW w:w="894" w:type="pct"/>
            <w:shd w:val="clear" w:color="auto" w:fill="F2F2F2" w:themeFill="background1" w:themeFillShade="F2"/>
          </w:tcPr>
          <w:p>
            <w:pPr>
              <w:pStyle w:val="TableText"/>
              <w:ind w:left="227" w:right="113"/>
              <w:jc w:val="both"/>
              <w:rPr>
                <w:rFonts w:ascii="Times New Roman" w:hAnsi="Times New Roman" w:cs="Times New Roman"/>
                <w:noProof/>
              </w:rPr>
            </w:pPr>
            <w:r>
              <w:rPr>
                <w:rFonts w:ascii="Times New Roman" w:hAnsi="Times New Roman" w:cs="Times New Roman"/>
                <w:noProof/>
              </w:rPr>
              <w:t>Promoting the use of gender- neutral job evaluation systems</w:t>
            </w:r>
          </w:p>
        </w:tc>
        <w:tc>
          <w:tcPr>
            <w:tcW w:w="332" w:type="pct"/>
            <w:shd w:val="clear" w:color="auto" w:fill="F2F2F2" w:themeFill="background1" w:themeFillShade="F2"/>
          </w:tcPr>
          <w:p>
            <w:pPr>
              <w:pStyle w:val="TableText"/>
              <w:ind w:left="227" w:right="113"/>
              <w:jc w:val="both"/>
              <w:rPr>
                <w:rFonts w:ascii="Times New Roman" w:hAnsi="Times New Roman" w:cs="Times New Roman"/>
                <w:noProof/>
              </w:rPr>
            </w:pPr>
          </w:p>
        </w:tc>
        <w:tc>
          <w:tcPr>
            <w:tcW w:w="361" w:type="pct"/>
            <w:shd w:val="clear" w:color="auto" w:fill="F2F2F2" w:themeFill="background1" w:themeFillShade="F2"/>
          </w:tcPr>
          <w:p>
            <w:pPr>
              <w:pStyle w:val="TableText"/>
              <w:ind w:left="227" w:right="113"/>
              <w:jc w:val="both"/>
              <w:rPr>
                <w:rFonts w:ascii="Times New Roman" w:hAnsi="Times New Roman" w:cs="Times New Roman"/>
                <w:noProof/>
              </w:rPr>
            </w:pPr>
          </w:p>
        </w:tc>
        <w:tc>
          <w:tcPr>
            <w:tcW w:w="310" w:type="pct"/>
            <w:shd w:val="clear" w:color="auto" w:fill="F2F2F2" w:themeFill="background1" w:themeFillShade="F2"/>
          </w:tcPr>
          <w:p>
            <w:pPr>
              <w:pStyle w:val="TableText"/>
              <w:ind w:left="227" w:right="113"/>
              <w:jc w:val="both"/>
              <w:rPr>
                <w:rFonts w:ascii="Times New Roman" w:hAnsi="Times New Roman" w:cs="Times New Roman"/>
                <w:noProof/>
              </w:rPr>
            </w:pPr>
            <w:r>
              <w:rPr>
                <w:rFonts w:ascii="Times New Roman" w:hAnsi="Times New Roman" w:cs="Times New Roman"/>
                <w:noProof/>
              </w:rPr>
              <w:t>0/*</w:t>
            </w:r>
          </w:p>
        </w:tc>
        <w:tc>
          <w:tcPr>
            <w:tcW w:w="281" w:type="pct"/>
            <w:shd w:val="clear" w:color="auto" w:fill="F2F2F2" w:themeFill="background1" w:themeFillShade="F2"/>
          </w:tcPr>
          <w:p>
            <w:pPr>
              <w:pStyle w:val="TableText"/>
              <w:ind w:left="227" w:right="113"/>
              <w:jc w:val="both"/>
              <w:rPr>
                <w:rFonts w:ascii="Times New Roman" w:hAnsi="Times New Roman" w:cs="Times New Roman"/>
                <w:noProof/>
              </w:rPr>
            </w:pPr>
          </w:p>
        </w:tc>
        <w:tc>
          <w:tcPr>
            <w:tcW w:w="2822" w:type="pct"/>
            <w:shd w:val="clear" w:color="auto" w:fill="F2F2F2" w:themeFill="background1" w:themeFillShade="F2"/>
          </w:tcPr>
          <w:p>
            <w:pPr>
              <w:pStyle w:val="TableText"/>
              <w:ind w:left="227" w:right="113"/>
              <w:jc w:val="both"/>
              <w:rPr>
                <w:rFonts w:ascii="Times New Roman" w:hAnsi="Times New Roman" w:cs="Times New Roman"/>
                <w:noProof/>
              </w:rPr>
            </w:pPr>
            <w:r>
              <w:rPr>
                <w:rFonts w:ascii="Times New Roman" w:hAnsi="Times New Roman" w:cs="Times New Roman"/>
                <w:noProof/>
              </w:rPr>
              <w:t xml:space="preserve">In Luxembourg, the government finances training for employers on job classification. Participation in the training is voluntary. An estimated EUR 40,000 was allocated to each employer participating in the programme. In Belgium, the Ministry of Employment reviews all collective agreements to ensure their gender neutrality. However, no additional staff have been allocated, with the task absorbed by the existing staff. </w:t>
            </w:r>
          </w:p>
        </w:tc>
      </w:tr>
      <w:tr>
        <w:trPr>
          <w:cantSplit/>
          <w:trHeight w:val="779"/>
        </w:trPr>
        <w:tc>
          <w:tcPr>
            <w:tcW w:w="894" w:type="pct"/>
            <w:shd w:val="clear" w:color="auto" w:fill="F2F2F2" w:themeFill="background1" w:themeFillShade="F2"/>
          </w:tcPr>
          <w:p>
            <w:pPr>
              <w:pStyle w:val="TableText"/>
              <w:ind w:left="227" w:right="113"/>
              <w:jc w:val="both"/>
              <w:rPr>
                <w:rFonts w:ascii="Times New Roman" w:hAnsi="Times New Roman" w:cs="Times New Roman"/>
                <w:noProof/>
              </w:rPr>
            </w:pPr>
            <w:r>
              <w:rPr>
                <w:rFonts w:ascii="Times New Roman" w:hAnsi="Times New Roman" w:cs="Times New Roman"/>
                <w:noProof/>
              </w:rPr>
              <w:t>Development and utilisation of tools (e.g. wage calculators)</w:t>
            </w:r>
          </w:p>
        </w:tc>
        <w:tc>
          <w:tcPr>
            <w:tcW w:w="332" w:type="pct"/>
            <w:shd w:val="clear" w:color="auto" w:fill="F2F2F2" w:themeFill="background1" w:themeFillShade="F2"/>
            <w:textDirection w:val="btLr"/>
          </w:tcPr>
          <w:p>
            <w:pPr>
              <w:pStyle w:val="TableText"/>
              <w:ind w:left="227" w:right="113"/>
              <w:jc w:val="both"/>
              <w:rPr>
                <w:rFonts w:ascii="Times New Roman" w:hAnsi="Times New Roman" w:cs="Times New Roman"/>
                <w:noProof/>
              </w:rPr>
            </w:pPr>
          </w:p>
        </w:tc>
        <w:tc>
          <w:tcPr>
            <w:tcW w:w="361" w:type="pct"/>
            <w:shd w:val="clear" w:color="auto" w:fill="F2F2F2" w:themeFill="background1" w:themeFillShade="F2"/>
            <w:textDirection w:val="btLr"/>
          </w:tcPr>
          <w:p>
            <w:pPr>
              <w:pStyle w:val="TableText"/>
              <w:ind w:left="227" w:right="113"/>
              <w:jc w:val="both"/>
              <w:rPr>
                <w:rFonts w:ascii="Times New Roman" w:hAnsi="Times New Roman" w:cs="Times New Roman"/>
                <w:noProof/>
              </w:rPr>
            </w:pPr>
          </w:p>
        </w:tc>
        <w:tc>
          <w:tcPr>
            <w:tcW w:w="310" w:type="pct"/>
            <w:shd w:val="clear" w:color="auto" w:fill="F2F2F2" w:themeFill="background1" w:themeFillShade="F2"/>
          </w:tcPr>
          <w:p>
            <w:pPr>
              <w:pStyle w:val="TableText"/>
              <w:ind w:left="227" w:right="113"/>
              <w:jc w:val="both"/>
              <w:rPr>
                <w:rFonts w:ascii="Times New Roman" w:hAnsi="Times New Roman" w:cs="Times New Roman"/>
                <w:noProof/>
              </w:rPr>
            </w:pPr>
            <w:r>
              <w:rPr>
                <w:rFonts w:ascii="Times New Roman" w:hAnsi="Times New Roman" w:cs="Times New Roman"/>
                <w:noProof/>
              </w:rPr>
              <w:t>*</w:t>
            </w:r>
          </w:p>
        </w:tc>
        <w:tc>
          <w:tcPr>
            <w:tcW w:w="281" w:type="pct"/>
            <w:shd w:val="clear" w:color="auto" w:fill="F2F2F2" w:themeFill="background1" w:themeFillShade="F2"/>
          </w:tcPr>
          <w:p>
            <w:pPr>
              <w:pStyle w:val="TableText"/>
              <w:ind w:left="227" w:right="113"/>
              <w:jc w:val="both"/>
              <w:rPr>
                <w:rFonts w:ascii="Times New Roman" w:hAnsi="Times New Roman" w:cs="Times New Roman"/>
                <w:noProof/>
              </w:rPr>
            </w:pPr>
          </w:p>
        </w:tc>
        <w:tc>
          <w:tcPr>
            <w:tcW w:w="2822" w:type="pct"/>
            <w:shd w:val="clear" w:color="auto" w:fill="F2F2F2" w:themeFill="background1" w:themeFillShade="F2"/>
          </w:tcPr>
          <w:p>
            <w:pPr>
              <w:pStyle w:val="TableText"/>
              <w:ind w:left="227" w:right="113"/>
              <w:jc w:val="both"/>
              <w:rPr>
                <w:rFonts w:ascii="Times New Roman" w:hAnsi="Times New Roman" w:cs="Times New Roman"/>
                <w:noProof/>
              </w:rPr>
            </w:pPr>
            <w:r>
              <w:rPr>
                <w:rFonts w:ascii="Times New Roman" w:hAnsi="Times New Roman" w:cs="Times New Roman"/>
                <w:noProof/>
              </w:rPr>
              <w:t>Some Member States (e.g. AT, DE, PL, UK) have developed tools such as wage calculators to promote implementation of the legislation. Information on the costs of developing these tools could not be obtained but are assumed to be minimal.</w:t>
            </w:r>
          </w:p>
        </w:tc>
      </w:tr>
      <w:tr>
        <w:trPr>
          <w:cantSplit/>
          <w:trHeight w:val="655"/>
        </w:trPr>
        <w:tc>
          <w:tcPr>
            <w:tcW w:w="894" w:type="pct"/>
            <w:shd w:val="clear" w:color="auto" w:fill="F2F2F2" w:themeFill="background1" w:themeFillShade="F2"/>
          </w:tcPr>
          <w:p>
            <w:pPr>
              <w:pStyle w:val="TableText"/>
              <w:ind w:left="227" w:right="113"/>
              <w:jc w:val="both"/>
              <w:rPr>
                <w:rFonts w:ascii="Times New Roman" w:hAnsi="Times New Roman" w:cs="Times New Roman"/>
                <w:noProof/>
              </w:rPr>
            </w:pPr>
            <w:r>
              <w:rPr>
                <w:rFonts w:ascii="Times New Roman" w:hAnsi="Times New Roman" w:cs="Times New Roman"/>
                <w:noProof/>
              </w:rPr>
              <w:t>Pay information requests (cost per request)</w:t>
            </w:r>
          </w:p>
        </w:tc>
        <w:tc>
          <w:tcPr>
            <w:tcW w:w="332" w:type="pct"/>
            <w:shd w:val="clear" w:color="auto" w:fill="F2F2F2" w:themeFill="background1" w:themeFillShade="F2"/>
          </w:tcPr>
          <w:p>
            <w:pPr>
              <w:pStyle w:val="TableText"/>
              <w:ind w:left="227" w:right="113"/>
              <w:jc w:val="both"/>
              <w:rPr>
                <w:rFonts w:ascii="Times New Roman" w:hAnsi="Times New Roman" w:cs="Times New Roman"/>
                <w:noProof/>
              </w:rPr>
            </w:pPr>
            <w:r>
              <w:rPr>
                <w:rFonts w:ascii="Times New Roman" w:hAnsi="Times New Roman" w:cs="Times New Roman"/>
                <w:noProof/>
              </w:rPr>
              <w:t>*</w:t>
            </w:r>
          </w:p>
        </w:tc>
        <w:tc>
          <w:tcPr>
            <w:tcW w:w="361" w:type="pct"/>
            <w:shd w:val="clear" w:color="auto" w:fill="F2F2F2" w:themeFill="background1" w:themeFillShade="F2"/>
          </w:tcPr>
          <w:p>
            <w:pPr>
              <w:pStyle w:val="TableText"/>
              <w:ind w:left="227" w:right="113"/>
              <w:jc w:val="both"/>
              <w:rPr>
                <w:rFonts w:ascii="Times New Roman" w:hAnsi="Times New Roman" w:cs="Times New Roman"/>
                <w:noProof/>
              </w:rPr>
            </w:pPr>
            <w:r>
              <w:rPr>
                <w:rFonts w:ascii="Times New Roman" w:hAnsi="Times New Roman" w:cs="Times New Roman"/>
                <w:noProof/>
              </w:rPr>
              <w:t>*</w:t>
            </w:r>
          </w:p>
        </w:tc>
        <w:tc>
          <w:tcPr>
            <w:tcW w:w="310" w:type="pct"/>
            <w:shd w:val="clear" w:color="auto" w:fill="F2F2F2" w:themeFill="background1" w:themeFillShade="F2"/>
          </w:tcPr>
          <w:p>
            <w:pPr>
              <w:pStyle w:val="TableText"/>
              <w:ind w:left="227" w:right="113"/>
              <w:jc w:val="both"/>
              <w:rPr>
                <w:rFonts w:ascii="Times New Roman" w:hAnsi="Times New Roman" w:cs="Times New Roman"/>
                <w:noProof/>
              </w:rPr>
            </w:pPr>
          </w:p>
        </w:tc>
        <w:tc>
          <w:tcPr>
            <w:tcW w:w="281" w:type="pct"/>
            <w:shd w:val="clear" w:color="auto" w:fill="F2F2F2" w:themeFill="background1" w:themeFillShade="F2"/>
          </w:tcPr>
          <w:p>
            <w:pPr>
              <w:pStyle w:val="TableText"/>
              <w:ind w:left="227" w:right="113"/>
              <w:jc w:val="both"/>
              <w:rPr>
                <w:rFonts w:ascii="Times New Roman" w:hAnsi="Times New Roman" w:cs="Times New Roman"/>
                <w:noProof/>
              </w:rPr>
            </w:pPr>
          </w:p>
        </w:tc>
        <w:tc>
          <w:tcPr>
            <w:tcW w:w="2822" w:type="pct"/>
            <w:shd w:val="clear" w:color="auto" w:fill="F2F2F2" w:themeFill="background1" w:themeFillShade="F2"/>
          </w:tcPr>
          <w:p>
            <w:pPr>
              <w:pStyle w:val="TableText"/>
              <w:ind w:left="227" w:right="113"/>
              <w:jc w:val="both"/>
              <w:rPr>
                <w:rFonts w:ascii="Times New Roman" w:hAnsi="Times New Roman" w:cs="Times New Roman"/>
                <w:noProof/>
              </w:rPr>
            </w:pPr>
            <w:r>
              <w:rPr>
                <w:rFonts w:ascii="Times New Roman" w:hAnsi="Times New Roman" w:cs="Times New Roman"/>
                <w:noProof/>
              </w:rPr>
              <w:t>In Germany, an impact assessment estimates that about 75,602 requests for information on pay would be made per year. Each request would take 70 minutes of time for an employee to compile. To employers, fulfilling a request for information would cost on average 39 EUR per request.</w:t>
            </w:r>
            <w:r>
              <w:rPr>
                <w:rStyle w:val="FootnoteReference"/>
                <w:rFonts w:ascii="Times New Roman" w:hAnsi="Times New Roman" w:cs="Times New Roman"/>
                <w:noProof/>
              </w:rPr>
              <w:footnoteReference w:id="245"/>
            </w:r>
            <w:r>
              <w:rPr>
                <w:rFonts w:ascii="Times New Roman" w:hAnsi="Times New Roman" w:cs="Times New Roman"/>
                <w:noProof/>
              </w:rPr>
              <w:t xml:space="preserve"> </w:t>
            </w:r>
          </w:p>
        </w:tc>
      </w:tr>
      <w:tr>
        <w:trPr>
          <w:cantSplit/>
          <w:trHeight w:val="748"/>
        </w:trPr>
        <w:tc>
          <w:tcPr>
            <w:tcW w:w="894" w:type="pct"/>
            <w:shd w:val="clear" w:color="auto" w:fill="F2F2F2" w:themeFill="background1" w:themeFillShade="F2"/>
          </w:tcPr>
          <w:p>
            <w:pPr>
              <w:pStyle w:val="TableText"/>
              <w:ind w:left="227" w:right="113"/>
              <w:jc w:val="both"/>
              <w:rPr>
                <w:rFonts w:ascii="Times New Roman" w:hAnsi="Times New Roman" w:cs="Times New Roman"/>
                <w:noProof/>
              </w:rPr>
            </w:pPr>
            <w:r>
              <w:rPr>
                <w:rFonts w:ascii="Times New Roman" w:hAnsi="Times New Roman" w:cs="Times New Roman"/>
                <w:noProof/>
              </w:rPr>
              <w:t>Pay discrimination complaints (cost per complaint)</w:t>
            </w:r>
          </w:p>
        </w:tc>
        <w:tc>
          <w:tcPr>
            <w:tcW w:w="332" w:type="pct"/>
            <w:shd w:val="clear" w:color="auto" w:fill="F2F2F2" w:themeFill="background1" w:themeFillShade="F2"/>
          </w:tcPr>
          <w:p>
            <w:pPr>
              <w:pStyle w:val="TableText"/>
              <w:ind w:left="227" w:right="113"/>
              <w:jc w:val="both"/>
              <w:rPr>
                <w:rFonts w:ascii="Times New Roman" w:hAnsi="Times New Roman" w:cs="Times New Roman"/>
                <w:noProof/>
              </w:rPr>
            </w:pPr>
            <w:r>
              <w:rPr>
                <w:rFonts w:ascii="Times New Roman" w:hAnsi="Times New Roman" w:cs="Times New Roman"/>
                <w:noProof/>
              </w:rPr>
              <w:t>*</w:t>
            </w:r>
          </w:p>
        </w:tc>
        <w:tc>
          <w:tcPr>
            <w:tcW w:w="361" w:type="pct"/>
            <w:shd w:val="clear" w:color="auto" w:fill="F2F2F2" w:themeFill="background1" w:themeFillShade="F2"/>
          </w:tcPr>
          <w:p>
            <w:pPr>
              <w:pStyle w:val="TableText"/>
              <w:ind w:left="227" w:right="113"/>
              <w:jc w:val="both"/>
              <w:rPr>
                <w:rFonts w:ascii="Times New Roman" w:hAnsi="Times New Roman" w:cs="Times New Roman"/>
                <w:noProof/>
              </w:rPr>
            </w:pPr>
            <w:r>
              <w:rPr>
                <w:rFonts w:ascii="Times New Roman" w:hAnsi="Times New Roman" w:cs="Times New Roman"/>
                <w:noProof/>
              </w:rPr>
              <w:t>*</w:t>
            </w:r>
          </w:p>
        </w:tc>
        <w:tc>
          <w:tcPr>
            <w:tcW w:w="310" w:type="pct"/>
            <w:shd w:val="clear" w:color="auto" w:fill="F2F2F2" w:themeFill="background1" w:themeFillShade="F2"/>
          </w:tcPr>
          <w:p>
            <w:pPr>
              <w:pStyle w:val="TableText"/>
              <w:ind w:left="227" w:right="113"/>
              <w:jc w:val="both"/>
              <w:rPr>
                <w:rFonts w:ascii="Times New Roman" w:hAnsi="Times New Roman" w:cs="Times New Roman"/>
                <w:noProof/>
              </w:rPr>
            </w:pPr>
          </w:p>
        </w:tc>
        <w:tc>
          <w:tcPr>
            <w:tcW w:w="281" w:type="pct"/>
            <w:shd w:val="clear" w:color="auto" w:fill="F2F2F2" w:themeFill="background1" w:themeFillShade="F2"/>
          </w:tcPr>
          <w:p>
            <w:pPr>
              <w:pStyle w:val="TableText"/>
              <w:ind w:left="227" w:right="113"/>
              <w:jc w:val="both"/>
              <w:rPr>
                <w:rFonts w:ascii="Times New Roman" w:hAnsi="Times New Roman" w:cs="Times New Roman"/>
                <w:noProof/>
              </w:rPr>
            </w:pPr>
            <w:r>
              <w:rPr>
                <w:rFonts w:ascii="Times New Roman" w:hAnsi="Times New Roman" w:cs="Times New Roman"/>
                <w:noProof/>
              </w:rPr>
              <w:t>*</w:t>
            </w:r>
          </w:p>
        </w:tc>
        <w:tc>
          <w:tcPr>
            <w:tcW w:w="2822" w:type="pct"/>
            <w:shd w:val="clear" w:color="auto" w:fill="F2F2F2" w:themeFill="background1" w:themeFillShade="F2"/>
          </w:tcPr>
          <w:p>
            <w:pPr>
              <w:pStyle w:val="TableText"/>
              <w:ind w:left="227" w:right="113"/>
              <w:jc w:val="both"/>
              <w:rPr>
                <w:rFonts w:ascii="Times New Roman" w:hAnsi="Times New Roman" w:cs="Times New Roman"/>
                <w:noProof/>
              </w:rPr>
            </w:pPr>
            <w:r>
              <w:rPr>
                <w:rFonts w:ascii="Times New Roman" w:hAnsi="Times New Roman" w:cs="Times New Roman"/>
                <w:noProof/>
              </w:rPr>
              <w:t xml:space="preserve">The costs to individuals are (primarily) the stigma, risk of retaliation and the cost of filing pay discrimination complaints (can be assumed to be the same as the costs of filing a pay information request). The costs to employers are similar to those for pay information requests. </w:t>
            </w:r>
          </w:p>
          <w:p>
            <w:pPr>
              <w:pStyle w:val="TableText"/>
              <w:ind w:left="227" w:right="113"/>
              <w:jc w:val="both"/>
              <w:rPr>
                <w:rFonts w:ascii="Times New Roman" w:hAnsi="Times New Roman" w:cs="Times New Roman"/>
                <w:noProof/>
              </w:rPr>
            </w:pPr>
          </w:p>
        </w:tc>
      </w:tr>
      <w:tr>
        <w:trPr>
          <w:cantSplit/>
          <w:trHeight w:val="419"/>
        </w:trPr>
        <w:tc>
          <w:tcPr>
            <w:tcW w:w="894" w:type="pct"/>
            <w:shd w:val="clear" w:color="auto" w:fill="F2F2F2" w:themeFill="background1" w:themeFillShade="F2"/>
          </w:tcPr>
          <w:p>
            <w:pPr>
              <w:pStyle w:val="TableText"/>
              <w:ind w:left="227" w:right="113"/>
              <w:jc w:val="both"/>
              <w:rPr>
                <w:rFonts w:ascii="Times New Roman" w:hAnsi="Times New Roman" w:cs="Times New Roman"/>
                <w:noProof/>
              </w:rPr>
            </w:pPr>
            <w:r>
              <w:rPr>
                <w:rFonts w:ascii="Times New Roman" w:hAnsi="Times New Roman" w:cs="Times New Roman"/>
                <w:noProof/>
              </w:rPr>
              <w:t>Judicial procedures</w:t>
            </w:r>
          </w:p>
        </w:tc>
        <w:tc>
          <w:tcPr>
            <w:tcW w:w="332" w:type="pct"/>
            <w:shd w:val="clear" w:color="auto" w:fill="F2F2F2" w:themeFill="background1" w:themeFillShade="F2"/>
          </w:tcPr>
          <w:p>
            <w:pPr>
              <w:pStyle w:val="TableText"/>
              <w:ind w:left="227" w:right="113"/>
              <w:jc w:val="both"/>
              <w:rPr>
                <w:rFonts w:ascii="Times New Roman" w:hAnsi="Times New Roman" w:cs="Times New Roman"/>
                <w:noProof/>
              </w:rPr>
            </w:pPr>
            <w:r>
              <w:rPr>
                <w:rFonts w:ascii="Times New Roman" w:hAnsi="Times New Roman" w:cs="Times New Roman"/>
                <w:noProof/>
              </w:rPr>
              <w:t>***</w:t>
            </w:r>
          </w:p>
        </w:tc>
        <w:tc>
          <w:tcPr>
            <w:tcW w:w="361" w:type="pct"/>
            <w:shd w:val="clear" w:color="auto" w:fill="F2F2F2" w:themeFill="background1" w:themeFillShade="F2"/>
          </w:tcPr>
          <w:p>
            <w:pPr>
              <w:pStyle w:val="TableText"/>
              <w:ind w:left="227" w:right="113"/>
              <w:jc w:val="both"/>
              <w:rPr>
                <w:rFonts w:ascii="Times New Roman" w:hAnsi="Times New Roman" w:cs="Times New Roman"/>
                <w:noProof/>
              </w:rPr>
            </w:pPr>
            <w:r>
              <w:rPr>
                <w:rFonts w:ascii="Times New Roman" w:hAnsi="Times New Roman" w:cs="Times New Roman"/>
                <w:noProof/>
              </w:rPr>
              <w:t>**</w:t>
            </w:r>
          </w:p>
        </w:tc>
        <w:tc>
          <w:tcPr>
            <w:tcW w:w="310" w:type="pct"/>
            <w:shd w:val="clear" w:color="auto" w:fill="F2F2F2" w:themeFill="background1" w:themeFillShade="F2"/>
          </w:tcPr>
          <w:p>
            <w:pPr>
              <w:pStyle w:val="TableText"/>
              <w:ind w:left="227" w:right="113"/>
              <w:jc w:val="both"/>
              <w:rPr>
                <w:rFonts w:ascii="Times New Roman" w:hAnsi="Times New Roman" w:cs="Times New Roman"/>
                <w:noProof/>
              </w:rPr>
            </w:pPr>
            <w:r>
              <w:rPr>
                <w:rFonts w:ascii="Times New Roman" w:hAnsi="Times New Roman" w:cs="Times New Roman"/>
                <w:noProof/>
              </w:rPr>
              <w:t>*</w:t>
            </w:r>
          </w:p>
        </w:tc>
        <w:tc>
          <w:tcPr>
            <w:tcW w:w="281" w:type="pct"/>
            <w:shd w:val="clear" w:color="auto" w:fill="F2F2F2" w:themeFill="background1" w:themeFillShade="F2"/>
          </w:tcPr>
          <w:p>
            <w:pPr>
              <w:pStyle w:val="TableText"/>
              <w:ind w:left="227" w:right="113"/>
              <w:jc w:val="both"/>
              <w:rPr>
                <w:rFonts w:ascii="Times New Roman" w:hAnsi="Times New Roman" w:cs="Times New Roman"/>
                <w:noProof/>
              </w:rPr>
            </w:pPr>
            <w:r>
              <w:rPr>
                <w:rFonts w:ascii="Times New Roman" w:hAnsi="Times New Roman" w:cs="Times New Roman"/>
                <w:noProof/>
              </w:rPr>
              <w:t>**</w:t>
            </w:r>
          </w:p>
        </w:tc>
        <w:tc>
          <w:tcPr>
            <w:tcW w:w="2822" w:type="pct"/>
            <w:shd w:val="clear" w:color="auto" w:fill="F2F2F2" w:themeFill="background1" w:themeFillShade="F2"/>
          </w:tcPr>
          <w:p>
            <w:pPr>
              <w:pStyle w:val="TableText"/>
              <w:ind w:left="227" w:right="113"/>
              <w:jc w:val="both"/>
              <w:rPr>
                <w:rFonts w:ascii="Times New Roman" w:hAnsi="Times New Roman" w:cs="Times New Roman"/>
                <w:noProof/>
              </w:rPr>
            </w:pPr>
            <w:r>
              <w:rPr>
                <w:rFonts w:ascii="Times New Roman" w:hAnsi="Times New Roman" w:cs="Times New Roman"/>
                <w:noProof/>
              </w:rPr>
              <w:t>Citizens – the availability of legal aid to offset the impact on individuals is limited.</w:t>
            </w:r>
          </w:p>
          <w:p>
            <w:pPr>
              <w:pStyle w:val="TableText"/>
              <w:ind w:left="227" w:right="113"/>
              <w:jc w:val="both"/>
              <w:rPr>
                <w:rFonts w:ascii="Times New Roman" w:hAnsi="Times New Roman" w:cs="Times New Roman"/>
                <w:noProof/>
              </w:rPr>
            </w:pPr>
            <w:r>
              <w:rPr>
                <w:rFonts w:ascii="Times New Roman" w:hAnsi="Times New Roman" w:cs="Times New Roman"/>
                <w:noProof/>
              </w:rPr>
              <w:t xml:space="preserve">Member States - according to the stakeholders consulted, these costs should amount to no more than a few hundred euro. </w:t>
            </w:r>
          </w:p>
          <w:p>
            <w:pPr>
              <w:pStyle w:val="TableText"/>
              <w:ind w:left="227" w:right="113"/>
              <w:jc w:val="both"/>
              <w:rPr>
                <w:rFonts w:ascii="Times New Roman" w:hAnsi="Times New Roman" w:cs="Times New Roman"/>
                <w:noProof/>
              </w:rPr>
            </w:pPr>
            <w:r>
              <w:rPr>
                <w:rFonts w:ascii="Times New Roman" w:hAnsi="Times New Roman" w:cs="Times New Roman"/>
                <w:noProof/>
              </w:rPr>
              <w:t>Businesses - may suffer a loss to their reputation.</w:t>
            </w:r>
          </w:p>
          <w:p>
            <w:pPr>
              <w:pStyle w:val="TableText"/>
              <w:ind w:left="227" w:right="113"/>
              <w:jc w:val="both"/>
              <w:rPr>
                <w:rFonts w:ascii="Times New Roman" w:hAnsi="Times New Roman" w:cs="Times New Roman"/>
                <w:noProof/>
              </w:rPr>
            </w:pPr>
            <w:r>
              <w:rPr>
                <w:rFonts w:ascii="Times New Roman" w:hAnsi="Times New Roman" w:cs="Times New Roman"/>
                <w:noProof/>
              </w:rPr>
              <w:t xml:space="preserve">Trade unions – costs of legal representation of potential pay discrimination victims in some countries. </w:t>
            </w:r>
          </w:p>
        </w:tc>
      </w:tr>
      <w:tr>
        <w:trPr>
          <w:cantSplit/>
          <w:trHeight w:val="419"/>
        </w:trPr>
        <w:tc>
          <w:tcPr>
            <w:tcW w:w="894" w:type="pct"/>
            <w:shd w:val="clear" w:color="auto" w:fill="F2F2F2" w:themeFill="background1" w:themeFillShade="F2"/>
          </w:tcPr>
          <w:p>
            <w:pPr>
              <w:pStyle w:val="TableText"/>
              <w:ind w:left="227" w:right="113"/>
              <w:jc w:val="both"/>
              <w:rPr>
                <w:rFonts w:ascii="Times New Roman" w:hAnsi="Times New Roman" w:cs="Times New Roman"/>
                <w:noProof/>
              </w:rPr>
            </w:pPr>
            <w:r>
              <w:rPr>
                <w:rFonts w:ascii="Times New Roman" w:hAnsi="Times New Roman" w:cs="Times New Roman"/>
                <w:noProof/>
              </w:rPr>
              <w:t>Substantive compliance costs for pay transparency measures</w:t>
            </w:r>
          </w:p>
        </w:tc>
        <w:tc>
          <w:tcPr>
            <w:tcW w:w="332" w:type="pct"/>
            <w:shd w:val="clear" w:color="auto" w:fill="F2F2F2" w:themeFill="background1" w:themeFillShade="F2"/>
          </w:tcPr>
          <w:p>
            <w:pPr>
              <w:pStyle w:val="TableText"/>
              <w:ind w:left="227" w:right="113"/>
              <w:jc w:val="both"/>
              <w:rPr>
                <w:rFonts w:ascii="Times New Roman" w:hAnsi="Times New Roman" w:cs="Times New Roman"/>
                <w:noProof/>
              </w:rPr>
            </w:pPr>
          </w:p>
        </w:tc>
        <w:tc>
          <w:tcPr>
            <w:tcW w:w="361" w:type="pct"/>
            <w:shd w:val="clear" w:color="auto" w:fill="F2F2F2" w:themeFill="background1" w:themeFillShade="F2"/>
          </w:tcPr>
          <w:p>
            <w:pPr>
              <w:pStyle w:val="TableText"/>
              <w:ind w:left="227" w:right="113"/>
              <w:jc w:val="both"/>
              <w:rPr>
                <w:rFonts w:ascii="Times New Roman" w:hAnsi="Times New Roman" w:cs="Times New Roman"/>
                <w:noProof/>
              </w:rPr>
            </w:pPr>
            <w:r>
              <w:rPr>
                <w:rFonts w:ascii="Times New Roman" w:hAnsi="Times New Roman" w:cs="Times New Roman"/>
                <w:noProof/>
              </w:rPr>
              <w:t>*/**</w:t>
            </w:r>
          </w:p>
        </w:tc>
        <w:tc>
          <w:tcPr>
            <w:tcW w:w="310" w:type="pct"/>
            <w:shd w:val="clear" w:color="auto" w:fill="F2F2F2" w:themeFill="background1" w:themeFillShade="F2"/>
          </w:tcPr>
          <w:p>
            <w:pPr>
              <w:pStyle w:val="TableText"/>
              <w:ind w:left="227" w:right="113"/>
              <w:jc w:val="both"/>
              <w:rPr>
                <w:rFonts w:ascii="Times New Roman" w:hAnsi="Times New Roman" w:cs="Times New Roman"/>
                <w:noProof/>
              </w:rPr>
            </w:pPr>
            <w:r>
              <w:rPr>
                <w:rFonts w:ascii="Times New Roman" w:hAnsi="Times New Roman" w:cs="Times New Roman"/>
                <w:noProof/>
              </w:rPr>
              <w:t>**</w:t>
            </w:r>
          </w:p>
        </w:tc>
        <w:tc>
          <w:tcPr>
            <w:tcW w:w="281" w:type="pct"/>
            <w:shd w:val="clear" w:color="auto" w:fill="F2F2F2" w:themeFill="background1" w:themeFillShade="F2"/>
          </w:tcPr>
          <w:p>
            <w:pPr>
              <w:pStyle w:val="TableText"/>
              <w:ind w:left="227" w:right="113"/>
              <w:jc w:val="both"/>
              <w:rPr>
                <w:rFonts w:ascii="Times New Roman" w:hAnsi="Times New Roman" w:cs="Times New Roman"/>
                <w:noProof/>
              </w:rPr>
            </w:pPr>
            <w:r>
              <w:rPr>
                <w:rFonts w:ascii="Times New Roman" w:hAnsi="Times New Roman" w:cs="Times New Roman"/>
                <w:noProof/>
              </w:rPr>
              <w:t>*</w:t>
            </w:r>
          </w:p>
        </w:tc>
        <w:tc>
          <w:tcPr>
            <w:tcW w:w="2822" w:type="pct"/>
            <w:shd w:val="clear" w:color="auto" w:fill="F2F2F2" w:themeFill="background1" w:themeFillShade="F2"/>
          </w:tcPr>
          <w:p>
            <w:pPr>
              <w:pStyle w:val="TableText"/>
              <w:ind w:left="227" w:right="113"/>
              <w:jc w:val="both"/>
              <w:rPr>
                <w:rFonts w:ascii="Times New Roman" w:hAnsi="Times New Roman" w:cs="Times New Roman"/>
                <w:noProof/>
              </w:rPr>
            </w:pPr>
            <w:r>
              <w:rPr>
                <w:rFonts w:ascii="Times New Roman" w:hAnsi="Times New Roman" w:cs="Times New Roman"/>
                <w:noProof/>
              </w:rPr>
              <w:t xml:space="preserve">For businesses, see Table 49 (section 3.5.1.2). These costs include adapting the pay database and training staff. </w:t>
            </w:r>
          </w:p>
          <w:p>
            <w:pPr>
              <w:pStyle w:val="TableText"/>
              <w:ind w:left="227" w:right="113"/>
              <w:jc w:val="both"/>
              <w:rPr>
                <w:rFonts w:ascii="Times New Roman" w:hAnsi="Times New Roman" w:cs="Times New Roman"/>
                <w:noProof/>
              </w:rPr>
            </w:pPr>
          </w:p>
        </w:tc>
      </w:tr>
      <w:tr>
        <w:trPr>
          <w:cantSplit/>
          <w:trHeight w:val="419"/>
        </w:trPr>
        <w:tc>
          <w:tcPr>
            <w:tcW w:w="894" w:type="pct"/>
            <w:shd w:val="clear" w:color="auto" w:fill="F2F2F2" w:themeFill="background1" w:themeFillShade="F2"/>
          </w:tcPr>
          <w:p>
            <w:pPr>
              <w:pStyle w:val="TableText"/>
              <w:ind w:left="227" w:right="113"/>
              <w:jc w:val="both"/>
              <w:rPr>
                <w:rFonts w:ascii="Times New Roman" w:hAnsi="Times New Roman" w:cs="Times New Roman"/>
                <w:noProof/>
              </w:rPr>
            </w:pPr>
            <w:r>
              <w:rPr>
                <w:rFonts w:ascii="Times New Roman" w:hAnsi="Times New Roman" w:cs="Times New Roman"/>
                <w:noProof/>
              </w:rPr>
              <w:t>Monitoring costs of pay transparency measures</w:t>
            </w:r>
          </w:p>
        </w:tc>
        <w:tc>
          <w:tcPr>
            <w:tcW w:w="332" w:type="pct"/>
            <w:shd w:val="clear" w:color="auto" w:fill="F2F2F2" w:themeFill="background1" w:themeFillShade="F2"/>
          </w:tcPr>
          <w:p>
            <w:pPr>
              <w:pStyle w:val="TableText"/>
              <w:ind w:left="227" w:right="113"/>
              <w:jc w:val="both"/>
              <w:rPr>
                <w:rFonts w:ascii="Times New Roman" w:hAnsi="Times New Roman" w:cs="Times New Roman"/>
                <w:noProof/>
              </w:rPr>
            </w:pPr>
          </w:p>
        </w:tc>
        <w:tc>
          <w:tcPr>
            <w:tcW w:w="361" w:type="pct"/>
            <w:shd w:val="clear" w:color="auto" w:fill="F2F2F2" w:themeFill="background1" w:themeFillShade="F2"/>
          </w:tcPr>
          <w:p>
            <w:pPr>
              <w:pStyle w:val="TableText"/>
              <w:ind w:left="227" w:right="113"/>
              <w:jc w:val="both"/>
              <w:rPr>
                <w:rFonts w:ascii="Times New Roman" w:hAnsi="Times New Roman" w:cs="Times New Roman"/>
                <w:noProof/>
              </w:rPr>
            </w:pPr>
          </w:p>
        </w:tc>
        <w:tc>
          <w:tcPr>
            <w:tcW w:w="310" w:type="pct"/>
            <w:shd w:val="clear" w:color="auto" w:fill="F2F2F2" w:themeFill="background1" w:themeFillShade="F2"/>
          </w:tcPr>
          <w:p>
            <w:pPr>
              <w:pStyle w:val="TableText"/>
              <w:ind w:left="227" w:right="113"/>
              <w:jc w:val="both"/>
              <w:rPr>
                <w:rFonts w:ascii="Times New Roman" w:hAnsi="Times New Roman" w:cs="Times New Roman"/>
                <w:noProof/>
              </w:rPr>
            </w:pPr>
            <w:r>
              <w:rPr>
                <w:rFonts w:ascii="Times New Roman" w:hAnsi="Times New Roman" w:cs="Times New Roman"/>
                <w:noProof/>
              </w:rPr>
              <w:t>**</w:t>
            </w:r>
          </w:p>
        </w:tc>
        <w:tc>
          <w:tcPr>
            <w:tcW w:w="281" w:type="pct"/>
            <w:shd w:val="clear" w:color="auto" w:fill="F2F2F2" w:themeFill="background1" w:themeFillShade="F2"/>
          </w:tcPr>
          <w:p>
            <w:pPr>
              <w:pStyle w:val="TableText"/>
              <w:ind w:left="227" w:right="113"/>
              <w:jc w:val="both"/>
              <w:rPr>
                <w:rFonts w:ascii="Times New Roman" w:hAnsi="Times New Roman" w:cs="Times New Roman"/>
                <w:noProof/>
              </w:rPr>
            </w:pPr>
            <w:r>
              <w:rPr>
                <w:rFonts w:ascii="Times New Roman" w:hAnsi="Times New Roman" w:cs="Times New Roman"/>
                <w:noProof/>
              </w:rPr>
              <w:t>*</w:t>
            </w:r>
          </w:p>
        </w:tc>
        <w:tc>
          <w:tcPr>
            <w:tcW w:w="2822" w:type="pct"/>
            <w:shd w:val="clear" w:color="auto" w:fill="F2F2F2" w:themeFill="background1" w:themeFillShade="F2"/>
          </w:tcPr>
          <w:p>
            <w:pPr>
              <w:pStyle w:val="TableText"/>
              <w:ind w:left="227" w:right="113"/>
              <w:jc w:val="both"/>
              <w:rPr>
                <w:rFonts w:ascii="Times New Roman" w:hAnsi="Times New Roman" w:cs="Times New Roman"/>
                <w:noProof/>
              </w:rPr>
            </w:pPr>
            <w:r>
              <w:rPr>
                <w:rFonts w:ascii="Times New Roman" w:hAnsi="Times New Roman" w:cs="Times New Roman"/>
                <w:noProof/>
              </w:rPr>
              <w:t xml:space="preserve">Member States – and, to a lesser extent, trade unions - are involved in monitoring the pay transparency measures. The extent of the monitoring varies across Member States, depending on the measures adopted. Equality bodies have monitoring responsibilities in all countries, while in some cases work councils are also involved in monitoring activities. </w:t>
            </w:r>
          </w:p>
        </w:tc>
      </w:tr>
      <w:tr>
        <w:trPr>
          <w:cantSplit/>
          <w:trHeight w:val="699"/>
        </w:trPr>
        <w:tc>
          <w:tcPr>
            <w:tcW w:w="894" w:type="pct"/>
            <w:shd w:val="clear" w:color="auto" w:fill="F2F2F2" w:themeFill="background1" w:themeFillShade="F2"/>
          </w:tcPr>
          <w:p>
            <w:pPr>
              <w:pStyle w:val="TableText"/>
              <w:ind w:left="227" w:right="113"/>
              <w:jc w:val="both"/>
              <w:rPr>
                <w:rFonts w:ascii="Times New Roman" w:hAnsi="Times New Roman" w:cs="Times New Roman"/>
                <w:noProof/>
              </w:rPr>
            </w:pPr>
            <w:r>
              <w:rPr>
                <w:rFonts w:ascii="Times New Roman" w:hAnsi="Times New Roman" w:cs="Times New Roman"/>
                <w:noProof/>
              </w:rPr>
              <w:t>Administrative burden for pay transparency measures</w:t>
            </w:r>
          </w:p>
        </w:tc>
        <w:tc>
          <w:tcPr>
            <w:tcW w:w="332" w:type="pct"/>
            <w:shd w:val="clear" w:color="auto" w:fill="F2F2F2" w:themeFill="background1" w:themeFillShade="F2"/>
          </w:tcPr>
          <w:p>
            <w:pPr>
              <w:pStyle w:val="TableText"/>
              <w:ind w:left="227" w:right="113"/>
              <w:jc w:val="both"/>
              <w:rPr>
                <w:rFonts w:ascii="Times New Roman" w:hAnsi="Times New Roman" w:cs="Times New Roman"/>
                <w:noProof/>
              </w:rPr>
            </w:pPr>
          </w:p>
        </w:tc>
        <w:tc>
          <w:tcPr>
            <w:tcW w:w="361" w:type="pct"/>
            <w:shd w:val="clear" w:color="auto" w:fill="F2F2F2" w:themeFill="background1" w:themeFillShade="F2"/>
          </w:tcPr>
          <w:p>
            <w:pPr>
              <w:pStyle w:val="TableText"/>
              <w:ind w:left="227" w:right="113"/>
              <w:jc w:val="both"/>
              <w:rPr>
                <w:rFonts w:ascii="Times New Roman" w:hAnsi="Times New Roman" w:cs="Times New Roman"/>
                <w:noProof/>
              </w:rPr>
            </w:pPr>
            <w:r>
              <w:rPr>
                <w:rFonts w:ascii="Times New Roman" w:hAnsi="Times New Roman" w:cs="Times New Roman"/>
                <w:noProof/>
              </w:rPr>
              <w:t>*/**</w:t>
            </w:r>
          </w:p>
        </w:tc>
        <w:tc>
          <w:tcPr>
            <w:tcW w:w="310" w:type="pct"/>
            <w:shd w:val="clear" w:color="auto" w:fill="F2F2F2" w:themeFill="background1" w:themeFillShade="F2"/>
          </w:tcPr>
          <w:p>
            <w:pPr>
              <w:pStyle w:val="TableText"/>
              <w:ind w:left="227" w:right="113"/>
              <w:jc w:val="both"/>
              <w:rPr>
                <w:rFonts w:ascii="Times New Roman" w:hAnsi="Times New Roman" w:cs="Times New Roman"/>
                <w:noProof/>
              </w:rPr>
            </w:pPr>
          </w:p>
        </w:tc>
        <w:tc>
          <w:tcPr>
            <w:tcW w:w="281" w:type="pct"/>
            <w:shd w:val="clear" w:color="auto" w:fill="F2F2F2" w:themeFill="background1" w:themeFillShade="F2"/>
          </w:tcPr>
          <w:p>
            <w:pPr>
              <w:pStyle w:val="TableText"/>
              <w:ind w:left="227" w:right="113"/>
              <w:jc w:val="both"/>
              <w:rPr>
                <w:rFonts w:ascii="Times New Roman" w:hAnsi="Times New Roman" w:cs="Times New Roman"/>
                <w:noProof/>
              </w:rPr>
            </w:pPr>
          </w:p>
        </w:tc>
        <w:tc>
          <w:tcPr>
            <w:tcW w:w="2822" w:type="pct"/>
            <w:shd w:val="clear" w:color="auto" w:fill="F2F2F2" w:themeFill="background1" w:themeFillShade="F2"/>
          </w:tcPr>
          <w:p>
            <w:pPr>
              <w:pStyle w:val="TableText"/>
              <w:ind w:left="227" w:right="113"/>
              <w:jc w:val="both"/>
              <w:rPr>
                <w:rFonts w:ascii="Times New Roman" w:hAnsi="Times New Roman" w:cs="Times New Roman"/>
                <w:noProof/>
              </w:rPr>
            </w:pPr>
            <w:r>
              <w:rPr>
                <w:rFonts w:ascii="Times New Roman" w:hAnsi="Times New Roman" w:cs="Times New Roman"/>
                <w:noProof/>
              </w:rPr>
              <w:t>These costs are higher for pay audits than for pay reports and are primarily driven by producing and analysing gender pay gap reports.</w:t>
            </w:r>
          </w:p>
        </w:tc>
      </w:tr>
      <w:tr>
        <w:trPr>
          <w:cantSplit/>
          <w:trHeight w:val="706"/>
        </w:trPr>
        <w:tc>
          <w:tcPr>
            <w:tcW w:w="894" w:type="pct"/>
            <w:shd w:val="clear" w:color="auto" w:fill="F2F2F2" w:themeFill="background1" w:themeFillShade="F2"/>
          </w:tcPr>
          <w:p>
            <w:pPr>
              <w:pStyle w:val="TableText"/>
              <w:ind w:left="227" w:right="113"/>
              <w:jc w:val="both"/>
              <w:rPr>
                <w:rFonts w:ascii="Times New Roman" w:hAnsi="Times New Roman" w:cs="Times New Roman"/>
                <w:noProof/>
              </w:rPr>
            </w:pPr>
            <w:r>
              <w:rPr>
                <w:rFonts w:ascii="Times New Roman" w:hAnsi="Times New Roman" w:cs="Times New Roman"/>
                <w:noProof/>
              </w:rPr>
              <w:t>Limited freedom to negotiate wages</w:t>
            </w:r>
          </w:p>
        </w:tc>
        <w:tc>
          <w:tcPr>
            <w:tcW w:w="332" w:type="pct"/>
            <w:shd w:val="clear" w:color="auto" w:fill="F2F2F2" w:themeFill="background1" w:themeFillShade="F2"/>
          </w:tcPr>
          <w:p>
            <w:pPr>
              <w:pStyle w:val="TableText"/>
              <w:ind w:left="227" w:right="113"/>
              <w:jc w:val="both"/>
              <w:rPr>
                <w:rFonts w:ascii="Times New Roman" w:hAnsi="Times New Roman" w:cs="Times New Roman"/>
                <w:noProof/>
              </w:rPr>
            </w:pPr>
          </w:p>
        </w:tc>
        <w:tc>
          <w:tcPr>
            <w:tcW w:w="361" w:type="pct"/>
            <w:shd w:val="clear" w:color="auto" w:fill="F2F2F2" w:themeFill="background1" w:themeFillShade="F2"/>
          </w:tcPr>
          <w:p>
            <w:pPr>
              <w:pStyle w:val="TableText"/>
              <w:ind w:left="227" w:right="113"/>
              <w:jc w:val="both"/>
              <w:rPr>
                <w:rFonts w:ascii="Times New Roman" w:hAnsi="Times New Roman" w:cs="Times New Roman"/>
                <w:noProof/>
              </w:rPr>
            </w:pPr>
            <w:r>
              <w:rPr>
                <w:rFonts w:ascii="Times New Roman" w:hAnsi="Times New Roman" w:cs="Times New Roman"/>
                <w:noProof/>
              </w:rPr>
              <w:t>*</w:t>
            </w:r>
          </w:p>
        </w:tc>
        <w:tc>
          <w:tcPr>
            <w:tcW w:w="310" w:type="pct"/>
            <w:shd w:val="clear" w:color="auto" w:fill="F2F2F2" w:themeFill="background1" w:themeFillShade="F2"/>
          </w:tcPr>
          <w:p>
            <w:pPr>
              <w:pStyle w:val="TableText"/>
              <w:ind w:left="227" w:right="113"/>
              <w:jc w:val="both"/>
              <w:rPr>
                <w:rFonts w:ascii="Times New Roman" w:hAnsi="Times New Roman" w:cs="Times New Roman"/>
                <w:noProof/>
              </w:rPr>
            </w:pPr>
          </w:p>
        </w:tc>
        <w:tc>
          <w:tcPr>
            <w:tcW w:w="281" w:type="pct"/>
            <w:shd w:val="clear" w:color="auto" w:fill="F2F2F2" w:themeFill="background1" w:themeFillShade="F2"/>
          </w:tcPr>
          <w:p>
            <w:pPr>
              <w:pStyle w:val="TableText"/>
              <w:ind w:left="227" w:right="113"/>
              <w:jc w:val="both"/>
              <w:rPr>
                <w:rFonts w:ascii="Times New Roman" w:hAnsi="Times New Roman" w:cs="Times New Roman"/>
                <w:noProof/>
              </w:rPr>
            </w:pPr>
          </w:p>
        </w:tc>
        <w:tc>
          <w:tcPr>
            <w:tcW w:w="2822" w:type="pct"/>
            <w:shd w:val="clear" w:color="auto" w:fill="F2F2F2" w:themeFill="background1" w:themeFillShade="F2"/>
          </w:tcPr>
          <w:p>
            <w:pPr>
              <w:pStyle w:val="TableText"/>
              <w:ind w:left="227" w:right="113"/>
              <w:jc w:val="both"/>
              <w:rPr>
                <w:rFonts w:ascii="Times New Roman" w:hAnsi="Times New Roman" w:cs="Times New Roman"/>
                <w:noProof/>
              </w:rPr>
            </w:pPr>
            <w:r>
              <w:rPr>
                <w:rFonts w:ascii="Times New Roman" w:hAnsi="Times New Roman" w:cs="Times New Roman"/>
                <w:noProof/>
              </w:rPr>
              <w:t>The OPC provides some evidence that this is an indirect cost faced by employers. It could also be a cost for employees if equal pay measures limit individual wage-bargaining power.</w:t>
            </w:r>
          </w:p>
        </w:tc>
      </w:tr>
    </w:tbl>
    <w:p>
      <w:pPr>
        <w:jc w:val="both"/>
        <w:rPr>
          <w:rFonts w:ascii="Times New Roman" w:hAnsi="Times New Roman" w:cs="Times New Roman"/>
          <w:i/>
          <w:noProof/>
          <w:sz w:val="20"/>
        </w:rPr>
      </w:pPr>
      <w:r>
        <w:rPr>
          <w:rFonts w:ascii="Times New Roman" w:hAnsi="Times New Roman" w:cs="Times New Roman"/>
          <w:i/>
          <w:noProof/>
          <w:sz w:val="20"/>
        </w:rPr>
        <w:t>0 none; * low cost; ** medium cost; *** high cost</w:t>
      </w:r>
    </w:p>
    <w:p>
      <w:pPr>
        <w:pStyle w:val="Heading3"/>
        <w:numPr>
          <w:ilvl w:val="0"/>
          <w:numId w:val="57"/>
        </w:numPr>
        <w:ind w:left="426" w:hanging="426"/>
        <w:rPr>
          <w:i w:val="0"/>
          <w:smallCaps/>
          <w:noProof/>
        </w:rPr>
      </w:pPr>
      <w:r>
        <w:rPr>
          <w:b/>
          <w:i w:val="0"/>
          <w:noProof/>
        </w:rPr>
        <w:t>Useful gender neutral tools for work evaluation</w:t>
      </w:r>
      <w:r>
        <w:rPr>
          <w:rStyle w:val="FootnoteReference"/>
          <w:i w:val="0"/>
          <w:noProof/>
        </w:rPr>
        <w:footnoteReference w:id="246"/>
      </w:r>
    </w:p>
    <w:p>
      <w:pPr>
        <w:pStyle w:val="NormalWeb"/>
        <w:spacing w:before="0" w:beforeAutospacing="0" w:after="0" w:afterAutospacing="0" w:line="276" w:lineRule="auto"/>
        <w:jc w:val="both"/>
        <w:rPr>
          <w:noProof/>
          <w:lang w:val="en-US"/>
        </w:rPr>
      </w:pPr>
      <w:r>
        <w:rPr>
          <w:noProof/>
          <w:lang w:val="en-US"/>
        </w:rPr>
        <w:t>This section provides information on tools for work evaluation, listed by organisation and/or country. In general, the process of identifying equal work is carried out with the help of job titles, job codes, job grade systems and the like. There are a number of tools and instruments in the labor market, both in the private and public sector. The various tools are provided both by private actors, for instance consultancies, and public organs. The process of identifying work of equal value is normally carried out with the help of a tool for work evaluation. Four criteria are used when determining work of equal value: skills, effort, responsibility and working conditions.</w:t>
      </w:r>
    </w:p>
    <w:p>
      <w:pPr>
        <w:pStyle w:val="NormalWeb"/>
        <w:spacing w:before="0" w:beforeAutospacing="0" w:after="0" w:afterAutospacing="0" w:line="276" w:lineRule="auto"/>
        <w:jc w:val="both"/>
        <w:rPr>
          <w:noProof/>
          <w:lang w:val="en-US"/>
        </w:rPr>
      </w:pPr>
    </w:p>
    <w:p>
      <w:pPr>
        <w:pStyle w:val="NormalWeb"/>
        <w:spacing w:before="0" w:beforeAutospacing="0" w:after="0" w:afterAutospacing="0" w:line="276" w:lineRule="auto"/>
        <w:jc w:val="both"/>
        <w:rPr>
          <w:noProof/>
          <w:lang w:val="en-US"/>
        </w:rPr>
      </w:pPr>
    </w:p>
    <w:p>
      <w:pPr>
        <w:pStyle w:val="NormalWeb"/>
        <w:spacing w:before="0" w:beforeAutospacing="0" w:after="0" w:afterAutospacing="0" w:line="276" w:lineRule="auto"/>
        <w:jc w:val="both"/>
        <w:rPr>
          <w:rStyle w:val="IntenseReference"/>
          <w:noProof/>
          <w:lang w:val="en-US"/>
        </w:rPr>
      </w:pPr>
      <w:r>
        <w:rPr>
          <w:rStyle w:val="IntenseReference"/>
          <w:noProof/>
          <w:lang w:val="en-US"/>
        </w:rPr>
        <w:t xml:space="preserve">General Overview: </w:t>
      </w:r>
    </w:p>
    <w:p>
      <w:pPr>
        <w:pStyle w:val="ListParagraph"/>
        <w:ind w:left="0"/>
        <w:jc w:val="both"/>
        <w:rPr>
          <w:rFonts w:ascii="Times New Roman" w:hAnsi="Times New Roman" w:cs="Times New Roman"/>
          <w:noProof/>
          <w:sz w:val="24"/>
          <w:szCs w:val="24"/>
          <w:u w:val="single"/>
        </w:rPr>
      </w:pPr>
    </w:p>
    <w:p>
      <w:pPr>
        <w:pStyle w:val="ListParagraph"/>
        <w:ind w:left="0"/>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Austria, Wage calculation tool by the Austrian ministry for women’s affairs:</w:t>
      </w:r>
    </w:p>
    <w:p>
      <w:pPr>
        <w:pStyle w:val="ListParagraph"/>
        <w:ind w:left="0"/>
        <w:jc w:val="both"/>
        <w:rPr>
          <w:rFonts w:ascii="Times New Roman" w:hAnsi="Times New Roman" w:cs="Times New Roman"/>
          <w:noProof/>
          <w:sz w:val="24"/>
          <w:szCs w:val="24"/>
          <w:u w:val="single"/>
        </w:rPr>
      </w:pPr>
      <w:r>
        <w:rPr>
          <w:rFonts w:ascii="Times New Roman" w:hAnsi="Times New Roman" w:cs="Times New Roman"/>
          <w:noProof/>
          <w:sz w:val="24"/>
          <w:szCs w:val="24"/>
        </w:rPr>
        <w:t>A German-language tool designed to indicate average salaries in particular professions based on individualized parameters.</w:t>
      </w:r>
    </w:p>
    <w:p>
      <w:pPr>
        <w:pStyle w:val="ListParagraph"/>
        <w:ind w:left="0"/>
        <w:jc w:val="both"/>
        <w:rPr>
          <w:rStyle w:val="Hyperlink"/>
          <w:rFonts w:ascii="Times New Roman" w:hAnsi="Times New Roman" w:cs="Times New Roman"/>
          <w:noProof/>
          <w:sz w:val="24"/>
          <w:szCs w:val="24"/>
        </w:rPr>
      </w:pPr>
      <w:hyperlink r:id="rId205" w:history="1">
        <w:r>
          <w:rPr>
            <w:rStyle w:val="Hyperlink"/>
            <w:rFonts w:ascii="Times New Roman" w:hAnsi="Times New Roman" w:cs="Times New Roman"/>
            <w:noProof/>
            <w:sz w:val="24"/>
            <w:szCs w:val="24"/>
          </w:rPr>
          <w:t>www.gehaltsrechner.gv.at</w:t>
        </w:r>
      </w:hyperlink>
    </w:p>
    <w:p>
      <w:pPr>
        <w:pStyle w:val="ListParagraph"/>
        <w:ind w:left="0"/>
        <w:jc w:val="both"/>
        <w:rPr>
          <w:rStyle w:val="Hyperlink"/>
          <w:rFonts w:ascii="Times New Roman" w:hAnsi="Times New Roman" w:cs="Times New Roman"/>
          <w:noProof/>
          <w:sz w:val="24"/>
          <w:szCs w:val="24"/>
        </w:rPr>
      </w:pPr>
    </w:p>
    <w:p>
      <w:pPr>
        <w:pStyle w:val="ListParagraph"/>
        <w:ind w:left="0"/>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Belgium, Statistical calculation tool by the Belgian Institute for the Equality of Women and Men:</w:t>
      </w:r>
    </w:p>
    <w:p>
      <w:pPr>
        <w:pStyle w:val="ListParagraph"/>
        <w:ind w:left="0"/>
        <w:jc w:val="both"/>
        <w:rPr>
          <w:rFonts w:ascii="Times New Roman" w:hAnsi="Times New Roman" w:cs="Times New Roman"/>
          <w:noProof/>
          <w:sz w:val="24"/>
          <w:szCs w:val="24"/>
          <w:lang w:val="en-IE"/>
        </w:rPr>
      </w:pPr>
      <w:r>
        <w:rPr>
          <w:rFonts w:ascii="Times New Roman" w:hAnsi="Times New Roman" w:cs="Times New Roman"/>
          <w:noProof/>
          <w:sz w:val="24"/>
          <w:szCs w:val="24"/>
        </w:rPr>
        <w:t>This website provides a French and Flemish- language tool to calculate wage equality as well as a checklist on gender neutrality in job evaluation and classification.</w:t>
      </w:r>
      <w:r>
        <w:rPr>
          <w:rFonts w:ascii="Times New Roman" w:hAnsi="Times New Roman" w:cs="Times New Roman"/>
          <w:noProof/>
          <w:sz w:val="24"/>
          <w:szCs w:val="24"/>
        </w:rPr>
        <w:br/>
      </w:r>
      <w:hyperlink r:id="rId206" w:history="1">
        <w:r>
          <w:rPr>
            <w:rStyle w:val="Hyperlink"/>
            <w:rFonts w:ascii="Times New Roman" w:hAnsi="Times New Roman" w:cs="Times New Roman"/>
            <w:noProof/>
            <w:sz w:val="24"/>
            <w:szCs w:val="24"/>
          </w:rPr>
          <w:t>http://igvm-iefh.belgium.be/fr/domaines_action/emploi/gelijk_loon/berekening/</w:t>
        </w:r>
      </w:hyperlink>
    </w:p>
    <w:p>
      <w:pPr>
        <w:spacing w:after="0"/>
        <w:jc w:val="both"/>
        <w:rPr>
          <w:rFonts w:ascii="Times New Roman" w:hAnsi="Times New Roman" w:cs="Times New Roman"/>
          <w:noProof/>
          <w:sz w:val="24"/>
          <w:szCs w:val="24"/>
          <w:u w:val="single"/>
          <w:lang w:val="en-IE"/>
        </w:rPr>
      </w:pPr>
      <w:r>
        <w:rPr>
          <w:rFonts w:ascii="Times New Roman" w:hAnsi="Times New Roman" w:cs="Times New Roman"/>
          <w:noProof/>
          <w:sz w:val="24"/>
          <w:szCs w:val="24"/>
          <w:u w:val="single"/>
          <w:lang w:val="en-IE"/>
        </w:rPr>
        <w:t>Belgium, Review of gender-neutral job classifications by the Belgian Federal Public Service of Employment, Labour and Public Dialogue:</w:t>
      </w:r>
    </w:p>
    <w:p>
      <w:pPr>
        <w:spacing w:after="0" w:line="240" w:lineRule="auto"/>
        <w:jc w:val="both"/>
        <w:rPr>
          <w:rFonts w:ascii="Times New Roman" w:hAnsi="Times New Roman" w:cs="Times New Roman"/>
          <w:noProof/>
          <w:sz w:val="24"/>
          <w:szCs w:val="24"/>
        </w:rPr>
      </w:pPr>
      <w:r>
        <w:rPr>
          <w:rFonts w:ascii="Times New Roman" w:hAnsi="Times New Roman" w:cs="Times New Roman"/>
          <w:bCs/>
          <w:noProof/>
          <w:sz w:val="24"/>
          <w:szCs w:val="24"/>
        </w:rPr>
        <w:t>This website offers a job evaluation scheme to</w:t>
      </w:r>
      <w:r>
        <w:rPr>
          <w:rFonts w:ascii="Times New Roman" w:hAnsi="Times New Roman" w:cs="Times New Roman"/>
          <w:noProof/>
          <w:sz w:val="24"/>
          <w:szCs w:val="24"/>
        </w:rPr>
        <w:t xml:space="preserve"> ensure that sectoral job classification systems are gender-neutral as established by the law.</w:t>
      </w:r>
    </w:p>
    <w:p>
      <w:pPr>
        <w:spacing w:after="0" w:line="240" w:lineRule="auto"/>
        <w:jc w:val="both"/>
        <w:rPr>
          <w:rFonts w:ascii="Times New Roman" w:hAnsi="Times New Roman" w:cs="Times New Roman"/>
          <w:noProof/>
          <w:sz w:val="24"/>
          <w:szCs w:val="24"/>
          <w:lang w:val="en-IE"/>
        </w:rPr>
      </w:pPr>
      <w:hyperlink r:id="rId207" w:history="1">
        <w:r>
          <w:rPr>
            <w:rStyle w:val="Hyperlink"/>
            <w:rFonts w:ascii="Times New Roman" w:hAnsi="Times New Roman" w:cs="Times New Roman"/>
            <w:noProof/>
            <w:sz w:val="24"/>
            <w:szCs w:val="24"/>
            <w:lang w:val="en-IE"/>
          </w:rPr>
          <w:t>http://www.emploi.belgique.be/defaultTab.aspx?id=8486#</w:t>
        </w:r>
      </w:hyperlink>
      <w:r>
        <w:rPr>
          <w:rFonts w:ascii="Times New Roman" w:hAnsi="Times New Roman" w:cs="Times New Roman"/>
          <w:noProof/>
          <w:sz w:val="24"/>
          <w:szCs w:val="24"/>
          <w:lang w:val="en-IE"/>
        </w:rPr>
        <w:t xml:space="preserve"> </w:t>
      </w:r>
    </w:p>
    <w:p>
      <w:pPr>
        <w:pStyle w:val="ListParagraph"/>
        <w:ind w:left="0"/>
        <w:jc w:val="both"/>
        <w:rPr>
          <w:rStyle w:val="Hyperlink"/>
          <w:rFonts w:ascii="Times New Roman" w:hAnsi="Times New Roman" w:cs="Times New Roman"/>
          <w:noProof/>
          <w:sz w:val="24"/>
          <w:szCs w:val="24"/>
        </w:rPr>
      </w:pPr>
    </w:p>
    <w:p>
      <w:pPr>
        <w:pStyle w:val="ListParagraph"/>
        <w:ind w:left="0"/>
        <w:jc w:val="both"/>
        <w:rPr>
          <w:rFonts w:ascii="Times New Roman" w:hAnsi="Times New Roman" w:cs="Times New Roman"/>
          <w:noProof/>
          <w:sz w:val="24"/>
          <w:szCs w:val="24"/>
        </w:rPr>
      </w:pPr>
      <w:r>
        <w:rPr>
          <w:rFonts w:ascii="Times New Roman" w:hAnsi="Times New Roman" w:cs="Times New Roman"/>
          <w:noProof/>
          <w:sz w:val="24"/>
          <w:szCs w:val="24"/>
          <w:u w:val="single"/>
        </w:rPr>
        <w:t>France, Guide on non-discriminatory job evaluation of predominantly feminine professions by the French Defender of Rights:</w:t>
      </w:r>
    </w:p>
    <w:p>
      <w:pPr>
        <w:pStyle w:val="ListParagraph"/>
        <w:ind w:left="0"/>
        <w:jc w:val="both"/>
        <w:rPr>
          <w:rFonts w:ascii="Times New Roman" w:hAnsi="Times New Roman" w:cs="Times New Roman"/>
          <w:noProof/>
          <w:sz w:val="24"/>
          <w:szCs w:val="24"/>
        </w:rPr>
      </w:pPr>
      <w:r>
        <w:rPr>
          <w:rFonts w:ascii="Times New Roman" w:hAnsi="Times New Roman" w:cs="Times New Roman"/>
          <w:noProof/>
          <w:sz w:val="24"/>
          <w:szCs w:val="24"/>
        </w:rPr>
        <w:t>A French language guide on gender neutral job evaluation for assessing work of equal value</w:t>
      </w:r>
    </w:p>
    <w:p>
      <w:pPr>
        <w:pStyle w:val="ListParagraph"/>
        <w:ind w:left="0"/>
        <w:jc w:val="both"/>
        <w:rPr>
          <w:rFonts w:ascii="Times New Roman" w:hAnsi="Times New Roman" w:cs="Times New Roman"/>
          <w:noProof/>
          <w:sz w:val="24"/>
          <w:szCs w:val="24"/>
          <w:u w:val="single"/>
        </w:rPr>
      </w:pPr>
      <w:hyperlink r:id="rId208" w:history="1">
        <w:r>
          <w:rPr>
            <w:rStyle w:val="Hyperlink"/>
            <w:rFonts w:ascii="Times New Roman" w:hAnsi="Times New Roman" w:cs="Times New Roman"/>
            <w:noProof/>
            <w:sz w:val="24"/>
            <w:szCs w:val="24"/>
          </w:rPr>
          <w:t>http://www.defenseurdesdroits.fr/sites/default/files/atoms/files/ddd_gui_20130301_discrimination_emploi_femme.pdf</w:t>
        </w:r>
      </w:hyperlink>
      <w:r>
        <w:rPr>
          <w:rFonts w:ascii="Times New Roman" w:hAnsi="Times New Roman" w:cs="Times New Roman"/>
          <w:noProof/>
          <w:sz w:val="24"/>
          <w:szCs w:val="24"/>
        </w:rPr>
        <w:t xml:space="preserve"> </w:t>
      </w:r>
    </w:p>
    <w:p>
      <w:pPr>
        <w:pStyle w:val="ListParagraph"/>
        <w:ind w:left="0"/>
        <w:jc w:val="both"/>
        <w:rPr>
          <w:rFonts w:ascii="Times New Roman" w:hAnsi="Times New Roman" w:cs="Times New Roman"/>
          <w:noProof/>
          <w:sz w:val="24"/>
          <w:szCs w:val="24"/>
          <w:u w:val="single"/>
        </w:rPr>
      </w:pPr>
    </w:p>
    <w:p>
      <w:pPr>
        <w:pStyle w:val="ListParagraph"/>
        <w:ind w:left="0"/>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Germany, Gender neutral job evaluation ‘EG-Check’:</w:t>
      </w:r>
    </w:p>
    <w:p>
      <w:pPr>
        <w:pStyle w:val="ListParagraph"/>
        <w:ind w:left="0"/>
        <w:jc w:val="both"/>
        <w:rPr>
          <w:rFonts w:ascii="Times New Roman" w:hAnsi="Times New Roman" w:cs="Times New Roman"/>
          <w:noProof/>
          <w:sz w:val="24"/>
          <w:szCs w:val="24"/>
        </w:rPr>
      </w:pPr>
      <w:r>
        <w:rPr>
          <w:rFonts w:ascii="Times New Roman" w:hAnsi="Times New Roman" w:cs="Times New Roman"/>
          <w:noProof/>
          <w:sz w:val="24"/>
          <w:szCs w:val="24"/>
        </w:rPr>
        <w:t>This German-language webpage provides a tool to check whether a company is complying with gender equal treatment in relation to pay for the German labour market.</w:t>
      </w:r>
    </w:p>
    <w:p>
      <w:pPr>
        <w:pStyle w:val="ListParagraph"/>
        <w:ind w:left="0"/>
        <w:jc w:val="both"/>
        <w:rPr>
          <w:rFonts w:ascii="Times New Roman" w:hAnsi="Times New Roman" w:cs="Times New Roman"/>
          <w:noProof/>
          <w:sz w:val="24"/>
          <w:szCs w:val="24"/>
          <w:lang w:val="en-IE"/>
        </w:rPr>
      </w:pPr>
      <w:hyperlink r:id="rId209" w:history="1">
        <w:r>
          <w:rPr>
            <w:rStyle w:val="Hyperlink"/>
            <w:rFonts w:ascii="Times New Roman" w:hAnsi="Times New Roman" w:cs="Times New Roman"/>
            <w:noProof/>
            <w:sz w:val="24"/>
            <w:szCs w:val="24"/>
          </w:rPr>
          <w:t>www.eg-check.de</w:t>
        </w:r>
      </w:hyperlink>
    </w:p>
    <w:p>
      <w:pPr>
        <w:spacing w:after="0"/>
        <w:jc w:val="both"/>
        <w:rPr>
          <w:noProof/>
          <w:lang w:val="en-IE"/>
        </w:rPr>
      </w:pPr>
      <w:r>
        <w:rPr>
          <w:rFonts w:ascii="Times New Roman" w:hAnsi="Times New Roman" w:cs="Times New Roman"/>
          <w:noProof/>
          <w:sz w:val="24"/>
          <w:szCs w:val="24"/>
          <w:u w:val="single"/>
          <w:lang w:val="en-IE"/>
        </w:rPr>
        <w:t>Holland, Loonwijzer, Equal pay test for employers and employees</w:t>
      </w:r>
      <w:r>
        <w:rPr>
          <w:noProof/>
          <w:lang w:val="en-IE"/>
        </w:rPr>
        <w:t>:</w:t>
      </w:r>
    </w:p>
    <w:p>
      <w:pPr>
        <w:pStyle w:val="ListParagraph"/>
        <w:ind w:left="0"/>
        <w:jc w:val="both"/>
        <w:rPr>
          <w:rFonts w:ascii="Times New Roman" w:hAnsi="Times New Roman" w:cs="Times New Roman"/>
          <w:noProof/>
          <w:sz w:val="24"/>
          <w:szCs w:val="24"/>
        </w:rPr>
      </w:pPr>
      <w:r>
        <w:rPr>
          <w:rFonts w:ascii="Times New Roman" w:hAnsi="Times New Roman" w:cs="Times New Roman"/>
          <w:noProof/>
          <w:sz w:val="24"/>
          <w:szCs w:val="24"/>
        </w:rPr>
        <w:t>This equal pay test tool enables employees to check whether they are being paid in line with the provisions of the Dutch Equal Treatment Act and also offers the possibility to employers to ascertain whether they abide by the act.</w:t>
      </w:r>
    </w:p>
    <w:p>
      <w:pPr>
        <w:pStyle w:val="ListParagraph"/>
        <w:ind w:left="0"/>
        <w:jc w:val="both"/>
        <w:rPr>
          <w:rStyle w:val="Hyperlink"/>
          <w:rFonts w:ascii="Times New Roman" w:hAnsi="Times New Roman" w:cs="Times New Roman"/>
          <w:noProof/>
          <w:sz w:val="24"/>
          <w:szCs w:val="24"/>
          <w:lang w:val="pt-BR"/>
        </w:rPr>
      </w:pPr>
      <w:hyperlink r:id="rId210" w:history="1">
        <w:r>
          <w:rPr>
            <w:rStyle w:val="Hyperlink"/>
            <w:rFonts w:ascii="Times New Roman" w:hAnsi="Times New Roman" w:cs="Times New Roman"/>
            <w:noProof/>
            <w:sz w:val="24"/>
            <w:szCs w:val="24"/>
            <w:lang w:val="pt-BR"/>
          </w:rPr>
          <w:t>www.loonwijzer.nl</w:t>
        </w:r>
      </w:hyperlink>
    </w:p>
    <w:p>
      <w:pPr>
        <w:pStyle w:val="NormalWeb"/>
        <w:spacing w:before="0" w:beforeAutospacing="0" w:after="0" w:afterAutospacing="0" w:line="276" w:lineRule="auto"/>
        <w:jc w:val="both"/>
        <w:rPr>
          <w:noProof/>
          <w:u w:val="single"/>
          <w:lang w:val="pt-BR"/>
        </w:rPr>
      </w:pPr>
    </w:p>
    <w:p>
      <w:pPr>
        <w:spacing w:after="0"/>
        <w:jc w:val="both"/>
        <w:rPr>
          <w:rFonts w:ascii="Times New Roman" w:hAnsi="Times New Roman" w:cs="Times New Roman"/>
          <w:noProof/>
          <w:sz w:val="24"/>
          <w:szCs w:val="24"/>
          <w:u w:val="single"/>
          <w:lang w:val="pt-BR"/>
        </w:rPr>
      </w:pPr>
      <w:r>
        <w:rPr>
          <w:rFonts w:ascii="Times New Roman" w:hAnsi="Times New Roman" w:cs="Times New Roman"/>
          <w:noProof/>
          <w:sz w:val="24"/>
          <w:szCs w:val="24"/>
          <w:u w:val="single"/>
          <w:lang w:val="pt-BR"/>
        </w:rPr>
        <w:t>Slovakia, Gender income calculator:</w:t>
      </w:r>
    </w:p>
    <w:p>
      <w:pPr>
        <w:spacing w:after="0"/>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This Slovakian-language website offers a wage calculator, which also indicates wage gaps in different professions.</w:t>
      </w:r>
    </w:p>
    <w:p>
      <w:pPr>
        <w:spacing w:after="0"/>
        <w:jc w:val="both"/>
        <w:rPr>
          <w:rFonts w:ascii="Times New Roman" w:hAnsi="Times New Roman" w:cs="Times New Roman"/>
          <w:noProof/>
          <w:color w:val="0000FF"/>
          <w:sz w:val="24"/>
          <w:szCs w:val="24"/>
          <w:lang w:val="en-IE"/>
        </w:rPr>
      </w:pPr>
      <w:hyperlink r:id="rId211" w:history="1">
        <w:r>
          <w:rPr>
            <w:rStyle w:val="Hyperlink"/>
            <w:rFonts w:ascii="Times New Roman" w:hAnsi="Times New Roman" w:cs="Times New Roman"/>
            <w:noProof/>
            <w:color w:val="0000FF"/>
            <w:sz w:val="24"/>
            <w:szCs w:val="24"/>
          </w:rPr>
          <w:t>http://www.kedvyrastiem.sk/vsetko-o-kampani</w:t>
        </w:r>
      </w:hyperlink>
      <w:r>
        <w:rPr>
          <w:rStyle w:val="Hyperlink"/>
          <w:rFonts w:ascii="Times New Roman" w:hAnsi="Times New Roman" w:cs="Times New Roman"/>
          <w:noProof/>
          <w:color w:val="0000FF"/>
          <w:sz w:val="24"/>
          <w:szCs w:val="24"/>
        </w:rPr>
        <w:t xml:space="preserve"> </w:t>
      </w:r>
      <w:r>
        <w:rPr>
          <w:rFonts w:ascii="Times New Roman" w:hAnsi="Times New Roman" w:cs="Times New Roman"/>
          <w:noProof/>
          <w:color w:val="0000FF"/>
          <w:sz w:val="24"/>
          <w:szCs w:val="24"/>
          <w:lang w:val="en-IE"/>
        </w:rPr>
        <w:t xml:space="preserve"> </w:t>
      </w:r>
    </w:p>
    <w:p>
      <w:pPr>
        <w:spacing w:after="0" w:line="240" w:lineRule="auto"/>
        <w:jc w:val="both"/>
        <w:rPr>
          <w:rFonts w:ascii="Times New Roman" w:hAnsi="Times New Roman" w:cs="Times New Roman"/>
          <w:noProof/>
          <w:sz w:val="24"/>
          <w:szCs w:val="24"/>
          <w:lang w:val="en-IE"/>
        </w:rPr>
      </w:pPr>
    </w:p>
    <w:p>
      <w:pPr>
        <w:spacing w:after="0" w:line="240" w:lineRule="auto"/>
        <w:jc w:val="both"/>
        <w:rPr>
          <w:rFonts w:ascii="Times New Roman" w:hAnsi="Times New Roman" w:cs="Times New Roman"/>
          <w:noProof/>
          <w:color w:val="000000"/>
          <w:sz w:val="24"/>
          <w:szCs w:val="24"/>
          <w:u w:val="single"/>
          <w:lang w:val="en-IE"/>
        </w:rPr>
      </w:pPr>
      <w:r>
        <w:rPr>
          <w:rFonts w:ascii="Times New Roman" w:hAnsi="Times New Roman" w:cs="Times New Roman"/>
          <w:noProof/>
          <w:color w:val="000000"/>
          <w:sz w:val="24"/>
          <w:szCs w:val="24"/>
          <w:u w:val="single"/>
          <w:lang w:val="en-IE"/>
        </w:rPr>
        <w:t>Sweden, BESTA job evaluation scheme by the Swedish Agency for Government Employers</w:t>
      </w:r>
    </w:p>
    <w:p>
      <w:pPr>
        <w:spacing w:after="0" w:line="240" w:lineRule="auto"/>
        <w:jc w:val="both"/>
        <w:rPr>
          <w:rFonts w:ascii="Times New Roman" w:hAnsi="Times New Roman" w:cs="Times New Roman"/>
          <w:noProof/>
          <w:color w:val="000000"/>
          <w:sz w:val="24"/>
          <w:szCs w:val="24"/>
          <w:lang w:val="en-IE"/>
        </w:rPr>
      </w:pPr>
      <w:r>
        <w:rPr>
          <w:rFonts w:ascii="Times New Roman" w:hAnsi="Times New Roman" w:cs="Times New Roman"/>
          <w:noProof/>
          <w:color w:val="000000"/>
          <w:sz w:val="24"/>
          <w:szCs w:val="24"/>
          <w:lang w:val="en-IE"/>
        </w:rPr>
        <w:t>This widely used system allows employees to evaluate whether their job is in compliance with equality guidelines.</w:t>
      </w:r>
    </w:p>
    <w:p>
      <w:pPr>
        <w:jc w:val="both"/>
        <w:rPr>
          <w:rStyle w:val="Hyperlink"/>
          <w:rFonts w:ascii="Times New Roman" w:hAnsi="Times New Roman" w:cs="Times New Roman"/>
          <w:noProof/>
          <w:sz w:val="24"/>
          <w:szCs w:val="24"/>
          <w:lang w:val="sv-SE"/>
        </w:rPr>
      </w:pPr>
      <w:hyperlink r:id="rId212" w:history="1">
        <w:r>
          <w:rPr>
            <w:rStyle w:val="Hyperlink"/>
            <w:rFonts w:ascii="Times New Roman" w:hAnsi="Times New Roman" w:cs="Times New Roman"/>
            <w:noProof/>
            <w:sz w:val="24"/>
            <w:szCs w:val="24"/>
            <w:lang w:val="sv-SE"/>
          </w:rPr>
          <w:t>https://www.arbetsgivarverket.se/globalassets/avtal-skrifter/skrifter/bestawebb.pdf</w:t>
        </w:r>
      </w:hyperlink>
      <w:r>
        <w:rPr>
          <w:rStyle w:val="Hyperlink"/>
          <w:rFonts w:ascii="Times New Roman" w:hAnsi="Times New Roman" w:cs="Times New Roman"/>
          <w:noProof/>
          <w:sz w:val="24"/>
          <w:szCs w:val="24"/>
          <w:lang w:val="sv-SE"/>
        </w:rPr>
        <w:t xml:space="preserve"> </w:t>
      </w:r>
    </w:p>
    <w:p>
      <w:pPr>
        <w:pStyle w:val="Heading3"/>
        <w:numPr>
          <w:ilvl w:val="0"/>
          <w:numId w:val="57"/>
        </w:numPr>
        <w:ind w:left="426" w:hanging="426"/>
        <w:rPr>
          <w:b/>
          <w:bCs/>
          <w:i w:val="0"/>
          <w:noProof/>
        </w:rPr>
      </w:pPr>
      <w:r>
        <w:rPr>
          <w:rStyle w:val="IntenseReference"/>
          <w:i w:val="0"/>
          <w:smallCaps w:val="0"/>
          <w:noProof/>
          <w:color w:val="auto"/>
          <w:spacing w:val="0"/>
        </w:rPr>
        <w:t>Pay transparency as a policy action on pay inequalities</w:t>
      </w:r>
    </w:p>
    <w:p>
      <w:pPr>
        <w:rPr>
          <w:rFonts w:ascii="Times New Roman" w:hAnsi="Times New Roman" w:cs="Times New Roman"/>
          <w:noProof/>
          <w:sz w:val="24"/>
          <w:szCs w:val="24"/>
        </w:rPr>
      </w:pPr>
      <w:r>
        <w:rPr>
          <w:noProof/>
          <w:lang w:eastAsia="en-GB"/>
        </w:rPr>
        <w:drawing>
          <wp:inline distT="0" distB="0" distL="0" distR="0">
            <wp:extent cx="5709560" cy="2428240"/>
            <wp:effectExtent l="0" t="0" r="5715" b="0"/>
            <wp:docPr id="1" name="Picture 1" descr="U:\THEMATIC FILES\2. Gender pay and pension gap\1. Pay transparency initiative 2020\Impact Assessment\Pay transparency 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5709560" cy="2428240"/>
                    </a:xfrm>
                    <a:prstGeom prst="rect">
                      <a:avLst/>
                    </a:prstGeom>
                  </pic:spPr>
                </pic:pic>
              </a:graphicData>
            </a:graphic>
          </wp:inline>
        </w:drawing>
      </w:r>
    </w:p>
    <w:p>
      <w:pPr>
        <w:rPr>
          <w:rFonts w:ascii="Times New Roman" w:hAnsi="Times New Roman" w:cs="Times New Roman"/>
          <w:noProof/>
          <w:sz w:val="24"/>
          <w:szCs w:val="24"/>
        </w:rPr>
      </w:pPr>
    </w:p>
    <w:p>
      <w:pPr>
        <w:rPr>
          <w:rFonts w:ascii="Times New Roman" w:hAnsi="Times New Roman" w:cs="Times New Roman"/>
          <w:noProof/>
          <w:sz w:val="24"/>
          <w:szCs w:val="24"/>
        </w:rPr>
        <w:sectPr>
          <w:headerReference w:type="even" r:id="rId214"/>
          <w:headerReference w:type="default" r:id="rId215"/>
          <w:footerReference w:type="even" r:id="rId216"/>
          <w:footerReference w:type="default" r:id="rId217"/>
          <w:headerReference w:type="first" r:id="rId218"/>
          <w:footerReference w:type="first" r:id="rId219"/>
          <w:pgSz w:w="11906" w:h="16838"/>
          <w:pgMar w:top="1020" w:right="1701" w:bottom="1020" w:left="1587" w:header="601" w:footer="1077" w:gutter="0"/>
          <w:cols w:space="720"/>
          <w:titlePg/>
          <w:docGrid w:linePitch="299"/>
        </w:sectPr>
      </w:pPr>
    </w:p>
    <w:p>
      <w:pPr>
        <w:pStyle w:val="Heading2"/>
        <w:rPr>
          <w:noProof/>
        </w:rPr>
      </w:pPr>
      <w:bookmarkStart w:id="7506" w:name="_Toc58767226"/>
      <w:bookmarkStart w:id="7507" w:name="_Toc58769529"/>
      <w:bookmarkStart w:id="7508" w:name="_Toc58863869"/>
      <w:bookmarkStart w:id="7509" w:name="_Toc58870727"/>
      <w:bookmarkStart w:id="7510" w:name="_Toc58870965"/>
      <w:bookmarkStart w:id="7511" w:name="_Toc58871871"/>
      <w:bookmarkStart w:id="7512" w:name="_Toc58872086"/>
      <w:bookmarkStart w:id="7513" w:name="_Toc58922828"/>
      <w:bookmarkStart w:id="7514" w:name="_Toc58925416"/>
      <w:bookmarkStart w:id="7515" w:name="_Toc58928912"/>
      <w:bookmarkStart w:id="7516" w:name="_Toc58931283"/>
      <w:bookmarkStart w:id="7517" w:name="_Toc58931917"/>
      <w:bookmarkStart w:id="7518" w:name="_Toc58950521"/>
      <w:bookmarkStart w:id="7519" w:name="_Toc58956815"/>
      <w:bookmarkStart w:id="7520" w:name="_Toc58957978"/>
      <w:bookmarkStart w:id="7521" w:name="_Toc58962511"/>
      <w:bookmarkStart w:id="7522" w:name="_Toc59096544"/>
      <w:bookmarkStart w:id="7523" w:name="_Toc59103140"/>
      <w:bookmarkStart w:id="7524" w:name="_Toc59104991"/>
      <w:bookmarkStart w:id="7525" w:name="_Toc59119951"/>
      <w:bookmarkStart w:id="7526" w:name="_Toc59121215"/>
      <w:bookmarkStart w:id="7527" w:name="_Toc59121334"/>
      <w:bookmarkStart w:id="7528" w:name="_Toc59549387"/>
      <w:bookmarkStart w:id="7529" w:name="_Toc59642340"/>
      <w:bookmarkStart w:id="7530" w:name="_Toc58868896"/>
      <w:r>
        <w:rPr>
          <w:noProof/>
          <w:lang w:eastAsia="en-GB"/>
        </w:rPr>
        <mc:AlternateContent>
          <mc:Choice Requires="wps">
            <w:drawing>
              <wp:anchor distT="0" distB="0" distL="114300" distR="114300" simplePos="0" relativeHeight="251658254" behindDoc="0" locked="0" layoutInCell="1" allowOverlap="1">
                <wp:simplePos x="0" y="0"/>
                <wp:positionH relativeFrom="column">
                  <wp:posOffset>7324090</wp:posOffset>
                </wp:positionH>
                <wp:positionV relativeFrom="paragraph">
                  <wp:posOffset>135123</wp:posOffset>
                </wp:positionV>
                <wp:extent cx="914400" cy="320040"/>
                <wp:effectExtent l="76200" t="57150" r="63500" b="99060"/>
                <wp:wrapNone/>
                <wp:docPr id="45" name="Text Box 45"/>
                <wp:cNvGraphicFramePr/>
                <a:graphic xmlns:a="http://schemas.openxmlformats.org/drawingml/2006/main">
                  <a:graphicData uri="http://schemas.microsoft.com/office/word/2010/wordprocessingShape">
                    <wps:wsp>
                      <wps:cNvSpPr txBox="1"/>
                      <wps:spPr>
                        <a:xfrm>
                          <a:off x="0" y="0"/>
                          <a:ext cx="914400" cy="32004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28575" cap="flat" cmpd="sng" algn="ctr">
                          <a:solidFill>
                            <a:srgbClr val="4F81BD">
                              <a:shade val="95000"/>
                              <a:satMod val="105000"/>
                            </a:srgbClr>
                          </a:solidFill>
                          <a:prstDash val="dashDot"/>
                        </a:ln>
                        <a:effectLst>
                          <a:outerShdw blurRad="40000" dist="20000" dir="5400000" rotWithShape="0">
                            <a:srgbClr val="000000">
                              <a:alpha val="38000"/>
                            </a:srgbClr>
                          </a:outerShdw>
                        </a:effectLst>
                      </wps:spPr>
                      <wps:txbx>
                        <w:txbxContent>
                          <w:p>
                            <w:pPr>
                              <w:rPr>
                                <w:rFonts w:asciiTheme="majorHAnsi" w:hAnsiTheme="majorHAnsi"/>
                                <w:lang w:val="fr-FR"/>
                              </w:rPr>
                            </w:pPr>
                            <w:r>
                              <w:rPr>
                                <w:rFonts w:asciiTheme="majorHAnsi" w:hAnsiTheme="majorHAnsi"/>
                                <w:lang w:val="fr-FR"/>
                              </w:rPr>
                              <w:t>MEASURES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left:0;text-align:left;margin-left:576.7pt;margin-top:10.65pt;width:1in;height:25.2pt;z-index:25165825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" fillcolor="#a3c4ff" strokecolor="#4a7ebb" strokeweight="2.25pt">
                <v:fill color2="#e5eeff" rotate="t" angle="180" colors="0 #a3c4ff;22938f #bfd5ff;1 #e5eeff" focus="100%" type="gradient"/>
                <v:stroke dashstyle="dashDot"/>
                <v:shadow on="t" color="black" opacity="24903f" origin=",.5" offset="0,.55556mm"/>
                <v:textbox>
                  <w:txbxContent>
                    <w:p>
                      <w:pPr>
                        <w:rPr>
                          <w:rFonts w:asciiTheme="majorHAnsi" w:hAnsiTheme="majorHAnsi"/>
                          <w:lang w:val="fr-FR"/>
                        </w:rPr>
                      </w:pPr>
                      <w:r>
                        <w:rPr>
                          <w:rFonts w:asciiTheme="majorHAnsi" w:hAnsiTheme="majorHAnsi"/>
                          <w:lang w:val="fr-FR"/>
                        </w:rPr>
                        <w:t>MEASURES</w:t>
                      </w:r>
                    </w:p>
                  </w:txbxContent>
                </v:textbox>
              </v:shape>
            </w:pict>
          </mc:Fallback>
        </mc:AlternateContent>
      </w:r>
      <w:r>
        <w:rPr>
          <w:noProof/>
          <w:lang w:eastAsia="en-GB"/>
        </w:rPr>
        <mc:AlternateContent>
          <mc:Choice Requires="wps">
            <w:drawing>
              <wp:anchor distT="0" distB="0" distL="114300" distR="114300" simplePos="0" relativeHeight="251658244" behindDoc="0" locked="0" layoutInCell="1" allowOverlap="1">
                <wp:simplePos x="0" y="0"/>
                <wp:positionH relativeFrom="column">
                  <wp:posOffset>4352158</wp:posOffset>
                </wp:positionH>
                <wp:positionV relativeFrom="paragraph">
                  <wp:posOffset>165735</wp:posOffset>
                </wp:positionV>
                <wp:extent cx="914400" cy="308610"/>
                <wp:effectExtent l="76200" t="57150" r="76835" b="91440"/>
                <wp:wrapNone/>
                <wp:docPr id="51" name="Text Box 51"/>
                <wp:cNvGraphicFramePr/>
                <a:graphic xmlns:a="http://schemas.openxmlformats.org/drawingml/2006/main">
                  <a:graphicData uri="http://schemas.microsoft.com/office/word/2010/wordprocessingShape">
                    <wps:wsp>
                      <wps:cNvSpPr txBox="1"/>
                      <wps:spPr>
                        <a:xfrm>
                          <a:off x="0" y="0"/>
                          <a:ext cx="914400" cy="30861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28575" cap="flat" cmpd="sng" algn="ctr">
                          <a:solidFill>
                            <a:srgbClr val="9BBB59">
                              <a:shade val="95000"/>
                              <a:satMod val="105000"/>
                            </a:srgbClr>
                          </a:solidFill>
                          <a:prstDash val="dashDot"/>
                        </a:ln>
                        <a:effectLst>
                          <a:outerShdw blurRad="40000" dist="20000" dir="5400000" rotWithShape="0">
                            <a:srgbClr val="000000">
                              <a:alpha val="38000"/>
                            </a:srgbClr>
                          </a:outerShdw>
                        </a:effectLst>
                      </wps:spPr>
                      <wps:txbx>
                        <w:txbxContent>
                          <w:p>
                            <w:pPr>
                              <w:rPr>
                                <w:rFonts w:asciiTheme="majorHAnsi" w:hAnsiTheme="majorHAnsi"/>
                              </w:rPr>
                            </w:pPr>
                            <w:r>
                              <w:rPr>
                                <w:rFonts w:asciiTheme="majorHAnsi" w:hAnsiTheme="majorHAnsi"/>
                              </w:rPr>
                              <w:t>OBJECTIVES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1" o:spid="_x0000_s1027" type="#_x0000_t202" style="position:absolute;left:0;text-align:left;margin-left:342.7pt;margin-top:13.05pt;width:1in;height:24.3pt;z-index:2516582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" fillcolor="#dafda7" strokecolor="#98b954" strokeweight="2.25pt">
                <v:fill color2="#f5ffe6" rotate="t" angle="180" colors="0 #dafda7;22938f #e4fdc2;1 #f5ffe6" focus="100%" type="gradient"/>
                <v:stroke dashstyle="dashDot"/>
                <v:shadow on="t" color="black" opacity="24903f" origin=",.5" offset="0,.55556mm"/>
                <v:textbox>
                  <w:txbxContent>
                    <w:p>
                      <w:pPr>
                        <w:rPr>
                          <w:rFonts w:asciiTheme="majorHAnsi" w:hAnsiTheme="majorHAnsi"/>
                        </w:rPr>
                      </w:pPr>
                      <w:r>
                        <w:rPr>
                          <w:rFonts w:asciiTheme="majorHAnsi" w:hAnsiTheme="majorHAnsi"/>
                        </w:rPr>
                        <w:t>OBJECTIVES</w:t>
                      </w:r>
                    </w:p>
                  </w:txbxContent>
                </v:textbox>
              </v:shape>
            </w:pict>
          </mc:Fallback>
        </mc:AlternateContent>
      </w:r>
      <w:r>
        <w:rPr>
          <w:noProof/>
        </w:rPr>
        <w:t>Annex 6: Intervention logic</w:t>
      </w:r>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p>
    <w:bookmarkEnd w:id="7530"/>
    <w:p>
      <w:pPr>
        <w:rPr>
          <w:noProof/>
        </w:rPr>
      </w:pPr>
      <w:r>
        <w:rPr>
          <w:noProof/>
          <w:lang w:eastAsia="en-GB"/>
        </w:rPr>
        <mc:AlternateContent>
          <mc:Choice Requires="wps">
            <w:drawing>
              <wp:anchor distT="0" distB="0" distL="114300" distR="114300" simplePos="0" relativeHeight="251658252" behindDoc="0" locked="0" layoutInCell="1" allowOverlap="1">
                <wp:simplePos x="0" y="0"/>
                <wp:positionH relativeFrom="column">
                  <wp:posOffset>2010410</wp:posOffset>
                </wp:positionH>
                <wp:positionV relativeFrom="paragraph">
                  <wp:posOffset>105913</wp:posOffset>
                </wp:positionV>
                <wp:extent cx="1108710" cy="320040"/>
                <wp:effectExtent l="76200" t="57150" r="72390" b="99060"/>
                <wp:wrapNone/>
                <wp:docPr id="2" name="Text Box 2"/>
                <wp:cNvGraphicFramePr/>
                <a:graphic xmlns:a="http://schemas.openxmlformats.org/drawingml/2006/main">
                  <a:graphicData uri="http://schemas.microsoft.com/office/word/2010/wordprocessingShape">
                    <wps:wsp>
                      <wps:cNvSpPr txBox="1"/>
                      <wps:spPr>
                        <a:xfrm>
                          <a:off x="0" y="0"/>
                          <a:ext cx="1108710" cy="32004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28575" cap="flat" cmpd="sng" algn="ctr">
                          <a:solidFill>
                            <a:srgbClr val="C0504D">
                              <a:shade val="95000"/>
                              <a:satMod val="105000"/>
                            </a:srgbClr>
                          </a:solidFill>
                          <a:prstDash val="dashDot"/>
                        </a:ln>
                        <a:effectLst>
                          <a:outerShdw blurRad="40000" dist="20000" dir="5400000" rotWithShape="0">
                            <a:srgbClr val="000000">
                              <a:alpha val="38000"/>
                            </a:srgbClr>
                          </a:outerShdw>
                        </a:effectLst>
                      </wps:spPr>
                      <wps:txbx>
                        <w:txbxContent>
                          <w:p>
                            <w:pPr>
                              <w:jc w:val="center"/>
                              <w:rPr>
                                <w:rFonts w:asciiTheme="majorHAnsi" w:hAnsiTheme="majorHAnsi"/>
                              </w:rPr>
                            </w:pPr>
                            <w:r>
                              <w:rPr>
                                <w:rFonts w:asciiTheme="majorHAnsi" w:hAnsiTheme="majorHAnsi"/>
                              </w:rPr>
                              <w:t>PROBLEM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158.3pt;margin-top:8.35pt;width:87.3pt;height:25.2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" fillcolor="#ffa2a1" strokecolor="#be4b48" strokeweight="2.25pt">
                <v:fill color2="#ffe5e5" rotate="t" angle="180" colors="0 #ffa2a1;22938f #ffbebd;1 #ffe5e5" focus="100%" type="gradient"/>
                <v:stroke dashstyle="dashDot"/>
                <v:shadow on="t" color="black" opacity="24903f" origin=",.5" offset="0,.55556mm"/>
                <v:textbox>
                  <w:txbxContent>
                    <w:p>
                      <w:pPr>
                        <w:jc w:val="center"/>
                        <w:rPr>
                          <w:rFonts w:asciiTheme="majorHAnsi" w:hAnsiTheme="majorHAnsi"/>
                        </w:rPr>
                      </w:pPr>
                      <w:r>
                        <w:rPr>
                          <w:rFonts w:asciiTheme="majorHAnsi" w:hAnsiTheme="majorHAnsi"/>
                        </w:rPr>
                        <w:t>PROBLEM</w:t>
                      </w:r>
                    </w:p>
                  </w:txbxContent>
                </v:textbox>
              </v:shape>
            </w:pict>
          </mc:Fallback>
        </mc:AlternateContent>
      </w:r>
      <w:r>
        <w:rPr>
          <w:noProof/>
          <w:lang w:eastAsia="en-GB"/>
        </w:rPr>
        <mc:AlternateContent>
          <mc:Choice Requires="wps">
            <w:drawing>
              <wp:anchor distT="0" distB="0" distL="114300" distR="114300" simplePos="0" relativeHeight="251658242" behindDoc="0" locked="0" layoutInCell="1" allowOverlap="1">
                <wp:simplePos x="0" y="0"/>
                <wp:positionH relativeFrom="column">
                  <wp:posOffset>-172720</wp:posOffset>
                </wp:positionH>
                <wp:positionV relativeFrom="paragraph">
                  <wp:posOffset>318770</wp:posOffset>
                </wp:positionV>
                <wp:extent cx="914400" cy="320040"/>
                <wp:effectExtent l="76200" t="57150" r="85090" b="99060"/>
                <wp:wrapNone/>
                <wp:docPr id="52" name="Text Box 52"/>
                <wp:cNvGraphicFramePr/>
                <a:graphic xmlns:a="http://schemas.openxmlformats.org/drawingml/2006/main">
                  <a:graphicData uri="http://schemas.microsoft.com/office/word/2010/wordprocessingShape">
                    <wps:wsp>
                      <wps:cNvSpPr txBox="1"/>
                      <wps:spPr>
                        <a:xfrm>
                          <a:off x="0" y="0"/>
                          <a:ext cx="914400" cy="32004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28575" cap="flat" cmpd="sng" algn="ctr">
                          <a:solidFill>
                            <a:srgbClr val="F79646">
                              <a:shade val="95000"/>
                              <a:satMod val="105000"/>
                            </a:srgbClr>
                          </a:solidFill>
                          <a:prstDash val="dashDot"/>
                        </a:ln>
                        <a:effectLst>
                          <a:outerShdw blurRad="40000" dist="20000" dir="5400000" rotWithShape="0">
                            <a:srgbClr val="000000">
                              <a:alpha val="38000"/>
                            </a:srgbClr>
                          </a:outerShdw>
                        </a:effectLst>
                      </wps:spPr>
                      <wps:txbx>
                        <w:txbxContent>
                          <w:p>
                            <w:pPr>
                              <w:rPr>
                                <w:rFonts w:asciiTheme="majorHAnsi" w:hAnsiTheme="majorHAnsi"/>
                              </w:rPr>
                            </w:pPr>
                            <w:r>
                              <w:rPr>
                                <w:rFonts w:asciiTheme="majorHAnsi" w:hAnsiTheme="majorHAnsi"/>
                              </w:rPr>
                              <w:t>DRIVERS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2" o:spid="_x0000_s1029" type="#_x0000_t202" style="position:absolute;margin-left:-13.6pt;margin-top:25.1pt;width:1in;height:25.2pt;z-index:25165824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" fillcolor="#ffbe86" strokecolor="#f69240" strokeweight="2.25pt">
                <v:fill color2="#ffebdb" rotate="t" angle="180" colors="0 #ffbe86;22938f #ffd0aa;1 #ffebdb" focus="100%" type="gradient"/>
                <v:stroke dashstyle="dashDot"/>
                <v:shadow on="t" color="black" opacity="24903f" origin=",.5" offset="0,.55556mm"/>
                <v:textbox>
                  <w:txbxContent>
                    <w:p>
                      <w:pPr>
                        <w:rPr>
                          <w:rFonts w:asciiTheme="majorHAnsi" w:hAnsiTheme="majorHAnsi"/>
                        </w:rPr>
                      </w:pPr>
                      <w:r>
                        <w:rPr>
                          <w:rFonts w:asciiTheme="majorHAnsi" w:hAnsiTheme="majorHAnsi"/>
                        </w:rPr>
                        <w:t>DRIVERS</w:t>
                      </w:r>
                    </w:p>
                  </w:txbxContent>
                </v:textbox>
              </v:shape>
            </w:pict>
          </mc:Fallback>
        </mc:AlternateContent>
      </w:r>
      <w:r>
        <w:rPr>
          <w:noProof/>
          <w:lang w:eastAsia="en-GB"/>
        </w:rPr>
        <mc:AlternateContent>
          <mc:Choice Requires="wps">
            <w:drawing>
              <wp:anchor distT="0" distB="0" distL="114300" distR="114300" simplePos="0" relativeHeight="251658246" behindDoc="0" locked="0" layoutInCell="1" allowOverlap="1">
                <wp:simplePos x="0" y="0"/>
                <wp:positionH relativeFrom="column">
                  <wp:posOffset>3646627</wp:posOffset>
                </wp:positionH>
                <wp:positionV relativeFrom="paragraph">
                  <wp:posOffset>257544</wp:posOffset>
                </wp:positionV>
                <wp:extent cx="2411730" cy="2264484"/>
                <wp:effectExtent l="0" t="0" r="26670" b="21590"/>
                <wp:wrapNone/>
                <wp:docPr id="55" name="Text Box 55"/>
                <wp:cNvGraphicFramePr/>
                <a:graphic xmlns:a="http://schemas.openxmlformats.org/drawingml/2006/main">
                  <a:graphicData uri="http://schemas.microsoft.com/office/word/2010/wordprocessingShape">
                    <wps:wsp>
                      <wps:cNvSpPr txBox="1"/>
                      <wps:spPr>
                        <a:xfrm>
                          <a:off x="0" y="0"/>
                          <a:ext cx="2411730" cy="2264484"/>
                        </a:xfrm>
                        <a:prstGeom prst="downArrowCallout">
                          <a:avLst/>
                        </a:prstGeom>
                        <a:solidFill>
                          <a:srgbClr val="9BBB59"/>
                        </a:solidFill>
                        <a:ln w="25400" cap="flat" cmpd="sng" algn="ctr">
                          <a:solidFill>
                            <a:srgbClr val="9BBB59">
                              <a:shade val="50000"/>
                            </a:srgbClr>
                          </a:solidFill>
                          <a:prstDash val="solid"/>
                        </a:ln>
                        <a:effectLst/>
                      </wps:spPr>
                      <wps:txbx>
                        <w:txbxContent>
                          <w:p>
                            <w:pPr>
                              <w:spacing w:after="120" w:line="240" w:lineRule="auto"/>
                              <w:jc w:val="center"/>
                              <w:rPr>
                                <w:rFonts w:asciiTheme="majorHAnsi" w:hAnsiTheme="majorHAnsi" w:cstheme="minorHAnsi"/>
                              </w:rPr>
                            </w:pPr>
                            <w:r>
                              <w:rPr>
                                <w:rFonts w:asciiTheme="majorHAnsi" w:hAnsiTheme="majorHAnsi" w:cstheme="minorHAnsi"/>
                              </w:rPr>
                              <w:t>OVERALL OBJECTIVE</w:t>
                            </w:r>
                          </w:p>
                          <w:p>
                            <w:pPr>
                              <w:spacing w:line="240" w:lineRule="auto"/>
                              <w:jc w:val="center"/>
                              <w:rPr>
                                <w:rFonts w:asciiTheme="majorHAnsi" w:hAnsiTheme="majorHAnsi" w:cstheme="minorHAnsi"/>
                              </w:rPr>
                            </w:pPr>
                            <w:r>
                              <w:rPr>
                                <w:rFonts w:asciiTheme="majorHAnsi" w:hAnsiTheme="majorHAnsi" w:cstheme="minorHAnsi"/>
                              </w:rPr>
                              <w:t xml:space="preserve">Improve the implementation and enforcement of the principle of equal pay between women and men for equal work or for work of equal value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Text Box 55" o:spid="_x0000_s1030" type="#_x0000_t80" style="position:absolute;margin-left:287.15pt;margin-top:20.3pt;width:189.9pt;height:178.3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" adj="14035,5730,16200,8265" fillcolor="#9bbb59" strokecolor="#71893f" strokeweight="2pt">
                <v:textbox>
                  <w:txbxContent>
                    <w:p>
                      <w:pPr>
                        <w:spacing w:after="120" w:line="240" w:lineRule="auto"/>
                        <w:jc w:val="center"/>
                        <w:rPr>
                          <w:rFonts w:asciiTheme="majorHAnsi" w:hAnsiTheme="majorHAnsi" w:cstheme="minorHAnsi"/>
                        </w:rPr>
                      </w:pPr>
                      <w:r>
                        <w:rPr>
                          <w:rFonts w:asciiTheme="majorHAnsi" w:hAnsiTheme="majorHAnsi" w:cstheme="minorHAnsi"/>
                        </w:rPr>
                        <w:t>OVERALL OBJECTIVE</w:t>
                      </w:r>
                    </w:p>
                    <w:p>
                      <w:pPr>
                        <w:spacing w:line="240" w:lineRule="auto"/>
                        <w:jc w:val="center"/>
                        <w:rPr>
                          <w:rFonts w:asciiTheme="majorHAnsi" w:hAnsiTheme="majorHAnsi" w:cstheme="minorHAnsi"/>
                        </w:rPr>
                      </w:pPr>
                      <w:r>
                        <w:rPr>
                          <w:rFonts w:asciiTheme="majorHAnsi" w:hAnsiTheme="majorHAnsi" w:cstheme="minorHAnsi"/>
                        </w:rPr>
                        <w:t xml:space="preserve">Improve the implementation and enforcement of the principle of equal pay between women and men for equal work or for work of equal value </w:t>
                      </w:r>
                    </w:p>
                  </w:txbxContent>
                </v:textbox>
              </v:shape>
            </w:pict>
          </mc:Fallback>
        </mc:AlternateContent>
      </w:r>
      <w:r>
        <w:rPr>
          <w:noProof/>
          <w:lang w:eastAsia="en-GB"/>
        </w:rPr>
        <mc:AlternateContent>
          <mc:Choice Requires="wps">
            <w:drawing>
              <wp:anchor distT="0" distB="0" distL="114300" distR="114300" simplePos="0" relativeHeight="251658243" behindDoc="0" locked="0" layoutInCell="1" allowOverlap="1">
                <wp:simplePos x="0" y="0"/>
                <wp:positionH relativeFrom="column">
                  <wp:posOffset>6612890</wp:posOffset>
                </wp:positionH>
                <wp:positionV relativeFrom="paragraph">
                  <wp:posOffset>224790</wp:posOffset>
                </wp:positionV>
                <wp:extent cx="2369820" cy="943610"/>
                <wp:effectExtent l="800100" t="0" r="11430" b="1551940"/>
                <wp:wrapNone/>
                <wp:docPr id="56" name="Line Callout 2 56"/>
                <wp:cNvGraphicFramePr/>
                <a:graphic xmlns:a="http://schemas.openxmlformats.org/drawingml/2006/main">
                  <a:graphicData uri="http://schemas.microsoft.com/office/word/2010/wordprocessingShape">
                    <wps:wsp>
                      <wps:cNvSpPr/>
                      <wps:spPr>
                        <a:xfrm>
                          <a:off x="0" y="0"/>
                          <a:ext cx="2369820" cy="943610"/>
                        </a:xfrm>
                        <a:prstGeom prst="borderCallout2">
                          <a:avLst>
                            <a:gd name="adj1" fmla="val 52014"/>
                            <a:gd name="adj2" fmla="val -18"/>
                            <a:gd name="adj3" fmla="val 58084"/>
                            <a:gd name="adj4" fmla="val -8777"/>
                            <a:gd name="adj5" fmla="val 259655"/>
                            <a:gd name="adj6" fmla="val -33478"/>
                          </a:avLst>
                        </a:prstGeom>
                        <a:solidFill>
                          <a:schemeClr val="accent6">
                            <a:lumMod val="20000"/>
                            <a:lumOff val="80000"/>
                          </a:schemeClr>
                        </a:solidFill>
                        <a:ln w="25400" cap="flat" cmpd="sng" algn="ctr">
                          <a:solidFill>
                            <a:srgbClr val="4F81BD">
                              <a:shade val="50000"/>
                            </a:srgbClr>
                          </a:solidFill>
                          <a:prstDash val="solid"/>
                        </a:ln>
                        <a:effectLst/>
                      </wps:spPr>
                      <wps:txbx>
                        <w:txbxContent>
                          <w:p>
                            <w:pPr>
                              <w:spacing w:after="0" w:line="240" w:lineRule="auto"/>
                              <w:contextualSpacing/>
                              <w:jc w:val="center"/>
                              <w:rPr>
                                <w:rFonts w:asciiTheme="majorHAnsi" w:hAnsiTheme="majorHAnsi"/>
                                <w:b/>
                              </w:rPr>
                            </w:pPr>
                            <w:r>
                              <w:rPr>
                                <w:rFonts w:asciiTheme="majorHAnsi" w:hAnsiTheme="majorHAnsi"/>
                                <w:b/>
                                <w:u w:val="single"/>
                              </w:rPr>
                              <w:t>Transparency at individual level</w:t>
                            </w:r>
                            <w:r>
                              <w:rPr>
                                <w:rFonts w:asciiTheme="majorHAnsi" w:hAnsiTheme="majorHAnsi"/>
                                <w:b/>
                              </w:rPr>
                              <w:t xml:space="preserve"> </w:t>
                            </w:r>
                          </w:p>
                          <w:p>
                            <w:pPr>
                              <w:spacing w:after="0" w:line="240" w:lineRule="auto"/>
                              <w:contextualSpacing/>
                              <w:jc w:val="center"/>
                              <w:rPr>
                                <w:rFonts w:asciiTheme="majorHAnsi" w:hAnsiTheme="majorHAnsi"/>
                              </w:rPr>
                            </w:pPr>
                            <w:r>
                              <w:rPr>
                                <w:rFonts w:asciiTheme="majorHAnsi" w:hAnsiTheme="majorHAnsi"/>
                              </w:rPr>
                              <w:t>Transparency prior to employment</w:t>
                            </w:r>
                          </w:p>
                          <w:p>
                            <w:pPr>
                              <w:spacing w:after="0" w:line="240" w:lineRule="auto"/>
                              <w:contextualSpacing/>
                              <w:jc w:val="center"/>
                              <w:rPr>
                                <w:rFonts w:asciiTheme="majorHAnsi" w:hAnsiTheme="majorHAnsi"/>
                              </w:rPr>
                            </w:pPr>
                            <w:r>
                              <w:rPr>
                                <w:rFonts w:asciiTheme="majorHAnsi" w:hAnsiTheme="majorHAnsi"/>
                              </w:rPr>
                              <w:t>+</w:t>
                            </w:r>
                          </w:p>
                          <w:p>
                            <w:pPr>
                              <w:spacing w:after="0" w:line="240" w:lineRule="auto"/>
                              <w:contextualSpacing/>
                              <w:jc w:val="center"/>
                              <w:rPr>
                                <w:rFonts w:asciiTheme="majorHAnsi" w:hAnsiTheme="majorHAnsi"/>
                              </w:rPr>
                            </w:pPr>
                            <w:r>
                              <w:rPr>
                                <w:rFonts w:asciiTheme="majorHAnsi" w:hAnsiTheme="majorHAnsi"/>
                              </w:rPr>
                              <w:t>Right to information on pay levels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56" o:spid="_x0000_s1031" type="#_x0000_t48" style="position:absolute;margin-left:520.7pt;margin-top:17.7pt;width:186.6pt;height:74.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" adj="-7231,56085,-1896,12546,-4,11235" fillcolor="#fde9d9 [665]" strokecolor="#385d8a" strokeweight="2pt">
                <v:textbox>
                  <w:txbxContent>
                    <w:p>
                      <w:pPr>
                        <w:spacing w:after="0" w:line="240" w:lineRule="auto"/>
                        <w:contextualSpacing/>
                        <w:jc w:val="center"/>
                        <w:rPr>
                          <w:rFonts w:asciiTheme="majorHAnsi" w:hAnsiTheme="majorHAnsi"/>
                          <w:b/>
                        </w:rPr>
                      </w:pPr>
                      <w:r>
                        <w:rPr>
                          <w:rFonts w:asciiTheme="majorHAnsi" w:hAnsiTheme="majorHAnsi"/>
                          <w:b/>
                          <w:u w:val="single"/>
                        </w:rPr>
                        <w:t>Transparency at individual level</w:t>
                      </w:r>
                      <w:r>
                        <w:rPr>
                          <w:rFonts w:asciiTheme="majorHAnsi" w:hAnsiTheme="majorHAnsi"/>
                          <w:b/>
                        </w:rPr>
                        <w:t xml:space="preserve"> </w:t>
                      </w:r>
                    </w:p>
                    <w:p>
                      <w:pPr>
                        <w:spacing w:after="0" w:line="240" w:lineRule="auto"/>
                        <w:contextualSpacing/>
                        <w:jc w:val="center"/>
                        <w:rPr>
                          <w:rFonts w:asciiTheme="majorHAnsi" w:hAnsiTheme="majorHAnsi"/>
                        </w:rPr>
                      </w:pPr>
                      <w:r>
                        <w:rPr>
                          <w:rFonts w:asciiTheme="majorHAnsi" w:hAnsiTheme="majorHAnsi"/>
                        </w:rPr>
                        <w:t>Transparency prior to employment</w:t>
                      </w:r>
                    </w:p>
                    <w:p>
                      <w:pPr>
                        <w:spacing w:after="0" w:line="240" w:lineRule="auto"/>
                        <w:contextualSpacing/>
                        <w:jc w:val="center"/>
                        <w:rPr>
                          <w:rFonts w:asciiTheme="majorHAnsi" w:hAnsiTheme="majorHAnsi"/>
                        </w:rPr>
                      </w:pPr>
                      <w:r>
                        <w:rPr>
                          <w:rFonts w:asciiTheme="majorHAnsi" w:hAnsiTheme="majorHAnsi"/>
                        </w:rPr>
                        <w:t>+</w:t>
                      </w:r>
                    </w:p>
                    <w:p>
                      <w:pPr>
                        <w:spacing w:after="0" w:line="240" w:lineRule="auto"/>
                        <w:contextualSpacing/>
                        <w:jc w:val="center"/>
                        <w:rPr>
                          <w:rFonts w:asciiTheme="majorHAnsi" w:hAnsiTheme="majorHAnsi"/>
                        </w:rPr>
                      </w:pPr>
                      <w:r>
                        <w:rPr>
                          <w:rFonts w:asciiTheme="majorHAnsi" w:hAnsiTheme="majorHAnsi"/>
                        </w:rPr>
                        <w:t>Right to information on pay levels</w:t>
                      </w:r>
                    </w:p>
                  </w:txbxContent>
                </v:textbox>
                <o:callout v:ext="edit" minusy="t"/>
              </v:shape>
            </w:pict>
          </mc:Fallback>
        </mc:AlternateContent>
      </w:r>
    </w:p>
    <w:p>
      <w:pPr>
        <w:rPr>
          <w:rFonts w:ascii="Times New Roman" w:hAnsi="Times New Roman" w:cs="Times New Roman"/>
          <w:noProof/>
          <w:sz w:val="24"/>
          <w:szCs w:val="24"/>
        </w:rPr>
      </w:pPr>
      <w:r>
        <w:rPr>
          <w:noProof/>
          <w:lang w:eastAsia="en-GB"/>
        </w:rPr>
        <mc:AlternateContent>
          <mc:Choice Requires="wps">
            <w:drawing>
              <wp:anchor distT="0" distB="0" distL="114300" distR="114300" simplePos="0" relativeHeight="251658247" behindDoc="0" locked="0" layoutInCell="1" allowOverlap="1">
                <wp:simplePos x="0" y="0"/>
                <wp:positionH relativeFrom="column">
                  <wp:posOffset>1638300</wp:posOffset>
                </wp:positionH>
                <wp:positionV relativeFrom="paragraph">
                  <wp:posOffset>223344</wp:posOffset>
                </wp:positionV>
                <wp:extent cx="1845310" cy="4763386"/>
                <wp:effectExtent l="0" t="0" r="21590" b="18415"/>
                <wp:wrapNone/>
                <wp:docPr id="58" name="Text Box 58"/>
                <wp:cNvGraphicFramePr/>
                <a:graphic xmlns:a="http://schemas.openxmlformats.org/drawingml/2006/main">
                  <a:graphicData uri="http://schemas.microsoft.com/office/word/2010/wordprocessingShape">
                    <wps:wsp>
                      <wps:cNvSpPr txBox="1"/>
                      <wps:spPr>
                        <a:xfrm>
                          <a:off x="0" y="0"/>
                          <a:ext cx="1845310" cy="4763386"/>
                        </a:xfrm>
                        <a:prstGeom prst="roundRect">
                          <a:avLst/>
                        </a:prstGeom>
                        <a:solidFill>
                          <a:srgbClr val="C0504D"/>
                        </a:solidFill>
                        <a:ln w="25400" cap="flat" cmpd="sng" algn="ctr">
                          <a:solidFill>
                            <a:srgbClr val="C0504D">
                              <a:shade val="50000"/>
                            </a:srgbClr>
                          </a:solidFill>
                          <a:prstDash val="solid"/>
                        </a:ln>
                        <a:effectLst/>
                      </wps:spPr>
                      <wps:txbx>
                        <w:txbxContent>
                          <w:p>
                            <w:pPr>
                              <w:spacing w:after="120" w:line="240" w:lineRule="auto"/>
                              <w:rPr>
                                <w:rFonts w:asciiTheme="majorHAnsi" w:hAnsiTheme="majorHAnsi" w:cstheme="minorHAnsi"/>
                              </w:rPr>
                            </w:pPr>
                            <w:r>
                              <w:rPr>
                                <w:rFonts w:asciiTheme="majorHAnsi" w:hAnsiTheme="majorHAnsi" w:cstheme="minorHAnsi"/>
                              </w:rPr>
                              <w:t>Failure to realize the fundamental right to equal pay in the EU, in particular because:</w:t>
                            </w:r>
                          </w:p>
                          <w:p>
                            <w:pPr>
                              <w:pStyle w:val="ListParagraph"/>
                              <w:numPr>
                                <w:ilvl w:val="0"/>
                                <w:numId w:val="18"/>
                              </w:numPr>
                              <w:spacing w:after="120" w:line="240" w:lineRule="auto"/>
                              <w:ind w:left="360"/>
                              <w:rPr>
                                <w:rFonts w:asciiTheme="majorHAnsi" w:hAnsiTheme="majorHAnsi" w:cstheme="minorHAnsi"/>
                              </w:rPr>
                            </w:pPr>
                            <w:r>
                              <w:rPr>
                                <w:rFonts w:asciiTheme="majorHAnsi" w:hAnsiTheme="majorHAnsi" w:cstheme="minorHAnsi"/>
                                <w:u w:val="single"/>
                              </w:rPr>
                              <w:t>Workers</w:t>
                            </w:r>
                            <w:r>
                              <w:rPr>
                                <w:rFonts w:asciiTheme="majorHAnsi" w:hAnsiTheme="majorHAnsi" w:cstheme="minorHAnsi"/>
                              </w:rPr>
                              <w:t xml:space="preserve"> cannot claim their right: lack </w:t>
                            </w:r>
                            <w:r>
                              <w:rPr>
                                <w:rFonts w:asciiTheme="majorHAnsi" w:hAnsiTheme="majorHAnsi"/>
                              </w:rPr>
                              <w:t>necessary</w:t>
                            </w:r>
                            <w:r>
                              <w:rPr>
                                <w:rFonts w:asciiTheme="majorHAnsi" w:hAnsiTheme="majorHAnsi" w:cstheme="minorHAnsi"/>
                              </w:rPr>
                              <w:t xml:space="preserve"> information </w:t>
                            </w:r>
                            <w:r>
                              <w:rPr>
                                <w:rFonts w:asciiTheme="majorHAnsi" w:hAnsiTheme="majorHAnsi"/>
                              </w:rPr>
                              <w:t>to unveil pay discrimination</w:t>
                            </w:r>
                            <w:r>
                              <w:rPr>
                                <w:rFonts w:asciiTheme="majorHAnsi" w:hAnsiTheme="majorHAnsi" w:cstheme="minorHAnsi"/>
                              </w:rPr>
                              <w:t xml:space="preserve"> and effective means to redress</w:t>
                            </w:r>
                          </w:p>
                          <w:p>
                            <w:pPr>
                              <w:pStyle w:val="ListParagraph"/>
                              <w:numPr>
                                <w:ilvl w:val="0"/>
                                <w:numId w:val="18"/>
                              </w:numPr>
                              <w:spacing w:after="0" w:line="240" w:lineRule="auto"/>
                              <w:ind w:left="360"/>
                              <w:rPr>
                                <w:rFonts w:asciiTheme="majorHAnsi" w:hAnsiTheme="majorHAnsi"/>
                                <w:sz w:val="20"/>
                              </w:rPr>
                            </w:pPr>
                            <w:r>
                              <w:rPr>
                                <w:rFonts w:asciiTheme="majorHAnsi" w:hAnsiTheme="majorHAnsi" w:cstheme="minorHAnsi"/>
                                <w:u w:val="single"/>
                              </w:rPr>
                              <w:t>Employer</w:t>
                            </w:r>
                            <w:r>
                              <w:rPr>
                                <w:rFonts w:asciiTheme="majorHAnsi" w:hAnsiTheme="majorHAnsi" w:cstheme="minorHAnsi"/>
                              </w:rPr>
                              <w:t xml:space="preserve"> p</w:t>
                            </w:r>
                            <w:r>
                              <w:rPr>
                                <w:rFonts w:asciiTheme="majorHAnsi" w:hAnsiTheme="majorHAnsi"/>
                              </w:rPr>
                              <w:t>erpetuate gender bias in pay: have no incentive to assess pay systems; sub-optimal human resources management.</w:t>
                            </w:r>
                          </w:p>
                          <w:p>
                            <w:pPr>
                              <w:pStyle w:val="ListParagraph"/>
                              <w:numPr>
                                <w:ilvl w:val="0"/>
                                <w:numId w:val="18"/>
                              </w:numPr>
                              <w:spacing w:after="0" w:line="240" w:lineRule="auto"/>
                              <w:ind w:left="360"/>
                              <w:rPr>
                                <w:rFonts w:asciiTheme="majorHAnsi" w:hAnsiTheme="majorHAnsi" w:cstheme="minorHAnsi"/>
                              </w:rPr>
                            </w:pPr>
                            <w:r>
                              <w:rPr>
                                <w:rFonts w:asciiTheme="majorHAnsi" w:hAnsiTheme="majorHAnsi"/>
                                <w:u w:val="single"/>
                              </w:rPr>
                              <w:t>Member States</w:t>
                            </w:r>
                            <w:r>
                              <w:rPr>
                                <w:rFonts w:asciiTheme="majorHAnsi" w:hAnsiTheme="majorHAnsi"/>
                              </w:rPr>
                              <w:t>: Pay discrimination goes undetected; fundamental right is not enforced; labour market inefficiency.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8" o:spid="_x0000_s1032" style="position:absolute;margin-left:129pt;margin-top:17.6pt;width:145.3pt;height:375.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" fillcolor="#c0504d" strokecolor="#8c3836" strokeweight="2pt">
                <v:textbox>
                  <w:txbxContent>
                    <w:p>
                      <w:pPr>
                        <w:spacing w:after="120" w:line="240" w:lineRule="auto"/>
                        <w:rPr>
                          <w:rFonts w:asciiTheme="majorHAnsi" w:hAnsiTheme="majorHAnsi" w:cstheme="minorHAnsi"/>
                        </w:rPr>
                      </w:pPr>
                      <w:r>
                        <w:rPr>
                          <w:rFonts w:asciiTheme="majorHAnsi" w:hAnsiTheme="majorHAnsi" w:cstheme="minorHAnsi"/>
                        </w:rPr>
                        <w:t>Failure to realize the fundamental right to equal pay in the EU, in particular because:</w:t>
                      </w:r>
                    </w:p>
                    <w:p>
                      <w:pPr>
                        <w:pStyle w:val="ListParagraph"/>
                        <w:numPr>
                          <w:ilvl w:val="0"/>
                          <w:numId w:val="18"/>
                        </w:numPr>
                        <w:spacing w:after="120" w:line="240" w:lineRule="auto"/>
                        <w:ind w:left="360"/>
                        <w:rPr>
                          <w:rFonts w:asciiTheme="majorHAnsi" w:hAnsiTheme="majorHAnsi" w:cstheme="minorHAnsi"/>
                        </w:rPr>
                      </w:pPr>
                      <w:r>
                        <w:rPr>
                          <w:rFonts w:asciiTheme="majorHAnsi" w:hAnsiTheme="majorHAnsi" w:cstheme="minorHAnsi"/>
                          <w:u w:val="single"/>
                        </w:rPr>
                        <w:t>Workers</w:t>
                      </w:r>
                      <w:r>
                        <w:rPr>
                          <w:rFonts w:asciiTheme="majorHAnsi" w:hAnsiTheme="majorHAnsi" w:cstheme="minorHAnsi"/>
                        </w:rPr>
                        <w:t xml:space="preserve"> cannot claim their right: lack </w:t>
                      </w:r>
                      <w:r>
                        <w:rPr>
                          <w:rFonts w:asciiTheme="majorHAnsi" w:hAnsiTheme="majorHAnsi"/>
                        </w:rPr>
                        <w:t>necessary</w:t>
                      </w:r>
                      <w:r>
                        <w:rPr>
                          <w:rFonts w:asciiTheme="majorHAnsi" w:hAnsiTheme="majorHAnsi" w:cstheme="minorHAnsi"/>
                        </w:rPr>
                        <w:t xml:space="preserve"> information </w:t>
                      </w:r>
                      <w:r>
                        <w:rPr>
                          <w:rFonts w:asciiTheme="majorHAnsi" w:hAnsiTheme="majorHAnsi"/>
                        </w:rPr>
                        <w:t>to unveil pay discrimination</w:t>
                      </w:r>
                      <w:r>
                        <w:rPr>
                          <w:rFonts w:asciiTheme="majorHAnsi" w:hAnsiTheme="majorHAnsi" w:cstheme="minorHAnsi"/>
                        </w:rPr>
                        <w:t xml:space="preserve"> and effective means to redress</w:t>
                      </w:r>
                    </w:p>
                    <w:p>
                      <w:pPr>
                        <w:pStyle w:val="ListParagraph"/>
                        <w:numPr>
                          <w:ilvl w:val="0"/>
                          <w:numId w:val="18"/>
                        </w:numPr>
                        <w:spacing w:after="0" w:line="240" w:lineRule="auto"/>
                        <w:ind w:left="360"/>
                        <w:rPr>
                          <w:rFonts w:asciiTheme="majorHAnsi" w:hAnsiTheme="majorHAnsi"/>
                          <w:sz w:val="20"/>
                        </w:rPr>
                      </w:pPr>
                      <w:r>
                        <w:rPr>
                          <w:rFonts w:asciiTheme="majorHAnsi" w:hAnsiTheme="majorHAnsi" w:cstheme="minorHAnsi"/>
                          <w:u w:val="single"/>
                        </w:rPr>
                        <w:t>Employer</w:t>
                      </w:r>
                      <w:r>
                        <w:rPr>
                          <w:rFonts w:asciiTheme="majorHAnsi" w:hAnsiTheme="majorHAnsi" w:cstheme="minorHAnsi"/>
                        </w:rPr>
                        <w:t xml:space="preserve"> p</w:t>
                      </w:r>
                      <w:r>
                        <w:rPr>
                          <w:rFonts w:asciiTheme="majorHAnsi" w:hAnsiTheme="majorHAnsi"/>
                        </w:rPr>
                        <w:t>erpetuate gender bias in pay: have no incentive to assess pay systems; sub-optimal human resources management.</w:t>
                      </w:r>
                    </w:p>
                    <w:p>
                      <w:pPr>
                        <w:pStyle w:val="ListParagraph"/>
                        <w:numPr>
                          <w:ilvl w:val="0"/>
                          <w:numId w:val="18"/>
                        </w:numPr>
                        <w:spacing w:after="0" w:line="240" w:lineRule="auto"/>
                        <w:ind w:left="360"/>
                        <w:rPr>
                          <w:rFonts w:asciiTheme="majorHAnsi" w:hAnsiTheme="majorHAnsi" w:cstheme="minorHAnsi"/>
                        </w:rPr>
                      </w:pPr>
                      <w:r>
                        <w:rPr>
                          <w:rFonts w:asciiTheme="majorHAnsi" w:hAnsiTheme="majorHAnsi"/>
                          <w:u w:val="single"/>
                        </w:rPr>
                        <w:t>Member States</w:t>
                      </w:r>
                      <w:r>
                        <w:rPr>
                          <w:rFonts w:asciiTheme="majorHAnsi" w:hAnsiTheme="majorHAnsi"/>
                        </w:rPr>
                        <w:t>: Pay discrimination goes undetected; fundamental right is not enforced; labour market inefficiency.</w:t>
                      </w:r>
                    </w:p>
                  </w:txbxContent>
                </v:textbox>
              </v:roundrect>
            </w:pict>
          </mc:Fallback>
        </mc:AlternateContent>
      </w:r>
    </w:p>
    <w:p>
      <w:pPr>
        <w:rPr>
          <w:rFonts w:ascii="Times New Roman" w:hAnsi="Times New Roman" w:cs="Times New Roman"/>
          <w:noProof/>
          <w:sz w:val="24"/>
          <w:szCs w:val="24"/>
        </w:rPr>
      </w:pPr>
      <w:r>
        <w:rPr>
          <w:noProof/>
          <w:lang w:eastAsia="en-GB"/>
        </w:rPr>
        <mc:AlternateContent>
          <mc:Choice Requires="wps">
            <w:drawing>
              <wp:anchor distT="0" distB="0" distL="114300" distR="114300" simplePos="0" relativeHeight="251658248" behindDoc="0" locked="0" layoutInCell="1" allowOverlap="1">
                <wp:simplePos x="0" y="0"/>
                <wp:positionH relativeFrom="column">
                  <wp:posOffset>-420634</wp:posOffset>
                </wp:positionH>
                <wp:positionV relativeFrom="paragraph">
                  <wp:posOffset>142594</wp:posOffset>
                </wp:positionV>
                <wp:extent cx="1977390" cy="1828800"/>
                <wp:effectExtent l="57150" t="38100" r="80010" b="95250"/>
                <wp:wrapNone/>
                <wp:docPr id="60" name="Text Box 60"/>
                <wp:cNvGraphicFramePr/>
                <a:graphic xmlns:a="http://schemas.openxmlformats.org/drawingml/2006/main">
                  <a:graphicData uri="http://schemas.microsoft.com/office/word/2010/wordprocessingShape">
                    <wps:wsp>
                      <wps:cNvSpPr txBox="1"/>
                      <wps:spPr>
                        <a:xfrm>
                          <a:off x="0" y="0"/>
                          <a:ext cx="1977390" cy="1828800"/>
                        </a:xfrm>
                        <a:prstGeom prst="rightArrowCallout">
                          <a:avLst>
                            <a:gd name="adj1" fmla="val 25000"/>
                            <a:gd name="adj2" fmla="val 25000"/>
                            <a:gd name="adj3" fmla="val 25000"/>
                            <a:gd name="adj4" fmla="val 72931"/>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pPr>
                              <w:spacing w:after="0" w:line="240" w:lineRule="auto"/>
                              <w:rPr>
                                <w:rFonts w:asciiTheme="majorHAnsi" w:hAnsiTheme="majorHAnsi"/>
                              </w:rPr>
                            </w:pPr>
                            <w:r>
                              <w:rPr>
                                <w:rFonts w:asciiTheme="majorHAnsi" w:hAnsiTheme="majorHAnsi"/>
                                <w:u w:val="single"/>
                              </w:rPr>
                              <w:t>Market failure</w:t>
                            </w:r>
                            <w:r>
                              <w:rPr>
                                <w:rFonts w:asciiTheme="majorHAnsi" w:hAnsiTheme="majorHAnsi"/>
                              </w:rPr>
                              <w:t xml:space="preserve">: </w:t>
                            </w:r>
                          </w:p>
                          <w:p>
                            <w:pPr>
                              <w:spacing w:after="120" w:line="240" w:lineRule="auto"/>
                              <w:rPr>
                                <w:rFonts w:asciiTheme="majorHAnsi" w:hAnsiTheme="majorHAnsi"/>
                              </w:rPr>
                            </w:pPr>
                            <w:r>
                              <w:rPr>
                                <w:rFonts w:asciiTheme="majorHAnsi" w:hAnsiTheme="majorHAnsi"/>
                              </w:rPr>
                              <w:t>Asymmetry of information on pay between employee and employer</w:t>
                            </w:r>
                          </w:p>
                          <w:p>
                            <w:pPr>
                              <w:spacing w:after="120" w:line="240" w:lineRule="auto"/>
                              <w:rPr>
                                <w:rFonts w:asciiTheme="majorHAnsi" w:hAnsiTheme="majorHAnsi"/>
                              </w:rPr>
                            </w:pPr>
                            <w:r>
                              <w:rPr>
                                <w:rFonts w:asciiTheme="majorHAnsi" w:hAnsiTheme="majorHAnsi"/>
                              </w:rPr>
                              <w:t>Persisting bias in pay setting mechanisms and valuation of women’s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Text Box 60" o:spid="_x0000_s1033" type="#_x0000_t78" style="position:absolute;margin-left:-33.1pt;margin-top:11.25pt;width:155.7pt;height:2in;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" adj="15753,,16606" fillcolor="#ffbe86" strokecolor="#f69240">
                <v:fill color2="#ffebdb" rotate="t" angle="180" colors="0 #ffbe86;22938f #ffd0aa;1 #ffebdb" focus="100%" type="gradient"/>
                <v:shadow on="t" color="black" opacity="24903f" origin=",.5" offset="0,.55556mm"/>
                <v:textbox>
                  <w:txbxContent>
                    <w:p>
                      <w:pPr>
                        <w:spacing w:after="0" w:line="240" w:lineRule="auto"/>
                        <w:rPr>
                          <w:rFonts w:asciiTheme="majorHAnsi" w:hAnsiTheme="majorHAnsi"/>
                        </w:rPr>
                      </w:pPr>
                      <w:r>
                        <w:rPr>
                          <w:rFonts w:asciiTheme="majorHAnsi" w:hAnsiTheme="majorHAnsi"/>
                          <w:u w:val="single"/>
                        </w:rPr>
                        <w:t>Market failure</w:t>
                      </w:r>
                      <w:r>
                        <w:rPr>
                          <w:rFonts w:asciiTheme="majorHAnsi" w:hAnsiTheme="majorHAnsi"/>
                        </w:rPr>
                        <w:t xml:space="preserve">: </w:t>
                      </w:r>
                    </w:p>
                    <w:p>
                      <w:pPr>
                        <w:spacing w:after="120" w:line="240" w:lineRule="auto"/>
                        <w:rPr>
                          <w:rFonts w:asciiTheme="majorHAnsi" w:hAnsiTheme="majorHAnsi"/>
                        </w:rPr>
                      </w:pPr>
                      <w:r>
                        <w:rPr>
                          <w:rFonts w:asciiTheme="majorHAnsi" w:hAnsiTheme="majorHAnsi"/>
                        </w:rPr>
                        <w:t>Asymmetry of information on pay between employee and employer</w:t>
                      </w:r>
                    </w:p>
                    <w:p>
                      <w:pPr>
                        <w:spacing w:after="120" w:line="240" w:lineRule="auto"/>
                        <w:rPr>
                          <w:rFonts w:asciiTheme="majorHAnsi" w:hAnsiTheme="majorHAnsi"/>
                        </w:rPr>
                      </w:pPr>
                      <w:r>
                        <w:rPr>
                          <w:rFonts w:asciiTheme="majorHAnsi" w:hAnsiTheme="majorHAnsi"/>
                        </w:rPr>
                        <w:t>Persisting bias in pay setting mechanisms and valuation of women’s work</w:t>
                      </w:r>
                    </w:p>
                  </w:txbxContent>
                </v:textbox>
              </v:shape>
            </w:pict>
          </mc:Fallback>
        </mc:AlternateContent>
      </w:r>
    </w:p>
    <w:p>
      <w:pPr>
        <w:rPr>
          <w:rFonts w:ascii="Times New Roman" w:hAnsi="Times New Roman" w:cs="Times New Roman"/>
          <w:noProof/>
          <w:sz w:val="24"/>
          <w:szCs w:val="24"/>
        </w:rPr>
      </w:pPr>
    </w:p>
    <w:p>
      <w:pPr>
        <w:rPr>
          <w:noProof/>
        </w:rPr>
      </w:pPr>
      <w:r>
        <w:rPr>
          <w:noProof/>
          <w:lang w:eastAsia="en-GB"/>
        </w:rPr>
        <mc:AlternateContent>
          <mc:Choice Requires="wps">
            <w:drawing>
              <wp:anchor distT="0" distB="0" distL="114300" distR="114300" simplePos="0" relativeHeight="251658245" behindDoc="0" locked="0" layoutInCell="1" allowOverlap="1">
                <wp:simplePos x="0" y="0"/>
                <wp:positionH relativeFrom="column">
                  <wp:posOffset>6624084</wp:posOffset>
                </wp:positionH>
                <wp:positionV relativeFrom="paragraph">
                  <wp:posOffset>43549</wp:posOffset>
                </wp:positionV>
                <wp:extent cx="2369820" cy="1158240"/>
                <wp:effectExtent l="781050" t="0" r="11430" b="1394460"/>
                <wp:wrapNone/>
                <wp:docPr id="61" name="Line Callout 2 61"/>
                <wp:cNvGraphicFramePr/>
                <a:graphic xmlns:a="http://schemas.openxmlformats.org/drawingml/2006/main">
                  <a:graphicData uri="http://schemas.microsoft.com/office/word/2010/wordprocessingShape">
                    <wps:wsp>
                      <wps:cNvSpPr/>
                      <wps:spPr>
                        <a:xfrm>
                          <a:off x="0" y="0"/>
                          <a:ext cx="2369820" cy="1158240"/>
                        </a:xfrm>
                        <a:prstGeom prst="borderCallout2">
                          <a:avLst>
                            <a:gd name="adj1" fmla="val 44541"/>
                            <a:gd name="adj2" fmla="val -808"/>
                            <a:gd name="adj3" fmla="val 44842"/>
                            <a:gd name="adj4" fmla="val -8105"/>
                            <a:gd name="adj5" fmla="val 217091"/>
                            <a:gd name="adj6" fmla="val -32447"/>
                          </a:avLst>
                        </a:prstGeom>
                        <a:solidFill>
                          <a:schemeClr val="accent6">
                            <a:lumMod val="40000"/>
                            <a:lumOff val="60000"/>
                          </a:schemeClr>
                        </a:solidFill>
                        <a:ln w="25400" cap="flat" cmpd="sng" algn="ctr">
                          <a:solidFill>
                            <a:srgbClr val="4F81BD">
                              <a:shade val="50000"/>
                            </a:srgbClr>
                          </a:solidFill>
                          <a:prstDash val="solid"/>
                        </a:ln>
                        <a:effectLst/>
                      </wps:spPr>
                      <wps:txbx>
                        <w:txbxContent>
                          <w:p>
                            <w:pPr>
                              <w:spacing w:after="0" w:line="240" w:lineRule="auto"/>
                              <w:jc w:val="center"/>
                              <w:rPr>
                                <w:rFonts w:asciiTheme="majorHAnsi" w:hAnsiTheme="majorHAnsi"/>
                                <w:b/>
                              </w:rPr>
                            </w:pPr>
                            <w:r>
                              <w:rPr>
                                <w:rFonts w:asciiTheme="majorHAnsi" w:hAnsiTheme="majorHAnsi"/>
                                <w:b/>
                                <w:u w:val="single"/>
                              </w:rPr>
                              <w:t>Transparency at employer level</w:t>
                            </w:r>
                            <w:r>
                              <w:rPr>
                                <w:rFonts w:asciiTheme="majorHAnsi" w:hAnsiTheme="majorHAnsi"/>
                                <w:b/>
                              </w:rPr>
                              <w:t xml:space="preserve"> </w:t>
                            </w:r>
                          </w:p>
                          <w:p>
                            <w:pPr>
                              <w:spacing w:after="0" w:line="240" w:lineRule="auto"/>
                              <w:jc w:val="center"/>
                              <w:rPr>
                                <w:rFonts w:asciiTheme="majorHAnsi" w:hAnsiTheme="majorHAnsi"/>
                              </w:rPr>
                            </w:pPr>
                            <w:r>
                              <w:rPr>
                                <w:rFonts w:asciiTheme="majorHAnsi" w:hAnsiTheme="majorHAnsi"/>
                              </w:rPr>
                              <w:t>Regular reporting on pay differences between women and men</w:t>
                            </w:r>
                          </w:p>
                          <w:p>
                            <w:pPr>
                              <w:spacing w:after="0" w:line="240" w:lineRule="auto"/>
                              <w:jc w:val="center"/>
                              <w:rPr>
                                <w:rFonts w:asciiTheme="majorHAnsi" w:hAnsiTheme="majorHAnsi"/>
                              </w:rPr>
                            </w:pPr>
                            <w:r>
                              <w:rPr>
                                <w:rFonts w:asciiTheme="majorHAnsi" w:hAnsiTheme="majorHAnsi"/>
                              </w:rPr>
                              <w:t>+</w:t>
                            </w:r>
                          </w:p>
                          <w:p>
                            <w:pPr>
                              <w:spacing w:after="0" w:line="240" w:lineRule="auto"/>
                              <w:jc w:val="center"/>
                              <w:rPr>
                                <w:rFonts w:asciiTheme="majorHAnsi" w:hAnsiTheme="majorHAnsi"/>
                              </w:rPr>
                            </w:pPr>
                            <w:r>
                              <w:rPr>
                                <w:rFonts w:asciiTheme="majorHAnsi" w:hAnsiTheme="majorHAnsi"/>
                              </w:rPr>
                              <w:t>Joint pay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2 61" o:spid="_x0000_s1034" type="#_x0000_t48" style="position:absolute;margin-left:521.6pt;margin-top:3.45pt;width:186.6pt;height:91.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" adj="-7009,46892,-1751,9686,-175,9621" fillcolor="#fbd4b4 [1305]" strokecolor="#385d8a" strokeweight="2pt">
                <v:textbox>
                  <w:txbxContent>
                    <w:p>
                      <w:pPr>
                        <w:spacing w:after="0" w:line="240" w:lineRule="auto"/>
                        <w:jc w:val="center"/>
                        <w:rPr>
                          <w:rFonts w:asciiTheme="majorHAnsi" w:hAnsiTheme="majorHAnsi"/>
                          <w:b/>
                        </w:rPr>
                      </w:pPr>
                      <w:r>
                        <w:rPr>
                          <w:rFonts w:asciiTheme="majorHAnsi" w:hAnsiTheme="majorHAnsi"/>
                          <w:b/>
                          <w:u w:val="single"/>
                        </w:rPr>
                        <w:t>Transparency at employer level</w:t>
                      </w:r>
                      <w:r>
                        <w:rPr>
                          <w:rFonts w:asciiTheme="majorHAnsi" w:hAnsiTheme="majorHAnsi"/>
                          <w:b/>
                        </w:rPr>
                        <w:t xml:space="preserve"> </w:t>
                      </w:r>
                    </w:p>
                    <w:p>
                      <w:pPr>
                        <w:spacing w:after="0" w:line="240" w:lineRule="auto"/>
                        <w:jc w:val="center"/>
                        <w:rPr>
                          <w:rFonts w:asciiTheme="majorHAnsi" w:hAnsiTheme="majorHAnsi"/>
                        </w:rPr>
                      </w:pPr>
                      <w:r>
                        <w:rPr>
                          <w:rFonts w:asciiTheme="majorHAnsi" w:hAnsiTheme="majorHAnsi"/>
                        </w:rPr>
                        <w:t>Regular reporting on pay differences between women and men</w:t>
                      </w:r>
                    </w:p>
                    <w:p>
                      <w:pPr>
                        <w:spacing w:after="0" w:line="240" w:lineRule="auto"/>
                        <w:jc w:val="center"/>
                        <w:rPr>
                          <w:rFonts w:asciiTheme="majorHAnsi" w:hAnsiTheme="majorHAnsi"/>
                        </w:rPr>
                      </w:pPr>
                      <w:r>
                        <w:rPr>
                          <w:rFonts w:asciiTheme="majorHAnsi" w:hAnsiTheme="majorHAnsi"/>
                        </w:rPr>
                        <w:t>+</w:t>
                      </w:r>
                    </w:p>
                    <w:p>
                      <w:pPr>
                        <w:spacing w:after="0" w:line="240" w:lineRule="auto"/>
                        <w:jc w:val="center"/>
                        <w:rPr>
                          <w:rFonts w:asciiTheme="majorHAnsi" w:hAnsiTheme="majorHAnsi"/>
                        </w:rPr>
                      </w:pPr>
                      <w:r>
                        <w:rPr>
                          <w:rFonts w:asciiTheme="majorHAnsi" w:hAnsiTheme="majorHAnsi"/>
                        </w:rPr>
                        <w:t>Joint pay assessment</w:t>
                      </w:r>
                    </w:p>
                  </w:txbxContent>
                </v:textbox>
                <o:callout v:ext="edit" minusy="t"/>
              </v:shape>
            </w:pict>
          </mc:Fallback>
        </mc:AlternateContent>
      </w:r>
    </w:p>
    <w:p>
      <w:pPr>
        <w:rPr>
          <w:noProof/>
        </w:rPr>
      </w:pPr>
    </w:p>
    <w:p>
      <w:pPr>
        <w:rPr>
          <w:noProof/>
        </w:rPr>
      </w:pPr>
    </w:p>
    <w:p>
      <w:pPr>
        <w:rPr>
          <w:noProof/>
        </w:rPr>
      </w:pPr>
      <w:r>
        <w:rPr>
          <w:noProof/>
          <w:lang w:eastAsia="en-GB"/>
        </w:rPr>
        <mc:AlternateContent>
          <mc:Choice Requires="wps">
            <w:drawing>
              <wp:anchor distT="0" distB="0" distL="114300" distR="114300" simplePos="0" relativeHeight="251658249" behindDoc="0" locked="0" layoutInCell="1" allowOverlap="1">
                <wp:simplePos x="0" y="0"/>
                <wp:positionH relativeFrom="column">
                  <wp:posOffset>3598545</wp:posOffset>
                </wp:positionH>
                <wp:positionV relativeFrom="paragraph">
                  <wp:posOffset>278396</wp:posOffset>
                </wp:positionV>
                <wp:extent cx="2218055" cy="575475"/>
                <wp:effectExtent l="57150" t="38100" r="67945" b="91440"/>
                <wp:wrapNone/>
                <wp:docPr id="62" name="Text Box 62"/>
                <wp:cNvGraphicFramePr/>
                <a:graphic xmlns:a="http://schemas.openxmlformats.org/drawingml/2006/main">
                  <a:graphicData uri="http://schemas.microsoft.com/office/word/2010/wordprocessingShape">
                    <wps:wsp>
                      <wps:cNvSpPr txBox="1"/>
                      <wps:spPr>
                        <a:xfrm>
                          <a:off x="0" y="0"/>
                          <a:ext cx="2218055" cy="575475"/>
                        </a:xfrm>
                        <a:prstGeom prst="roundRect">
                          <a:avLst/>
                        </a:prstGeom>
                        <a:solidFill>
                          <a:schemeClr val="accent6">
                            <a:lumMod val="20000"/>
                            <a:lumOff val="80000"/>
                          </a:schemeClr>
                        </a:soli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pPr>
                              <w:spacing w:after="0" w:line="200" w:lineRule="exact"/>
                              <w:rPr>
                                <w:rFonts w:asciiTheme="majorHAnsi" w:hAnsiTheme="majorHAnsi" w:cstheme="majorHAnsi"/>
                              </w:rPr>
                            </w:pPr>
                            <w:r>
                              <w:rPr>
                                <w:rFonts w:asciiTheme="majorHAnsi" w:hAnsiTheme="majorHAnsi" w:cstheme="majorHAnsi"/>
                                <w:u w:val="single"/>
                              </w:rPr>
                              <w:t>Specific</w:t>
                            </w:r>
                            <w:r>
                              <w:rPr>
                                <w:rFonts w:asciiTheme="majorHAnsi" w:hAnsiTheme="majorHAnsi" w:cstheme="majorHAnsi"/>
                              </w:rPr>
                              <w:t>: Empower workers to enforce their rights to equal pay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62" o:spid="_x0000_s1035" style="position:absolute;margin-left:283.35pt;margin-top:21.9pt;width:174.65pt;height:45.3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" fillcolor="#fde9d9 [665]" strokecolor="#98b954">
                <v:shadow on="t" color="black" opacity="24903f" origin=",.5" offset="0,.55556mm"/>
                <v:textbox>
                  <w:txbxContent>
                    <w:p>
                      <w:pPr>
                        <w:spacing w:after="0" w:line="200" w:lineRule="exact"/>
                        <w:rPr>
                          <w:rFonts w:asciiTheme="majorHAnsi" w:hAnsiTheme="majorHAnsi" w:cstheme="majorHAnsi"/>
                        </w:rPr>
                      </w:pPr>
                      <w:r>
                        <w:rPr>
                          <w:rFonts w:asciiTheme="majorHAnsi" w:hAnsiTheme="majorHAnsi" w:cstheme="majorHAnsi"/>
                          <w:u w:val="single"/>
                        </w:rPr>
                        <w:t>Specific</w:t>
                      </w:r>
                      <w:r>
                        <w:rPr>
                          <w:rFonts w:asciiTheme="majorHAnsi" w:hAnsiTheme="majorHAnsi" w:cstheme="majorHAnsi"/>
                        </w:rPr>
                        <w:t>: Empower workers to enforce their rights to equal pay</w:t>
                      </w:r>
                    </w:p>
                  </w:txbxContent>
                </v:textbox>
              </v:roundrect>
            </w:pict>
          </mc:Fallback>
        </mc:AlternateContent>
      </w:r>
    </w:p>
    <w:p>
      <w:pPr>
        <w:rPr>
          <w:noProof/>
        </w:rPr>
      </w:pPr>
      <w:r>
        <w:rPr>
          <w:noProof/>
          <w:lang w:eastAsia="en-GB"/>
        </w:rPr>
        <mc:AlternateContent>
          <mc:Choice Requires="wps">
            <w:drawing>
              <wp:anchor distT="0" distB="0" distL="114300" distR="114300" simplePos="0" relativeHeight="251658250" behindDoc="0" locked="0" layoutInCell="1" allowOverlap="1">
                <wp:simplePos x="0" y="0"/>
                <wp:positionH relativeFrom="column">
                  <wp:posOffset>-415352</wp:posOffset>
                </wp:positionH>
                <wp:positionV relativeFrom="paragraph">
                  <wp:posOffset>103483</wp:posOffset>
                </wp:positionV>
                <wp:extent cx="1977390" cy="2136099"/>
                <wp:effectExtent l="57150" t="38100" r="22860" b="93345"/>
                <wp:wrapNone/>
                <wp:docPr id="65" name="Text Box 65"/>
                <wp:cNvGraphicFramePr/>
                <a:graphic xmlns:a="http://schemas.openxmlformats.org/drawingml/2006/main">
                  <a:graphicData uri="http://schemas.microsoft.com/office/word/2010/wordprocessingShape">
                    <wps:wsp>
                      <wps:cNvSpPr txBox="1"/>
                      <wps:spPr>
                        <a:xfrm>
                          <a:off x="0" y="0"/>
                          <a:ext cx="1977390" cy="2136099"/>
                        </a:xfrm>
                        <a:prstGeom prst="rightArrowCallout">
                          <a:avLst>
                            <a:gd name="adj1" fmla="val 25000"/>
                            <a:gd name="adj2" fmla="val 25000"/>
                            <a:gd name="adj3" fmla="val 25000"/>
                            <a:gd name="adj4" fmla="val 72931"/>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pPr>
                              <w:spacing w:after="0"/>
                              <w:rPr>
                                <w:rFonts w:asciiTheme="majorHAnsi" w:hAnsiTheme="majorHAnsi"/>
                              </w:rPr>
                            </w:pPr>
                            <w:r>
                              <w:rPr>
                                <w:rFonts w:asciiTheme="majorHAnsi" w:hAnsiTheme="majorHAnsi"/>
                                <w:u w:val="single"/>
                              </w:rPr>
                              <w:t>Regulatory failure</w:t>
                            </w:r>
                            <w:r>
                              <w:rPr>
                                <w:rFonts w:asciiTheme="majorHAnsi" w:hAnsiTheme="majorHAnsi"/>
                              </w:rPr>
                              <w:t xml:space="preserve">: </w:t>
                            </w:r>
                          </w:p>
                          <w:p>
                            <w:pPr>
                              <w:spacing w:after="0"/>
                              <w:rPr>
                                <w:rFonts w:asciiTheme="majorHAnsi" w:hAnsiTheme="majorHAnsi"/>
                              </w:rPr>
                            </w:pPr>
                            <w:r>
                              <w:rPr>
                                <w:rFonts w:asciiTheme="majorHAnsi" w:hAnsiTheme="majorHAnsi"/>
                              </w:rPr>
                              <w:t xml:space="preserve">Inconsistent/ inadequate application of pay related concepts </w:t>
                            </w:r>
                          </w:p>
                          <w:p>
                            <w:pPr>
                              <w:spacing w:after="0"/>
                              <w:rPr>
                                <w:rFonts w:asciiTheme="majorHAnsi" w:hAnsiTheme="majorHAnsi"/>
                              </w:rPr>
                            </w:pPr>
                            <w:r>
                              <w:rPr>
                                <w:rFonts w:asciiTheme="majorHAnsi" w:hAnsiTheme="majorHAnsi"/>
                              </w:rPr>
                              <w:t xml:space="preserve">+ </w:t>
                            </w:r>
                          </w:p>
                          <w:p>
                            <w:pPr>
                              <w:spacing w:after="0"/>
                              <w:rPr>
                                <w:rFonts w:asciiTheme="majorHAnsi" w:hAnsiTheme="majorHAnsi"/>
                              </w:rPr>
                            </w:pPr>
                            <w:r>
                              <w:rPr>
                                <w:rFonts w:asciiTheme="majorHAnsi" w:hAnsiTheme="majorHAnsi"/>
                              </w:rPr>
                              <w:t>Lack of access to justice and deficient enforcement: procedural obstacles and victims’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36" type="#_x0000_t78" style="position:absolute;margin-left:-32.7pt;margin-top:8.15pt;width:155.7pt;height:168.2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" adj="15753,5801,16200,8301" fillcolor="#ffbe86" strokecolor="#f69240">
                <v:fill color2="#ffebdb" rotate="t" angle="180" colors="0 #ffbe86;22938f #ffd0aa;1 #ffebdb" focus="100%" type="gradient"/>
                <v:shadow on="t" color="black" opacity="24903f" origin=",.5" offset="0,.55556mm"/>
                <v:textbox>
                  <w:txbxContent>
                    <w:p>
                      <w:pPr>
                        <w:spacing w:after="0"/>
                        <w:rPr>
                          <w:rFonts w:asciiTheme="majorHAnsi" w:hAnsiTheme="majorHAnsi"/>
                        </w:rPr>
                      </w:pPr>
                      <w:r>
                        <w:rPr>
                          <w:rFonts w:asciiTheme="majorHAnsi" w:hAnsiTheme="majorHAnsi"/>
                          <w:u w:val="single"/>
                        </w:rPr>
                        <w:t>Regulatory failure</w:t>
                      </w:r>
                      <w:r>
                        <w:rPr>
                          <w:rFonts w:asciiTheme="majorHAnsi" w:hAnsiTheme="majorHAnsi"/>
                        </w:rPr>
                        <w:t xml:space="preserve">: </w:t>
                      </w:r>
                    </w:p>
                    <w:p>
                      <w:pPr>
                        <w:spacing w:after="0"/>
                        <w:rPr>
                          <w:rFonts w:asciiTheme="majorHAnsi" w:hAnsiTheme="majorHAnsi"/>
                        </w:rPr>
                      </w:pPr>
                      <w:r>
                        <w:rPr>
                          <w:rFonts w:asciiTheme="majorHAnsi" w:hAnsiTheme="majorHAnsi"/>
                        </w:rPr>
                        <w:t xml:space="preserve">Inconsistent/ inadequate application of pay related concepts </w:t>
                      </w:r>
                    </w:p>
                    <w:p>
                      <w:pPr>
                        <w:spacing w:after="0"/>
                        <w:rPr>
                          <w:rFonts w:asciiTheme="majorHAnsi" w:hAnsiTheme="majorHAnsi"/>
                        </w:rPr>
                      </w:pPr>
                      <w:r>
                        <w:rPr>
                          <w:rFonts w:asciiTheme="majorHAnsi" w:hAnsiTheme="majorHAnsi"/>
                        </w:rPr>
                        <w:t xml:space="preserve">+ </w:t>
                      </w:r>
                    </w:p>
                    <w:p>
                      <w:pPr>
                        <w:spacing w:after="0"/>
                        <w:rPr>
                          <w:rFonts w:asciiTheme="majorHAnsi" w:hAnsiTheme="majorHAnsi"/>
                        </w:rPr>
                      </w:pPr>
                      <w:r>
                        <w:rPr>
                          <w:rFonts w:asciiTheme="majorHAnsi" w:hAnsiTheme="majorHAnsi"/>
                        </w:rPr>
                        <w:t>Lack of access to justice and deficient enforcement: procedural obstacles and victims’ support</w:t>
                      </w:r>
                    </w:p>
                  </w:txbxContent>
                </v:textbox>
              </v:shape>
            </w:pict>
          </mc:Fallback>
        </mc:AlternateContent>
      </w:r>
      <w:r>
        <w:rPr>
          <w:noProof/>
          <w:lang w:eastAsia="en-GB"/>
        </w:rPr>
        <mc:AlternateContent>
          <mc:Choice Requires="wps">
            <w:drawing>
              <wp:anchor distT="0" distB="0" distL="114300" distR="114300" simplePos="0" relativeHeight="251658253" behindDoc="0" locked="0" layoutInCell="1" allowOverlap="1">
                <wp:simplePos x="0" y="0"/>
                <wp:positionH relativeFrom="column">
                  <wp:posOffset>6645729</wp:posOffset>
                </wp:positionH>
                <wp:positionV relativeFrom="paragraph">
                  <wp:posOffset>238306</wp:posOffset>
                </wp:positionV>
                <wp:extent cx="2369820" cy="985520"/>
                <wp:effectExtent l="838200" t="0" r="11430" b="24130"/>
                <wp:wrapNone/>
                <wp:docPr id="64" name="Line Callout 2 64"/>
                <wp:cNvGraphicFramePr/>
                <a:graphic xmlns:a="http://schemas.openxmlformats.org/drawingml/2006/main">
                  <a:graphicData uri="http://schemas.microsoft.com/office/word/2010/wordprocessingShape">
                    <wps:wsp>
                      <wps:cNvSpPr/>
                      <wps:spPr>
                        <a:xfrm>
                          <a:off x="0" y="0"/>
                          <a:ext cx="2369820" cy="985520"/>
                        </a:xfrm>
                        <a:prstGeom prst="borderCallout2">
                          <a:avLst>
                            <a:gd name="adj1" fmla="val 36600"/>
                            <a:gd name="adj2" fmla="val -449"/>
                            <a:gd name="adj3" fmla="val 36409"/>
                            <a:gd name="adj4" fmla="val -12515"/>
                            <a:gd name="adj5" fmla="val 4896"/>
                            <a:gd name="adj6" fmla="val -34974"/>
                          </a:avLst>
                        </a:prstGeom>
                        <a:solidFill>
                          <a:schemeClr val="accent1">
                            <a:lumMod val="40000"/>
                            <a:lumOff val="60000"/>
                          </a:schemeClr>
                        </a:solidFill>
                        <a:ln w="25400" cap="flat" cmpd="sng" algn="ctr">
                          <a:solidFill>
                            <a:srgbClr val="4F81BD">
                              <a:shade val="50000"/>
                            </a:srgbClr>
                          </a:solidFill>
                          <a:prstDash val="solid"/>
                        </a:ln>
                        <a:effectLst/>
                      </wps:spPr>
                      <wps:txbx>
                        <w:txbxContent>
                          <w:p>
                            <w:pPr>
                              <w:jc w:val="center"/>
                              <w:rPr>
                                <w:rFonts w:asciiTheme="majorHAnsi" w:hAnsiTheme="majorHAnsi"/>
                              </w:rPr>
                            </w:pPr>
                            <w:r>
                              <w:rPr>
                                <w:rFonts w:asciiTheme="majorHAnsi" w:hAnsiTheme="majorHAnsi" w:cs="Times New Roman"/>
                              </w:rPr>
                              <w:t>Facilitation of the application of key concepts and development of tools to assess ‘work of equal value’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2 64" o:spid="_x0000_s1037" type="#_x0000_t48" style="position:absolute;margin-left:523.3pt;margin-top:18.75pt;width:186.6pt;height:77.6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" adj="-7554,1058,-2703,7864,-97,7906" fillcolor="#b8cce4 [1300]" strokecolor="#385d8a" strokeweight="2pt">
                <v:textbox>
                  <w:txbxContent>
                    <w:p>
                      <w:pPr>
                        <w:jc w:val="center"/>
                        <w:rPr>
                          <w:rFonts w:asciiTheme="majorHAnsi" w:hAnsiTheme="majorHAnsi"/>
                        </w:rPr>
                      </w:pPr>
                      <w:r>
                        <w:rPr>
                          <w:rFonts w:asciiTheme="majorHAnsi" w:hAnsiTheme="majorHAnsi" w:cs="Times New Roman"/>
                        </w:rPr>
                        <w:t>Facilitation of the application of key concepts and development of tools to assess ‘work of equal value’</w:t>
                      </w:r>
                    </w:p>
                  </w:txbxContent>
                </v:textbox>
              </v:shape>
            </w:pict>
          </mc:Fallback>
        </mc:AlternateContent>
      </w:r>
    </w:p>
    <w:p>
      <w:pPr>
        <w:rPr>
          <w:noProof/>
        </w:rPr>
      </w:pPr>
      <w:r>
        <w:rPr>
          <w:noProof/>
          <w:color w:val="4F81BD" w:themeColor="accent1"/>
          <w:lang w:eastAsia="en-GB"/>
        </w:rPr>
        <mc:AlternateContent>
          <mc:Choice Requires="wps">
            <w:drawing>
              <wp:anchor distT="0" distB="0" distL="114300" distR="114300" simplePos="0" relativeHeight="251658255" behindDoc="0" locked="0" layoutInCell="1" allowOverlap="1">
                <wp:simplePos x="0" y="0"/>
                <wp:positionH relativeFrom="column">
                  <wp:posOffset>5791200</wp:posOffset>
                </wp:positionH>
                <wp:positionV relativeFrom="paragraph">
                  <wp:posOffset>170906</wp:posOffset>
                </wp:positionV>
                <wp:extent cx="875937" cy="1219200"/>
                <wp:effectExtent l="19050" t="19050" r="19685" b="19050"/>
                <wp:wrapNone/>
                <wp:docPr id="63" name="Straight Connector 63"/>
                <wp:cNvGraphicFramePr/>
                <a:graphic xmlns:a="http://schemas.openxmlformats.org/drawingml/2006/main">
                  <a:graphicData uri="http://schemas.microsoft.com/office/word/2010/wordprocessingShape">
                    <wps:wsp>
                      <wps:cNvCnPr/>
                      <wps:spPr>
                        <a:xfrm>
                          <a:off x="0" y="0"/>
                          <a:ext cx="875937" cy="1219200"/>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3112B6B" id="Straight Connector 63" o:spid="_x0000_s1026" style="position:absolute;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pt,13.45pt" to="524.95pt,1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" strokecolor="#31849b [2408]" strokeweight="2.25pt"/>
            </w:pict>
          </mc:Fallback>
        </mc:AlternateContent>
      </w:r>
    </w:p>
    <w:p>
      <w:pPr>
        <w:rPr>
          <w:noProof/>
        </w:rPr>
      </w:pPr>
      <w:r>
        <w:rPr>
          <w:noProof/>
          <w:lang w:eastAsia="en-GB"/>
        </w:rPr>
        <mc:AlternateContent>
          <mc:Choice Requires="wps">
            <w:drawing>
              <wp:anchor distT="0" distB="0" distL="114300" distR="114300" simplePos="0" relativeHeight="251658251" behindDoc="0" locked="0" layoutInCell="1" allowOverlap="1">
                <wp:simplePos x="0" y="0"/>
                <wp:positionH relativeFrom="column">
                  <wp:posOffset>3652157</wp:posOffset>
                </wp:positionH>
                <wp:positionV relativeFrom="paragraph">
                  <wp:posOffset>315777</wp:posOffset>
                </wp:positionV>
                <wp:extent cx="2233930" cy="963386"/>
                <wp:effectExtent l="57150" t="38100" r="71120" b="103505"/>
                <wp:wrapNone/>
                <wp:docPr id="66" name="Text Box 66"/>
                <wp:cNvGraphicFramePr/>
                <a:graphic xmlns:a="http://schemas.openxmlformats.org/drawingml/2006/main">
                  <a:graphicData uri="http://schemas.microsoft.com/office/word/2010/wordprocessingShape">
                    <wps:wsp>
                      <wps:cNvSpPr txBox="1"/>
                      <wps:spPr>
                        <a:xfrm>
                          <a:off x="0" y="0"/>
                          <a:ext cx="2233930" cy="963386"/>
                        </a:xfrm>
                        <a:prstGeom prst="roundRect">
                          <a:avLst/>
                        </a:prstGeom>
                        <a:solidFill>
                          <a:schemeClr val="accent6">
                            <a:lumMod val="40000"/>
                            <a:lumOff val="60000"/>
                          </a:schemeClr>
                        </a:soli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pPr>
                              <w:rPr>
                                <w:rFonts w:asciiTheme="majorHAnsi" w:hAnsiTheme="majorHAnsi" w:cstheme="majorHAnsi"/>
                              </w:rPr>
                            </w:pPr>
                            <w:r>
                              <w:rPr>
                                <w:rFonts w:asciiTheme="majorHAnsi" w:hAnsiTheme="majorHAnsi" w:cstheme="majorHAnsi"/>
                                <w:u w:val="single"/>
                              </w:rPr>
                              <w:t>Specific</w:t>
                            </w:r>
                            <w:r>
                              <w:rPr>
                                <w:rFonts w:asciiTheme="majorHAnsi" w:hAnsiTheme="majorHAnsi" w:cstheme="majorHAnsi"/>
                              </w:rPr>
                              <w:t>: trigger action on the part of employers to eliminate gender bias in pay structures.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66" o:spid="_x0000_s1038" style="position:absolute;margin-left:287.55pt;margin-top:24.85pt;width:175.9pt;height:75.8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" fillcolor="#fbd4b4 [1305]" strokecolor="#98b954">
                <v:shadow on="t" color="black" opacity="24903f" origin=",.5" offset="0,.55556mm"/>
                <v:textbox>
                  <w:txbxContent>
                    <w:p>
                      <w:pPr>
                        <w:rPr>
                          <w:rFonts w:asciiTheme="majorHAnsi" w:hAnsiTheme="majorHAnsi" w:cstheme="majorHAnsi"/>
                        </w:rPr>
                      </w:pPr>
                      <w:r>
                        <w:rPr>
                          <w:rFonts w:asciiTheme="majorHAnsi" w:hAnsiTheme="majorHAnsi" w:cstheme="majorHAnsi"/>
                          <w:u w:val="single"/>
                        </w:rPr>
                        <w:t>Specific</w:t>
                      </w:r>
                      <w:r>
                        <w:rPr>
                          <w:rFonts w:asciiTheme="majorHAnsi" w:hAnsiTheme="majorHAnsi" w:cstheme="majorHAnsi"/>
                        </w:rPr>
                        <w:t>: trigger action on the part of employers to eliminate gender bias in pay structures.</w:t>
                      </w:r>
                    </w:p>
                  </w:txbxContent>
                </v:textbox>
              </v:roundrect>
            </w:pict>
          </mc:Fallback>
        </mc:AlternateContent>
      </w:r>
    </w:p>
    <w:p>
      <w:pPr>
        <w:rPr>
          <w:noProof/>
        </w:rPr>
      </w:pPr>
    </w:p>
    <w:p>
      <w:pPr>
        <w:rPr>
          <w:noProof/>
        </w:rPr>
      </w:pPr>
      <w:r>
        <w:rPr>
          <w:noProof/>
          <w:lang w:eastAsia="en-GB"/>
        </w:rPr>
        <mc:AlternateContent>
          <mc:Choice Requires="wps">
            <w:drawing>
              <wp:anchor distT="0" distB="0" distL="114300" distR="114300" simplePos="0" relativeHeight="251658241" behindDoc="0" locked="0" layoutInCell="1" allowOverlap="1">
                <wp:simplePos x="0" y="0"/>
                <wp:positionH relativeFrom="column">
                  <wp:posOffset>6667500</wp:posOffset>
                </wp:positionH>
                <wp:positionV relativeFrom="paragraph">
                  <wp:posOffset>12246</wp:posOffset>
                </wp:positionV>
                <wp:extent cx="2369185" cy="1136650"/>
                <wp:effectExtent l="762000" t="647700" r="12065" b="25400"/>
                <wp:wrapNone/>
                <wp:docPr id="67" name="Line Callout 2 67"/>
                <wp:cNvGraphicFramePr/>
                <a:graphic xmlns:a="http://schemas.openxmlformats.org/drawingml/2006/main">
                  <a:graphicData uri="http://schemas.microsoft.com/office/word/2010/wordprocessingShape">
                    <wps:wsp>
                      <wps:cNvSpPr/>
                      <wps:spPr>
                        <a:xfrm>
                          <a:off x="0" y="0"/>
                          <a:ext cx="2369185" cy="1136650"/>
                        </a:xfrm>
                        <a:prstGeom prst="borderCallout2">
                          <a:avLst>
                            <a:gd name="adj1" fmla="val -56068"/>
                            <a:gd name="adj2" fmla="val -1246"/>
                            <a:gd name="adj3" fmla="val -56478"/>
                            <a:gd name="adj4" fmla="val -13959"/>
                            <a:gd name="adj5" fmla="val 34101"/>
                            <a:gd name="adj6" fmla="val -31732"/>
                          </a:avLst>
                        </a:prstGeom>
                        <a:solidFill>
                          <a:schemeClr val="accent1">
                            <a:lumMod val="40000"/>
                            <a:lumOff val="60000"/>
                          </a:schemeClr>
                        </a:solidFill>
                        <a:ln w="25400" cap="flat" cmpd="sng" algn="ctr">
                          <a:solidFill>
                            <a:srgbClr val="4F81BD">
                              <a:shade val="50000"/>
                            </a:srgbClr>
                          </a:solidFill>
                          <a:prstDash val="solid"/>
                        </a:ln>
                        <a:effectLst/>
                      </wps:spPr>
                      <wps:txbx>
                        <w:txbxContent>
                          <w:p>
                            <w:pPr>
                              <w:jc w:val="center"/>
                              <w:rPr>
                                <w:rFonts w:asciiTheme="majorHAnsi" w:hAnsiTheme="majorHAnsi"/>
                              </w:rPr>
                            </w:pPr>
                            <w:r>
                              <w:rPr>
                                <w:rFonts w:asciiTheme="majorHAnsi" w:hAnsiTheme="majorHAnsi"/>
                              </w:rPr>
                              <w:t>Removal of procedural obstacles on access to justice</w:t>
                            </w:r>
                            <w:r>
                              <w:rPr>
                                <w:rFonts w:asciiTheme="majorHAnsi" w:hAnsiTheme="majorHAnsi"/>
                              </w:rPr>
                              <w:br/>
                              <w:t>+</w:t>
                            </w:r>
                            <w:r>
                              <w:rPr>
                                <w:rFonts w:asciiTheme="majorHAnsi" w:hAnsiTheme="majorHAnsi"/>
                              </w:rPr>
                              <w:br/>
                              <w:t xml:space="preserve"> strengthened remedies and penalties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2 67" o:spid="_x0000_s1039" type="#_x0000_t48" style="position:absolute;margin-left:525pt;margin-top:.95pt;width:186.55pt;height:8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" adj="-6854,7366,-3015,-12199,-269,-12111" fillcolor="#b8cce4 [1300]" strokecolor="#385d8a" strokeweight="2pt">
                <v:textbox>
                  <w:txbxContent>
                    <w:p>
                      <w:pPr>
                        <w:jc w:val="center"/>
                        <w:rPr>
                          <w:rFonts w:asciiTheme="majorHAnsi" w:hAnsiTheme="majorHAnsi"/>
                        </w:rPr>
                      </w:pPr>
                      <w:r>
                        <w:rPr>
                          <w:rFonts w:asciiTheme="majorHAnsi" w:hAnsiTheme="majorHAnsi"/>
                        </w:rPr>
                        <w:t>Removal of procedural obstacles on access to justice</w:t>
                      </w:r>
                      <w:r>
                        <w:rPr>
                          <w:rFonts w:asciiTheme="majorHAnsi" w:hAnsiTheme="majorHAnsi"/>
                        </w:rPr>
                        <w:br/>
                        <w:t>+</w:t>
                      </w:r>
                      <w:r>
                        <w:rPr>
                          <w:rFonts w:asciiTheme="majorHAnsi" w:hAnsiTheme="majorHAnsi"/>
                        </w:rPr>
                        <w:br/>
                        <w:t xml:space="preserve"> strengthened remedies and penalties</w:t>
                      </w:r>
                    </w:p>
                  </w:txbxContent>
                </v:textbox>
                <o:callout v:ext="edit" minusy="t"/>
              </v:shape>
            </w:pict>
          </mc:Fallback>
        </mc:AlternateContent>
      </w:r>
    </w:p>
    <w:p>
      <w:pPr>
        <w:rPr>
          <w:noProof/>
        </w:rPr>
      </w:pPr>
    </w:p>
    <w:p>
      <w:pPr>
        <w:rPr>
          <w:noProof/>
        </w:rPr>
      </w:pPr>
    </w:p>
    <w:p>
      <w:pPr>
        <w:rPr>
          <w:rFonts w:ascii="Times New Roman" w:hAnsi="Times New Roman" w:cs="Times New Roman"/>
          <w:noProof/>
          <w:sz w:val="24"/>
          <w:szCs w:val="24"/>
        </w:rPr>
        <w:sectPr>
          <w:headerReference w:type="even" r:id="rId220"/>
          <w:headerReference w:type="default" r:id="rId221"/>
          <w:footerReference w:type="even" r:id="rId222"/>
          <w:footerReference w:type="default" r:id="rId223"/>
          <w:headerReference w:type="first" r:id="rId224"/>
          <w:footerReference w:type="first" r:id="rId225"/>
          <w:pgSz w:w="16838" w:h="11906" w:orient="landscape"/>
          <w:pgMar w:top="1587" w:right="1020" w:bottom="1701" w:left="1020" w:header="601" w:footer="1077" w:gutter="0"/>
          <w:cols w:space="720"/>
          <w:titlePg/>
          <w:docGrid w:linePitch="299"/>
        </w:sectPr>
      </w:pPr>
    </w:p>
    <w:p>
      <w:pPr>
        <w:pStyle w:val="Heading2"/>
        <w:rPr>
          <w:noProof/>
        </w:rPr>
      </w:pPr>
      <w:bookmarkStart w:id="7531" w:name="_Toc49517970"/>
      <w:bookmarkStart w:id="7532" w:name="_Toc49527915"/>
      <w:bookmarkStart w:id="7533" w:name="_Toc49530037"/>
      <w:bookmarkStart w:id="7534" w:name="_Toc49530701"/>
      <w:bookmarkStart w:id="7535" w:name="_Toc49532651"/>
      <w:bookmarkStart w:id="7536" w:name="_Toc49695823"/>
      <w:bookmarkStart w:id="7537" w:name="_Toc49696000"/>
      <w:bookmarkStart w:id="7538" w:name="_Toc49805530"/>
      <w:bookmarkStart w:id="7539" w:name="_Toc49806220"/>
      <w:bookmarkStart w:id="7540" w:name="_Toc49877772"/>
      <w:bookmarkStart w:id="7541" w:name="_Toc49881190"/>
      <w:bookmarkStart w:id="7542" w:name="_Toc49884251"/>
      <w:bookmarkStart w:id="7543" w:name="_Toc49884327"/>
      <w:bookmarkStart w:id="7544" w:name="_Toc49893583"/>
      <w:bookmarkStart w:id="7545" w:name="_Toc49933971"/>
      <w:bookmarkStart w:id="7546" w:name="_Toc49937858"/>
      <w:bookmarkStart w:id="7547" w:name="_Toc49939051"/>
      <w:bookmarkStart w:id="7548" w:name="_Toc49939254"/>
      <w:bookmarkStart w:id="7549" w:name="_Toc49942104"/>
      <w:bookmarkStart w:id="7550" w:name="_Toc49948572"/>
      <w:bookmarkStart w:id="7551" w:name="_Toc49953046"/>
      <w:bookmarkStart w:id="7552" w:name="_Toc49954351"/>
      <w:bookmarkStart w:id="7553" w:name="_Toc49954796"/>
      <w:bookmarkStart w:id="7554" w:name="_Toc49955225"/>
      <w:bookmarkStart w:id="7555" w:name="_Toc49955813"/>
      <w:bookmarkStart w:id="7556" w:name="_Toc49958313"/>
      <w:bookmarkStart w:id="7557" w:name="_Toc49958508"/>
      <w:bookmarkStart w:id="7558" w:name="_Toc49962000"/>
      <w:bookmarkStart w:id="7559" w:name="_Toc49963187"/>
      <w:bookmarkStart w:id="7560" w:name="_Toc53678229"/>
      <w:bookmarkStart w:id="7561" w:name="_Toc53678449"/>
      <w:bookmarkStart w:id="7562" w:name="_Toc53678771"/>
      <w:bookmarkStart w:id="7563" w:name="_Toc53680120"/>
      <w:bookmarkStart w:id="7564" w:name="_Toc54289135"/>
      <w:bookmarkStart w:id="7565" w:name="_Toc54290636"/>
      <w:bookmarkStart w:id="7566" w:name="_Toc54291005"/>
      <w:bookmarkStart w:id="7567" w:name="_Toc54292128"/>
      <w:bookmarkStart w:id="7568" w:name="_Toc54340687"/>
      <w:bookmarkStart w:id="7569" w:name="_Toc54345788"/>
      <w:bookmarkStart w:id="7570" w:name="_Toc54348800"/>
      <w:bookmarkStart w:id="7571" w:name="_Toc54355130"/>
      <w:bookmarkStart w:id="7572" w:name="_Toc54355183"/>
      <w:bookmarkStart w:id="7573" w:name="_Toc54355655"/>
      <w:bookmarkStart w:id="7574" w:name="_Toc54355803"/>
      <w:bookmarkStart w:id="7575" w:name="_Toc54356157"/>
      <w:bookmarkStart w:id="7576" w:name="_Toc54356708"/>
      <w:bookmarkStart w:id="7577" w:name="_Toc54357575"/>
      <w:bookmarkStart w:id="7578" w:name="_Toc54357672"/>
      <w:bookmarkStart w:id="7579" w:name="_Toc54364623"/>
      <w:bookmarkStart w:id="7580" w:name="_Toc54371231"/>
      <w:bookmarkStart w:id="7581" w:name="_Toc54372068"/>
      <w:bookmarkStart w:id="7582" w:name="_Toc54376675"/>
      <w:bookmarkStart w:id="7583" w:name="_Toc58767227"/>
      <w:bookmarkStart w:id="7584" w:name="_Toc58769530"/>
      <w:bookmarkStart w:id="7585" w:name="_Toc58863870"/>
      <w:bookmarkStart w:id="7586" w:name="_Toc58868897"/>
      <w:bookmarkStart w:id="7587" w:name="_Toc58870728"/>
      <w:bookmarkStart w:id="7588" w:name="_Toc58870966"/>
      <w:bookmarkStart w:id="7589" w:name="_Toc58871872"/>
      <w:bookmarkStart w:id="7590" w:name="_Toc58872087"/>
      <w:bookmarkStart w:id="7591" w:name="_Toc58922829"/>
      <w:bookmarkStart w:id="7592" w:name="_Toc58925417"/>
      <w:bookmarkStart w:id="7593" w:name="_Toc58928913"/>
      <w:bookmarkStart w:id="7594" w:name="_Toc58931284"/>
      <w:bookmarkStart w:id="7595" w:name="_Toc58931918"/>
      <w:bookmarkStart w:id="7596" w:name="_Toc58950522"/>
      <w:bookmarkStart w:id="7597" w:name="_Toc58956816"/>
      <w:bookmarkStart w:id="7598" w:name="_Toc58957979"/>
      <w:bookmarkStart w:id="7599" w:name="_Toc58962512"/>
      <w:bookmarkStart w:id="7600" w:name="_Toc59096545"/>
      <w:bookmarkStart w:id="7601" w:name="_Toc59103141"/>
      <w:bookmarkStart w:id="7602" w:name="_Toc59104992"/>
      <w:bookmarkStart w:id="7603" w:name="_Toc59119952"/>
      <w:bookmarkStart w:id="7604" w:name="_Toc59121216"/>
      <w:bookmarkStart w:id="7605" w:name="_Toc59121335"/>
      <w:bookmarkStart w:id="7606" w:name="_Toc59549388"/>
      <w:bookmarkStart w:id="7607" w:name="_Toc59642341"/>
      <w:r>
        <w:rPr>
          <w:noProof/>
        </w:rPr>
        <w:t xml:space="preserve">Annex 7: Subsidiarity </w:t>
      </w:r>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r>
        <w:rPr>
          <w:noProof/>
        </w:rPr>
        <w:t>grid</w:t>
      </w:r>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p>
    <w:tbl>
      <w:tblPr>
        <w:tblStyle w:val="TableGrid"/>
        <w:tblW w:w="0" w:type="auto"/>
        <w:tblCellMar>
          <w:top w:w="100" w:type="dxa"/>
          <w:bottom w:w="100" w:type="dxa"/>
        </w:tblCellMar>
        <w:tblLook w:val="04A0" w:firstRow="1" w:lastRow="0" w:firstColumn="1" w:lastColumn="0" w:noHBand="0" w:noVBand="1"/>
      </w:tblPr>
      <w:tblGrid>
        <w:gridCol w:w="8608"/>
      </w:tblGrid>
      <w:tr>
        <w:tc>
          <w:tcPr>
            <w:tcW w:w="8608" w:type="dxa"/>
            <w:tcBorders>
              <w:top w:val="single" w:sz="4" w:space="0" w:color="auto"/>
              <w:left w:val="single" w:sz="4" w:space="0" w:color="auto"/>
              <w:bottom w:val="single" w:sz="4" w:space="0" w:color="auto"/>
              <w:right w:val="single" w:sz="4" w:space="0" w:color="auto"/>
            </w:tcBorders>
            <w:shd w:val="clear" w:color="auto" w:fill="808080" w:themeFill="text1" w:themeFillTint="7F"/>
            <w:hideMark/>
          </w:tcPr>
          <w:p>
            <w:pPr>
              <w:pStyle w:val="ListParagraph"/>
              <w:numPr>
                <w:ilvl w:val="0"/>
                <w:numId w:val="5"/>
              </w:numPr>
              <w:rPr>
                <w:b/>
                <w:bCs/>
                <w:noProof/>
              </w:rPr>
            </w:pPr>
            <w:r>
              <w:rPr>
                <w:b/>
                <w:bCs/>
                <w:noProof/>
                <w:color w:val="FFFFFF" w:themeColor="background1"/>
              </w:rPr>
              <w:t>Can the Union act? What is the legal basis and competence of the Unions’ intended action?</w:t>
            </w:r>
          </w:p>
        </w:tc>
      </w:tr>
      <w:tr>
        <w:tc>
          <w:tcPr>
            <w:tcW w:w="8608" w:type="dxa"/>
            <w:tcBorders>
              <w:top w:val="single" w:sz="4" w:space="0" w:color="auto"/>
              <w:left w:val="single" w:sz="4" w:space="0" w:color="auto"/>
              <w:bottom w:val="single" w:sz="4" w:space="0" w:color="auto"/>
              <w:right w:val="single" w:sz="4" w:space="0" w:color="auto"/>
            </w:tcBorders>
            <w:hideMark/>
          </w:tcPr>
          <w:p>
            <w:pPr>
              <w:rPr>
                <w:b/>
                <w:noProof/>
              </w:rPr>
            </w:pPr>
            <w:r>
              <w:rPr>
                <w:b/>
                <w:noProof/>
              </w:rPr>
              <w:t>1.1 Which article(s) of the Treaty are used to support the legislative proposal or policy initiative?</w:t>
            </w:r>
          </w:p>
        </w:tc>
      </w:tr>
      <w:tr>
        <w:tc>
          <w:tcPr>
            <w:tcW w:w="8608" w:type="dxa"/>
            <w:tcBorders>
              <w:top w:val="single" w:sz="4" w:space="0" w:color="auto"/>
              <w:left w:val="single" w:sz="4" w:space="0" w:color="auto"/>
              <w:bottom w:val="single" w:sz="4" w:space="0" w:color="auto"/>
              <w:right w:val="single" w:sz="4" w:space="0" w:color="auto"/>
            </w:tcBorders>
            <w:hideMark/>
          </w:tcPr>
          <w:p>
            <w:pPr>
              <w:jc w:val="both"/>
              <w:rPr>
                <w:noProof/>
                <w:color w:val="1F497D" w:themeColor="text2"/>
              </w:rPr>
            </w:pPr>
            <w:r>
              <w:rPr>
                <w:noProof/>
                <w:color w:val="1F497D" w:themeColor="text2"/>
              </w:rPr>
              <w:t>Article 157(3) TFEU.</w:t>
            </w:r>
          </w:p>
          <w:p>
            <w:pPr>
              <w:jc w:val="both"/>
              <w:rPr>
                <w:noProof/>
              </w:rPr>
            </w:pPr>
            <w:r>
              <w:rPr>
                <w:noProof/>
                <w:color w:val="1F497D" w:themeColor="text2"/>
              </w:rPr>
              <w:t>The EU principle of equal pay for equal work or for work of equal value between women and men was established by the founding Treaties as a fundamental support for the functioning of the internal market. Later on, the CJEU added that the social goal prevails on its economic function and that equal pay is a fundamental right. Articles 2 and 3(3) TEU clearly refer to the right to equality between women and men as one of the essential values and objectives of the EU.</w:t>
            </w:r>
          </w:p>
        </w:tc>
      </w:tr>
      <w:tr>
        <w:tc>
          <w:tcPr>
            <w:tcW w:w="8608" w:type="dxa"/>
            <w:tcBorders>
              <w:top w:val="single" w:sz="4" w:space="0" w:color="auto"/>
              <w:left w:val="single" w:sz="4" w:space="0" w:color="auto"/>
              <w:bottom w:val="single" w:sz="4" w:space="0" w:color="auto"/>
              <w:right w:val="single" w:sz="4" w:space="0" w:color="auto"/>
            </w:tcBorders>
            <w:hideMark/>
          </w:tcPr>
          <w:p>
            <w:pPr>
              <w:rPr>
                <w:b/>
                <w:noProof/>
              </w:rPr>
            </w:pPr>
            <w:r>
              <w:rPr>
                <w:b/>
                <w:noProof/>
              </w:rPr>
              <w:t>1.2 Is the Union competence represented by this Treaty article exclusive, shared or supporting in nature?</w:t>
            </w:r>
          </w:p>
        </w:tc>
      </w:tr>
      <w:tr>
        <w:tc>
          <w:tcPr>
            <w:tcW w:w="8608" w:type="dxa"/>
            <w:tcBorders>
              <w:top w:val="single" w:sz="4" w:space="0" w:color="auto"/>
              <w:left w:val="single" w:sz="4" w:space="0" w:color="auto"/>
              <w:bottom w:val="single" w:sz="4" w:space="0" w:color="auto"/>
              <w:right w:val="single" w:sz="4" w:space="0" w:color="auto"/>
            </w:tcBorders>
            <w:hideMark/>
          </w:tcPr>
          <w:p>
            <w:pPr>
              <w:jc w:val="both"/>
              <w:rPr>
                <w:noProof/>
              </w:rPr>
            </w:pPr>
            <w:r>
              <w:rPr>
                <w:noProof/>
                <w:color w:val="1F497D" w:themeColor="text2"/>
              </w:rPr>
              <w:t xml:space="preserve">In the case of gender equality on the area of employment and occupation, the Union’s competence is shared. </w:t>
            </w:r>
          </w:p>
        </w:tc>
      </w:tr>
      <w:tr>
        <w:tc>
          <w:tcPr>
            <w:tcW w:w="8608" w:type="dxa"/>
            <w:tcBorders>
              <w:top w:val="single" w:sz="4" w:space="0" w:color="auto"/>
              <w:left w:val="single" w:sz="4" w:space="0" w:color="auto"/>
              <w:bottom w:val="single" w:sz="4" w:space="0" w:color="auto"/>
              <w:right w:val="single" w:sz="4" w:space="0" w:color="auto"/>
            </w:tcBorders>
            <w:shd w:val="clear" w:color="auto" w:fill="808080" w:themeFill="text1" w:themeFillTint="7F"/>
            <w:hideMark/>
          </w:tcPr>
          <w:p>
            <w:pPr>
              <w:pStyle w:val="ListParagraph"/>
              <w:numPr>
                <w:ilvl w:val="0"/>
                <w:numId w:val="5"/>
              </w:numPr>
              <w:rPr>
                <w:b/>
                <w:bCs/>
                <w:noProof/>
                <w:color w:val="FFFFFF" w:themeColor="background1"/>
              </w:rPr>
            </w:pPr>
            <w:r>
              <w:rPr>
                <w:b/>
                <w:bCs/>
                <w:noProof/>
                <w:color w:val="FFFFFF" w:themeColor="background1"/>
              </w:rPr>
              <w:t>Subsidiarity Principle: Why should the EU act?</w:t>
            </w:r>
          </w:p>
        </w:tc>
      </w:tr>
      <w:tr>
        <w:tc>
          <w:tcPr>
            <w:tcW w:w="8608" w:type="dxa"/>
            <w:tcBorders>
              <w:top w:val="single" w:sz="4" w:space="0" w:color="auto"/>
              <w:left w:val="single" w:sz="4" w:space="0" w:color="auto"/>
              <w:bottom w:val="single" w:sz="4" w:space="0" w:color="auto"/>
              <w:right w:val="single" w:sz="4" w:space="0" w:color="auto"/>
            </w:tcBorders>
            <w:hideMark/>
          </w:tcPr>
          <w:p>
            <w:pPr>
              <w:pStyle w:val="ListParagraph"/>
              <w:numPr>
                <w:ilvl w:val="1"/>
                <w:numId w:val="5"/>
              </w:numPr>
              <w:jc w:val="both"/>
              <w:rPr>
                <w:b/>
                <w:bCs/>
                <w:noProof/>
              </w:rPr>
            </w:pPr>
            <w:r>
              <w:rPr>
                <w:b/>
                <w:bCs/>
                <w:noProof/>
              </w:rPr>
              <w:t>Does the proposal fulfil the procedural requirements of Protocol No. 2</w:t>
            </w:r>
            <w:r>
              <w:rPr>
                <w:rStyle w:val="FootnoteReference"/>
                <w:b/>
                <w:bCs/>
                <w:noProof/>
              </w:rPr>
              <w:footnoteReference w:id="247"/>
            </w:r>
            <w:r>
              <w:rPr>
                <w:b/>
                <w:bCs/>
                <w:noProof/>
              </w:rPr>
              <w:t>:</w:t>
            </w:r>
          </w:p>
          <w:p>
            <w:pPr>
              <w:pStyle w:val="ListParagraph"/>
              <w:numPr>
                <w:ilvl w:val="0"/>
                <w:numId w:val="10"/>
              </w:numPr>
              <w:jc w:val="both"/>
              <w:rPr>
                <w:noProof/>
              </w:rPr>
            </w:pPr>
            <w:r>
              <w:rPr>
                <w:noProof/>
              </w:rPr>
              <w:t>Has there been a wide consultation before proposing the act?</w:t>
            </w:r>
          </w:p>
          <w:p>
            <w:pPr>
              <w:jc w:val="both"/>
              <w:rPr>
                <w:noProof/>
              </w:rPr>
            </w:pPr>
            <w:r>
              <w:rPr>
                <w:noProof/>
                <w:color w:val="1F497D" w:themeColor="text2"/>
              </w:rPr>
              <w:t>Yes, the Commission carried out a number of consultation activities related to the Initiative: a consultation of Member States representatives in the High-Level Group on Gender Mainstreaming, on 29 January 2020 and 15 September 2020; a targeted consultation of Member States through a separate specific questionnaire issued in March 2020; a targeted consultation of social partners organised on the basis of a separate specific questionnaire issued in March 2020 (and a mini-survey for companies) and followed by a dedicated consultation hearing of social partners run in June 2020; a 12-weeks public consultation launched in March 2020 covered general awareness, experience and knowledge of citizens and stakeholders regarding pay discrimination and pay transparency issues as well as views on the possible specific measures. Earlier, another public consultation was carried out for the evaluation of the relevant provisions in Recast Directive implementing the Treaty principle on ‘equal pay for equal work or work of equal value’ (from 11 January 2019 to 5 April 2019).</w:t>
            </w:r>
          </w:p>
          <w:p>
            <w:pPr>
              <w:pStyle w:val="ListParagraph"/>
              <w:numPr>
                <w:ilvl w:val="0"/>
                <w:numId w:val="10"/>
              </w:numPr>
              <w:jc w:val="both"/>
              <w:rPr>
                <w:noProof/>
              </w:rPr>
            </w:pPr>
            <w:r>
              <w:rPr>
                <w:noProof/>
              </w:rPr>
              <w:t>Is there a detailed statement with qualitative and, where possible, quantitative indicators allowing an appraisal of whether the action can best be achieved at Union level?</w:t>
            </w:r>
          </w:p>
          <w:p>
            <w:pPr>
              <w:jc w:val="both"/>
              <w:rPr>
                <w:noProof/>
              </w:rPr>
            </w:pPr>
            <w:r>
              <w:rPr>
                <w:noProof/>
                <w:color w:val="1F497D" w:themeColor="text2"/>
              </w:rPr>
              <w:t xml:space="preserve">Limited number of Member States have followed up on the 2014 Commission Recommendation. </w:t>
            </w:r>
            <w:r>
              <w:rPr>
                <w:noProof/>
                <w:color w:val="1F497D" w:themeColor="text2"/>
              </w:rPr>
              <w:br/>
              <w:t>22 Member States did not take any action regarding workers’ right to pay information, 14 regarding pay reporting, and 19 regarding joint pay assessment (for more information see SWD (2020) 50 final).</w:t>
            </w:r>
          </w:p>
        </w:tc>
      </w:tr>
      <w:tr>
        <w:tc>
          <w:tcPr>
            <w:tcW w:w="8608" w:type="dxa"/>
            <w:tcBorders>
              <w:top w:val="single" w:sz="4" w:space="0" w:color="auto"/>
              <w:left w:val="single" w:sz="4" w:space="0" w:color="auto"/>
              <w:bottom w:val="single" w:sz="4" w:space="0" w:color="auto"/>
              <w:right w:val="single" w:sz="4" w:space="0" w:color="auto"/>
            </w:tcBorders>
          </w:tcPr>
          <w:p>
            <w:pPr>
              <w:jc w:val="both"/>
              <w:rPr>
                <w:noProof/>
              </w:rPr>
            </w:pPr>
            <w:r>
              <w:rPr>
                <w:noProof/>
                <w:color w:val="1F497D" w:themeColor="text2"/>
              </w:rPr>
              <w:t xml:space="preserve">The impact assessment (section 3) includes a section on the principle of subsidiarity and refers to question 2.2 below. </w:t>
            </w:r>
          </w:p>
        </w:tc>
      </w:tr>
      <w:tr>
        <w:tc>
          <w:tcPr>
            <w:tcW w:w="8608" w:type="dxa"/>
            <w:tcBorders>
              <w:top w:val="single" w:sz="4" w:space="0" w:color="auto"/>
              <w:left w:val="single" w:sz="4" w:space="0" w:color="auto"/>
              <w:bottom w:val="single" w:sz="4" w:space="0" w:color="auto"/>
              <w:right w:val="single" w:sz="4" w:space="0" w:color="auto"/>
            </w:tcBorders>
            <w:hideMark/>
          </w:tcPr>
          <w:p>
            <w:pPr>
              <w:pStyle w:val="ListParagraph"/>
              <w:numPr>
                <w:ilvl w:val="1"/>
                <w:numId w:val="5"/>
              </w:numPr>
              <w:jc w:val="both"/>
              <w:rPr>
                <w:b/>
                <w:noProof/>
              </w:rPr>
            </w:pPr>
            <w:r>
              <w:rPr>
                <w:b/>
                <w:noProof/>
              </w:rPr>
              <w:t>Does the explanatory memorandum (and any impact assessment) accompanying the Commission’s proposal contain an adequate justification regarding the conformity with the principle of subsidiarity?</w:t>
            </w:r>
          </w:p>
        </w:tc>
      </w:tr>
      <w:tr>
        <w:tc>
          <w:tcPr>
            <w:tcW w:w="8608" w:type="dxa"/>
            <w:tcBorders>
              <w:top w:val="single" w:sz="4" w:space="0" w:color="auto"/>
              <w:left w:val="single" w:sz="4" w:space="0" w:color="auto"/>
              <w:bottom w:val="single" w:sz="4" w:space="0" w:color="auto"/>
              <w:right w:val="single" w:sz="4" w:space="0" w:color="auto"/>
            </w:tcBorders>
            <w:hideMark/>
          </w:tcPr>
          <w:p>
            <w:pPr>
              <w:jc w:val="both"/>
              <w:rPr>
                <w:noProof/>
                <w:color w:val="1F497D" w:themeColor="text2"/>
              </w:rPr>
            </w:pPr>
            <w:r>
              <w:rPr>
                <w:noProof/>
                <w:color w:val="1F497D" w:themeColor="text2"/>
              </w:rPr>
              <w:t xml:space="preserve">The implementation of the EU principle of equal pay has been established at EU level by Founding Treaties (now in Article 157 TFEU) and detailed by Directive 2006/54/EEC. The fact that the founding members of the European Community included the principle of equal pay as a goal in the Treaty of Rome indicates that they regarded it as a fundamental value of the Union. Initially, it had merely an economic function aiming at avoiding distortions to competition. In 1976, however, the CJEU recognised, together with its economic goal, the social objective of Article 119 EEC and its horizontal direct effect. Later on, the CJEU added that the social goal prevails on its economic function and that equal pay is a fundamental right. </w:t>
            </w:r>
          </w:p>
          <w:p>
            <w:pPr>
              <w:jc w:val="both"/>
              <w:rPr>
                <w:noProof/>
                <w:color w:val="1F497D" w:themeColor="text2"/>
              </w:rPr>
            </w:pPr>
            <w:r>
              <w:rPr>
                <w:noProof/>
                <w:color w:val="1F497D" w:themeColor="text2"/>
              </w:rPr>
              <w:t xml:space="preserve">As demonstrated in the 2020 evaluation, comparable level of promotion of pay equality between women and men throughout the Union is not likely to happen without a push from the EU-level instrument. There is a need for coordinated approach to the issue, as lack of it jeopardises the attainment at the national level of the pay equality between women and men, enshrined in Article 157(1) TFEU. </w:t>
            </w:r>
          </w:p>
          <w:p>
            <w:pPr>
              <w:jc w:val="both"/>
              <w:rPr>
                <w:noProof/>
                <w:color w:val="1F497D" w:themeColor="text2"/>
              </w:rPr>
            </w:pPr>
            <w:r>
              <w:rPr>
                <w:noProof/>
                <w:color w:val="1F497D" w:themeColor="text2"/>
              </w:rPr>
              <w:t xml:space="preserve">As national measures regarding pay transparency are very fragmented and scarce, often lack ambition, it becomes ever more significant to establish a coherent and comprehensive European approach aiming to advance and enforce the implementation of the principle of equal pay. </w:t>
            </w:r>
          </w:p>
          <w:p>
            <w:pPr>
              <w:jc w:val="both"/>
              <w:rPr>
                <w:noProof/>
                <w:color w:val="1F497D" w:themeColor="text2"/>
              </w:rPr>
            </w:pPr>
            <w:r>
              <w:rPr>
                <w:noProof/>
                <w:color w:val="1F497D" w:themeColor="text2"/>
              </w:rPr>
              <w:t>Proposed pay transparency and related enforcement measures are justified at EU level insofar as action solely by Member States in response to the lack of implementation of the EU principle and existing provisions would not necessary have the same level of the guaranteeing equal pay for women and men for the same work or work of equal value and would risk increasing divergences between Member States with potential competition on the basis of social standards. Business would therefore continue to compete on an uneven playing field, which would hamper the operation of the internal market.</w:t>
            </w:r>
          </w:p>
          <w:p>
            <w:pPr>
              <w:jc w:val="both"/>
              <w:rPr>
                <w:noProof/>
              </w:rPr>
            </w:pPr>
            <w:r>
              <w:rPr>
                <w:noProof/>
                <w:color w:val="1F497D" w:themeColor="text2"/>
              </w:rPr>
              <w:t>The proposed Directive is based on a minimal degree of harmonisation of Member State systems which respects Member States' competences to set higher standards and provides the possibility for social partners to vary the mix of material rights and obligations by collective agreement. It also duly takes into account a trade-off beetwen stronger protection of workers and easing of the administrative burden on employers, especially SMEs, in particular in the context of the economic difficulties faced by the EU companies during current COVID-19 crisis</w:t>
            </w:r>
          </w:p>
        </w:tc>
      </w:tr>
      <w:tr>
        <w:tc>
          <w:tcPr>
            <w:tcW w:w="8608" w:type="dxa"/>
            <w:tcBorders>
              <w:top w:val="single" w:sz="4" w:space="0" w:color="auto"/>
              <w:left w:val="single" w:sz="4" w:space="0" w:color="auto"/>
              <w:bottom w:val="single" w:sz="4" w:space="0" w:color="auto"/>
              <w:right w:val="single" w:sz="4" w:space="0" w:color="auto"/>
            </w:tcBorders>
            <w:hideMark/>
          </w:tcPr>
          <w:p>
            <w:pPr>
              <w:pStyle w:val="ListParagraph"/>
              <w:numPr>
                <w:ilvl w:val="1"/>
                <w:numId w:val="5"/>
              </w:numPr>
              <w:jc w:val="both"/>
              <w:rPr>
                <w:b/>
                <w:noProof/>
              </w:rPr>
            </w:pPr>
            <w:r>
              <w:rPr>
                <w:b/>
                <w:noProof/>
              </w:rPr>
              <w:t>Based on the answers to the questions below, can the objectives of the proposed action be achieved sufficiently by the Member States acting alone (necessity for EU action)?</w:t>
            </w:r>
          </w:p>
        </w:tc>
      </w:tr>
      <w:tr>
        <w:tc>
          <w:tcPr>
            <w:tcW w:w="8608" w:type="dxa"/>
            <w:tcBorders>
              <w:top w:val="single" w:sz="4" w:space="0" w:color="auto"/>
              <w:left w:val="single" w:sz="4" w:space="0" w:color="auto"/>
              <w:bottom w:val="single" w:sz="4" w:space="0" w:color="auto"/>
              <w:right w:val="single" w:sz="4" w:space="0" w:color="auto"/>
            </w:tcBorders>
            <w:hideMark/>
          </w:tcPr>
          <w:p>
            <w:pPr>
              <w:jc w:val="both"/>
              <w:rPr>
                <w:noProof/>
                <w:color w:val="4F81BD" w:themeColor="accent1"/>
              </w:rPr>
            </w:pPr>
            <w:r>
              <w:rPr>
                <w:noProof/>
                <w:color w:val="1F497D" w:themeColor="text2"/>
              </w:rPr>
              <w:t xml:space="preserve">Analysis shows that Member States acting alone are not able to ensure the transparency of pay systems aiming to ensure the right to equal pay for the same work or for work of equal value for women and men across the EU. The 2020 evaluation concluded that there is limited progress on enforcing the right to equal pay and increasing pay transparency by Member States and evidenced, in particular, vastly distinct and largely inefficient systems operating in most Member States – making equal pay an inert legal provision. </w:t>
            </w:r>
          </w:p>
        </w:tc>
      </w:tr>
      <w:tr>
        <w:tc>
          <w:tcPr>
            <w:tcW w:w="8608" w:type="dxa"/>
            <w:tcBorders>
              <w:top w:val="single" w:sz="4" w:space="0" w:color="auto"/>
              <w:left w:val="single" w:sz="4" w:space="0" w:color="auto"/>
              <w:bottom w:val="single" w:sz="4" w:space="0" w:color="auto"/>
              <w:right w:val="single" w:sz="4" w:space="0" w:color="auto"/>
            </w:tcBorders>
            <w:hideMark/>
          </w:tcPr>
          <w:p>
            <w:pPr>
              <w:pStyle w:val="ListParagraph"/>
              <w:numPr>
                <w:ilvl w:val="0"/>
                <w:numId w:val="6"/>
              </w:numPr>
              <w:jc w:val="both"/>
              <w:rPr>
                <w:noProof/>
              </w:rPr>
            </w:pPr>
            <w:r>
              <w:rPr>
                <w:noProof/>
              </w:rPr>
              <w:t>Are there significant/appreciable transnational/cross-border aspects to the problems being tackled? Have these been quantified?</w:t>
            </w:r>
          </w:p>
        </w:tc>
      </w:tr>
      <w:tr>
        <w:tc>
          <w:tcPr>
            <w:tcW w:w="8608" w:type="dxa"/>
            <w:tcBorders>
              <w:top w:val="single" w:sz="4" w:space="0" w:color="auto"/>
              <w:left w:val="single" w:sz="4" w:space="0" w:color="auto"/>
              <w:bottom w:val="single" w:sz="4" w:space="0" w:color="auto"/>
              <w:right w:val="single" w:sz="4" w:space="0" w:color="auto"/>
            </w:tcBorders>
          </w:tcPr>
          <w:p>
            <w:pPr>
              <w:jc w:val="both"/>
              <w:rPr>
                <w:noProof/>
              </w:rPr>
            </w:pPr>
            <w:r>
              <w:rPr>
                <w:noProof/>
                <w:color w:val="1F497D" w:themeColor="text2"/>
              </w:rPr>
              <w:t>Existing approaches (including any regulation in this area in a number of Member States) significantly different across the EU and would create additional costs and complexity for companies operating across borders and therefore undermine the Single Market.</w:t>
            </w:r>
          </w:p>
        </w:tc>
      </w:tr>
      <w:tr>
        <w:tc>
          <w:tcPr>
            <w:tcW w:w="8608" w:type="dxa"/>
            <w:tcBorders>
              <w:top w:val="single" w:sz="4" w:space="0" w:color="auto"/>
              <w:left w:val="single" w:sz="4" w:space="0" w:color="auto"/>
              <w:bottom w:val="single" w:sz="4" w:space="0" w:color="auto"/>
              <w:right w:val="single" w:sz="4" w:space="0" w:color="auto"/>
            </w:tcBorders>
            <w:hideMark/>
          </w:tcPr>
          <w:p>
            <w:pPr>
              <w:pStyle w:val="ListParagraph"/>
              <w:numPr>
                <w:ilvl w:val="0"/>
                <w:numId w:val="6"/>
              </w:numPr>
              <w:rPr>
                <w:noProof/>
              </w:rPr>
            </w:pPr>
            <w:r>
              <w:rPr>
                <w:noProof/>
              </w:rPr>
              <w:t>Would national action or the absence of the EU level action conflict with core objectives of the Treaty</w:t>
            </w:r>
            <w:r>
              <w:rPr>
                <w:rStyle w:val="FootnoteReference"/>
                <w:noProof/>
              </w:rPr>
              <w:footnoteReference w:id="248"/>
            </w:r>
            <w:r>
              <w:rPr>
                <w:noProof/>
              </w:rPr>
              <w:t xml:space="preserve"> or significantly damage the interests of other Member States?</w:t>
            </w:r>
          </w:p>
        </w:tc>
      </w:tr>
      <w:tr>
        <w:tc>
          <w:tcPr>
            <w:tcW w:w="8608" w:type="dxa"/>
            <w:tcBorders>
              <w:top w:val="single" w:sz="4" w:space="0" w:color="auto"/>
              <w:left w:val="single" w:sz="4" w:space="0" w:color="auto"/>
              <w:bottom w:val="single" w:sz="4" w:space="0" w:color="auto"/>
              <w:right w:val="single" w:sz="4" w:space="0" w:color="auto"/>
            </w:tcBorders>
          </w:tcPr>
          <w:p>
            <w:pPr>
              <w:jc w:val="both"/>
              <w:rPr>
                <w:noProof/>
              </w:rPr>
            </w:pPr>
            <w:r>
              <w:rPr>
                <w:noProof/>
                <w:color w:val="1F497D" w:themeColor="text2"/>
              </w:rPr>
              <w:t>The absence of the EU level action would limit the progress of enforcing the principle of equal pay enshrined in 157(1) TFEU and the implementation of the core objective of the Treaty related to combat social exclusion and discrimination.</w:t>
            </w:r>
          </w:p>
        </w:tc>
      </w:tr>
      <w:tr>
        <w:tc>
          <w:tcPr>
            <w:tcW w:w="8608" w:type="dxa"/>
            <w:tcBorders>
              <w:top w:val="single" w:sz="4" w:space="0" w:color="auto"/>
              <w:left w:val="single" w:sz="4" w:space="0" w:color="auto"/>
              <w:bottom w:val="single" w:sz="4" w:space="0" w:color="auto"/>
              <w:right w:val="single" w:sz="4" w:space="0" w:color="auto"/>
            </w:tcBorders>
            <w:hideMark/>
          </w:tcPr>
          <w:p>
            <w:pPr>
              <w:pStyle w:val="ListParagraph"/>
              <w:numPr>
                <w:ilvl w:val="0"/>
                <w:numId w:val="6"/>
              </w:numPr>
              <w:rPr>
                <w:noProof/>
              </w:rPr>
            </w:pPr>
            <w:r>
              <w:rPr>
                <w:noProof/>
              </w:rPr>
              <w:t>To what extent do Member States have the ability or possibility to enact appropriate measures?</w:t>
            </w:r>
          </w:p>
        </w:tc>
      </w:tr>
      <w:tr>
        <w:tc>
          <w:tcPr>
            <w:tcW w:w="8608" w:type="dxa"/>
            <w:tcBorders>
              <w:top w:val="single" w:sz="4" w:space="0" w:color="auto"/>
              <w:left w:val="single" w:sz="4" w:space="0" w:color="auto"/>
              <w:bottom w:val="single" w:sz="4" w:space="0" w:color="auto"/>
              <w:right w:val="single" w:sz="4" w:space="0" w:color="auto"/>
            </w:tcBorders>
          </w:tcPr>
          <w:p>
            <w:pPr>
              <w:jc w:val="both"/>
              <w:rPr>
                <w:noProof/>
              </w:rPr>
            </w:pPr>
            <w:r>
              <w:rPr>
                <w:noProof/>
                <w:color w:val="1F497D" w:themeColor="text2"/>
              </w:rPr>
              <w:t>Member States had shown a relatively low level of response to voluntary measures such as the 2014 EU Recommendation on Pay Transparency, and a range of evaluations suggested that for progress and to move beyond a piecemeal approach action at the EU level is necessary.</w:t>
            </w:r>
          </w:p>
        </w:tc>
      </w:tr>
      <w:tr>
        <w:tc>
          <w:tcPr>
            <w:tcW w:w="8608" w:type="dxa"/>
            <w:tcBorders>
              <w:top w:val="single" w:sz="4" w:space="0" w:color="auto"/>
              <w:left w:val="single" w:sz="4" w:space="0" w:color="auto"/>
              <w:bottom w:val="single" w:sz="4" w:space="0" w:color="auto"/>
              <w:right w:val="single" w:sz="4" w:space="0" w:color="auto"/>
            </w:tcBorders>
            <w:hideMark/>
          </w:tcPr>
          <w:p>
            <w:pPr>
              <w:pStyle w:val="ListParagraph"/>
              <w:numPr>
                <w:ilvl w:val="0"/>
                <w:numId w:val="6"/>
              </w:numPr>
              <w:jc w:val="both"/>
              <w:rPr>
                <w:noProof/>
              </w:rPr>
            </w:pPr>
            <w:r>
              <w:rPr>
                <w:noProof/>
              </w:rPr>
              <w:t xml:space="preserve">How does the problem and its causes (e.g. negative externalities, spill-over effects) vary across the national, regional and local levels of the EU? </w:t>
            </w:r>
          </w:p>
        </w:tc>
      </w:tr>
      <w:tr>
        <w:tc>
          <w:tcPr>
            <w:tcW w:w="8608" w:type="dxa"/>
            <w:tcBorders>
              <w:top w:val="single" w:sz="4" w:space="0" w:color="auto"/>
              <w:left w:val="single" w:sz="4" w:space="0" w:color="auto"/>
              <w:bottom w:val="single" w:sz="4" w:space="0" w:color="auto"/>
              <w:right w:val="single" w:sz="4" w:space="0" w:color="auto"/>
            </w:tcBorders>
          </w:tcPr>
          <w:p>
            <w:pPr>
              <w:jc w:val="both"/>
              <w:rPr>
                <w:noProof/>
              </w:rPr>
            </w:pPr>
            <w:r>
              <w:rPr>
                <w:noProof/>
                <w:color w:val="1F497D" w:themeColor="text2"/>
              </w:rPr>
              <w:t>The relevance of the different factors contributing to gender-based pay discrimination can be influenced by the distribution of workers by gender and by the socio-economic context (e.g. sector, size of employer, number of workers covered by collective bargaining).</w:t>
            </w:r>
          </w:p>
        </w:tc>
      </w:tr>
      <w:tr>
        <w:tc>
          <w:tcPr>
            <w:tcW w:w="8608" w:type="dxa"/>
            <w:tcBorders>
              <w:top w:val="single" w:sz="4" w:space="0" w:color="auto"/>
              <w:left w:val="single" w:sz="4" w:space="0" w:color="auto"/>
              <w:bottom w:val="single" w:sz="4" w:space="0" w:color="auto"/>
              <w:right w:val="single" w:sz="4" w:space="0" w:color="auto"/>
            </w:tcBorders>
            <w:hideMark/>
          </w:tcPr>
          <w:p>
            <w:pPr>
              <w:pStyle w:val="ListParagraph"/>
              <w:numPr>
                <w:ilvl w:val="0"/>
                <w:numId w:val="6"/>
              </w:numPr>
              <w:jc w:val="both"/>
              <w:rPr>
                <w:noProof/>
              </w:rPr>
            </w:pPr>
            <w:r>
              <w:rPr>
                <w:noProof/>
              </w:rPr>
              <w:t xml:space="preserve">Is the problem widespread across the EU or limited to a few Member States? </w:t>
            </w:r>
          </w:p>
        </w:tc>
      </w:tr>
      <w:tr>
        <w:tc>
          <w:tcPr>
            <w:tcW w:w="8608" w:type="dxa"/>
            <w:tcBorders>
              <w:top w:val="single" w:sz="4" w:space="0" w:color="auto"/>
              <w:left w:val="single" w:sz="4" w:space="0" w:color="auto"/>
              <w:bottom w:val="single" w:sz="4" w:space="0" w:color="auto"/>
              <w:right w:val="single" w:sz="4" w:space="0" w:color="auto"/>
            </w:tcBorders>
          </w:tcPr>
          <w:p>
            <w:pPr>
              <w:jc w:val="both"/>
              <w:rPr>
                <w:noProof/>
              </w:rPr>
            </w:pPr>
            <w:r>
              <w:rPr>
                <w:noProof/>
                <w:color w:val="1F497D" w:themeColor="text2"/>
              </w:rPr>
              <w:t>No precise estimate of the scale of gender pay discrimination is available; however if we look at the gender pay gap as a broad indicator of gender discrimination on the labour market we see that it is widespread across Europe with a very slow decline in the last 10 years. The absence of clarity on gender disparities in companies’ pay structures contribute to this persistence.</w:t>
            </w:r>
          </w:p>
        </w:tc>
      </w:tr>
      <w:tr>
        <w:tc>
          <w:tcPr>
            <w:tcW w:w="8608" w:type="dxa"/>
            <w:tcBorders>
              <w:top w:val="single" w:sz="4" w:space="0" w:color="auto"/>
              <w:left w:val="single" w:sz="4" w:space="0" w:color="auto"/>
              <w:bottom w:val="single" w:sz="4" w:space="0" w:color="auto"/>
              <w:right w:val="single" w:sz="4" w:space="0" w:color="auto"/>
            </w:tcBorders>
            <w:hideMark/>
          </w:tcPr>
          <w:p>
            <w:pPr>
              <w:pStyle w:val="ListParagraph"/>
              <w:numPr>
                <w:ilvl w:val="0"/>
                <w:numId w:val="6"/>
              </w:numPr>
              <w:jc w:val="both"/>
              <w:rPr>
                <w:noProof/>
              </w:rPr>
            </w:pPr>
            <w:r>
              <w:rPr>
                <w:noProof/>
              </w:rPr>
              <w:t>Are Member States overstretched in achieving the objectives of the planned measure?</w:t>
            </w:r>
          </w:p>
        </w:tc>
      </w:tr>
      <w:tr>
        <w:tc>
          <w:tcPr>
            <w:tcW w:w="8608" w:type="dxa"/>
            <w:tcBorders>
              <w:top w:val="single" w:sz="4" w:space="0" w:color="auto"/>
              <w:left w:val="single" w:sz="4" w:space="0" w:color="auto"/>
              <w:bottom w:val="single" w:sz="4" w:space="0" w:color="auto"/>
              <w:right w:val="single" w:sz="4" w:space="0" w:color="auto"/>
            </w:tcBorders>
          </w:tcPr>
          <w:p>
            <w:pPr>
              <w:jc w:val="both"/>
              <w:rPr>
                <w:noProof/>
              </w:rPr>
            </w:pPr>
            <w:r>
              <w:rPr>
                <w:noProof/>
                <w:color w:val="1F497D" w:themeColor="text2"/>
              </w:rPr>
              <w:t xml:space="preserve">There is a strong evidence of pay discrimination based on gender that needs to be addressed. </w:t>
            </w:r>
          </w:p>
        </w:tc>
      </w:tr>
      <w:tr>
        <w:tc>
          <w:tcPr>
            <w:tcW w:w="8608" w:type="dxa"/>
            <w:tcBorders>
              <w:top w:val="single" w:sz="4" w:space="0" w:color="auto"/>
              <w:left w:val="single" w:sz="4" w:space="0" w:color="auto"/>
              <w:bottom w:val="single" w:sz="4" w:space="0" w:color="auto"/>
              <w:right w:val="single" w:sz="4" w:space="0" w:color="auto"/>
            </w:tcBorders>
            <w:hideMark/>
          </w:tcPr>
          <w:p>
            <w:pPr>
              <w:pStyle w:val="ListParagraph"/>
              <w:numPr>
                <w:ilvl w:val="0"/>
                <w:numId w:val="6"/>
              </w:numPr>
              <w:jc w:val="both"/>
              <w:rPr>
                <w:noProof/>
              </w:rPr>
            </w:pPr>
            <w:r>
              <w:rPr>
                <w:noProof/>
              </w:rPr>
              <w:t>How do the views/preferred courses of action of national, regional and local authorities differ across the EU?</w:t>
            </w:r>
          </w:p>
        </w:tc>
      </w:tr>
      <w:tr>
        <w:tc>
          <w:tcPr>
            <w:tcW w:w="8608" w:type="dxa"/>
            <w:tcBorders>
              <w:top w:val="single" w:sz="4" w:space="0" w:color="auto"/>
              <w:left w:val="single" w:sz="4" w:space="0" w:color="auto"/>
              <w:bottom w:val="single" w:sz="4" w:space="0" w:color="auto"/>
              <w:right w:val="single" w:sz="4" w:space="0" w:color="auto"/>
            </w:tcBorders>
          </w:tcPr>
          <w:p>
            <w:pPr>
              <w:jc w:val="both"/>
              <w:rPr>
                <w:noProof/>
                <w:sz w:val="24"/>
                <w:szCs w:val="24"/>
              </w:rPr>
            </w:pPr>
            <w:r>
              <w:rPr>
                <w:noProof/>
                <w:color w:val="1F497D" w:themeColor="text2"/>
              </w:rPr>
              <w:t xml:space="preserve">Member State respondents in public consultation and targeted Member States survey conducted in March-May 2020 showed a strong consensus that pay transparency measures would help enforce the right to equal pay (100%), contribute to raising awareness on equal pay issues (90%) and reduce pay discrimination (90%). There is a high degree of consensus among Member State respondents that regular employer reports on pay level and gender pay gaps is an effective option (82.4%). There is also some agreement that employees having the right to access information on pay levels and gender pay gaps of categories of individuals performing the same work or work of equal value would be effective (58.8%). Among the general public, the results from the public consultation show clear consensus on the effectiveness of introducing binding measures on: obligation to include equal pay matters in collective bargaining (80.7%); gender-neutral job evaluation and classification systems (80.2%); employers and employees’ representatives analysing pay levels and gender pay gaps in regular pay audits (78.9%); and regular employer reports on pay levels and gender pay gaps (78.4%). The significant outlier group that did not share this consensus were respondents from company/business associations. </w:t>
            </w:r>
          </w:p>
        </w:tc>
      </w:tr>
      <w:tr>
        <w:tc>
          <w:tcPr>
            <w:tcW w:w="8608" w:type="dxa"/>
            <w:tcBorders>
              <w:top w:val="single" w:sz="4" w:space="0" w:color="auto"/>
              <w:left w:val="single" w:sz="4" w:space="0" w:color="auto"/>
              <w:bottom w:val="single" w:sz="4" w:space="0" w:color="auto"/>
              <w:right w:val="single" w:sz="4" w:space="0" w:color="auto"/>
            </w:tcBorders>
            <w:hideMark/>
          </w:tcPr>
          <w:p>
            <w:pPr>
              <w:pStyle w:val="ListParagraph"/>
              <w:numPr>
                <w:ilvl w:val="1"/>
                <w:numId w:val="5"/>
              </w:numPr>
              <w:jc w:val="both"/>
              <w:rPr>
                <w:b/>
                <w:noProof/>
              </w:rPr>
            </w:pPr>
            <w:r>
              <w:rPr>
                <w:b/>
                <w:noProof/>
              </w:rPr>
              <w:t>Based on the answer to the questions below, can the objectives of the proposed action be better achieved at Union level by reason of scale or effects of that action (EU added value)?</w:t>
            </w:r>
          </w:p>
        </w:tc>
      </w:tr>
      <w:tr>
        <w:tc>
          <w:tcPr>
            <w:tcW w:w="8608" w:type="dxa"/>
            <w:tcBorders>
              <w:top w:val="single" w:sz="4" w:space="0" w:color="auto"/>
              <w:left w:val="single" w:sz="4" w:space="0" w:color="auto"/>
              <w:bottom w:val="single" w:sz="4" w:space="0" w:color="auto"/>
              <w:right w:val="single" w:sz="4" w:space="0" w:color="auto"/>
            </w:tcBorders>
            <w:hideMark/>
          </w:tcPr>
          <w:p>
            <w:pPr>
              <w:jc w:val="both"/>
              <w:rPr>
                <w:noProof/>
              </w:rPr>
            </w:pPr>
            <w:r>
              <w:rPr>
                <w:noProof/>
                <w:color w:val="1F497D" w:themeColor="text2"/>
              </w:rPr>
              <w:t>A comparable level of promotion of pay equality throughout the Union is not likely to happen without a push from an EU-level instrument to create equal market conditions for fair competiton in the internal market. EU action also responds to an obligation to act in the Treaty, implements a fundamental principle and right to equal treatment confirmed in the Charter of Fundamental Rights.</w:t>
            </w:r>
          </w:p>
        </w:tc>
      </w:tr>
      <w:tr>
        <w:tc>
          <w:tcPr>
            <w:tcW w:w="8608" w:type="dxa"/>
            <w:tcBorders>
              <w:top w:val="single" w:sz="4" w:space="0" w:color="auto"/>
              <w:left w:val="single" w:sz="4" w:space="0" w:color="auto"/>
              <w:bottom w:val="single" w:sz="4" w:space="0" w:color="auto"/>
              <w:right w:val="single" w:sz="4" w:space="0" w:color="auto"/>
            </w:tcBorders>
            <w:hideMark/>
          </w:tcPr>
          <w:p>
            <w:pPr>
              <w:pStyle w:val="ListParagraph"/>
              <w:numPr>
                <w:ilvl w:val="0"/>
                <w:numId w:val="7"/>
              </w:numPr>
              <w:jc w:val="both"/>
              <w:rPr>
                <w:noProof/>
              </w:rPr>
            </w:pPr>
            <w:r>
              <w:rPr>
                <w:noProof/>
              </w:rPr>
              <w:t xml:space="preserve">Are there clear benefits from EU level action? </w:t>
            </w:r>
          </w:p>
        </w:tc>
      </w:tr>
      <w:tr>
        <w:tc>
          <w:tcPr>
            <w:tcW w:w="8608" w:type="dxa"/>
            <w:tcBorders>
              <w:top w:val="single" w:sz="4" w:space="0" w:color="auto"/>
              <w:left w:val="single" w:sz="4" w:space="0" w:color="auto"/>
              <w:bottom w:val="single" w:sz="4" w:space="0" w:color="auto"/>
              <w:right w:val="single" w:sz="4" w:space="0" w:color="auto"/>
            </w:tcBorders>
          </w:tcPr>
          <w:p>
            <w:pPr>
              <w:jc w:val="both"/>
              <w:rPr>
                <w:noProof/>
              </w:rPr>
            </w:pPr>
            <w:r>
              <w:rPr>
                <w:noProof/>
                <w:color w:val="1F497D" w:themeColor="text2"/>
              </w:rPr>
              <w:t>Homogeneus enforcement of the equal pay right and prevention of unfair competition in the internal market. For workers, pay transparency empower them to claim their rights and has a positive effect on job satisfaction and worker motivation. Furthermore, pay transparency measures have a significant behavioural change effect for employers and would help to address the issue of the undervaluation of women work.</w:t>
            </w:r>
            <w:r>
              <w:rPr>
                <w:noProof/>
              </w:rPr>
              <w:t xml:space="preserve"> T</w:t>
            </w:r>
            <w:r>
              <w:rPr>
                <w:noProof/>
                <w:color w:val="1F497D" w:themeColor="text2"/>
              </w:rPr>
              <w:t>his would have positive impact on companies reputation and workforce participation and retention, including enhanced career progression for women across the EU. For society as a whole, it will benefit from the increased equality and better utilisation of talents.</w:t>
            </w:r>
          </w:p>
        </w:tc>
      </w:tr>
      <w:tr>
        <w:tc>
          <w:tcPr>
            <w:tcW w:w="8608" w:type="dxa"/>
            <w:tcBorders>
              <w:top w:val="single" w:sz="4" w:space="0" w:color="auto"/>
              <w:left w:val="single" w:sz="4" w:space="0" w:color="auto"/>
              <w:bottom w:val="single" w:sz="4" w:space="0" w:color="auto"/>
              <w:right w:val="single" w:sz="4" w:space="0" w:color="auto"/>
            </w:tcBorders>
            <w:hideMark/>
          </w:tcPr>
          <w:p>
            <w:pPr>
              <w:pStyle w:val="ListParagraph"/>
              <w:numPr>
                <w:ilvl w:val="0"/>
                <w:numId w:val="7"/>
              </w:numPr>
              <w:jc w:val="both"/>
              <w:rPr>
                <w:noProof/>
              </w:rPr>
            </w:pPr>
            <w:r>
              <w:rPr>
                <w:noProof/>
              </w:rPr>
              <w:t>Are there economies of scale? Can the objectives be met more efficiently at EU level (larger benefits per unit cost)? Will the functioning of the internal market be improved?</w:t>
            </w:r>
          </w:p>
        </w:tc>
      </w:tr>
      <w:tr>
        <w:tc>
          <w:tcPr>
            <w:tcW w:w="8608" w:type="dxa"/>
            <w:tcBorders>
              <w:top w:val="single" w:sz="4" w:space="0" w:color="auto"/>
              <w:left w:val="single" w:sz="4" w:space="0" w:color="auto"/>
              <w:bottom w:val="single" w:sz="4" w:space="0" w:color="auto"/>
              <w:right w:val="single" w:sz="4" w:space="0" w:color="auto"/>
            </w:tcBorders>
          </w:tcPr>
          <w:p>
            <w:pPr>
              <w:jc w:val="both"/>
              <w:rPr>
                <w:noProof/>
              </w:rPr>
            </w:pPr>
            <w:r>
              <w:rPr>
                <w:noProof/>
                <w:color w:val="1F497D" w:themeColor="text2"/>
              </w:rPr>
              <w:t xml:space="preserve">Since the measures are applied at employer and individual level there are no clear EU economies of scale for the provisions as such. </w:t>
            </w:r>
          </w:p>
        </w:tc>
      </w:tr>
      <w:tr>
        <w:tc>
          <w:tcPr>
            <w:tcW w:w="8608" w:type="dxa"/>
            <w:tcBorders>
              <w:top w:val="single" w:sz="4" w:space="0" w:color="auto"/>
              <w:left w:val="single" w:sz="4" w:space="0" w:color="auto"/>
              <w:bottom w:val="single" w:sz="4" w:space="0" w:color="auto"/>
              <w:right w:val="single" w:sz="4" w:space="0" w:color="auto"/>
            </w:tcBorders>
            <w:hideMark/>
          </w:tcPr>
          <w:p>
            <w:pPr>
              <w:pStyle w:val="ListParagraph"/>
              <w:numPr>
                <w:ilvl w:val="0"/>
                <w:numId w:val="7"/>
              </w:numPr>
              <w:jc w:val="both"/>
              <w:rPr>
                <w:noProof/>
              </w:rPr>
            </w:pPr>
            <w:r>
              <w:rPr>
                <w:noProof/>
              </w:rPr>
              <w:t>What are the benefits in replacing different national policies and rules with a more homogenous policy approach?</w:t>
            </w:r>
          </w:p>
        </w:tc>
      </w:tr>
      <w:tr>
        <w:tc>
          <w:tcPr>
            <w:tcW w:w="8608" w:type="dxa"/>
            <w:tcBorders>
              <w:top w:val="single" w:sz="4" w:space="0" w:color="auto"/>
              <w:left w:val="single" w:sz="4" w:space="0" w:color="auto"/>
              <w:bottom w:val="single" w:sz="4" w:space="0" w:color="auto"/>
              <w:right w:val="single" w:sz="4" w:space="0" w:color="auto"/>
            </w:tcBorders>
          </w:tcPr>
          <w:p>
            <w:pPr>
              <w:jc w:val="both"/>
              <w:rPr>
                <w:noProof/>
              </w:rPr>
            </w:pPr>
            <w:r>
              <w:rPr>
                <w:noProof/>
                <w:color w:val="1F497D" w:themeColor="text2"/>
              </w:rPr>
              <w:t>The initiative would contribute to achieving the aim of improving the implementation, promotion and enforcement of the equal pay principle by providing legal clarity to improve uniform aplication across the EU. The clarification of the concepts of ‘pay’, ‘work of equal value’ would be instrumental for more uniform application of the equal pay principle across the EU, ensure that remuneration systems are based on objective criteria such as educational, professional and training requirements, skills, effort and responsibility, work undertaken and the nature of tasks involved. This would help to tackle gender-based pay discrimination and address pay inequalities arising for biased valuation of work of equal value. Consequently, this would have positive impact on workforce participation and retention, including enhanced career progression for women across the EU.</w:t>
            </w:r>
          </w:p>
        </w:tc>
      </w:tr>
      <w:tr>
        <w:tc>
          <w:tcPr>
            <w:tcW w:w="8608" w:type="dxa"/>
            <w:tcBorders>
              <w:top w:val="single" w:sz="4" w:space="0" w:color="auto"/>
              <w:left w:val="single" w:sz="4" w:space="0" w:color="auto"/>
              <w:bottom w:val="single" w:sz="4" w:space="0" w:color="auto"/>
              <w:right w:val="single" w:sz="4" w:space="0" w:color="auto"/>
            </w:tcBorders>
            <w:hideMark/>
          </w:tcPr>
          <w:p>
            <w:pPr>
              <w:pStyle w:val="ListParagraph"/>
              <w:numPr>
                <w:ilvl w:val="0"/>
                <w:numId w:val="7"/>
              </w:numPr>
              <w:jc w:val="both"/>
              <w:rPr>
                <w:noProof/>
              </w:rPr>
            </w:pPr>
            <w:r>
              <w:rPr>
                <w:noProof/>
              </w:rPr>
              <w:t>Do the benefits of EU-level action outweigh the loss of competence of the Member States and the local and regional authorities (beyond the costs and benefits of acting at national, regional and local levels)?</w:t>
            </w:r>
          </w:p>
        </w:tc>
      </w:tr>
      <w:tr>
        <w:tc>
          <w:tcPr>
            <w:tcW w:w="8608" w:type="dxa"/>
            <w:tcBorders>
              <w:top w:val="single" w:sz="4" w:space="0" w:color="auto"/>
              <w:left w:val="single" w:sz="4" w:space="0" w:color="auto"/>
              <w:bottom w:val="single" w:sz="4" w:space="0" w:color="auto"/>
              <w:right w:val="single" w:sz="4" w:space="0" w:color="auto"/>
            </w:tcBorders>
          </w:tcPr>
          <w:p>
            <w:pPr>
              <w:jc w:val="both"/>
              <w:rPr>
                <w:noProof/>
              </w:rPr>
            </w:pPr>
            <w:r>
              <w:rPr>
                <w:noProof/>
                <w:color w:val="1F497D" w:themeColor="text2"/>
              </w:rPr>
              <w:t xml:space="preserve">The initiative establishing minimum standards regarding pay transparency and related enforcement measures would set benchmarks to Member States and their relevant authorities in order to ensure that the principle of equal pay is properly implemented and enforced across the EU. Such an approach would leave room of flexibility to them to design concrete implementing measures in accordance with national circumstances, legal system and the level of participation of national social partners in matters relating to remuneration and job evaluation. The initiative also leaves the Member States the option of keeping or setting more favourable standards for workers and taking into account features specific to their national situations, and allows for modifications in the composition of the material rights by means of collective agreements. </w:t>
            </w:r>
          </w:p>
        </w:tc>
      </w:tr>
      <w:tr>
        <w:tc>
          <w:tcPr>
            <w:tcW w:w="8608" w:type="dxa"/>
            <w:tcBorders>
              <w:top w:val="single" w:sz="4" w:space="0" w:color="auto"/>
              <w:left w:val="single" w:sz="4" w:space="0" w:color="auto"/>
              <w:bottom w:val="single" w:sz="4" w:space="0" w:color="auto"/>
              <w:right w:val="single" w:sz="4" w:space="0" w:color="auto"/>
            </w:tcBorders>
            <w:hideMark/>
          </w:tcPr>
          <w:p>
            <w:pPr>
              <w:pStyle w:val="ListParagraph"/>
              <w:numPr>
                <w:ilvl w:val="0"/>
                <w:numId w:val="7"/>
              </w:numPr>
              <w:jc w:val="both"/>
              <w:rPr>
                <w:noProof/>
              </w:rPr>
            </w:pPr>
            <w:r>
              <w:rPr>
                <w:noProof/>
              </w:rPr>
              <w:t>Will there be improved legal clarity for those having to implement the legislation?</w:t>
            </w:r>
          </w:p>
        </w:tc>
      </w:tr>
      <w:tr>
        <w:tc>
          <w:tcPr>
            <w:tcW w:w="8608" w:type="dxa"/>
            <w:tcBorders>
              <w:top w:val="single" w:sz="4" w:space="0" w:color="auto"/>
              <w:left w:val="single" w:sz="4" w:space="0" w:color="auto"/>
              <w:bottom w:val="single" w:sz="4" w:space="0" w:color="auto"/>
              <w:right w:val="single" w:sz="4" w:space="0" w:color="auto"/>
            </w:tcBorders>
          </w:tcPr>
          <w:p>
            <w:pPr>
              <w:jc w:val="both"/>
              <w:rPr>
                <w:noProof/>
              </w:rPr>
            </w:pPr>
            <w:r>
              <w:rPr>
                <w:noProof/>
                <w:color w:val="1F497D" w:themeColor="text2"/>
              </w:rPr>
              <w:t>The lack of clarity, of current EU law, for example, regarding definitions of ‘pay’, ‘work of equal value’ means that employers, and even courts, may tend to exercise a wide margin of discretion in assessing whether differences in pay can be justified by differences in productivity. The lack of information on structural differences in the treatment of employees by gender prevents the identification of pay inequalities and uphold the possible influence of unconscious bias. It also creates a vicious circle challenging equal pay enforcement: to establish a prima facie pay discrimination, one would need to have some indication of whether or not there is a problem based on reliable pay information, which is most often not available. The initiative aims to address these issues and improve legal clarity in the light of the CJEU case law.</w:t>
            </w:r>
          </w:p>
        </w:tc>
      </w:tr>
      <w:tr>
        <w:tc>
          <w:tcPr>
            <w:tcW w:w="8608" w:type="dxa"/>
            <w:tcBorders>
              <w:top w:val="single" w:sz="4" w:space="0" w:color="auto"/>
              <w:left w:val="single" w:sz="4" w:space="0" w:color="auto"/>
              <w:bottom w:val="single" w:sz="4" w:space="0" w:color="auto"/>
              <w:right w:val="single" w:sz="4" w:space="0" w:color="auto"/>
            </w:tcBorders>
            <w:shd w:val="clear" w:color="auto" w:fill="808080" w:themeFill="text1" w:themeFillTint="7F"/>
            <w:hideMark/>
          </w:tcPr>
          <w:p>
            <w:pPr>
              <w:jc w:val="both"/>
              <w:rPr>
                <w:b/>
                <w:noProof/>
                <w:color w:val="FFFFFF" w:themeColor="background1"/>
              </w:rPr>
            </w:pPr>
            <w:r>
              <w:rPr>
                <w:b/>
                <w:bCs/>
                <w:noProof/>
                <w:color w:val="FFFFFF" w:themeColor="background1"/>
              </w:rPr>
              <w:t>3. Proportionality: How the EU should act</w:t>
            </w:r>
          </w:p>
        </w:tc>
      </w:tr>
      <w:tr>
        <w:tc>
          <w:tcPr>
            <w:tcW w:w="8608" w:type="dxa"/>
            <w:tcBorders>
              <w:top w:val="single" w:sz="4" w:space="0" w:color="auto"/>
              <w:left w:val="single" w:sz="4" w:space="0" w:color="auto"/>
              <w:bottom w:val="single" w:sz="4" w:space="0" w:color="auto"/>
              <w:right w:val="single" w:sz="4" w:space="0" w:color="auto"/>
            </w:tcBorders>
            <w:hideMark/>
          </w:tcPr>
          <w:p>
            <w:pPr>
              <w:pStyle w:val="ListParagraph"/>
              <w:numPr>
                <w:ilvl w:val="1"/>
                <w:numId w:val="8"/>
              </w:numPr>
              <w:jc w:val="both"/>
              <w:rPr>
                <w:b/>
                <w:noProof/>
              </w:rPr>
            </w:pPr>
            <w:r>
              <w:rPr>
                <w:b/>
                <w:noProof/>
              </w:rPr>
              <w:t xml:space="preserve"> Does the explanatory memorandum (and any impact assessment) accompanying the Commission’s proposal contain an adequate justification regarding the proportionality of the proposal and a statement allowing appraisal of the compliance of the proposal with the principle of proportionality?</w:t>
            </w:r>
          </w:p>
        </w:tc>
      </w:tr>
      <w:tr>
        <w:tc>
          <w:tcPr>
            <w:tcW w:w="8608" w:type="dxa"/>
            <w:tcBorders>
              <w:top w:val="single" w:sz="4" w:space="0" w:color="auto"/>
              <w:left w:val="single" w:sz="4" w:space="0" w:color="auto"/>
              <w:bottom w:val="single" w:sz="4" w:space="0" w:color="auto"/>
              <w:right w:val="single" w:sz="4" w:space="0" w:color="auto"/>
            </w:tcBorders>
            <w:hideMark/>
          </w:tcPr>
          <w:p>
            <w:pPr>
              <w:jc w:val="both"/>
              <w:rPr>
                <w:noProof/>
                <w:color w:val="1F497D" w:themeColor="text2"/>
              </w:rPr>
            </w:pPr>
            <w:r>
              <w:rPr>
                <w:noProof/>
                <w:color w:val="1F497D" w:themeColor="text2"/>
              </w:rPr>
              <w:t>Article 5(4) TEU adds that ‘[u]nder the principle of proportionality, the content and form of Union action shall not exceed what is necessary to achieve the objectives of the Treaties’.</w:t>
            </w:r>
          </w:p>
          <w:p>
            <w:pPr>
              <w:jc w:val="both"/>
              <w:rPr>
                <w:noProof/>
                <w:color w:val="1F497D" w:themeColor="text2"/>
              </w:rPr>
            </w:pPr>
            <w:r>
              <w:rPr>
                <w:noProof/>
                <w:color w:val="1F497D" w:themeColor="text2"/>
              </w:rPr>
              <w:t>The existing non-binding 2014 Recommendation in this framework is not sufficient to achieve the intended objective (more effective implementation of the equal pay principle through pay transparency). The Recast Directive 2006/54/EC needs to be supported by a further directive guaranteeing pay transparency measures since the Recommendation had a limited follow-up by Member States .</w:t>
            </w:r>
          </w:p>
          <w:p>
            <w:pPr>
              <w:jc w:val="both"/>
              <w:rPr>
                <w:noProof/>
                <w:color w:val="1F497D" w:themeColor="text2"/>
              </w:rPr>
            </w:pPr>
            <w:r>
              <w:rPr>
                <w:noProof/>
                <w:color w:val="1F497D" w:themeColor="text2"/>
              </w:rPr>
              <w:t xml:space="preserve">In particular, the initiative to adopt a binding legal measure is a proportionate response to the obvious need for operational support of the equal pay principle and does not go beyond what is necessary to achieve this goal. The proposed directive does not impinge on national decision-making, legislation or enforcement activities, which remain the competence of Member States. Moreover, it is left largely to the discretion of Member States how they make use of the possibilities put in place by the initiative and entrust the social partners with the transposition through collective agreements. </w:t>
            </w:r>
          </w:p>
          <w:p>
            <w:pPr>
              <w:jc w:val="both"/>
              <w:rPr>
                <w:noProof/>
                <w:color w:val="1F497D" w:themeColor="text2"/>
              </w:rPr>
            </w:pPr>
            <w:r>
              <w:rPr>
                <w:noProof/>
                <w:color w:val="1F497D" w:themeColor="text2"/>
              </w:rPr>
              <w:t xml:space="preserve">Since the objective of the proposed legal measure, namely to improve pay transparency, cannot be sufficiently achieved by the Member States but can rather, by reason of the need to establish common minimum requirements, be better achieved at the EU level, the EU may adopt measures, in accordance with the principles of subsidiarity (set out in Article 5(3) TFEU) and to the extent that they are proportionate (Article 5(4) TFEU). </w:t>
            </w:r>
          </w:p>
          <w:p>
            <w:pPr>
              <w:jc w:val="both"/>
              <w:rPr>
                <w:noProof/>
                <w:color w:val="1F497D" w:themeColor="text2"/>
              </w:rPr>
            </w:pPr>
            <w:r>
              <w:rPr>
                <w:noProof/>
                <w:color w:val="1F497D" w:themeColor="text2"/>
              </w:rPr>
              <w:t xml:space="preserve">The proportionality principle is fully respected as the scope of the proposal is tailored to different sizes of companies to maximally limit administrative burden, and to ensure basic rights for workers, the absence of which could limit the possibility to detect gender-based pay discrimination and defend their right to equal pay in case of the alleged sex discrimination. The proposed Directive includes measures through established company size thresholds subject to types of pay transparency measures concerned. As indicated in the Impact Assessment, the costs are reasonable and justified in light of the accrued and longer-term benefits regarding more secure employment, workforce retention, better workers’ and firms’ productivity. It therefore affects positively business profitability, a better functioning of internal market, and matches the wider social ambitions of the EU as emphasised in the European Pillar of Social Rights, jointly proclaimed by the Commission, the European Parliament and the Council. </w:t>
            </w:r>
          </w:p>
          <w:p>
            <w:pPr>
              <w:jc w:val="both"/>
              <w:rPr>
                <w:noProof/>
              </w:rPr>
            </w:pPr>
            <w:r>
              <w:rPr>
                <w:noProof/>
                <w:color w:val="1F497D" w:themeColor="text2"/>
              </w:rPr>
              <w:t>The proposal leaves the Member States the option of keeping or setting more favourable standards for workers, and taking into account features specific to their national situations, and, in order to respect the diversity of labour market models across the EU, allows Member States to entrust the social partners with the implementation of the Directive, provided that Member States take all the necessary steps to ensure that the results sought by this Directive are guaranteed at all times.</w:t>
            </w:r>
          </w:p>
        </w:tc>
      </w:tr>
      <w:tr>
        <w:tc>
          <w:tcPr>
            <w:tcW w:w="8608" w:type="dxa"/>
            <w:tcBorders>
              <w:top w:val="single" w:sz="4" w:space="0" w:color="auto"/>
              <w:left w:val="single" w:sz="4" w:space="0" w:color="auto"/>
              <w:bottom w:val="single" w:sz="4" w:space="0" w:color="auto"/>
              <w:right w:val="single" w:sz="4" w:space="0" w:color="auto"/>
            </w:tcBorders>
            <w:hideMark/>
          </w:tcPr>
          <w:p>
            <w:pPr>
              <w:pStyle w:val="ListParagraph"/>
              <w:numPr>
                <w:ilvl w:val="1"/>
                <w:numId w:val="8"/>
              </w:numPr>
              <w:jc w:val="both"/>
              <w:rPr>
                <w:b/>
                <w:noProof/>
              </w:rPr>
            </w:pPr>
            <w:r>
              <w:rPr>
                <w:b/>
                <w:noProof/>
              </w:rPr>
              <w:t>Based on the answers to the questions below and information available from any impact assessment, the explanatory memorandum or other sources, is the proposed action an appropriate way to achieve the intended objectives?</w:t>
            </w:r>
          </w:p>
        </w:tc>
      </w:tr>
      <w:tr>
        <w:tc>
          <w:tcPr>
            <w:tcW w:w="8608" w:type="dxa"/>
            <w:tcBorders>
              <w:top w:val="single" w:sz="4" w:space="0" w:color="auto"/>
              <w:left w:val="single" w:sz="4" w:space="0" w:color="auto"/>
              <w:bottom w:val="single" w:sz="4" w:space="0" w:color="auto"/>
              <w:right w:val="single" w:sz="4" w:space="0" w:color="auto"/>
            </w:tcBorders>
            <w:hideMark/>
          </w:tcPr>
          <w:p>
            <w:pPr>
              <w:jc w:val="both"/>
              <w:rPr>
                <w:noProof/>
                <w:color w:val="1F497D" w:themeColor="text2"/>
              </w:rPr>
            </w:pPr>
            <w:r>
              <w:rPr>
                <w:noProof/>
                <w:color w:val="1F497D" w:themeColor="text2"/>
              </w:rPr>
              <w:t xml:space="preserve">The proposed action is considered and an appropriate and optimal way to achieve the intended objectives concerning proper application of the principle of ‘equal opportunities and equal treatment of women and men in matters of employment and occupation, including the principle of equal pay for equal work or work of equal value’ (Article 157(3) TFEU). The initiative aims to address only legal issues identified during the evaluation and previous assessments conducted by the Commission. Other root causes of gender pay gap remain beyond the scope of this initiative. </w:t>
            </w:r>
          </w:p>
        </w:tc>
      </w:tr>
      <w:tr>
        <w:tc>
          <w:tcPr>
            <w:tcW w:w="8608" w:type="dxa"/>
            <w:tcBorders>
              <w:top w:val="single" w:sz="4" w:space="0" w:color="auto"/>
              <w:left w:val="single" w:sz="4" w:space="0" w:color="auto"/>
              <w:bottom w:val="single" w:sz="4" w:space="0" w:color="auto"/>
              <w:right w:val="single" w:sz="4" w:space="0" w:color="auto"/>
            </w:tcBorders>
            <w:hideMark/>
          </w:tcPr>
          <w:p>
            <w:pPr>
              <w:pStyle w:val="ListParagraph"/>
              <w:numPr>
                <w:ilvl w:val="0"/>
                <w:numId w:val="9"/>
              </w:numPr>
              <w:jc w:val="both"/>
              <w:rPr>
                <w:noProof/>
              </w:rPr>
            </w:pPr>
            <w:r>
              <w:rPr>
                <w:noProof/>
              </w:rPr>
              <w:t>Is the initiative limited to those aspects that Member States cannot achieve satisfactorily on their own, and where the Union can do better?</w:t>
            </w:r>
          </w:p>
        </w:tc>
      </w:tr>
      <w:tr>
        <w:tc>
          <w:tcPr>
            <w:tcW w:w="8608" w:type="dxa"/>
            <w:tcBorders>
              <w:top w:val="single" w:sz="4" w:space="0" w:color="auto"/>
              <w:left w:val="single" w:sz="4" w:space="0" w:color="auto"/>
              <w:bottom w:val="single" w:sz="4" w:space="0" w:color="auto"/>
              <w:right w:val="single" w:sz="4" w:space="0" w:color="auto"/>
            </w:tcBorders>
            <w:hideMark/>
          </w:tcPr>
          <w:p>
            <w:pPr>
              <w:jc w:val="both"/>
              <w:rPr>
                <w:noProof/>
              </w:rPr>
            </w:pPr>
            <w:r>
              <w:rPr>
                <w:noProof/>
                <w:color w:val="1F497D" w:themeColor="text2"/>
              </w:rPr>
              <w:t>The initiative addresses legal issues and obstacles identified during the 2020 evaluation which relate to persisting problem of pay discrimination and effective enforcement of the principle of equal pay which cannot be achieved by Member States satisfactorily on their own and in systematic manner. Additional non-legislative measures addressing root causes other than pay discrimination based on sex, could also support combating the overall gender pay gap – they are tackled in the EU Gender equality strategy 2020-2025.</w:t>
            </w:r>
          </w:p>
        </w:tc>
      </w:tr>
      <w:tr>
        <w:tc>
          <w:tcPr>
            <w:tcW w:w="8608" w:type="dxa"/>
            <w:tcBorders>
              <w:top w:val="single" w:sz="4" w:space="0" w:color="auto"/>
              <w:left w:val="single" w:sz="4" w:space="0" w:color="auto"/>
              <w:bottom w:val="single" w:sz="4" w:space="0" w:color="auto"/>
              <w:right w:val="single" w:sz="4" w:space="0" w:color="auto"/>
            </w:tcBorders>
            <w:hideMark/>
          </w:tcPr>
          <w:p>
            <w:pPr>
              <w:pStyle w:val="ListParagraph"/>
              <w:numPr>
                <w:ilvl w:val="0"/>
                <w:numId w:val="9"/>
              </w:numPr>
              <w:jc w:val="both"/>
              <w:rPr>
                <w:noProof/>
              </w:rPr>
            </w:pPr>
            <w:r>
              <w:rPr>
                <w:noProof/>
              </w:rPr>
              <w:t>Is the form of Union action (choice of instrument) justified, as simple as possible, and coherent with the satisfactory achievement of, and ensuring compliance with the objectives pursued (e.g. choice between regulation, (framework) directive, recommendation, or alternative regulatory methods such as co-legislation, etc.)?</w:t>
            </w:r>
          </w:p>
        </w:tc>
      </w:tr>
      <w:tr>
        <w:tc>
          <w:tcPr>
            <w:tcW w:w="8608" w:type="dxa"/>
            <w:tcBorders>
              <w:top w:val="single" w:sz="4" w:space="0" w:color="auto"/>
              <w:left w:val="single" w:sz="4" w:space="0" w:color="auto"/>
              <w:bottom w:val="single" w:sz="4" w:space="0" w:color="auto"/>
              <w:right w:val="single" w:sz="4" w:space="0" w:color="auto"/>
            </w:tcBorders>
            <w:hideMark/>
          </w:tcPr>
          <w:p>
            <w:pPr>
              <w:jc w:val="both"/>
              <w:rPr>
                <w:noProof/>
                <w:color w:val="1F497D" w:themeColor="text2"/>
              </w:rPr>
            </w:pPr>
            <w:r>
              <w:rPr>
                <w:noProof/>
                <w:color w:val="1F497D" w:themeColor="text2"/>
              </w:rPr>
              <w:t xml:space="preserve">As regards the choice of the legal instrument, regulation, amendments to the Recast Directive and new directive were considered. A regulation would impose uniform obligations in all Member States. The use of such an instrument to achieve the objectives set was evaluated as disproportionate, as the measures considered would by their own nature very much depend on the legal and administrative framework of each Member State, which should be respected. A revised Recast Directive was discarded for the reasons of wider scope of that directive and its entire logical structure would have to be revised. On the basis of the conducted evaluation and impact assessment, it seems that a new directive establishing minimum standards regarding pay transparency and related enforcement measures will be an optimal form of the initiative which will complement the Recast Directive which establishes a general framework for gender equality in employment and occupation matters. </w:t>
            </w:r>
          </w:p>
          <w:p>
            <w:pPr>
              <w:jc w:val="both"/>
              <w:rPr>
                <w:noProof/>
                <w:color w:val="4F81BD" w:themeColor="accent1"/>
              </w:rPr>
            </w:pPr>
            <w:r>
              <w:rPr>
                <w:noProof/>
                <w:color w:val="1F497D" w:themeColor="text2"/>
              </w:rPr>
              <w:t>A directive, laying down a framework to enhance the application of the equal pay principle through pay transparency and related reinforced enforcement mechanisms, which allows for some flexibility as to the means each Member State considers appropriate to ensure their obligations taking into account the national context, seems to be a more appropriate instrument. It would also be in line with the approach followed as regards similar obligations in the field of employment (posed workers) and discrimination (free movement of workers). Further development of soft measures could have some impact on the effectiveness of legal provisions in place, but it is unlikely that by itself they will motivate the laggard countries to bring the equality issues on the political agenda and engage in setting the new legal frameworks as advised under the 2014 Commission Recommendation.</w:t>
            </w:r>
          </w:p>
        </w:tc>
      </w:tr>
      <w:tr>
        <w:tc>
          <w:tcPr>
            <w:tcW w:w="8608" w:type="dxa"/>
            <w:tcBorders>
              <w:top w:val="single" w:sz="4" w:space="0" w:color="auto"/>
              <w:left w:val="single" w:sz="4" w:space="0" w:color="auto"/>
              <w:bottom w:val="single" w:sz="4" w:space="0" w:color="auto"/>
              <w:right w:val="single" w:sz="4" w:space="0" w:color="auto"/>
            </w:tcBorders>
            <w:hideMark/>
          </w:tcPr>
          <w:p>
            <w:pPr>
              <w:pStyle w:val="ListParagraph"/>
              <w:numPr>
                <w:ilvl w:val="0"/>
                <w:numId w:val="9"/>
              </w:numPr>
              <w:jc w:val="both"/>
              <w:rPr>
                <w:noProof/>
              </w:rPr>
            </w:pPr>
            <w:r>
              <w:rPr>
                <w:noProof/>
              </w:rPr>
              <w:t>Does the Union action leave as much scope for national decision as possible while achieving satisfactorily the objectives set? (e.g. is it possible to limit the European action to minimum standards or use a less stringent policy instrument og approach?)</w:t>
            </w:r>
          </w:p>
        </w:tc>
      </w:tr>
      <w:tr>
        <w:tc>
          <w:tcPr>
            <w:tcW w:w="8608" w:type="dxa"/>
            <w:tcBorders>
              <w:top w:val="single" w:sz="4" w:space="0" w:color="auto"/>
              <w:left w:val="single" w:sz="4" w:space="0" w:color="auto"/>
              <w:bottom w:val="single" w:sz="4" w:space="0" w:color="auto"/>
              <w:right w:val="single" w:sz="4" w:space="0" w:color="auto"/>
            </w:tcBorders>
          </w:tcPr>
          <w:p>
            <w:pPr>
              <w:jc w:val="both"/>
              <w:rPr>
                <w:noProof/>
              </w:rPr>
            </w:pPr>
            <w:r>
              <w:rPr>
                <w:noProof/>
                <w:color w:val="1F497D" w:themeColor="text2"/>
              </w:rPr>
              <w:t>Action at the EU level establishing minimum standards regarding pay transparency and related enforcement measures would ensure that pay equality for the same work and for work of equal value between women and men, enshrined in Article 157(1) TFEU, is effective and that all citizens can claim their rights according to the same minimum standards applicable in all Member States. This is a balanced measure at the EU-level which takes into account existing effective examples of national measures and the positions of Member States, social partners and citizens and helps addressing the problem of pay discrimination ensuring a uniform approach across the Union.</w:t>
            </w:r>
          </w:p>
        </w:tc>
      </w:tr>
      <w:tr>
        <w:tc>
          <w:tcPr>
            <w:tcW w:w="8608" w:type="dxa"/>
            <w:tcBorders>
              <w:top w:val="single" w:sz="4" w:space="0" w:color="auto"/>
              <w:left w:val="single" w:sz="4" w:space="0" w:color="auto"/>
              <w:bottom w:val="single" w:sz="4" w:space="0" w:color="auto"/>
              <w:right w:val="single" w:sz="4" w:space="0" w:color="auto"/>
            </w:tcBorders>
            <w:hideMark/>
          </w:tcPr>
          <w:p>
            <w:pPr>
              <w:pStyle w:val="ListParagraph"/>
              <w:numPr>
                <w:ilvl w:val="0"/>
                <w:numId w:val="9"/>
              </w:numPr>
              <w:jc w:val="both"/>
              <w:rPr>
                <w:noProof/>
              </w:rPr>
            </w:pPr>
            <w:r>
              <w:rPr>
                <w:noProof/>
              </w:rPr>
              <w:t>Does the initiative create financial or administrative cost for the Union, national governments, regional or local authorities, economic operators or citizens? Are these costs commensurate with the objective to be achieved?</w:t>
            </w:r>
          </w:p>
        </w:tc>
      </w:tr>
      <w:tr>
        <w:tc>
          <w:tcPr>
            <w:tcW w:w="8608" w:type="dxa"/>
            <w:tcBorders>
              <w:top w:val="single" w:sz="4" w:space="0" w:color="auto"/>
              <w:left w:val="single" w:sz="4" w:space="0" w:color="auto"/>
              <w:bottom w:val="single" w:sz="4" w:space="0" w:color="auto"/>
              <w:right w:val="single" w:sz="4" w:space="0" w:color="auto"/>
            </w:tcBorders>
            <w:hideMark/>
          </w:tcPr>
          <w:p>
            <w:pPr>
              <w:jc w:val="both"/>
              <w:rPr>
                <w:noProof/>
                <w:color w:val="1F497D" w:themeColor="text2"/>
              </w:rPr>
            </w:pPr>
            <w:r>
              <w:rPr>
                <w:noProof/>
                <w:color w:val="1F497D" w:themeColor="text2"/>
              </w:rPr>
              <w:t>The costs of the initiative concern mostly employers and are largely offset by the potential benefits of increased gender equality on the labour market.</w:t>
            </w:r>
          </w:p>
          <w:p>
            <w:pPr>
              <w:jc w:val="both"/>
              <w:rPr>
                <w:noProof/>
              </w:rPr>
            </w:pPr>
            <w:r>
              <w:rPr>
                <w:noProof/>
                <w:color w:val="1F497D" w:themeColor="text2"/>
              </w:rPr>
              <w:t>The proposed action takes into account a trade-off beetwen stronger protection of workers and easing of the administrative burden on employers, especially SMEs, in particular in the context of the economic difficulties faced by the EU companies during current COVID-19 crisis</w:t>
            </w:r>
          </w:p>
        </w:tc>
      </w:tr>
      <w:tr>
        <w:tc>
          <w:tcPr>
            <w:tcW w:w="8608" w:type="dxa"/>
            <w:tcBorders>
              <w:top w:val="single" w:sz="4" w:space="0" w:color="auto"/>
              <w:left w:val="single" w:sz="4" w:space="0" w:color="auto"/>
              <w:bottom w:val="single" w:sz="4" w:space="0" w:color="auto"/>
              <w:right w:val="single" w:sz="4" w:space="0" w:color="auto"/>
            </w:tcBorders>
            <w:hideMark/>
          </w:tcPr>
          <w:p>
            <w:pPr>
              <w:pStyle w:val="ListParagraph"/>
              <w:numPr>
                <w:ilvl w:val="0"/>
                <w:numId w:val="9"/>
              </w:numPr>
              <w:jc w:val="both"/>
              <w:rPr>
                <w:noProof/>
              </w:rPr>
            </w:pPr>
            <w:r>
              <w:rPr>
                <w:noProof/>
              </w:rPr>
              <w:t>While respecting the Union law, have special circumstances applying in individual Member States been taken into account?</w:t>
            </w:r>
          </w:p>
        </w:tc>
      </w:tr>
      <w:tr>
        <w:tc>
          <w:tcPr>
            <w:tcW w:w="8608" w:type="dxa"/>
            <w:tcBorders>
              <w:top w:val="single" w:sz="4" w:space="0" w:color="auto"/>
              <w:left w:val="single" w:sz="4" w:space="0" w:color="auto"/>
              <w:bottom w:val="single" w:sz="4" w:space="0" w:color="auto"/>
              <w:right w:val="single" w:sz="4" w:space="0" w:color="auto"/>
            </w:tcBorders>
            <w:hideMark/>
          </w:tcPr>
          <w:p>
            <w:pPr>
              <w:jc w:val="both"/>
              <w:rPr>
                <w:noProof/>
              </w:rPr>
            </w:pPr>
            <w:r>
              <w:rPr>
                <w:noProof/>
                <w:color w:val="1F497D" w:themeColor="text2"/>
              </w:rPr>
              <w:t>N/a</w:t>
            </w:r>
          </w:p>
        </w:tc>
      </w:tr>
    </w:tbl>
    <w:p>
      <w:pPr>
        <w:pStyle w:val="Text1"/>
        <w:rPr>
          <w:noProof/>
        </w:rPr>
      </w:pPr>
    </w:p>
    <w:p>
      <w:pPr>
        <w:rPr>
          <w:rFonts w:ascii="Times New Roman" w:eastAsia="Times New Roman" w:hAnsi="Times New Roman" w:cs="Times New Roman"/>
          <w:b/>
          <w:noProof/>
          <w:sz w:val="24"/>
          <w:szCs w:val="20"/>
        </w:rPr>
      </w:pPr>
      <w:bookmarkStart w:id="7608" w:name="_Toc49884252"/>
      <w:bookmarkStart w:id="7609" w:name="_Toc49884328"/>
      <w:bookmarkStart w:id="7610" w:name="_Toc49893584"/>
      <w:bookmarkStart w:id="7611" w:name="_Toc49933972"/>
      <w:bookmarkStart w:id="7612" w:name="_Toc49937859"/>
      <w:bookmarkStart w:id="7613" w:name="_Toc49939052"/>
      <w:bookmarkStart w:id="7614" w:name="_Toc49939255"/>
      <w:bookmarkStart w:id="7615" w:name="_Toc49942105"/>
      <w:bookmarkStart w:id="7616" w:name="_Toc49948573"/>
      <w:bookmarkStart w:id="7617" w:name="_Toc49953047"/>
      <w:bookmarkStart w:id="7618" w:name="_Toc49954352"/>
      <w:bookmarkStart w:id="7619" w:name="_Toc49954797"/>
      <w:bookmarkStart w:id="7620" w:name="_Toc49955226"/>
      <w:bookmarkStart w:id="7621" w:name="_Toc49955814"/>
      <w:bookmarkStart w:id="7622" w:name="_Toc49958314"/>
      <w:bookmarkStart w:id="7623" w:name="_Toc49958509"/>
      <w:bookmarkStart w:id="7624" w:name="_Toc49962001"/>
      <w:bookmarkStart w:id="7625" w:name="_Toc49963188"/>
      <w:bookmarkStart w:id="7626" w:name="_Toc53678230"/>
      <w:bookmarkStart w:id="7627" w:name="_Toc53678450"/>
      <w:bookmarkStart w:id="7628" w:name="_Toc53678772"/>
      <w:bookmarkStart w:id="7629" w:name="_Toc53680121"/>
      <w:bookmarkStart w:id="7630" w:name="_Toc54289136"/>
      <w:bookmarkStart w:id="7631" w:name="_Toc54290637"/>
      <w:bookmarkStart w:id="7632" w:name="_Toc54291006"/>
      <w:bookmarkStart w:id="7633" w:name="_Toc54292129"/>
      <w:bookmarkStart w:id="7634" w:name="_Toc54340688"/>
      <w:r>
        <w:rPr>
          <w:noProof/>
        </w:rPr>
        <w:br w:type="page"/>
      </w:r>
    </w:p>
    <w:p>
      <w:pPr>
        <w:pStyle w:val="Heading2"/>
        <w:rPr>
          <w:noProof/>
        </w:rPr>
      </w:pPr>
      <w:bookmarkStart w:id="7635" w:name="_Toc54345789"/>
      <w:bookmarkStart w:id="7636" w:name="_Toc54348801"/>
      <w:bookmarkStart w:id="7637" w:name="_Toc54355131"/>
      <w:bookmarkStart w:id="7638" w:name="_Toc54355184"/>
      <w:bookmarkStart w:id="7639" w:name="_Toc54355656"/>
      <w:bookmarkStart w:id="7640" w:name="_Toc54355804"/>
      <w:bookmarkStart w:id="7641" w:name="_Toc54356158"/>
      <w:bookmarkStart w:id="7642" w:name="_Toc54356709"/>
      <w:bookmarkStart w:id="7643" w:name="_Toc54357576"/>
      <w:bookmarkStart w:id="7644" w:name="_Toc54357673"/>
      <w:bookmarkStart w:id="7645" w:name="_Toc54364624"/>
      <w:bookmarkStart w:id="7646" w:name="_Toc54371232"/>
      <w:bookmarkStart w:id="7647" w:name="_Toc54372069"/>
      <w:bookmarkStart w:id="7648" w:name="_Toc54376676"/>
      <w:bookmarkStart w:id="7649" w:name="_Toc58767228"/>
      <w:bookmarkStart w:id="7650" w:name="_Toc58769531"/>
      <w:bookmarkStart w:id="7651" w:name="_Toc58863871"/>
      <w:bookmarkStart w:id="7652" w:name="_Toc58868898"/>
      <w:bookmarkStart w:id="7653" w:name="_Toc58870729"/>
      <w:bookmarkStart w:id="7654" w:name="_Toc58870967"/>
      <w:bookmarkStart w:id="7655" w:name="_Toc58871873"/>
      <w:bookmarkStart w:id="7656" w:name="_Toc58872088"/>
      <w:bookmarkStart w:id="7657" w:name="_Toc58922830"/>
      <w:bookmarkStart w:id="7658" w:name="_Toc58925418"/>
      <w:bookmarkStart w:id="7659" w:name="_Toc58928914"/>
      <w:bookmarkStart w:id="7660" w:name="_Toc58931285"/>
      <w:bookmarkStart w:id="7661" w:name="_Toc58931919"/>
      <w:bookmarkStart w:id="7662" w:name="_Toc58950523"/>
      <w:bookmarkStart w:id="7663" w:name="_Toc58956817"/>
      <w:bookmarkStart w:id="7664" w:name="_Toc58957980"/>
      <w:bookmarkStart w:id="7665" w:name="_Toc58962513"/>
      <w:bookmarkStart w:id="7666" w:name="_Toc59096546"/>
      <w:bookmarkStart w:id="7667" w:name="_Toc59103142"/>
      <w:bookmarkStart w:id="7668" w:name="_Toc59104993"/>
      <w:bookmarkStart w:id="7669" w:name="_Toc59119953"/>
      <w:bookmarkStart w:id="7670" w:name="_Toc59121217"/>
      <w:bookmarkStart w:id="7671" w:name="_Toc59121336"/>
      <w:bookmarkStart w:id="7672" w:name="_Toc59549389"/>
      <w:bookmarkStart w:id="7673" w:name="_Toc59642342"/>
      <w:r>
        <w:rPr>
          <w:noProof/>
        </w:rPr>
        <w:t>Annex 8: Job evaluation systems</w:t>
      </w:r>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p>
    <w:p>
      <w:pPr>
        <w:pStyle w:val="paragraph"/>
        <w:spacing w:line="276" w:lineRule="auto"/>
        <w:jc w:val="both"/>
        <w:textAlignment w:val="baseline"/>
        <w:rPr>
          <w:rStyle w:val="normaltextrun"/>
          <w:noProof/>
          <w:lang w:val="en-GB"/>
        </w:rPr>
      </w:pPr>
      <w:r>
        <w:rPr>
          <w:rStyle w:val="normaltextrun"/>
          <w:noProof/>
          <w:lang w:val="en-GB"/>
        </w:rPr>
        <w:t>The 2020 evaluation found that the issue of promotion, development and use of gender-neutral job evaluation and classification has significant relevance in 12 Member States, moderate significance in 8 and limited significance in 7 Member States.</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F2F2F2" w:fill="F2F2F2"/>
        <w:tblLayout w:type="fixed"/>
        <w:tblCellMar>
          <w:left w:w="0" w:type="dxa"/>
          <w:right w:w="0" w:type="dxa"/>
        </w:tblCellMar>
        <w:tblLook w:val="0000" w:firstRow="0" w:lastRow="0" w:firstColumn="0" w:lastColumn="0" w:noHBand="0" w:noVBand="0"/>
      </w:tblPr>
      <w:tblGrid>
        <w:gridCol w:w="3959"/>
        <w:gridCol w:w="30"/>
        <w:gridCol w:w="4658"/>
      </w:tblGrid>
      <w:tr>
        <w:trPr>
          <w:jc w:val="center"/>
        </w:trPr>
        <w:tc>
          <w:tcPr>
            <w:tcW w:w="3964" w:type="dxa"/>
            <w:shd w:val="clear" w:color="auto" w:fill="002395"/>
            <w:vAlign w:val="center"/>
          </w:tcPr>
          <w:p>
            <w:pPr>
              <w:pStyle w:val="TableHeading"/>
              <w:jc w:val="both"/>
              <w:rPr>
                <w:rFonts w:ascii="Times New Roman" w:hAnsi="Times New Roman" w:cs="Times New Roman"/>
                <w:noProof/>
              </w:rPr>
            </w:pPr>
            <w:r>
              <w:rPr>
                <w:rFonts w:ascii="Times New Roman" w:hAnsi="Times New Roman" w:cs="Times New Roman"/>
                <w:noProof/>
              </w:rPr>
              <w:t>Actions to promote gender-neutral job classification and evaluation since 2006</w:t>
            </w:r>
          </w:p>
        </w:tc>
        <w:tc>
          <w:tcPr>
            <w:tcW w:w="20" w:type="dxa"/>
            <w:shd w:val="clear" w:color="auto" w:fill="002395"/>
            <w:vAlign w:val="center"/>
          </w:tcPr>
          <w:p>
            <w:pPr>
              <w:pStyle w:val="TableHeading"/>
              <w:jc w:val="both"/>
              <w:rPr>
                <w:rFonts w:ascii="Times New Roman" w:hAnsi="Times New Roman" w:cs="Times New Roman"/>
                <w:noProof/>
              </w:rPr>
            </w:pPr>
          </w:p>
        </w:tc>
        <w:tc>
          <w:tcPr>
            <w:tcW w:w="4663" w:type="dxa"/>
            <w:shd w:val="clear" w:color="auto" w:fill="002395"/>
            <w:vAlign w:val="center"/>
          </w:tcPr>
          <w:p>
            <w:pPr>
              <w:pStyle w:val="TableHeading"/>
              <w:jc w:val="both"/>
              <w:rPr>
                <w:rFonts w:ascii="Times New Roman" w:hAnsi="Times New Roman" w:cs="Times New Roman"/>
                <w:noProof/>
              </w:rPr>
            </w:pPr>
            <w:r>
              <w:rPr>
                <w:rFonts w:ascii="Times New Roman" w:hAnsi="Times New Roman" w:cs="Times New Roman"/>
                <w:noProof/>
              </w:rPr>
              <w:t>Member States</w:t>
            </w:r>
          </w:p>
        </w:tc>
      </w:tr>
      <w:tr>
        <w:trPr>
          <w:trHeight w:val="567"/>
          <w:jc w:val="center"/>
        </w:trPr>
        <w:tc>
          <w:tcPr>
            <w:tcW w:w="3964" w:type="dxa"/>
            <w:shd w:val="clear" w:color="auto" w:fill="F2F2F2" w:themeFill="background1" w:themeFillShade="F2"/>
            <w:vAlign w:val="center"/>
          </w:tcPr>
          <w:p>
            <w:pPr>
              <w:pStyle w:val="TableText"/>
              <w:ind w:right="139"/>
              <w:jc w:val="both"/>
              <w:rPr>
                <w:rFonts w:ascii="Times New Roman" w:hAnsi="Times New Roman" w:cs="Times New Roman"/>
                <w:noProof/>
              </w:rPr>
            </w:pPr>
            <w:r>
              <w:rPr>
                <w:rFonts w:ascii="Times New Roman" w:hAnsi="Times New Roman" w:cs="Times New Roman"/>
                <w:noProof/>
              </w:rPr>
              <w:t>Since 2006, national legislation included the obligation of gender-neutral job evaluation and classification systems</w:t>
            </w:r>
            <w:r>
              <w:rPr>
                <w:rStyle w:val="FootnoteReference"/>
                <w:rFonts w:ascii="Times New Roman" w:hAnsi="Times New Roman" w:cs="Times New Roman"/>
                <w:noProof/>
              </w:rPr>
              <w:footnoteReference w:id="249"/>
            </w:r>
          </w:p>
        </w:tc>
        <w:tc>
          <w:tcPr>
            <w:tcW w:w="4683" w:type="dxa"/>
            <w:gridSpan w:val="2"/>
            <w:shd w:val="clear" w:color="auto" w:fill="F2F2F2" w:themeFill="background1" w:themeFillShade="F2"/>
            <w:vAlign w:val="center"/>
          </w:tcPr>
          <w:p>
            <w:pPr>
              <w:pStyle w:val="TableText"/>
              <w:jc w:val="both"/>
              <w:rPr>
                <w:rFonts w:ascii="Times New Roman" w:hAnsi="Times New Roman" w:cs="Times New Roman"/>
                <w:noProof/>
                <w:lang w:val="fr-BE"/>
              </w:rPr>
            </w:pPr>
            <w:r>
              <w:rPr>
                <w:rFonts w:ascii="Times New Roman" w:hAnsi="Times New Roman" w:cs="Times New Roman"/>
                <w:noProof/>
                <w:lang w:val="fr-BE"/>
              </w:rPr>
              <w:t>BE</w:t>
            </w:r>
            <w:r>
              <w:rPr>
                <w:rStyle w:val="FootnoteReference"/>
                <w:rFonts w:ascii="Times New Roman" w:hAnsi="Times New Roman" w:cs="Times New Roman"/>
                <w:noProof/>
              </w:rPr>
              <w:footnoteReference w:id="250"/>
            </w:r>
            <w:r>
              <w:rPr>
                <w:rFonts w:ascii="Times New Roman" w:hAnsi="Times New Roman" w:cs="Times New Roman"/>
                <w:noProof/>
                <w:lang w:val="fr-BE"/>
              </w:rPr>
              <w:t>, CY, DE, EL, ES, FR, IT, LT, MT, PT, SE, SI, SK, UK</w:t>
            </w:r>
          </w:p>
        </w:tc>
      </w:tr>
      <w:tr>
        <w:trPr>
          <w:trHeight w:val="567"/>
          <w:jc w:val="center"/>
        </w:trPr>
        <w:tc>
          <w:tcPr>
            <w:tcW w:w="3964" w:type="dxa"/>
            <w:shd w:val="clear" w:color="auto" w:fill="F2F2F2" w:themeFill="background1" w:themeFillShade="F2"/>
            <w:vAlign w:val="center"/>
          </w:tcPr>
          <w:p>
            <w:pPr>
              <w:pStyle w:val="TableText"/>
              <w:ind w:right="139"/>
              <w:jc w:val="both"/>
              <w:rPr>
                <w:rFonts w:ascii="Times New Roman" w:hAnsi="Times New Roman" w:cs="Times New Roman"/>
                <w:noProof/>
              </w:rPr>
            </w:pPr>
            <w:r>
              <w:rPr>
                <w:rFonts w:ascii="Times New Roman" w:hAnsi="Times New Roman" w:cs="Times New Roman"/>
                <w:noProof/>
              </w:rPr>
              <w:t>Training programmes to assist employers in implementing gender-neutral job classification systems</w:t>
            </w:r>
            <w:r>
              <w:rPr>
                <w:rStyle w:val="FootnoteReference"/>
                <w:rFonts w:ascii="Times New Roman" w:hAnsi="Times New Roman" w:cs="Times New Roman"/>
                <w:noProof/>
              </w:rPr>
              <w:footnoteReference w:id="251"/>
            </w:r>
            <w:r>
              <w:rPr>
                <w:rFonts w:ascii="Times New Roman" w:hAnsi="Times New Roman" w:cs="Times New Roman"/>
                <w:noProof/>
              </w:rPr>
              <w:br/>
            </w:r>
          </w:p>
        </w:tc>
        <w:tc>
          <w:tcPr>
            <w:tcW w:w="4683" w:type="dxa"/>
            <w:gridSpan w:val="2"/>
            <w:shd w:val="clear" w:color="auto" w:fill="F2F2F2" w:themeFill="background1" w:themeFillShade="F2"/>
            <w:vAlign w:val="center"/>
          </w:tcPr>
          <w:p>
            <w:pPr>
              <w:pStyle w:val="TableText"/>
              <w:jc w:val="both"/>
              <w:rPr>
                <w:rFonts w:ascii="Times New Roman" w:hAnsi="Times New Roman" w:cs="Times New Roman"/>
                <w:noProof/>
                <w:lang w:val="fr-BE"/>
              </w:rPr>
            </w:pPr>
            <w:r>
              <w:rPr>
                <w:rFonts w:ascii="Times New Roman" w:hAnsi="Times New Roman" w:cs="Times New Roman"/>
                <w:noProof/>
                <w:lang w:val="fr-BE"/>
              </w:rPr>
              <w:t>BE, CY, EE, LU, SE</w:t>
            </w:r>
          </w:p>
        </w:tc>
      </w:tr>
      <w:tr>
        <w:trPr>
          <w:trHeight w:val="567"/>
          <w:jc w:val="center"/>
        </w:trPr>
        <w:tc>
          <w:tcPr>
            <w:tcW w:w="3964" w:type="dxa"/>
            <w:shd w:val="clear" w:color="auto" w:fill="F2F2F2" w:themeFill="background1" w:themeFillShade="F2"/>
            <w:vAlign w:val="center"/>
          </w:tcPr>
          <w:p>
            <w:pPr>
              <w:pStyle w:val="TableText"/>
              <w:ind w:right="139"/>
              <w:jc w:val="both"/>
              <w:rPr>
                <w:rFonts w:ascii="Times New Roman" w:hAnsi="Times New Roman" w:cs="Times New Roman"/>
                <w:noProof/>
              </w:rPr>
            </w:pPr>
            <w:r>
              <w:rPr>
                <w:rFonts w:ascii="Times New Roman" w:hAnsi="Times New Roman" w:cs="Times New Roman"/>
                <w:noProof/>
              </w:rPr>
              <w:t>Establishment of guides and checklists for job evaluation and classification that avoid gender bias</w:t>
            </w:r>
            <w:r>
              <w:rPr>
                <w:rStyle w:val="FootnoteReference"/>
                <w:rFonts w:ascii="Times New Roman" w:hAnsi="Times New Roman" w:cs="Times New Roman"/>
                <w:noProof/>
              </w:rPr>
              <w:footnoteReference w:id="252"/>
            </w:r>
          </w:p>
        </w:tc>
        <w:tc>
          <w:tcPr>
            <w:tcW w:w="4683" w:type="dxa"/>
            <w:gridSpan w:val="2"/>
            <w:shd w:val="clear" w:color="auto" w:fill="F2F2F2" w:themeFill="background1" w:themeFillShade="F2"/>
            <w:vAlign w:val="center"/>
          </w:tcPr>
          <w:p>
            <w:pPr>
              <w:pStyle w:val="TableText"/>
              <w:jc w:val="both"/>
              <w:rPr>
                <w:rFonts w:ascii="Times New Roman" w:hAnsi="Times New Roman" w:cs="Times New Roman"/>
                <w:noProof/>
              </w:rPr>
            </w:pPr>
            <w:r>
              <w:rPr>
                <w:rFonts w:ascii="Times New Roman" w:hAnsi="Times New Roman" w:cs="Times New Roman"/>
                <w:noProof/>
              </w:rPr>
              <w:t xml:space="preserve">AT, BE, BG, EE, FR, LU, NL, PT, SE, UK </w:t>
            </w:r>
          </w:p>
        </w:tc>
      </w:tr>
      <w:tr>
        <w:trPr>
          <w:trHeight w:val="567"/>
          <w:jc w:val="center"/>
        </w:trPr>
        <w:tc>
          <w:tcPr>
            <w:tcW w:w="3964" w:type="dxa"/>
            <w:shd w:val="clear" w:color="auto" w:fill="F2F2F2" w:themeFill="background1" w:themeFillShade="F2"/>
            <w:vAlign w:val="center"/>
          </w:tcPr>
          <w:p>
            <w:pPr>
              <w:pStyle w:val="TableText"/>
              <w:ind w:right="139"/>
              <w:jc w:val="both"/>
              <w:rPr>
                <w:rFonts w:ascii="Times New Roman" w:hAnsi="Times New Roman" w:cs="Times New Roman"/>
                <w:noProof/>
              </w:rPr>
            </w:pPr>
            <w:r>
              <w:rPr>
                <w:rFonts w:ascii="Times New Roman" w:hAnsi="Times New Roman" w:cs="Times New Roman"/>
                <w:noProof/>
              </w:rPr>
              <w:t>Reported issue of lack of development of gender-neutral job classification system in practice</w:t>
            </w:r>
          </w:p>
        </w:tc>
        <w:tc>
          <w:tcPr>
            <w:tcW w:w="4683" w:type="dxa"/>
            <w:gridSpan w:val="2"/>
            <w:shd w:val="clear" w:color="auto" w:fill="F2F2F2" w:themeFill="background1" w:themeFillShade="F2"/>
            <w:vAlign w:val="center"/>
          </w:tcPr>
          <w:p>
            <w:pPr>
              <w:pStyle w:val="TableText"/>
              <w:jc w:val="both"/>
              <w:rPr>
                <w:rFonts w:ascii="Times New Roman" w:hAnsi="Times New Roman" w:cs="Times New Roman"/>
                <w:noProof/>
              </w:rPr>
            </w:pPr>
            <w:bookmarkStart w:id="7674" w:name="_Hlk12021314"/>
            <w:r>
              <w:rPr>
                <w:rFonts w:ascii="Times New Roman" w:hAnsi="Times New Roman" w:cs="Times New Roman"/>
                <w:noProof/>
              </w:rPr>
              <w:t>AT, BG, CZ, DK, EE, EL, IT, LT, LV</w:t>
            </w:r>
            <w:bookmarkEnd w:id="7674"/>
            <w:r>
              <w:rPr>
                <w:rFonts w:ascii="Times New Roman" w:hAnsi="Times New Roman" w:cs="Times New Roman"/>
                <w:noProof/>
              </w:rPr>
              <w:t>, MT</w:t>
            </w:r>
          </w:p>
        </w:tc>
      </w:tr>
    </w:tbl>
    <w:p>
      <w:pPr>
        <w:pStyle w:val="paragraph"/>
        <w:spacing w:line="276" w:lineRule="auto"/>
        <w:jc w:val="both"/>
        <w:textAlignment w:val="baseline"/>
        <w:rPr>
          <w:i/>
          <w:noProof/>
          <w:sz w:val="18"/>
          <w:lang w:val="en-GB"/>
        </w:rPr>
      </w:pPr>
      <w:r>
        <w:rPr>
          <w:i/>
          <w:noProof/>
          <w:sz w:val="18"/>
          <w:lang w:val="en-GB"/>
        </w:rPr>
        <w:t>Source: ICF, 2019.</w:t>
      </w:r>
    </w:p>
    <w:sectPr>
      <w:headerReference w:type="even" r:id="rId226"/>
      <w:headerReference w:type="default" r:id="rId227"/>
      <w:footerReference w:type="even" r:id="rId228"/>
      <w:footerReference w:type="default" r:id="rId229"/>
      <w:headerReference w:type="first" r:id="rId230"/>
      <w:footerReference w:type="first" r:id="rId231"/>
      <w:pgSz w:w="11906" w:h="16838"/>
      <w:pgMar w:top="1020" w:right="1701" w:bottom="1020" w:left="1587" w:header="601" w:footer="1077" w:gutter="0"/>
      <w:cols w:space="720"/>
      <w:titlePg/>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C515295" w16cex:dateUtc="2020-12-21T10:49:32.273Z"/>
</w16cex:commentsExtensible>
</file>

<file path=word/commentsIds.xml><?xml version="1.0" encoding="utf-8"?>
<w16cid:commentsIds xmlns:mc="http://schemas.openxmlformats.org/markup-compatibility/2006" xmlns:w16cid="http://schemas.microsoft.com/office/word/2016/wordml/cid" mc:Ignorable="w16cid">
  <w16cid:commentId w16cid:paraId="6B18A71E" w16cid:durableId="6FCD3E13"/>
  <w16cid:commentId w16cid:paraId="00DB3ACE" w16cid:durableId="282D3519"/>
  <w16cid:commentId w16cid:paraId="511881CE" w16cid:durableId="4C20DB24"/>
  <w16cid:commentId w16cid:paraId="473AC2A1" w16cid:durableId="56E0B6EC"/>
  <w16cid:commentId w16cid:paraId="1AEC3B48" w16cid:durableId="4D0A0AA4"/>
  <w16cid:commentId w16cid:paraId="0B23ED7D" w16cid:durableId="39EC19A4"/>
  <w16cid:commentId w16cid:paraId="0CE47120" w16cid:durableId="389FBE12"/>
  <w16cid:commentId w16cid:paraId="5E67470F" w16cid:durableId="7AA1C7C2"/>
  <w16cid:commentId w16cid:paraId="42F14F41" w16cid:durableId="08B55743"/>
  <w16cid:commentId w16cid:paraId="1357BE8B" w16cid:durableId="5F414D2F"/>
  <w16cid:commentId w16cid:paraId="5276B3C1" w16cid:durableId="02C158D2"/>
  <w16cid:commentId w16cid:paraId="3FFFAE4B" w16cid:durableId="6D311E2B"/>
  <w16cid:commentId w16cid:paraId="6C083822" w16cid:durableId="24611F8C"/>
  <w16cid:commentId w16cid:paraId="5C2FF795" w16cid:durableId="75FB3DBE"/>
  <w16cid:commentId w16cid:paraId="5A328267" w16cid:durableId="052754C7"/>
  <w16cid:commentId w16cid:paraId="45C71AFD" w16cid:durableId="3062608C"/>
  <w16cid:commentId w16cid:paraId="5CFD9726" w16cid:durableId="5D11828C"/>
  <w16cid:commentId w16cid:paraId="5E796B9A" w16cid:durableId="5B7B4B0D"/>
  <w16cid:commentId w16cid:paraId="797B2D62" w16cid:durableId="1AFD7C73"/>
  <w16cid:commentId w16cid:paraId="4BA86DA2" w16cid:durableId="24FEAB1F"/>
  <w16cid:commentId w16cid:paraId="5BF10B87" w16cid:durableId="499EBAFA"/>
  <w16cid:commentId w16cid:paraId="161963C1" w16cid:durableId="5B8F2FE8"/>
  <w16cid:commentId w16cid:paraId="20A1E12D" w16cid:durableId="7F6F1A03"/>
  <w16cid:commentId w16cid:paraId="5FE8BF61" w16cid:durableId="1D4F85EF"/>
  <w16cid:commentId w16cid:paraId="1AA1DC6A" w16cid:durableId="6707670D"/>
  <w16cid:commentId w16cid:paraId="71BB4FB1" w16cid:durableId="257DD462"/>
  <w16cid:commentId w16cid:paraId="5CB90EC0" w16cid:durableId="11E68924"/>
  <w16cid:commentId w16cid:paraId="78A3EB16" w16cid:durableId="242591E3"/>
  <w16cid:commentId w16cid:paraId="39FCFFF4" w16cid:durableId="3F375B6A"/>
  <w16cid:commentId w16cid:paraId="7B441518" w16cid:durableId="25A266C9"/>
  <w16cid:commentId w16cid:paraId="2DF66E41" w16cid:durableId="48AF6B4A"/>
  <w16cid:commentId w16cid:paraId="18C31DD4" w16cid:durableId="4E02A1F1"/>
  <w16cid:commentId w16cid:paraId="65497EBC" w16cid:durableId="39EB96AB"/>
  <w16cid:commentId w16cid:paraId="52AEFB3A" w16cid:durableId="6BCCA3B0"/>
  <w16cid:commentId w16cid:paraId="331DC2A2" w16cid:durableId="01B2F636"/>
  <w16cid:commentId w16cid:paraId="6A7F63B9" w16cid:durableId="2D675DD9"/>
  <w16cid:commentId w16cid:paraId="32B9C66B" w16cid:durableId="27D0B309"/>
  <w16cid:commentId w16cid:paraId="494735D1" w16cid:durableId="2B93D581"/>
  <w16cid:commentId w16cid:paraId="382FC120" w16cid:durableId="5D4859AB"/>
  <w16cid:commentId w16cid:paraId="2481C3A4" w16cid:durableId="77D01CB7"/>
  <w16cid:commentId w16cid:paraId="32341D59" w16cid:durableId="439A0A16"/>
  <w16cid:commentId w16cid:paraId="27E39D9F" w16cid:durableId="3F91FFCA"/>
  <w16cid:commentId w16cid:paraId="0FCE0147" w16cid:durableId="5F373A77"/>
  <w16cid:commentId w16cid:paraId="12A26176" w16cid:durableId="6E432DFB"/>
  <w16cid:commentId w16cid:paraId="0C759C3F" w16cid:durableId="1FF87004"/>
  <w16cid:commentId w16cid:paraId="6DD8890F" w16cid:durableId="3699C391"/>
  <w16cid:commentId w16cid:paraId="31A207F0" w16cid:durableId="046E410F"/>
  <w16cid:commentId w16cid:paraId="6D248C1E" w16cid:durableId="398E2191"/>
  <w16cid:commentId w16cid:paraId="72D304E7" w16cid:durableId="65630E4C"/>
  <w16cid:commentId w16cid:paraId="11975CBB" w16cid:durableId="2063016B"/>
  <w16cid:commentId w16cid:paraId="477E494A" w16cid:durableId="1DD25C79"/>
  <w16cid:commentId w16cid:paraId="1A7B895C" w16cid:durableId="16FC5CCE"/>
  <w16cid:commentId w16cid:paraId="5A34F27E" w16cid:durableId="38110142"/>
  <w16cid:commentId w16cid:paraId="0BF7D089" w16cid:durableId="571A3596"/>
  <w16cid:commentId w16cid:paraId="2D3CB8FA" w16cid:durableId="511B61BD"/>
  <w16cid:commentId w16cid:paraId="0DB47F88" w16cid:durableId="143E0E2B"/>
  <w16cid:commentId w16cid:paraId="003DDF5B" w16cid:durableId="28BE1B15"/>
  <w16cid:commentId w16cid:paraId="2196212B" w16cid:durableId="2ED15535"/>
  <w16cid:commentId w16cid:paraId="0F9D7667" w16cid:durableId="6FD94FDE"/>
  <w16cid:commentId w16cid:paraId="7FE17F20" w16cid:durableId="278C3642"/>
  <w16cid:commentId w16cid:paraId="14A7BEB0" w16cid:durableId="28059080"/>
  <w16cid:commentId w16cid:paraId="3D98C362" w16cid:durableId="147A2C2F"/>
  <w16cid:commentId w16cid:paraId="095C5681" w16cid:durableId="3B6A6C58"/>
  <w16cid:commentId w16cid:paraId="255F309C" w16cid:durableId="6312F079"/>
  <w16cid:commentId w16cid:paraId="2661678A" w16cid:durableId="1691E1E5"/>
  <w16cid:commentId w16cid:paraId="2BF58D39" w16cid:durableId="34BEB6E0"/>
  <w16cid:commentId w16cid:paraId="72803E91" w16cid:durableId="33458780"/>
  <w16cid:commentId w16cid:paraId="37380AF3" w16cid:durableId="38947BDB"/>
  <w16cid:commentId w16cid:paraId="649262F0" w16cid:durableId="74484788"/>
  <w16cid:commentId w16cid:paraId="631DE414" w16cid:durableId="57BFF6ED"/>
  <w16cid:commentId w16cid:paraId="26B4FBA8" w16cid:durableId="0891AD83"/>
  <w16cid:commentId w16cid:paraId="4BBD26EB" w16cid:durableId="317DAD0B"/>
  <w16cid:commentId w16cid:paraId="777C8D24" w16cid:durableId="7E32F161"/>
  <w16cid:commentId w16cid:paraId="0CEEA7B0" w16cid:durableId="232D5FBB"/>
  <w16cid:commentId w16cid:paraId="4CBA7995" w16cid:durableId="6164A108"/>
  <w16cid:commentId w16cid:paraId="3954029C" w16cid:durableId="0A0CBB30"/>
  <w16cid:commentId w16cid:paraId="44F18DD1" w16cid:durableId="7C57F570"/>
  <w16cid:commentId w16cid:paraId="71BD7FE8" w16cid:durableId="112BEC08"/>
  <w16cid:commentId w16cid:paraId="636C9661" w16cid:durableId="7D5715EA"/>
  <w16cid:commentId w16cid:paraId="051F13A9" w16cid:durableId="306DA37C"/>
  <w16cid:commentId w16cid:paraId="4AE81577" w16cid:durableId="210F9353"/>
  <w16cid:commentId w16cid:paraId="28C8E2E8" w16cid:durableId="58586792"/>
  <w16cid:commentId w16cid:paraId="1FD0D3EE" w16cid:durableId="3EC28396"/>
  <w16cid:commentId w16cid:paraId="07CB494F" w16cid:durableId="1ED459FF"/>
  <w16cid:commentId w16cid:paraId="586EA5BD" w16cid:durableId="07D00A50"/>
  <w16cid:commentId w16cid:paraId="4488E8F9" w16cid:durableId="31B30E7C"/>
  <w16cid:commentId w16cid:paraId="0FCE567A" w16cid:durableId="15F1A0AF"/>
  <w16cid:commentId w16cid:paraId="5E752454" w16cid:durableId="62D16114"/>
  <w16cid:commentId w16cid:paraId="3D60EFAC" w16cid:durableId="1AB141F3"/>
  <w16cid:commentId w16cid:paraId="6E4E3378" w16cid:durableId="6D74E80A"/>
  <w16cid:commentId w16cid:paraId="7D9C2AE7" w16cid:durableId="04A942C4"/>
  <w16cid:commentId w16cid:paraId="5C4EC12C" w16cid:durableId="78FF5DD3"/>
  <w16cid:commentId w16cid:paraId="1A8A6A2C" w16cid:durableId="3BBA85A2"/>
  <w16cid:commentId w16cid:paraId="1C478A11" w16cid:durableId="35BC2369"/>
  <w16cid:commentId w16cid:paraId="636A30CA" w16cid:durableId="4FCA8C37"/>
  <w16cid:commentId w16cid:paraId="75232C15" w16cid:durableId="2F1FDDE7"/>
  <w16cid:commentId w16cid:paraId="1D2CF72C" w16cid:durableId="04279372"/>
  <w16cid:commentId w16cid:paraId="1067DB7A" w16cid:durableId="7C2449FD"/>
  <w16cid:commentId w16cid:paraId="5F5B692F" w16cid:durableId="57B14C16"/>
  <w16cid:commentId w16cid:paraId="0E34701C" w16cid:durableId="6B39B923"/>
  <w16cid:commentId w16cid:paraId="4185CE38" w16cid:durableId="03543C11"/>
  <w16cid:commentId w16cid:paraId="32E2947E" w16cid:durableId="4BD9C533"/>
  <w16cid:commentId w16cid:paraId="5100EC76" w16cid:durableId="4545DA08"/>
  <w16cid:commentId w16cid:paraId="621204AC" w16cid:durableId="0DA3175F"/>
  <w16cid:commentId w16cid:paraId="0D03AB59" w16cid:durableId="17D153E8"/>
  <w16cid:commentId w16cid:paraId="2179589E" w16cid:durableId="6C54AF6D"/>
  <w16cid:commentId w16cid:paraId="74BAE57B" w16cid:durableId="18C96B6C"/>
  <w16cid:commentId w16cid:paraId="2430E6BD" w16cid:durableId="14E3A187"/>
  <w16cid:commentId w16cid:paraId="69028BD7" w16cid:durableId="75B5948D"/>
  <w16cid:commentId w16cid:paraId="0B879254" w16cid:durableId="470EA68D"/>
  <w16cid:commentId w16cid:paraId="362C9144" w16cid:durableId="17E618BA"/>
  <w16cid:commentId w16cid:paraId="1EF27E03" w16cid:durableId="17922F0D"/>
  <w16cid:commentId w16cid:paraId="10289207" w16cid:durableId="317A3F4A"/>
  <w16cid:commentId w16cid:paraId="299F29CC" w16cid:durableId="3F6BAC62"/>
  <w16cid:commentId w16cid:paraId="7AB6F220" w16cid:durableId="067CA2EF"/>
  <w16cid:commentId w16cid:paraId="47B93AA4" w16cid:durableId="4FAD28ED"/>
  <w16cid:commentId w16cid:paraId="6A590927" w16cid:durableId="55B7A898"/>
  <w16cid:commentId w16cid:paraId="72C695C0" w16cid:durableId="1C961259"/>
  <w16cid:commentId w16cid:paraId="1B008626" w16cid:durableId="5B42E629"/>
  <w16cid:commentId w16cid:paraId="40A72677" w16cid:durableId="64DED368"/>
  <w16cid:commentId w16cid:paraId="239453A2" w16cid:durableId="1ECD1631"/>
  <w16cid:commentId w16cid:paraId="2A0B5DAE" w16cid:durableId="5074266B"/>
  <w16cid:commentId w16cid:paraId="72121E2A" w16cid:durableId="1DE339E8"/>
  <w16cid:commentId w16cid:paraId="090925FA" w16cid:durableId="06D35F7E"/>
  <w16cid:commentId w16cid:paraId="49B07771" w16cid:durableId="5316B429"/>
  <w16cid:commentId w16cid:paraId="66D95CDB" w16cid:durableId="0F924FAF"/>
  <w16cid:commentId w16cid:paraId="56FAC9CA" w16cid:durableId="75C32768"/>
  <w16cid:commentId w16cid:paraId="1380C71F" w16cid:durableId="4876CDF8"/>
  <w16cid:commentId w16cid:paraId="6D8FDBB1" w16cid:durableId="5362D383"/>
  <w16cid:commentId w16cid:paraId="37314135" w16cid:durableId="3244C321"/>
  <w16cid:commentId w16cid:paraId="49106F78" w16cid:durableId="05E527BE"/>
  <w16cid:commentId w16cid:paraId="7353EC15" w16cid:durableId="0033AB73"/>
  <w16cid:commentId w16cid:paraId="1411DBB1" w16cid:durableId="397A9FF1"/>
  <w16cid:commentId w16cid:paraId="15F4138E" w16cid:durableId="121D5CC7"/>
  <w16cid:commentId w16cid:paraId="625A68E7" w16cid:durableId="2D19676B"/>
  <w16cid:commentId w16cid:paraId="3097BF23" w16cid:durableId="5535CE1F"/>
  <w16cid:commentId w16cid:paraId="2D40A1DC" w16cid:durableId="13128D8A"/>
  <w16cid:commentId w16cid:paraId="6B04D751" w16cid:durableId="311F6C37"/>
  <w16cid:commentId w16cid:paraId="1FC28331" w16cid:durableId="07030617"/>
  <w16cid:commentId w16cid:paraId="549ED7AC" w16cid:durableId="1B7B5AE2"/>
  <w16cid:commentId w16cid:paraId="31A92743" w16cid:durableId="18E9A310"/>
  <w16cid:commentId w16cid:paraId="5BDB3D2A" w16cid:durableId="010DFF28"/>
  <w16cid:commentId w16cid:paraId="6F004D40" w16cid:durableId="6D1BCC86"/>
  <w16cid:commentId w16cid:paraId="10AB0F0D" w16cid:durableId="53A29B65"/>
  <w16cid:commentId w16cid:paraId="17F01172" w16cid:durableId="558ECF50"/>
  <w16cid:commentId w16cid:paraId="23EF7C19" w16cid:durableId="6D1713B6"/>
  <w16cid:commentId w16cid:paraId="5C45D128" w16cid:durableId="47851E89"/>
  <w16cid:commentId w16cid:paraId="24591D91" w16cid:durableId="7C4ED93F"/>
  <w16cid:commentId w16cid:paraId="4B5122FE" w16cid:durableId="2F3F807A"/>
  <w16cid:commentId w16cid:paraId="5580C4D3" w16cid:durableId="001D634A"/>
  <w16cid:commentId w16cid:paraId="5F301378" w16cid:durableId="5968354E"/>
  <w16cid:commentId w16cid:paraId="1116B854" w16cid:durableId="67918118"/>
  <w16cid:commentId w16cid:paraId="0C24CF6D" w16cid:durableId="20E163D4"/>
  <w16cid:commentId w16cid:paraId="5C87AC05" w16cid:durableId="72D278AD"/>
  <w16cid:commentId w16cid:paraId="71D59862" w16cid:durableId="4C6CA2F2"/>
  <w16cid:commentId w16cid:paraId="33005D7A" w16cid:durableId="32E015A5"/>
  <w16cid:commentId w16cid:paraId="7851AB7A" w16cid:durableId="2DF68B4B"/>
  <w16cid:commentId w16cid:paraId="062413A3" w16cid:durableId="3E727A8A"/>
  <w16cid:commentId w16cid:paraId="7B07CEB3" w16cid:durableId="3A8C6335"/>
  <w16cid:commentId w16cid:paraId="6DEA88A8" w16cid:durableId="083F0439"/>
  <w16cid:commentId w16cid:paraId="3CB9A361" w16cid:durableId="0C51529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2020803070505020304"/>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ECSquareSansPro">
    <w:panose1 w:val="00000000000000000000"/>
    <w:charset w:val="00"/>
    <w:family w:val="swiss"/>
    <w:notTrueType/>
    <w:pitch w:val="default"/>
    <w:sig w:usb0="00000003" w:usb1="08070000" w:usb2="00000010" w:usb3="00000000" w:csb0="00020001" w:csb1="00000000"/>
  </w:font>
  <w:font w:name="EC Square Sans Pro">
    <w:panose1 w:val="020B0506040000020004"/>
    <w:charset w:val="00"/>
    <w:family w:val="swiss"/>
    <w:pitch w:val="variable"/>
    <w:sig w:usb0="A00002BF" w:usb1="5000E0F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114</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77650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113</w:t>
        </w:r>
        <w:r>
          <w:rPr>
            <w:noProof/>
          </w:rPr>
          <w:fldChar w:fldCharType="end"/>
        </w:r>
      </w:p>
    </w:sdtContent>
  </w:sdt>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138</w:t>
    </w:r>
    <w:r>
      <w:fldChar w:fldCharType="end"/>
    </w:r>
  </w:p>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48223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114</w:t>
        </w:r>
        <w:r>
          <w:rPr>
            <w:noProof/>
          </w:rPr>
          <w:fldChar w:fldCharType="end"/>
        </w:r>
      </w:p>
    </w:sdtContent>
  </w:sdt>
  <w:p>
    <w:pPr>
      <w:pStyle w:val="Footer"/>
    </w:pPr>
  </w:p>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157</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410425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139</w:t>
        </w:r>
        <w:r>
          <w:rPr>
            <w:noProof/>
          </w:rPr>
          <w:fldChar w:fldCharType="end"/>
        </w:r>
      </w:p>
    </w:sdtContent>
  </w:sdt>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163</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605252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158</w:t>
        </w:r>
        <w:r>
          <w:rPr>
            <w:noProof/>
          </w:rPr>
          <w:fldChar w:fldCharType="end"/>
        </w:r>
      </w:p>
    </w:sdtContent>
  </w:sdt>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163</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825407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159</w:t>
        </w:r>
        <w:r>
          <w:rPr>
            <w:noProof/>
          </w:rPr>
          <w:fldChar w:fldCharType="end"/>
        </w:r>
      </w:p>
    </w:sdtContent>
  </w:sdt>
  <w:p>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163</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58177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160</w:t>
        </w:r>
        <w:r>
          <w:rPr>
            <w:noProof/>
          </w:rPr>
          <w:fldChar w:fldCharType="end"/>
        </w:r>
      </w:p>
    </w:sdtContent>
  </w:sdt>
  <w:p>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162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805775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161</w:t>
        </w:r>
        <w:r>
          <w:rPr>
            <w:noProof/>
          </w:rPr>
          <w:fldChar w:fldCharType="end"/>
        </w:r>
      </w:p>
    </w:sdtContent>
  </w:sdt>
  <w:p>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166</w:t>
    </w:r>
    <w: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109221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163</w:t>
        </w:r>
        <w:r>
          <w:rPr>
            <w:noProof/>
          </w:rPr>
          <w:fldChar w:fldCharType="end"/>
        </w:r>
      </w:p>
    </w:sdtContent>
  </w:sdt>
  <w:p>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163</w:t>
    </w:r>
    <w: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600937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167</w:t>
        </w:r>
        <w:r>
          <w:rPr>
            <w:noProof/>
          </w:rPr>
          <w:fldChar w:fldCharType="end"/>
        </w:r>
      </w:p>
    </w:sdtContent>
  </w:sdt>
  <w:p>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570882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172</w:t>
        </w:r>
        <w:r>
          <w:rPr>
            <w:noProof/>
          </w:rPr>
          <w:fldChar w:fldCharType="end"/>
        </w:r>
      </w:p>
    </w:sdtContent>
  </w:sdt>
  <w:p>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sdt>
      <w:sdtPr>
        <w:id w:val="-119900489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168</w:t>
        </w:r>
        <w:r>
          <w:rPr>
            <w:noProof/>
          </w:rPr>
          <w:fldChar w:fldCharType="end"/>
        </w:r>
      </w:sdtContent>
    </w:sdt>
  </w:p>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6</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02002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2</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644032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112</w:t>
        </w:r>
        <w:r>
          <w:rPr>
            <w:noProof/>
          </w:rP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European Parliament and the Council, </w:t>
      </w:r>
      <w:hyperlink r:id="rId1" w:history="1">
        <w:r>
          <w:rPr>
            <w:rStyle w:val="Hyperlink"/>
            <w:rFonts w:ascii="Times New Roman" w:hAnsi="Times New Roman" w:cs="Times New Roman"/>
            <w:i/>
          </w:rPr>
          <w:t>Directive on the implementation of the principle of equal opportunities and equal treatment of women and men in matters of employment and occupation</w:t>
        </w:r>
        <w:r>
          <w:rPr>
            <w:rStyle w:val="Hyperlink"/>
            <w:rFonts w:ascii="Times New Roman" w:hAnsi="Times New Roman" w:cs="Times New Roman"/>
          </w:rPr>
          <w:t xml:space="preserve"> (recast)</w:t>
        </w:r>
      </w:hyperlink>
      <w:r>
        <w:rPr>
          <w:rFonts w:ascii="Times New Roman" w:hAnsi="Times New Roman" w:cs="Times New Roman"/>
        </w:rPr>
        <w:t>, 2006. The directive consolidated the existing directives on gender equality in the field of employment, incorporating CJEU case-law: Directive75/117/EEC on equal pay; Directive 86/378/EEC, as amended by Directive 96/97/EC, on equal treatment in occupational social security schemes; Directive 76/207/EEC, as amended by Directive 2002/73/EC, on equal treatment of women and men; Directive 97/80/EC, as amended by Directive 98/52/EC, on the burden of proof in cases of discrimination based on sex.</w:t>
      </w:r>
    </w:p>
  </w:footnote>
  <w:footnote w:id="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European Commission, </w:t>
      </w:r>
      <w:hyperlink r:id="rId2" w:history="1">
        <w:r>
          <w:rPr>
            <w:rStyle w:val="Hyperlink"/>
            <w:rFonts w:ascii="Times New Roman" w:hAnsi="Times New Roman" w:cs="Times New Roman"/>
            <w:i/>
          </w:rPr>
          <w:t>Recommendation on strengthening the principle of equal pay between women and men through transparency</w:t>
        </w:r>
      </w:hyperlink>
      <w:r>
        <w:rPr>
          <w:rFonts w:ascii="Times New Roman" w:hAnsi="Times New Roman" w:cs="Times New Roman"/>
          <w:i/>
        </w:rPr>
        <w:t xml:space="preserve">, </w:t>
      </w:r>
      <w:r>
        <w:rPr>
          <w:rFonts w:ascii="Times New Roman" w:hAnsi="Times New Roman" w:cs="Times New Roman"/>
        </w:rPr>
        <w:t>2014.</w:t>
      </w:r>
    </w:p>
  </w:footnote>
  <w:footnote w:id="4">
    <w:p>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cs="Times New Roman"/>
        </w:rPr>
        <w:t xml:space="preserve"> </w:t>
      </w:r>
      <w:r>
        <w:rPr>
          <w:rFonts w:ascii="Times New Roman" w:hAnsi="Times New Roman" w:cs="Times New Roman"/>
          <w:lang w:val="en-IE"/>
        </w:rPr>
        <w:t xml:space="preserve">See also Commission evaluations and implementation reports referred to in footnote 11; </w:t>
      </w:r>
      <w:r>
        <w:rPr>
          <w:rFonts w:ascii="Times New Roman" w:hAnsi="Times New Roman" w:cs="Times New Roman"/>
        </w:rPr>
        <w:t xml:space="preserve">The European Committee of Social Rights (ECSR) monitoring of commitments under the European Social Charter (the Council of Europe treaty that guarantees fundamental social and economic rights) showed in 2019 that out of 15 countries (Belgium, Bulgaria, Croatia, Cyprus, Czechia, Finland, France, Greece, Ireland, Italy, the Netherlands, Norway, Portugal, Slovenia and Sweden), 14 are not compliant with set standards in the field of equal pay: (1) recognising  the right to equal pay for equal work or work of equal value in the legislation; (2) ensuring access to effective remedies for victims of pay discrimination; (3) ensuring and guaranteeing pay transparency and enabling pay comparisons; and (4) maintaining effective equality bodies and relevant institutions in order to ensure equal pay in practice. Sweden was the only country to be found to be complaint with the </w:t>
      </w:r>
      <w:hyperlink r:id="rId3" w:history="1">
        <w:r>
          <w:rPr>
            <w:rStyle w:val="Hyperlink"/>
            <w:rFonts w:ascii="Times New Roman" w:hAnsi="Times New Roman" w:cs="Times New Roman"/>
          </w:rPr>
          <w:t>European Social Charter</w:t>
        </w:r>
      </w:hyperlink>
      <w:r>
        <w:rPr>
          <w:rFonts w:ascii="Times New Roman" w:hAnsi="Times New Roman" w:cs="Times New Roman"/>
        </w:rPr>
        <w:t xml:space="preserve">. </w:t>
      </w:r>
    </w:p>
  </w:footnote>
  <w:footnote w:id="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 its recent report, the Parliament underlines that pay transparency is crucial in counteracting unfair wage differentials and discrimination and urges the swift adoption of these measures. See: European Parliament, </w:t>
      </w:r>
      <w:hyperlink r:id="rId4" w:history="1">
        <w:r>
          <w:rPr>
            <w:rStyle w:val="Hyperlink"/>
            <w:rFonts w:ascii="Times New Roman" w:hAnsi="Times New Roman" w:cs="Times New Roman"/>
            <w:i/>
          </w:rPr>
          <w:t>Employment and social policies of the euro area</w:t>
        </w:r>
      </w:hyperlink>
      <w:r>
        <w:rPr>
          <w:rFonts w:ascii="Times New Roman" w:hAnsi="Times New Roman" w:cs="Times New Roman"/>
        </w:rPr>
        <w:t>, 2020.</w:t>
      </w:r>
    </w:p>
  </w:footnote>
  <w:footnote w:id="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w:t>
      </w:r>
      <w:hyperlink r:id="rId5" w:history="1">
        <w:r>
          <w:rPr>
            <w:rStyle w:val="Hyperlink"/>
            <w:rFonts w:ascii="Times New Roman" w:hAnsi="Times New Roman" w:cs="Times New Roman"/>
          </w:rPr>
          <w:t>Pillar of Social Rights</w:t>
        </w:r>
      </w:hyperlink>
      <w:r>
        <w:rPr>
          <w:rFonts w:ascii="Times New Roman" w:hAnsi="Times New Roman" w:cs="Times New Roman"/>
        </w:rPr>
        <w:t xml:space="preserve"> is about delivering new and more effective rights for citizens, built upon 20 key principles. </w:t>
      </w:r>
    </w:p>
  </w:footnote>
  <w:footnote w:id="7">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Style w:val="FootnoteReference"/>
          <w:rFonts w:ascii="Times New Roman" w:hAnsi="Times New Roman" w:cs="Times New Roman"/>
          <w:vertAlign w:val="baseline"/>
        </w:rPr>
        <w:t xml:space="preserve"> </w:t>
      </w:r>
      <w:r>
        <w:rPr>
          <w:rFonts w:ascii="Times New Roman" w:hAnsi="Times New Roman" w:cs="Times New Roman"/>
        </w:rPr>
        <w:t xml:space="preserve">European Commission, </w:t>
      </w:r>
      <w:hyperlink r:id="rId6" w:history="1">
        <w:r>
          <w:rPr>
            <w:rStyle w:val="Hyperlink"/>
            <w:rFonts w:ascii="Times New Roman" w:hAnsi="Times New Roman" w:cs="Times New Roman"/>
            <w:i/>
          </w:rPr>
          <w:t>EU Action Plan 2017-2019: tackling the gender pay gap</w:t>
        </w:r>
      </w:hyperlink>
      <w:r>
        <w:rPr>
          <w:rStyle w:val="FootnoteReference"/>
          <w:rFonts w:ascii="Times New Roman" w:hAnsi="Times New Roman" w:cs="Times New Roman"/>
          <w:vertAlign w:val="baseline"/>
        </w:rPr>
        <w:t xml:space="preserve">, </w:t>
      </w:r>
      <w:r>
        <w:rPr>
          <w:rFonts w:ascii="Times New Roman" w:hAnsi="Times New Roman" w:cs="Times New Roman"/>
        </w:rPr>
        <w:t xml:space="preserve">2017, </w:t>
      </w:r>
      <w:r>
        <w:rPr>
          <w:rStyle w:val="FootnoteReference"/>
          <w:rFonts w:ascii="Times New Roman" w:hAnsi="Times New Roman" w:cs="Times New Roman"/>
          <w:vertAlign w:val="baseline"/>
        </w:rPr>
        <w:t xml:space="preserve">COM </w:t>
      </w:r>
      <w:r>
        <w:rPr>
          <w:rFonts w:ascii="Times New Roman" w:hAnsi="Times New Roman" w:cs="Times New Roman"/>
        </w:rPr>
        <w:t>(</w:t>
      </w:r>
      <w:r>
        <w:rPr>
          <w:rStyle w:val="FootnoteReference"/>
          <w:rFonts w:ascii="Times New Roman" w:hAnsi="Times New Roman" w:cs="Times New Roman"/>
          <w:vertAlign w:val="baseline"/>
        </w:rPr>
        <w:t>2017</w:t>
      </w:r>
      <w:r>
        <w:rPr>
          <w:rFonts w:ascii="Times New Roman" w:hAnsi="Times New Roman" w:cs="Times New Roman"/>
        </w:rPr>
        <w:t>)</w:t>
      </w:r>
      <w:r>
        <w:rPr>
          <w:rStyle w:val="FootnoteReference"/>
          <w:rFonts w:ascii="Times New Roman" w:hAnsi="Times New Roman" w:cs="Times New Roman"/>
          <w:vertAlign w:val="baseline"/>
        </w:rPr>
        <w:t>678 final</w:t>
      </w:r>
      <w:r>
        <w:rPr>
          <w:rFonts w:ascii="Times New Roman" w:hAnsi="Times New Roman" w:cs="Times New Roman"/>
        </w:rPr>
        <w:t>.</w:t>
      </w:r>
      <w:r>
        <w:rPr>
          <w:rStyle w:val="FootnoteReference"/>
          <w:rFonts w:ascii="Times New Roman" w:hAnsi="Times New Roman" w:cs="Times New Roman"/>
          <w:vertAlign w:val="baseline"/>
        </w:rPr>
        <w:t xml:space="preserve"> </w:t>
      </w:r>
      <w:r>
        <w:rPr>
          <w:rFonts w:ascii="Times New Roman" w:hAnsi="Times New Roman" w:cs="Times New Roman"/>
        </w:rPr>
        <w:t>S</w:t>
      </w:r>
      <w:r>
        <w:rPr>
          <w:rStyle w:val="FootnoteReference"/>
          <w:rFonts w:ascii="Times New Roman" w:hAnsi="Times New Roman" w:cs="Times New Roman"/>
          <w:vertAlign w:val="baseline"/>
        </w:rPr>
        <w:t xml:space="preserve">ee also the related </w:t>
      </w:r>
      <w:hyperlink r:id="rId7" w:history="1">
        <w:r>
          <w:rPr>
            <w:rStyle w:val="Hyperlink"/>
            <w:rFonts w:ascii="Times New Roman" w:hAnsi="Times New Roman" w:cs="Times New Roman"/>
            <w:i/>
          </w:rPr>
          <w:t>Report on the implementation of the EU Action Plan 2017-2019 on tackling the gender pay gap</w:t>
        </w:r>
      </w:hyperlink>
      <w:r>
        <w:rPr>
          <w:rStyle w:val="FootnoteReference"/>
          <w:rFonts w:ascii="Times New Roman" w:hAnsi="Times New Roman" w:cs="Times New Roman"/>
          <w:vertAlign w:val="baseline"/>
        </w:rPr>
        <w:t>, 2020, COM(2020) 101 final</w:t>
      </w:r>
      <w:r>
        <w:rPr>
          <w:rFonts w:ascii="Times New Roman" w:hAnsi="Times New Roman" w:cs="Times New Roman"/>
        </w:rPr>
        <w:t>.</w:t>
      </w:r>
    </w:p>
  </w:footnote>
  <w:footnote w:id="8">
    <w:p>
      <w:pPr>
        <w:pStyle w:val="FootnoteText"/>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See </w:t>
      </w:r>
      <w:hyperlink r:id="rId8" w:history="1">
        <w:r>
          <w:rPr>
            <w:rStyle w:val="Hyperlink"/>
            <w:rFonts w:ascii="Times New Roman" w:hAnsi="Times New Roman" w:cs="Times New Roman"/>
            <w:i/>
          </w:rPr>
          <w:t>A Union that strives for more: My agenda for Europe – Political Guidelines for the next European Commission 2019-2024</w:t>
        </w:r>
      </w:hyperlink>
      <w:r>
        <w:rPr>
          <w:rFonts w:ascii="Times New Roman" w:hAnsi="Times New Roman" w:cs="Times New Roman"/>
        </w:rPr>
        <w:t>, 2019.</w:t>
      </w:r>
    </w:p>
  </w:footnote>
  <w:footnote w:id="9">
    <w:p>
      <w:pPr>
        <w:pStyle w:val="FootnoteText"/>
        <w:jc w:val="both"/>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lang w:val="en-IE"/>
        </w:rPr>
        <w:t xml:space="preserve"> </w:t>
      </w:r>
      <w:hyperlink r:id="rId9" w:history="1">
        <w:r>
          <w:rPr>
            <w:rStyle w:val="Hyperlink"/>
            <w:rFonts w:ascii="Times New Roman" w:hAnsi="Times New Roman" w:cs="Times New Roman"/>
            <w:lang w:val="en-IE"/>
          </w:rPr>
          <w:t>COM(2020)152 final</w:t>
        </w:r>
      </w:hyperlink>
      <w:r>
        <w:rPr>
          <w:rFonts w:ascii="Times New Roman" w:hAnsi="Times New Roman" w:cs="Times New Roman"/>
          <w:lang w:val="en-IE"/>
        </w:rPr>
        <w:t>.</w:t>
      </w:r>
    </w:p>
  </w:footnote>
  <w:footnote w:id="10">
    <w:p>
      <w:pPr>
        <w:pStyle w:val="FootnoteText"/>
        <w:jc w:val="both"/>
        <w:rPr>
          <w:rStyle w:val="FootnoteReference"/>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rPr>
        <w:t xml:space="preserve"> </w:t>
      </w:r>
      <w:hyperlink r:id="rId10" w:history="1">
        <w:r>
          <w:rPr>
            <w:rStyle w:val="Hyperlink"/>
            <w:rFonts w:ascii="Times New Roman" w:hAnsi="Times New Roman" w:cs="Times New Roman"/>
          </w:rPr>
          <w:t>SWD(2020)50 final.</w:t>
        </w:r>
      </w:hyperlink>
      <w:r>
        <w:rPr>
          <w:rFonts w:ascii="Times New Roman" w:hAnsi="Times New Roman" w:cs="Times New Roman"/>
        </w:rPr>
        <w:t xml:space="preserve"> </w:t>
      </w:r>
    </w:p>
  </w:footnote>
  <w:footnote w:id="1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Implementation report on Directive 2006/54/EC (SWD(2013) 512 final; Impact Assessment accompanying the Pay Transparency Recommendation (SWD(2014) 59 final); Report on the implementation of Commission Recommendation on strengthening the principle of equal pay between women and men through transparency (COM(2017) 671 final).</w:t>
      </w:r>
    </w:p>
  </w:footnote>
  <w:footnote w:id="1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European Parliament and the Council, </w:t>
      </w:r>
      <w:hyperlink r:id="rId11" w:history="1">
        <w:r>
          <w:rPr>
            <w:rStyle w:val="Hyperlink"/>
            <w:rFonts w:ascii="Times New Roman" w:hAnsi="Times New Roman" w:cs="Times New Roman"/>
            <w:i/>
          </w:rPr>
          <w:t>Proposal for a Directive on improving the gender balance among non-executive directors of companies listed on stock exchanges and related measures</w:t>
        </w:r>
      </w:hyperlink>
      <w:r>
        <w:rPr>
          <w:rFonts w:ascii="Times New Roman" w:hAnsi="Times New Roman" w:cs="Times New Roman"/>
        </w:rPr>
        <w:t>, 2012.</w:t>
      </w:r>
    </w:p>
  </w:footnote>
  <w:footnote w:id="1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present initiative would require certain employers to make information regarding the gender pay gap publicly available. Some of these employers may also be covered by the forthcoming revision of the Non-Financial Reporting Directive 2014/95/EU (NFRD). The publication of information pursuant to both initiatives pursues different objectives; while the Pay Transparency initiative aims at allowing workers to enforce their individual right to equal pay, the NFRD aims at meeting the needs of investors and other stakeholders to appreciate the risks and social and environmental impacts of investments and companies’ operations respectively. Both initiatives will be aligned so that any public reporting on the gender pay gap pursuant to the Pay Transparency Directive by companies subject to the NFRD would be taken into account in the future standards for non-financial reporting under the NFRD.</w:t>
      </w:r>
    </w:p>
  </w:footnote>
  <w:footnote w:id="1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minimum wage initiative aims at improving the adequacy of minimum wages. This will have a beneficial effect in addressing the gender pay gap in particular at the lower end of the wage distribution, including of women who represent a relevant share of total low paid workers. See </w:t>
      </w:r>
      <w:hyperlink r:id="rId12" w:history="1">
        <w:r>
          <w:rPr>
            <w:rStyle w:val="Hyperlink"/>
            <w:rFonts w:ascii="Times New Roman" w:hAnsi="Times New Roman" w:cs="Times New Roman"/>
          </w:rPr>
          <w:t>COM(2020) 682 final</w:t>
        </w:r>
      </w:hyperlink>
      <w:r>
        <w:rPr>
          <w:rFonts w:ascii="Times New Roman" w:hAnsi="Times New Roman" w:cs="Times New Roman"/>
        </w:rPr>
        <w:t>.</w:t>
      </w:r>
    </w:p>
  </w:footnote>
  <w:footnote w:id="15">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w:t>
      </w:r>
      <w:hyperlink r:id="rId13" w:history="1">
        <w:r>
          <w:rPr>
            <w:rStyle w:val="Hyperlink"/>
            <w:rFonts w:ascii="Times New Roman" w:hAnsi="Times New Roman" w:cs="Times New Roman"/>
          </w:rPr>
          <w:t>https://ec.europa.eu/info/law/better-regulation/have-your-say/initiatives/12548-Sustainable-corporate-governance</w:t>
        </w:r>
      </w:hyperlink>
      <w:r>
        <w:rPr>
          <w:rFonts w:ascii="Times New Roman" w:hAnsi="Times New Roman" w:cs="Times New Roman"/>
        </w:rPr>
        <w:t xml:space="preserve"> </w:t>
      </w:r>
    </w:p>
  </w:footnote>
  <w:footnote w:id="1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14" w:history="1">
        <w:r>
          <w:rPr>
            <w:rStyle w:val="Hyperlink"/>
            <w:rFonts w:ascii="Times New Roman" w:hAnsi="Times New Roman" w:cs="Times New Roman"/>
          </w:rPr>
          <w:t>SWD(2020)50</w:t>
        </w:r>
      </w:hyperlink>
      <w:r>
        <w:rPr>
          <w:rFonts w:ascii="Times New Roman" w:hAnsi="Times New Roman" w:cs="Times New Roman"/>
        </w:rPr>
        <w:t>.</w:t>
      </w:r>
    </w:p>
  </w:footnote>
  <w:footnote w:id="17">
    <w:p>
      <w:pPr>
        <w:pStyle w:val="FootnoteText"/>
        <w:jc w:val="both"/>
        <w:rPr>
          <w:rFonts w:ascii="Times New Roman" w:hAnsi="Times New Roman" w:cs="Times New Roman"/>
          <w:color w:val="0000FF" w:themeColor="hyperlink"/>
          <w:u w:val="single"/>
        </w:rPr>
      </w:pPr>
      <w:r>
        <w:rPr>
          <w:rStyle w:val="FootnoteReference"/>
          <w:rFonts w:ascii="Times New Roman" w:hAnsi="Times New Roman" w:cs="Times New Roman"/>
        </w:rPr>
        <w:footnoteRef/>
      </w:r>
      <w:r>
        <w:rPr>
          <w:rFonts w:ascii="Times New Roman" w:hAnsi="Times New Roman" w:cs="Times New Roman"/>
        </w:rPr>
        <w:t xml:space="preserve"> See e.g. European Paliament, ‘</w:t>
      </w:r>
      <w:hyperlink r:id="rId15" w:history="1">
        <w:r>
          <w:rPr>
            <w:rStyle w:val="Hyperlink"/>
            <w:rFonts w:ascii="Times New Roman" w:hAnsi="Times New Roman" w:cs="Times New Roman"/>
          </w:rPr>
          <w:t xml:space="preserve">European Added Value Assessment on the application of the principle of equal pay for men and womenfor equal work of equal value’, </w:t>
        </w:r>
        <w:r>
          <w:rPr>
            <w:rStyle w:val="Hyperlink"/>
            <w:rFonts w:ascii="Times New Roman" w:hAnsi="Times New Roman" w:cs="Times New Roman"/>
            <w:i/>
          </w:rPr>
          <w:t>EAVA</w:t>
        </w:r>
        <w:r>
          <w:rPr>
            <w:rStyle w:val="Hyperlink"/>
            <w:rFonts w:ascii="Times New Roman" w:hAnsi="Times New Roman" w:cs="Times New Roman"/>
          </w:rPr>
          <w:t xml:space="preserve"> 4/2013</w:t>
        </w:r>
      </w:hyperlink>
      <w:r>
        <w:rPr>
          <w:rStyle w:val="Hyperlink"/>
          <w:rFonts w:ascii="Times New Roman" w:hAnsi="Times New Roman" w:cs="Times New Roman"/>
        </w:rPr>
        <w:t>, 9</w:t>
      </w:r>
      <w:r>
        <w:rPr>
          <w:rFonts w:ascii="Times New Roman" w:hAnsi="Times New Roman" w:cs="Times New Roman"/>
        </w:rPr>
        <w:t>: ‘[…] no matter how we evaluate the data, the pay gap remains, […]. In other words, […], pay discrimination is a real and persistent problem that continues to be detrimental to European (and not only European) women and their families.’.</w:t>
      </w:r>
    </w:p>
  </w:footnote>
  <w:footnote w:id="1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w:t>
      </w:r>
      <w:hyperlink r:id="rId16" w:history="1">
        <w:r>
          <w:rPr>
            <w:rStyle w:val="Hyperlink"/>
            <w:rFonts w:ascii="Times New Roman" w:hAnsi="Times New Roman" w:cs="Times New Roman"/>
          </w:rPr>
          <w:t xml:space="preserve">Oelz M. et al., ILO </w:t>
        </w:r>
        <w:r>
          <w:rPr>
            <w:rStyle w:val="Hyperlink"/>
            <w:rFonts w:ascii="Times New Roman" w:hAnsi="Times New Roman" w:cs="Times New Roman"/>
            <w:i/>
          </w:rPr>
          <w:t>Equal Pay: An Introductory Guide</w:t>
        </w:r>
        <w:r>
          <w:rPr>
            <w:rStyle w:val="Hyperlink"/>
            <w:rFonts w:ascii="Times New Roman" w:hAnsi="Times New Roman" w:cs="Times New Roman"/>
          </w:rPr>
          <w:t>, 2013</w:t>
        </w:r>
      </w:hyperlink>
      <w:r>
        <w:rPr>
          <w:rFonts w:ascii="Times New Roman" w:hAnsi="Times New Roman" w:cs="Times New Roman"/>
        </w:rPr>
        <w:t>, page iii: ‘While the principle of equal remuneration for men and women for work of equal value, often referred to as “equal pay”, has been widely endorsed, what it actually entails and how it is applied in practice has proved difficult to grasp.’.</w:t>
      </w:r>
    </w:p>
  </w:footnote>
  <w:footnote w:id="1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Work of equal value is therefore a somehow more difficult concept whose complexity is recognised also by the International Labour Organisation (ILO) who introduced it with the </w:t>
      </w:r>
      <w:hyperlink r:id="rId17" w:history="1">
        <w:r>
          <w:rPr>
            <w:rStyle w:val="Hyperlink"/>
            <w:rFonts w:ascii="Times New Roman" w:hAnsi="Times New Roman" w:cs="Times New Roman"/>
          </w:rPr>
          <w:t>Equal Remuneration Convention (No. 100)</w:t>
        </w:r>
      </w:hyperlink>
      <w:r>
        <w:rPr>
          <w:rFonts w:ascii="Times New Roman" w:hAnsi="Times New Roman" w:cs="Times New Roman"/>
        </w:rPr>
        <w:t xml:space="preserve"> in 1951.</w:t>
      </w:r>
    </w:p>
  </w:footnote>
  <w:footnote w:id="20">
    <w:p>
      <w:pPr>
        <w:pStyle w:val="FootnoteText"/>
        <w:jc w:val="both"/>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IE"/>
        </w:rPr>
        <w:t>In its preliminary ruling on the Danfoss case, the CJEU found that ‘</w:t>
      </w:r>
      <w:r>
        <w:rPr>
          <w:rFonts w:ascii="Times New Roman" w:hAnsi="Times New Roman" w:cs="Times New Roman"/>
        </w:rPr>
        <w:t>where an undertaking applies a system of pay which is totally lacking in transparency, it is for the employer to prove that his practice in the matter of wages is not discriminatory, if a female worker establishes, in relation to a relatively large number of employees, that the average pay for women is less than that for men.’ (Case 109/88 Danfoss [1989] ECR 3199, at paragraph 16).</w:t>
      </w:r>
    </w:p>
  </w:footnote>
  <w:footnote w:id="2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lang w:val="en-US"/>
        </w:rPr>
        <w:t xml:space="preserve"> Cour Trav. Bruxelles, 19.10.2004 (Chr.D.S., 2005, 16, obs. </w:t>
      </w:r>
      <w:r>
        <w:rPr>
          <w:rFonts w:ascii="Times New Roman" w:hAnsi="Times New Roman" w:cs="Times New Roman"/>
        </w:rPr>
        <w:t>J. Jacqmain).</w:t>
      </w:r>
    </w:p>
  </w:footnote>
  <w:footnote w:id="2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Case </w:t>
      </w:r>
      <w:r>
        <w:rPr>
          <w:rFonts w:ascii="Times New Roman" w:hAnsi="Times New Roman" w:cs="Times New Roman"/>
          <w:color w:val="000000"/>
        </w:rPr>
        <w:t xml:space="preserve">No. 95-41694 of 12 February 1997. See Burri, S., </w:t>
      </w:r>
      <w:hyperlink r:id="rId18" w:history="1">
        <w:r>
          <w:rPr>
            <w:rStyle w:val="Hyperlink"/>
            <w:rFonts w:ascii="Times New Roman" w:hAnsi="Times New Roman" w:cs="Times New Roman"/>
            <w:i/>
          </w:rPr>
          <w:t>National cases and good practices on equal pay</w:t>
        </w:r>
      </w:hyperlink>
      <w:r>
        <w:rPr>
          <w:rFonts w:ascii="Times New Roman" w:hAnsi="Times New Roman" w:cs="Times New Roman"/>
          <w:color w:val="000000"/>
        </w:rPr>
        <w:t>, 2019, for other examples.</w:t>
      </w:r>
    </w:p>
  </w:footnote>
  <w:footnote w:id="2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England and Wales Court of Appeal (Civil Division), </w:t>
      </w:r>
      <w:hyperlink r:id="rId19" w:history="1">
        <w:r>
          <w:rPr>
            <w:rStyle w:val="Hyperlink"/>
            <w:rFonts w:ascii="Times New Roman" w:hAnsi="Times New Roman" w:cs="Times New Roman"/>
            <w:i/>
          </w:rPr>
          <w:t>Asda Stores Ltd v Brierley &amp; Ors</w:t>
        </w:r>
      </w:hyperlink>
      <w:r>
        <w:rPr>
          <w:rFonts w:ascii="Times New Roman" w:hAnsi="Times New Roman" w:cs="Times New Roman"/>
          <w:color w:val="000000"/>
        </w:rPr>
        <w:t>,</w:t>
      </w:r>
      <w:r>
        <w:rPr>
          <w:rFonts w:ascii="Times New Roman" w:hAnsi="Times New Roman" w:cs="Times New Roman"/>
        </w:rPr>
        <w:fldChar w:fldCharType="begin"/>
      </w:r>
      <w:r>
        <w:rPr>
          <w:rFonts w:ascii="Times New Roman" w:hAnsi="Times New Roman" w:cs="Times New Roman"/>
        </w:rPr>
        <w:fldChar w:fldCharType="end"/>
      </w:r>
      <w:r>
        <w:rPr>
          <w:rFonts w:ascii="Times New Roman" w:hAnsi="Times New Roman" w:cs="Times New Roman"/>
        </w:rPr>
        <w:t xml:space="preserve"> 2019. </w:t>
      </w:r>
      <w:r>
        <w:rPr>
          <w:rFonts w:ascii="Times New Roman" w:hAnsi="Times New Roman" w:cs="Times New Roman"/>
          <w:color w:val="000000"/>
        </w:rPr>
        <w:t xml:space="preserve">[2019] ICR 1118, [2019] WLR(D) 56, [2019] EWCA Civ 44, [2019] IRLR 335, [2019] 2 CMLR 18, [2019] 4 All ER 450. Available at: </w:t>
      </w:r>
      <w:hyperlink r:id="rId20" w:history="1">
        <w:r>
          <w:rPr>
            <w:rStyle w:val="Hyperlink"/>
            <w:rFonts w:ascii="Times New Roman" w:hAnsi="Times New Roman" w:cs="Times New Roman"/>
          </w:rPr>
          <w:t>https://www.bailii.org/ew/cases/EWCA/Civ/2019/44.html</w:t>
        </w:r>
      </w:hyperlink>
      <w:r>
        <w:rPr>
          <w:rFonts w:ascii="Times New Roman" w:hAnsi="Times New Roman" w:cs="Times New Roman"/>
          <w:color w:val="000000"/>
        </w:rPr>
        <w:t xml:space="preserve">. </w:t>
      </w:r>
    </w:p>
  </w:footnote>
  <w:footnote w:id="2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w:t>
      </w:r>
      <w:r>
        <w:rPr>
          <w:rFonts w:ascii="Times New Roman" w:hAnsi="Times New Roman" w:cs="Times New Roman"/>
          <w:i/>
        </w:rPr>
        <w:t>Annex  5, section 2</w:t>
      </w:r>
      <w:r>
        <w:rPr>
          <w:rFonts w:ascii="Times New Roman" w:hAnsi="Times New Roman" w:cs="Times New Roman"/>
        </w:rPr>
        <w:t xml:space="preserve"> below – on the other root causes, in particular sectoral segregation.</w:t>
      </w:r>
    </w:p>
  </w:footnote>
  <w:footnote w:id="25">
    <w:p>
      <w:pPr>
        <w:pStyle w:val="FootnoteText"/>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The </w:t>
      </w:r>
      <w:hyperlink r:id="rId21" w:history="1">
        <w:r>
          <w:rPr>
            <w:rStyle w:val="Hyperlink"/>
            <w:rFonts w:ascii="Times New Roman" w:hAnsi="Times New Roman" w:cs="Times New Roman"/>
            <w:i/>
          </w:rPr>
          <w:t>ILO Global Wage Report</w:t>
        </w:r>
      </w:hyperlink>
      <w:r>
        <w:rPr>
          <w:rFonts w:ascii="Times New Roman" w:hAnsi="Times New Roman" w:cs="Times New Roman"/>
          <w:i/>
        </w:rPr>
        <w:t xml:space="preserve"> 2018/19</w:t>
      </w:r>
      <w:r>
        <w:rPr>
          <w:rFonts w:ascii="Times New Roman" w:hAnsi="Times New Roman" w:cs="Times New Roman"/>
        </w:rPr>
        <w:t xml:space="preserve"> shows not only that a persisting feature of labour markets around the world is that women earn on average less than men do, but more importantly that, though in many countries women are more highly educated than men within the same occupational categories, they nonetheless earn lower wages. This illustrates the fact that women tend to have lower wage returns for their education than men, even when they work in the same occupational category. </w:t>
      </w:r>
      <w:r>
        <w:rPr>
          <w:rFonts w:ascii="Times New Roman" w:hAnsi="Times New Roman" w:cs="Times New Roman"/>
          <w:lang w:val="en-US"/>
        </w:rPr>
        <w:t xml:space="preserve">See </w:t>
      </w:r>
      <w:hyperlink r:id="rId22" w:history="1">
        <w:r>
          <w:rPr>
            <w:rStyle w:val="Hyperlink"/>
            <w:rFonts w:ascii="Times New Roman" w:hAnsi="Times New Roman" w:cs="Times New Roman"/>
            <w:lang w:val="en-US"/>
          </w:rPr>
          <w:t>International Labour Organisation</w:t>
        </w:r>
      </w:hyperlink>
      <w:r>
        <w:rPr>
          <w:rFonts w:ascii="Times New Roman" w:hAnsi="Times New Roman" w:cs="Times New Roman"/>
        </w:rPr>
        <w:t>, 2018</w:t>
      </w:r>
      <w:r>
        <w:rPr>
          <w:rFonts w:ascii="Times New Roman" w:hAnsi="Times New Roman" w:cs="Times New Roman"/>
          <w:lang w:val="en-US"/>
        </w:rPr>
        <w:t xml:space="preserve">, p.xvii. </w:t>
      </w:r>
    </w:p>
  </w:footnote>
  <w:footnote w:id="26">
    <w:p>
      <w:pPr>
        <w:pStyle w:val="FootnoteText"/>
        <w:jc w:val="both"/>
        <w:rPr>
          <w:rStyle w:val="FootnoteReference"/>
          <w:rFonts w:ascii="Times New Roman" w:hAnsi="Times New Roman" w:cs="Times New Roman"/>
          <w:vertAlign w:val="baseline"/>
        </w:rPr>
      </w:pPr>
      <w:r>
        <w:rPr>
          <w:rStyle w:val="FootnoteReference"/>
          <w:rFonts w:ascii="Times New Roman" w:hAnsi="Times New Roman" w:cs="Times New Roman"/>
        </w:rPr>
        <w:footnoteRef/>
      </w:r>
      <w:r>
        <w:rPr>
          <w:rFonts w:ascii="Times New Roman" w:hAnsi="Times New Roman" w:cs="Times New Roman"/>
        </w:rPr>
        <w:t xml:space="preserve"> It is called ‘unadjusted’ because it does not correct for national differences in individual characteristics of employed women and men. It is defined as the the difference between the average gross hourly earnings of women and men expressed as a percentage of the average gross hourly earnings of men. See Eurostat, </w:t>
      </w:r>
      <w:hyperlink r:id="rId23" w:history="1">
        <w:r>
          <w:rPr>
            <w:rStyle w:val="Hyperlink"/>
            <w:rFonts w:ascii="Times New Roman" w:hAnsi="Times New Roman" w:cs="Times New Roman"/>
            <w:i/>
          </w:rPr>
          <w:t>Gender pay gap statistics</w:t>
        </w:r>
      </w:hyperlink>
      <w:r>
        <w:rPr>
          <w:rStyle w:val="Hyperlink"/>
          <w:rFonts w:ascii="Times New Roman" w:hAnsi="Times New Roman" w:cs="Times New Roman"/>
          <w:i/>
        </w:rPr>
        <w:t>,</w:t>
      </w:r>
      <w:r>
        <w:rPr>
          <w:rFonts w:ascii="Times New Roman" w:hAnsi="Times New Roman" w:cs="Times New Roman"/>
        </w:rPr>
        <w:t xml:space="preserve"> 2018, for details. This indicator refers to the national averages and the weighted EU average. The same concept can be computed also at employer level with their specific earnings data.</w:t>
      </w:r>
    </w:p>
  </w:footnote>
  <w:footnote w:id="2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Calibri" w:hAnsi="Times New Roman" w:cs="Times New Roman"/>
          <w:lang w:eastAsia="en-IE"/>
        </w:rPr>
        <w:t xml:space="preserve">Note that the fact that these differences can be linked to objective factors does not </w:t>
      </w:r>
      <w:r>
        <w:rPr>
          <w:rFonts w:ascii="Times New Roman" w:hAnsi="Times New Roman" w:cs="Times New Roman"/>
        </w:rPr>
        <w:t>necessarily</w:t>
      </w:r>
      <w:r>
        <w:rPr>
          <w:rFonts w:ascii="Times New Roman" w:eastAsia="Calibri" w:hAnsi="Times New Roman" w:cs="Times New Roman"/>
          <w:lang w:eastAsia="en-IE"/>
        </w:rPr>
        <w:t xml:space="preserve"> mean that they are free from gender bias. For instance, the choice of education, occupation and work </w:t>
      </w:r>
      <w:r>
        <w:rPr>
          <w:rFonts w:ascii="Times New Roman" w:hAnsi="Times New Roman" w:cs="Times New Roman"/>
        </w:rPr>
        <w:t>pattern</w:t>
      </w:r>
      <w:r>
        <w:rPr>
          <w:rFonts w:ascii="Times New Roman" w:eastAsia="Calibri" w:hAnsi="Times New Roman" w:cs="Times New Roman"/>
          <w:lang w:eastAsia="en-IE"/>
        </w:rPr>
        <w:t xml:space="preserve"> might have been constrained by (unconscious) gender bias. These issues are, however, out of the scope of this initiative. </w:t>
      </w:r>
    </w:p>
  </w:footnote>
  <w:footnote w:id="28">
    <w:p>
      <w:pPr>
        <w:pStyle w:val="FootnoteText"/>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lang w:val="en-US"/>
        </w:rPr>
        <w:t xml:space="preserve"> </w:t>
      </w:r>
      <w:hyperlink r:id="rId24" w:history="1">
        <w:r>
          <w:rPr>
            <w:rStyle w:val="Hyperlink"/>
            <w:rFonts w:ascii="Times New Roman" w:hAnsi="Times New Roman" w:cs="Times New Roman"/>
            <w:lang w:val="en-US"/>
          </w:rPr>
          <w:t>Eurostat, 2018</w:t>
        </w:r>
      </w:hyperlink>
      <w:r>
        <w:rPr>
          <w:rFonts w:ascii="Times New Roman" w:hAnsi="Times New Roman" w:cs="Times New Roman"/>
          <w:lang w:val="en-US"/>
        </w:rPr>
        <w:t xml:space="preserve">, </w:t>
      </w:r>
      <w:r>
        <w:rPr>
          <w:rFonts w:ascii="Times New Roman" w:eastAsia="Calibri" w:hAnsi="Times New Roman" w:cs="Times New Roman"/>
          <w:lang w:val="en-US" w:eastAsia="en-IE"/>
        </w:rPr>
        <w:t xml:space="preserve">table 3, ex. 4, </w:t>
      </w:r>
      <w:r>
        <w:rPr>
          <w:rFonts w:ascii="Times New Roman" w:hAnsi="Times New Roman" w:cs="Times New Roman"/>
          <w:lang w:val="en-US"/>
        </w:rPr>
        <w:t>p. 16.</w:t>
      </w:r>
    </w:p>
  </w:footnote>
  <w:footnote w:id="2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Micro-data for the SES database are available with different granularity for the MS, therefore the computations could be carried out only for 24 countries. See </w:t>
      </w:r>
      <w:r>
        <w:rPr>
          <w:rFonts w:ascii="Times New Roman" w:hAnsi="Times New Roman" w:cs="Times New Roman"/>
          <w:i/>
        </w:rPr>
        <w:t>Annex 4</w:t>
      </w:r>
      <w:r>
        <w:rPr>
          <w:rFonts w:ascii="Times New Roman" w:hAnsi="Times New Roman" w:cs="Times New Roman"/>
        </w:rPr>
        <w:t xml:space="preserve"> for details. </w:t>
      </w:r>
    </w:p>
  </w:footnote>
  <w:footnote w:id="30">
    <w:p>
      <w:pPr>
        <w:pStyle w:val="FootnoteText"/>
        <w:jc w:val="both"/>
        <w:rPr>
          <w:rFonts w:ascii="Times New Roman" w:hAnsi="Times New Roman" w:cs="Times New Roman"/>
          <w:lang w:val="pt-BR"/>
        </w:rPr>
      </w:pPr>
      <w:r>
        <w:rPr>
          <w:rStyle w:val="FootnoteReference"/>
          <w:rFonts w:ascii="Times New Roman" w:hAnsi="Times New Roman" w:cs="Times New Roman"/>
        </w:rPr>
        <w:footnoteRef/>
      </w:r>
      <w:r>
        <w:rPr>
          <w:rFonts w:ascii="Times New Roman" w:hAnsi="Times New Roman" w:cs="Times New Roman"/>
          <w:lang w:val="pt-BR"/>
        </w:rPr>
        <w:t xml:space="preserve"> Case C-320/00 </w:t>
      </w:r>
      <w:r>
        <w:rPr>
          <w:rFonts w:ascii="Times New Roman" w:hAnsi="Times New Roman" w:cs="Times New Roman"/>
          <w:i/>
          <w:lang w:val="pt-BR"/>
        </w:rPr>
        <w:t>Lawrence</w:t>
      </w:r>
      <w:r>
        <w:rPr>
          <w:rFonts w:ascii="Times New Roman" w:hAnsi="Times New Roman" w:cs="Times New Roman"/>
          <w:lang w:val="pt-BR"/>
        </w:rPr>
        <w:t>, ECLI:EU:C:2002:498.</w:t>
      </w:r>
    </w:p>
  </w:footnote>
  <w:footnote w:id="3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 the spirit of the Directive 2006/54/EC, assuming all characteristics being equal, part-time workers should have lower monthly earnings, not lower hourly pay.</w:t>
      </w:r>
    </w:p>
  </w:footnote>
  <w:footnote w:id="3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Around 30% of women (15-64) – as compared to only 5% of men – in the EU are working part-time due to care responsabilities. Source: Eurostat, LFS, data code </w:t>
      </w:r>
      <w:hyperlink r:id="rId25" w:history="1">
        <w:r>
          <w:rPr>
            <w:rStyle w:val="Hyperlink"/>
            <w:rFonts w:ascii="Times New Roman" w:hAnsi="Times New Roman" w:cs="Times New Roman"/>
          </w:rPr>
          <w:t>lfsa_epgar</w:t>
        </w:r>
      </w:hyperlink>
      <w:r>
        <w:rPr>
          <w:rStyle w:val="Hyperlink"/>
          <w:rFonts w:ascii="Times New Roman" w:hAnsi="Times New Roman" w:cs="Times New Roman"/>
          <w:color w:val="auto"/>
          <w:u w:val="none"/>
        </w:rPr>
        <w:t>.</w:t>
      </w:r>
    </w:p>
  </w:footnote>
  <w:footnote w:id="3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These include only cash fringe benefits. SES data includes information on in-kind benefits only for five MS plus NO and UK. The findings on participation of women and men in such benefits are mixed. In all countries but one, the magnitude of in-kind benefits was much lower than that of cash benefits.</w:t>
      </w:r>
    </w:p>
  </w:footnote>
  <w:footnote w:id="3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Joshi, Aparna et al., ‘</w:t>
      </w:r>
      <w:hyperlink r:id="rId26" w:history="1">
        <w:r>
          <w:rPr>
            <w:rStyle w:val="Hyperlink"/>
            <w:rFonts w:ascii="Times New Roman" w:hAnsi="Times New Roman" w:cs="Times New Roman"/>
          </w:rPr>
          <w:t>When can women close the gap? A meta-analytic test of sex differences in performance and rewards</w:t>
        </w:r>
      </w:hyperlink>
      <w:r>
        <w:rPr>
          <w:rFonts w:ascii="Times New Roman" w:hAnsi="Times New Roman" w:cs="Times New Roman"/>
        </w:rPr>
        <w:t xml:space="preserve">’, </w:t>
      </w:r>
      <w:r>
        <w:rPr>
          <w:rFonts w:ascii="Times New Roman" w:hAnsi="Times New Roman" w:cs="Times New Roman"/>
          <w:i/>
        </w:rPr>
        <w:t>Academy of Management Journal,</w:t>
      </w:r>
      <w:r>
        <w:rPr>
          <w:rFonts w:ascii="Times New Roman" w:hAnsi="Times New Roman" w:cs="Times New Roman"/>
        </w:rPr>
        <w:t xml:space="preserve"> 2014, carried out a meta-analysis of nearly two hundred studies conducted across hundreds of thousands of employees between 1985 and 2013 on the differences in performance evaluations and organizational rewards such as salary, bonuses and promotions between male and female workers.</w:t>
      </w:r>
    </w:p>
  </w:footnote>
  <w:footnote w:id="3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Iceland ranks first in the </w:t>
      </w:r>
      <w:hyperlink r:id="rId27" w:history="1">
        <w:r>
          <w:rPr>
            <w:rStyle w:val="Hyperlink"/>
            <w:rFonts w:ascii="Times New Roman" w:hAnsi="Times New Roman" w:cs="Times New Roman"/>
            <w:i/>
          </w:rPr>
          <w:t>Global Gender Gap Index 2020</w:t>
        </w:r>
        <w:r>
          <w:rPr>
            <w:rStyle w:val="Hyperlink"/>
            <w:rFonts w:ascii="Times New Roman" w:hAnsi="Times New Roman" w:cs="Times New Roman"/>
          </w:rPr>
          <w:t xml:space="preserve"> of the World Economic Forum</w:t>
        </w:r>
      </w:hyperlink>
      <w:r>
        <w:rPr>
          <w:rStyle w:val="Hyperlink"/>
          <w:rFonts w:ascii="Times New Roman" w:hAnsi="Times New Roman" w:cs="Times New Roman"/>
        </w:rPr>
        <w:t>.</w:t>
      </w:r>
      <w:r>
        <w:rPr>
          <w:rFonts w:ascii="Times New Roman" w:hAnsi="Times New Roman" w:cs="Times New Roman"/>
        </w:rPr>
        <w:t xml:space="preserve"> Finland and Sweden are 3</w:t>
      </w:r>
      <w:r>
        <w:rPr>
          <w:rFonts w:ascii="Times New Roman" w:hAnsi="Times New Roman" w:cs="Times New Roman"/>
          <w:vertAlign w:val="superscript"/>
        </w:rPr>
        <w:t>rd</w:t>
      </w:r>
      <w:r>
        <w:rPr>
          <w:rFonts w:ascii="Times New Roman" w:hAnsi="Times New Roman" w:cs="Times New Roman"/>
        </w:rPr>
        <w:t xml:space="preserve"> and 4th in the world, repectively. </w:t>
      </w:r>
    </w:p>
  </w:footnote>
  <w:footnote w:id="3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Jamstalldhetsfeministern, </w:t>
      </w:r>
      <w:hyperlink r:id="rId28" w:history="1">
        <w:r>
          <w:rPr>
            <w:rStyle w:val="Hyperlink"/>
            <w:rFonts w:ascii="Times New Roman" w:hAnsi="Times New Roman" w:cs="Times New Roman"/>
            <w:i/>
          </w:rPr>
          <w:t>The Milion Study (Miljongranskningen</w:t>
        </w:r>
      </w:hyperlink>
      <w:r>
        <w:rPr>
          <w:rFonts w:ascii="Times New Roman" w:hAnsi="Times New Roman" w:cs="Times New Roman"/>
          <w:i/>
        </w:rPr>
        <w:t>)</w:t>
      </w:r>
      <w:r>
        <w:rPr>
          <w:rFonts w:ascii="Times New Roman" w:hAnsi="Times New Roman" w:cs="Times New Roman"/>
        </w:rPr>
        <w:t xml:space="preserve">, 2008. </w:t>
      </w:r>
    </w:p>
  </w:footnote>
  <w:footnote w:id="37">
    <w:p>
      <w:pPr>
        <w:pStyle w:val="FootnoteText"/>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See </w:t>
      </w:r>
      <w:hyperlink r:id="rId29" w:history="1">
        <w:r>
          <w:rPr>
            <w:rStyle w:val="Hyperlink"/>
            <w:rFonts w:ascii="Times New Roman" w:hAnsi="Times New Roman" w:cs="Times New Roman"/>
          </w:rPr>
          <w:t>European</w:t>
        </w:r>
      </w:hyperlink>
      <w:r>
        <w:rPr>
          <w:rStyle w:val="Hyperlink"/>
          <w:rFonts w:ascii="Times New Roman" w:hAnsi="Times New Roman" w:cs="Times New Roman"/>
        </w:rPr>
        <w:t xml:space="preserve"> Commission, </w:t>
      </w:r>
      <w:r>
        <w:rPr>
          <w:rStyle w:val="Hyperlink"/>
          <w:rFonts w:ascii="Times New Roman" w:hAnsi="Times New Roman" w:cs="Times New Roman"/>
          <w:i/>
        </w:rPr>
        <w:t>The EU Mutual Learning Programme in Gender Equality Equal Pay - Summary Report</w:t>
      </w:r>
      <w:r>
        <w:rPr>
          <w:rFonts w:ascii="Times New Roman" w:hAnsi="Times New Roman" w:cs="Times New Roman"/>
          <w:lang w:val="en-US"/>
        </w:rPr>
        <w:t xml:space="preserve">, 2019. </w:t>
      </w:r>
    </w:p>
  </w:footnote>
  <w:footnote w:id="38">
    <w:p>
      <w:pPr>
        <w:pStyle w:val="FootnoteText"/>
        <w:jc w:val="both"/>
        <w:rPr>
          <w:rFonts w:ascii="Times New Roman" w:hAnsi="Times New Roman" w:cs="Times New Roman"/>
          <w:lang w:val="de-DE"/>
        </w:rPr>
      </w:pPr>
      <w:r>
        <w:rPr>
          <w:rStyle w:val="FootnoteReference"/>
          <w:rFonts w:ascii="Times New Roman" w:hAnsi="Times New Roman" w:cs="Times New Roman"/>
        </w:rPr>
        <w:footnoteRef/>
      </w:r>
      <w:r>
        <w:rPr>
          <w:rFonts w:ascii="Times New Roman" w:hAnsi="Times New Roman" w:cs="Times New Roman"/>
          <w:lang w:val="de-DE"/>
        </w:rPr>
        <w:t xml:space="preserve"> See Bundesministerium für Familie, Senioren, Frauen und Jugend, </w:t>
      </w:r>
      <w:hyperlink r:id="rId30" w:history="1">
        <w:r>
          <w:rPr>
            <w:rStyle w:val="Hyperlink"/>
            <w:rFonts w:ascii="Times New Roman" w:hAnsi="Times New Roman" w:cs="Times New Roman"/>
            <w:i/>
            <w:lang w:val="de-DE"/>
          </w:rPr>
          <w:t>Bericht der Bundesregierung zur Wirksamkeit des Gesetzes zur Förderung der Entgelttransparenz zwischen Frauen und Männern</w:t>
        </w:r>
      </w:hyperlink>
      <w:r>
        <w:rPr>
          <w:rStyle w:val="Hyperlink"/>
          <w:rFonts w:ascii="Times New Roman" w:hAnsi="Times New Roman" w:cs="Times New Roman"/>
          <w:i/>
          <w:lang w:val="de-DE"/>
        </w:rPr>
        <w:t>,</w:t>
      </w:r>
      <w:r>
        <w:rPr>
          <w:rStyle w:val="Hyperlink"/>
          <w:rFonts w:ascii="Times New Roman" w:hAnsi="Times New Roman" w:cs="Times New Roman"/>
          <w:color w:val="000000" w:themeColor="text1"/>
          <w:u w:val="none"/>
          <w:lang w:val="de-DE"/>
        </w:rPr>
        <w:t xml:space="preserve"> </w:t>
      </w:r>
      <w:r>
        <w:rPr>
          <w:rStyle w:val="Hyperlink"/>
          <w:rFonts w:ascii="Times New Roman" w:hAnsi="Times New Roman" w:cs="Times New Roman"/>
          <w:color w:val="auto"/>
          <w:u w:val="none"/>
          <w:lang w:val="de-DE"/>
        </w:rPr>
        <w:t>2019</w:t>
      </w:r>
      <w:r>
        <w:rPr>
          <w:rFonts w:ascii="Times New Roman" w:hAnsi="Times New Roman" w:cs="Times New Roman"/>
          <w:lang w:val="de-DE"/>
        </w:rPr>
        <w:t xml:space="preserve">.  </w:t>
      </w:r>
    </w:p>
  </w:footnote>
  <w:footnote w:id="39">
    <w:p>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cs="Times New Roman"/>
          <w:lang w:val="fr-BE"/>
        </w:rPr>
        <w:t xml:space="preserve"> See Ministère du travail, </w:t>
      </w:r>
      <w:hyperlink r:id="rId31" w:history="1">
        <w:r>
          <w:rPr>
            <w:rStyle w:val="Hyperlink"/>
            <w:rFonts w:ascii="Times New Roman" w:hAnsi="Times New Roman" w:cs="Times New Roman"/>
            <w:i/>
            <w:lang w:val="fr-BE"/>
          </w:rPr>
          <w:t>Index de l’égalité professionnelle entre les femmes et les hommes - Point d’étape de son déploiement auprès des entreprises de plus de 250 salariés</w:t>
        </w:r>
      </w:hyperlink>
      <w:r>
        <w:rPr>
          <w:rFonts w:ascii="Times New Roman" w:hAnsi="Times New Roman" w:cs="Times New Roman"/>
          <w:lang w:val="fr-BE"/>
        </w:rPr>
        <w:t>, Dossier de Presse 17 Septembre 2019.</w:t>
      </w:r>
    </w:p>
  </w:footnote>
  <w:footnote w:id="4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Institute for Public Policy Research, </w:t>
      </w:r>
      <w:hyperlink r:id="rId32" w:history="1">
        <w:r>
          <w:rPr>
            <w:rStyle w:val="Hyperlink"/>
            <w:rFonts w:ascii="Times New Roman" w:hAnsi="Times New Roman" w:cs="Times New Roman"/>
            <w:i/>
          </w:rPr>
          <w:t>The Fair Pay Report</w:t>
        </w:r>
      </w:hyperlink>
      <w:r>
        <w:rPr>
          <w:rFonts w:ascii="Times New Roman" w:hAnsi="Times New Roman" w:cs="Times New Roman"/>
          <w:i/>
        </w:rPr>
        <w:t>, How pay transparency can help tackle inequalities</w:t>
      </w:r>
      <w:r>
        <w:rPr>
          <w:rFonts w:ascii="Times New Roman" w:hAnsi="Times New Roman" w:cs="Times New Roman"/>
        </w:rPr>
        <w:t>, 2018, p. 9 (there were a total of 22,531 equal pay cases before HM Courts and Tribunals Service and Employment Tribunal in 2018).</w:t>
      </w:r>
    </w:p>
  </w:footnote>
  <w:footnote w:id="4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European Commission, </w:t>
      </w:r>
      <w:hyperlink r:id="rId33" w:history="1">
        <w:r>
          <w:rPr>
            <w:rStyle w:val="Hyperlink"/>
            <w:rFonts w:ascii="Times New Roman" w:hAnsi="Times New Roman" w:cs="Times New Roman"/>
            <w:i/>
          </w:rPr>
          <w:t>Special Eurobarometer 465: Gender Equality</w:t>
        </w:r>
      </w:hyperlink>
      <w:r>
        <w:rPr>
          <w:rFonts w:ascii="Times New Roman" w:hAnsi="Times New Roman" w:cs="Times New Roman"/>
        </w:rPr>
        <w:t xml:space="preserve">, 2017. Public consultations launched by the Commission on discrimination, in particular discrimination based on sex including in regard to pay, attracted an impressive interest by citizens and other stakeholder groups. For instance, the </w:t>
      </w:r>
      <w:hyperlink r:id="rId34" w:history="1">
        <w:r>
          <w:rPr>
            <w:rStyle w:val="Hyperlink"/>
            <w:rFonts w:ascii="Times New Roman" w:hAnsi="Times New Roman" w:cs="Times New Roman"/>
          </w:rPr>
          <w:t>public consultation</w:t>
        </w:r>
      </w:hyperlink>
      <w:r>
        <w:rPr>
          <w:rFonts w:ascii="Times New Roman" w:hAnsi="Times New Roman" w:cs="Times New Roman"/>
        </w:rPr>
        <w:t xml:space="preserve"> on a legislative initiative on strengthening the principle of equal pay between women and men through pay transparency, the </w:t>
      </w:r>
      <w:hyperlink r:id="rId35" w:history="1">
        <w:r>
          <w:rPr>
            <w:rStyle w:val="Hyperlink"/>
            <w:rFonts w:ascii="Times New Roman" w:hAnsi="Times New Roman" w:cs="Times New Roman"/>
          </w:rPr>
          <w:t>public consultation</w:t>
        </w:r>
      </w:hyperlink>
      <w:r>
        <w:rPr>
          <w:rFonts w:ascii="Times New Roman" w:hAnsi="Times New Roman" w:cs="Times New Roman"/>
        </w:rPr>
        <w:t xml:space="preserve"> on the gender equality Strategy 2020-2024, and the </w:t>
      </w:r>
      <w:hyperlink r:id="rId36" w:history="1">
        <w:r>
          <w:rPr>
            <w:rStyle w:val="Hyperlink"/>
            <w:rFonts w:ascii="Times New Roman" w:hAnsi="Times New Roman" w:cs="Times New Roman"/>
          </w:rPr>
          <w:t>public consultation</w:t>
        </w:r>
      </w:hyperlink>
      <w:r>
        <w:rPr>
          <w:rFonts w:ascii="Times New Roman" w:hAnsi="Times New Roman" w:cs="Times New Roman"/>
        </w:rPr>
        <w:t xml:space="preserve"> on the evaluation of the provisions in the Directive 2006/54/EC implementing the Treaty principle on 'equal pay' received 559, 1335 and 386 answers, respectively. Overall, citizens’ views converge on gender equality matters, whilst employers tend to engage less with the problem.</w:t>
      </w:r>
    </w:p>
  </w:footnote>
  <w:footnote w:id="4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European Commission, </w:t>
      </w:r>
      <w:hyperlink r:id="rId37" w:history="1">
        <w:r>
          <w:rPr>
            <w:rStyle w:val="Hyperlink"/>
            <w:rFonts w:ascii="Times New Roman" w:hAnsi="Times New Roman" w:cs="Times New Roman"/>
            <w:i/>
          </w:rPr>
          <w:t>Special Eurobarometer 493: Discrimination in the EU</w:t>
        </w:r>
      </w:hyperlink>
      <w:r>
        <w:rPr>
          <w:rFonts w:ascii="Times New Roman" w:hAnsi="Times New Roman" w:cs="Times New Roman"/>
        </w:rPr>
        <w:t>, 2019.</w:t>
      </w:r>
    </w:p>
  </w:footnote>
  <w:footnote w:id="4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European Commission, </w:t>
      </w:r>
      <w:hyperlink r:id="rId38" w:history="1">
        <w:r>
          <w:rPr>
            <w:rStyle w:val="Hyperlink"/>
            <w:rFonts w:ascii="Times New Roman" w:hAnsi="Times New Roman" w:cs="Times New Roman"/>
            <w:i/>
          </w:rPr>
          <w:t>Special Eurobarometer 465, Gender Equality</w:t>
        </w:r>
      </w:hyperlink>
      <w:r>
        <w:rPr>
          <w:rFonts w:ascii="Times New Roman" w:hAnsi="Times New Roman" w:cs="Times New Roman"/>
        </w:rPr>
        <w:t>, 2017.</w:t>
      </w:r>
    </w:p>
  </w:footnote>
  <w:footnote w:id="44">
    <w:p>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cs="Times New Roman"/>
        </w:rPr>
        <w:t xml:space="preserve"> See Institute for Equality between Women and Men, </w:t>
      </w:r>
      <w:hyperlink r:id="rId39" w:history="1">
        <w:r>
          <w:rPr>
            <w:rStyle w:val="Hyperlink"/>
            <w:rFonts w:ascii="Times New Roman" w:hAnsi="Times New Roman" w:cs="Times New Roman"/>
            <w:i/>
          </w:rPr>
          <w:t xml:space="preserve">Grossesse au travail. </w:t>
        </w:r>
        <w:r>
          <w:rPr>
            <w:rStyle w:val="Hyperlink"/>
            <w:rFonts w:ascii="Times New Roman" w:hAnsi="Times New Roman" w:cs="Times New Roman"/>
            <w:i/>
            <w:lang w:val="fr-FR"/>
          </w:rPr>
          <w:t>Expériences de candidates, d'employées et de travailleuses indépendantes en Belgique</w:t>
        </w:r>
      </w:hyperlink>
      <w:r>
        <w:rPr>
          <w:rFonts w:ascii="Times New Roman" w:hAnsi="Times New Roman" w:cs="Times New Roman"/>
          <w:lang w:val="fr-BE"/>
        </w:rPr>
        <w:t xml:space="preserve">, 2017.  </w:t>
      </w:r>
    </w:p>
  </w:footnote>
  <w:footnote w:id="4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ESRI, </w:t>
      </w:r>
      <w:hyperlink r:id="rId40" w:history="1">
        <w:r>
          <w:rPr>
            <w:rStyle w:val="Hyperlink"/>
            <w:rFonts w:ascii="Times New Roman" w:hAnsi="Times New Roman" w:cs="Times New Roman"/>
            <w:i/>
          </w:rPr>
          <w:t>Who experiences discrimination in Ireland? Evidence from the QNHS Equality Modules</w:t>
        </w:r>
      </w:hyperlink>
      <w:r>
        <w:rPr>
          <w:rFonts w:ascii="Times New Roman" w:hAnsi="Times New Roman" w:cs="Times New Roman"/>
        </w:rPr>
        <w:t>, 2017.</w:t>
      </w:r>
    </w:p>
  </w:footnote>
  <w:footnote w:id="4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For instance, in</w:t>
      </w:r>
      <w:r>
        <w:rPr>
          <w:rFonts w:ascii="Times New Roman" w:hAnsi="Times New Roman" w:cs="Times New Roman"/>
          <w:lang w:val="en-IE"/>
        </w:rPr>
        <w:t xml:space="preserve">  October 2019, a French retired woman has received </w:t>
      </w:r>
      <w:r>
        <w:rPr>
          <w:rFonts w:ascii="Times New Roman" w:hAnsi="Times New Roman" w:cs="Times New Roman"/>
        </w:rPr>
        <w:t xml:space="preserve">161,000 euros in compensation for unequal pay compared to a male colleague during her 41-year career (Labour Tribunal of Nantes). </w:t>
      </w:r>
      <w:r>
        <w:rPr>
          <w:rFonts w:ascii="Times New Roman" w:hAnsi="Times New Roman" w:cs="Times New Roman"/>
          <w:lang w:val="fr-BE"/>
        </w:rPr>
        <w:t xml:space="preserve">(Le Figaro, </w:t>
      </w:r>
      <w:hyperlink r:id="rId41" w:history="1">
        <w:r>
          <w:rPr>
            <w:rStyle w:val="Hyperlink"/>
            <w:rFonts w:ascii="Times New Roman" w:hAnsi="Times New Roman" w:cs="Times New Roman"/>
            <w:i/>
            <w:lang w:val="fr-BE"/>
          </w:rPr>
          <w:t>Elle obtient 161.000 euros aux prud’hommes pour avoir été moins payée qu’un collègue masculin</w:t>
        </w:r>
      </w:hyperlink>
      <w:r>
        <w:rPr>
          <w:rFonts w:ascii="Times New Roman" w:hAnsi="Times New Roman" w:cs="Times New Roman"/>
          <w:lang w:val="fr-BE"/>
        </w:rPr>
        <w:t xml:space="preserve">, 23/10/2019.) </w:t>
      </w:r>
      <w:r>
        <w:rPr>
          <w:rFonts w:ascii="Times New Roman" w:hAnsi="Times New Roman" w:cs="Times New Roman"/>
        </w:rPr>
        <w:t>In Malta, a female employee</w:t>
      </w:r>
      <w:r>
        <w:rPr>
          <w:rFonts w:ascii="Times New Roman" w:eastAsia="Verdana" w:hAnsi="Times New Roman" w:cs="Times New Roman"/>
          <w:color w:val="000000" w:themeColor="text1"/>
        </w:rPr>
        <w:t xml:space="preserve"> </w:t>
      </w:r>
      <w:r>
        <w:rPr>
          <w:rFonts w:ascii="Times New Roman" w:hAnsi="Times New Roman" w:cs="Times New Roman"/>
        </w:rPr>
        <w:t>was found</w:t>
      </w:r>
      <w:r>
        <w:rPr>
          <w:rFonts w:ascii="Times New Roman" w:eastAsia="Verdana" w:hAnsi="Times New Roman" w:cs="Times New Roman"/>
          <w:color w:val="000000" w:themeColor="text1"/>
        </w:rPr>
        <w:t xml:space="preserve"> </w:t>
      </w:r>
      <w:r>
        <w:rPr>
          <w:rFonts w:ascii="Times New Roman" w:hAnsi="Times New Roman" w:cs="Times New Roman"/>
        </w:rPr>
        <w:t xml:space="preserve">to be receiving some 6,000  euros per year less than her male colleagues. (Times of Malta, </w:t>
      </w:r>
      <w:hyperlink r:id="rId42" w:history="1">
        <w:r>
          <w:rPr>
            <w:rStyle w:val="Hyperlink"/>
            <w:rFonts w:ascii="Times New Roman" w:hAnsi="Times New Roman" w:cs="Times New Roman"/>
            <w:i/>
          </w:rPr>
          <w:t>Woman finds male colleagues are paid €500 more per month - investigation proves her right</w:t>
        </w:r>
      </w:hyperlink>
      <w:r>
        <w:rPr>
          <w:rFonts w:ascii="Times New Roman" w:hAnsi="Times New Roman" w:cs="Times New Roman"/>
        </w:rPr>
        <w:t xml:space="preserve">, 24/01/2018). See Burri, S., </w:t>
      </w:r>
      <w:hyperlink r:id="rId43" w:history="1">
        <w:r>
          <w:rPr>
            <w:rStyle w:val="Hyperlink"/>
            <w:rFonts w:ascii="Times New Roman" w:hAnsi="Times New Roman" w:cs="Times New Roman"/>
            <w:i/>
            <w:color w:val="000000" w:themeColor="text1"/>
          </w:rPr>
          <w:t>National cases and good practices on equal pay</w:t>
        </w:r>
      </w:hyperlink>
      <w:r>
        <w:rPr>
          <w:rStyle w:val="Hyperlink"/>
          <w:rFonts w:ascii="Times New Roman" w:hAnsi="Times New Roman" w:cs="Times New Roman"/>
          <w:i/>
          <w:color w:val="000000" w:themeColor="text1"/>
        </w:rPr>
        <w:t xml:space="preserve">, </w:t>
      </w:r>
      <w:r>
        <w:rPr>
          <w:rFonts w:ascii="Times New Roman" w:hAnsi="Times New Roman" w:cs="Times New Roman"/>
        </w:rPr>
        <w:t>2019 for further examples.</w:t>
      </w:r>
    </w:p>
  </w:footnote>
  <w:footnote w:id="47">
    <w:p>
      <w:pPr>
        <w:pStyle w:val="FootnoteText"/>
        <w:jc w:val="both"/>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rPr>
        <w:t xml:space="preserve"> In the UK, the number of legal cases and the size of the settlements point to widespread discriminatory pay practices (O’Reilly, J. et al., ‘Equal Pay as a Moving Target: International perspectives on forty-years of addressing the gender pay gap’</w:t>
      </w:r>
      <w:r>
        <w:rPr>
          <w:rFonts w:ascii="Times New Roman" w:hAnsi="Times New Roman" w:cs="Times New Roman"/>
          <w:i/>
        </w:rPr>
        <w:t>, Cambridge Journal of Economics</w:t>
      </w:r>
      <w:r>
        <w:rPr>
          <w:rFonts w:ascii="Times New Roman" w:hAnsi="Times New Roman" w:cs="Times New Roman"/>
        </w:rPr>
        <w:t xml:space="preserve">, Volume 39, Issue 2, March 2015; Deakin, S. et al., ‘Are litigation and collective bargaining complements or substitutes for achieving gender equality? A study of the British Equal Pay Act’, </w:t>
      </w:r>
      <w:r>
        <w:rPr>
          <w:rFonts w:ascii="Times New Roman" w:hAnsi="Times New Roman" w:cs="Times New Roman"/>
          <w:i/>
        </w:rPr>
        <w:t>Cambridge Journal of Economics</w:t>
      </w:r>
      <w:r>
        <w:rPr>
          <w:rFonts w:ascii="Times New Roman" w:hAnsi="Times New Roman" w:cs="Times New Roman"/>
        </w:rPr>
        <w:t>, 2015). The analysis of a number of equal pay cases carried out for the UK Impact assessment before introducing pay transparency measures in 2014 revealed that employers are often still not able to show any clear rationale for the pay rates that they offer individuals. From a sample of 41 successful equal pay cases over the last decade, less than a quarter appeared to have a gender-neutral salary structure. The situation may be expected to gradually improve as a result of the mandatory pay transparency measure in the UK.</w:t>
      </w:r>
    </w:p>
  </w:footnote>
  <w:footnote w:id="4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targeted consultation received replies from only 10 Member States, which indicated no case (LT, SI) up to a large number of cases (FR: 9,508 in 2019, a six-fold increase in 3 years – from 1605 in 2016). </w:t>
      </w:r>
    </w:p>
  </w:footnote>
  <w:footnote w:id="49">
    <w:p>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cs="Times New Roman"/>
          <w:lang w:val="fr-BE"/>
        </w:rPr>
        <w:t xml:space="preserve"> CZ, DE, DK, FR, IT, MT, RO, SI, SE.</w:t>
      </w:r>
    </w:p>
  </w:footnote>
  <w:footnote w:id="50">
    <w:p>
      <w:pPr>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See for example Murphy E., Oesch D., </w:t>
      </w:r>
      <w:r>
        <w:rPr>
          <w:rFonts w:ascii="Times New Roman" w:hAnsi="Times New Roman" w:cs="Times New Roman"/>
          <w:i/>
          <w:sz w:val="20"/>
          <w:szCs w:val="20"/>
        </w:rPr>
        <w:t>The Feminisation of Occupations and Change in Wages: A Panel Analysis of Britain, Germany, and Switzerland</w:t>
      </w:r>
      <w:r>
        <w:rPr>
          <w:rFonts w:ascii="Times New Roman" w:hAnsi="Times New Roman" w:cs="Times New Roman"/>
          <w:sz w:val="20"/>
          <w:szCs w:val="20"/>
        </w:rPr>
        <w:t xml:space="preserve">, 2015, pp. 1 and 20-21, ‘wage disparities between male and female occupations are, to some extent, rooted in unequal gender norms that accord higher value to male work effort, and thus imply labor-market discrimination against women’; </w:t>
      </w:r>
      <w:r>
        <w:rPr>
          <w:rFonts w:ascii="Times New Roman" w:hAnsi="Times New Roman" w:cs="Times New Roman"/>
          <w:sz w:val="20"/>
          <w:szCs w:val="20"/>
          <w:lang w:val="en-IE"/>
        </w:rPr>
        <w:t xml:space="preserve">Auspurg K., Hinz T., Sauer C., ‘Why Should Women Get Less? Evidence on the Gender Pay Gap from Multifactorial Survey Experiments’, </w:t>
      </w:r>
      <w:r>
        <w:rPr>
          <w:rFonts w:ascii="Times New Roman" w:hAnsi="Times New Roman" w:cs="Times New Roman"/>
          <w:i/>
          <w:sz w:val="20"/>
          <w:szCs w:val="20"/>
          <w:lang w:val="en-IE"/>
        </w:rPr>
        <w:t>American Sociological Review</w:t>
      </w:r>
      <w:r>
        <w:rPr>
          <w:rFonts w:ascii="Times New Roman" w:hAnsi="Times New Roman" w:cs="Times New Roman"/>
          <w:sz w:val="20"/>
          <w:szCs w:val="20"/>
          <w:lang w:val="en-IE"/>
        </w:rPr>
        <w:t>, 82(1), 2017, p. 203</w:t>
      </w:r>
      <w:r>
        <w:rPr>
          <w:rFonts w:ascii="Times New Roman" w:hAnsi="Times New Roman" w:cs="Times New Roman"/>
          <w:sz w:val="20"/>
          <w:szCs w:val="20"/>
        </w:rPr>
        <w:t>.</w:t>
      </w:r>
    </w:p>
  </w:footnote>
  <w:footnote w:id="5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lang w:val="en-IE"/>
        </w:rPr>
        <w:t xml:space="preserve"> A-F. Bender, F. Pigeyre, ‘</w:t>
      </w:r>
      <w:hyperlink r:id="rId44" w:history="1">
        <w:r>
          <w:rPr>
            <w:rStyle w:val="Hyperlink"/>
            <w:rFonts w:ascii="Times New Roman" w:hAnsi="Times New Roman" w:cs="Times New Roman"/>
            <w:i/>
          </w:rPr>
          <w:t>Job evaluation and pay equity: stakes and methods</w:t>
        </w:r>
      </w:hyperlink>
      <w:r>
        <w:rPr>
          <w:rStyle w:val="Hyperlink"/>
          <w:rFonts w:ascii="Times New Roman" w:hAnsi="Times New Roman" w:cs="Times New Roman"/>
          <w:color w:val="auto"/>
          <w:u w:val="none"/>
        </w:rPr>
        <w:t>’</w:t>
      </w:r>
      <w:r>
        <w:rPr>
          <w:rFonts w:ascii="Times New Roman" w:hAnsi="Times New Roman" w:cs="Times New Roman"/>
          <w:i/>
        </w:rPr>
        <w:t>,</w:t>
      </w:r>
      <w:r>
        <w:rPr>
          <w:rFonts w:ascii="Times New Roman" w:hAnsi="Times New Roman" w:cs="Times New Roman"/>
        </w:rPr>
        <w:t xml:space="preserve"> Conference </w:t>
      </w:r>
      <w:r>
        <w:rPr>
          <w:rFonts w:ascii="Times New Roman" w:hAnsi="Times New Roman" w:cs="Times New Roman"/>
          <w:i/>
        </w:rPr>
        <w:t>EURAM</w:t>
      </w:r>
      <w:r>
        <w:rPr>
          <w:rFonts w:ascii="Times New Roman" w:hAnsi="Times New Roman" w:cs="Times New Roman"/>
        </w:rPr>
        <w:t xml:space="preserve">, 2014. </w:t>
      </w:r>
    </w:p>
  </w:footnote>
  <w:footnote w:id="52">
    <w:p>
      <w:pPr>
        <w:pStyle w:val="FootnoteText"/>
        <w:jc w:val="both"/>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rPr>
        <w:t xml:space="preserve"> See </w:t>
      </w:r>
      <w:r>
        <w:rPr>
          <w:rFonts w:ascii="Times New Roman" w:hAnsi="Times New Roman" w:cs="Times New Roman"/>
          <w:i/>
        </w:rPr>
        <w:t>Annex 5</w:t>
      </w:r>
      <w:r>
        <w:rPr>
          <w:rFonts w:ascii="Times New Roman" w:hAnsi="Times New Roman" w:cs="Times New Roman"/>
        </w:rPr>
        <w:t xml:space="preserve"> for a short discussion on the relation between employers rational (profit maximising) behaviour and discrimination</w:t>
      </w:r>
      <w:r>
        <w:rPr>
          <w:rFonts w:ascii="Times New Roman" w:eastAsia="Times New Roman" w:hAnsi="Times New Roman" w:cs="Times New Roman"/>
          <w:lang w:val="en-US"/>
        </w:rPr>
        <w:t>.</w:t>
      </w:r>
    </w:p>
  </w:footnote>
  <w:footnote w:id="53">
    <w:p>
      <w:pPr>
        <w:pStyle w:val="FootnoteText"/>
        <w:jc w:val="both"/>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rPr>
        <w:t xml:space="preserve"> Expectations about the traits and capabilities of women and men may produce biased evaluations of their respective competencies. Men can be seen as a good match for high-status roles such as leadership and women as more adept for interpersonal roles such as nurse or teacher – see literature quoted in </w:t>
      </w:r>
      <w:r>
        <w:rPr>
          <w:rFonts w:ascii="Times New Roman" w:hAnsi="Times New Roman" w:cs="Times New Roman"/>
          <w:lang w:val="en-US"/>
        </w:rPr>
        <w:t>Brosi, P.; Schwarzmüller, T.; Welpe, I.</w:t>
      </w:r>
      <w:r>
        <w:rPr>
          <w:rFonts w:ascii="Times New Roman" w:hAnsi="Times New Roman" w:cs="Times New Roman"/>
        </w:rPr>
        <w:t xml:space="preserve">, </w:t>
      </w:r>
      <w:hyperlink r:id="rId45" w:history="1">
        <w:r>
          <w:rPr>
            <w:rStyle w:val="Hyperlink"/>
            <w:rFonts w:ascii="Times New Roman" w:hAnsi="Times New Roman" w:cs="Times New Roman"/>
            <w:i/>
          </w:rPr>
          <w:t>Ensuring equal pay and equal access to employment through gender-neutral job evaluation and classification</w:t>
        </w:r>
      </w:hyperlink>
      <w:r>
        <w:rPr>
          <w:rFonts w:ascii="Times New Roman" w:hAnsi="Times New Roman" w:cs="Times New Roman"/>
        </w:rPr>
        <w:t>, 2015. Morevoer, there might be an underlying assumption that men are the sole/main ‘bread earners’ in the family, provided for through their salary, and women are secondary/complementary earners, whose salary does not require financing an entire family and therefore somehow less relevant.</w:t>
      </w:r>
    </w:p>
  </w:footnote>
  <w:footnote w:id="5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An example is the ‘abrasiveness trap’, studied by Snyder, K., ‘The abrasiveness trap: High-achieving men and women are described differently in reviews’, </w:t>
      </w:r>
      <w:r>
        <w:rPr>
          <w:rFonts w:ascii="Times New Roman" w:hAnsi="Times New Roman" w:cs="Times New Roman"/>
          <w:i/>
        </w:rPr>
        <w:t>Fortune</w:t>
      </w:r>
      <w:r>
        <w:rPr>
          <w:rFonts w:ascii="Times New Roman" w:hAnsi="Times New Roman" w:cs="Times New Roman"/>
        </w:rPr>
        <w:t>, 2014.</w:t>
      </w:r>
    </w:p>
  </w:footnote>
  <w:footnote w:id="5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For instance, a 2012 study (Leibbrandt, A.; List J.A., ‘</w:t>
      </w:r>
      <w:hyperlink r:id="rId46" w:history="1">
        <w:r>
          <w:rPr>
            <w:rStyle w:val="Hyperlink"/>
            <w:rFonts w:ascii="Times New Roman" w:hAnsi="Times New Roman" w:cs="Times New Roman"/>
          </w:rPr>
          <w:t>Do women avoid salary negotiations? Evidence from a large-scale natural field experiment</w:t>
        </w:r>
      </w:hyperlink>
      <w:r>
        <w:rPr>
          <w:rFonts w:ascii="Times New Roman" w:hAnsi="Times New Roman" w:cs="Times New Roman"/>
        </w:rPr>
        <w:t xml:space="preserve">’, </w:t>
      </w:r>
      <w:r>
        <w:rPr>
          <w:rFonts w:ascii="Times New Roman" w:hAnsi="Times New Roman" w:cs="Times New Roman"/>
          <w:i/>
        </w:rPr>
        <w:t>Management Science</w:t>
      </w:r>
      <w:r>
        <w:rPr>
          <w:rFonts w:ascii="Times New Roman" w:hAnsi="Times New Roman" w:cs="Times New Roman"/>
        </w:rPr>
        <w:t>, 2012 – published in 2015) found that women were less likely to negotiate their salary. However, when researchers explicitly told all job seekers that pay was negotiable, this ‘negotiation gap’ disappeared completely. For an overview of research on how salary transparency affects gender pay differences, see Chamberlain, A., ‘</w:t>
      </w:r>
      <w:hyperlink r:id="rId47" w:history="1">
        <w:r>
          <w:rPr>
            <w:rStyle w:val="Hyperlink"/>
            <w:rFonts w:ascii="Times New Roman" w:hAnsi="Times New Roman" w:cs="Times New Roman"/>
          </w:rPr>
          <w:t>Is Salary Transparency More Than a Trend?</w:t>
        </w:r>
      </w:hyperlink>
      <w:r>
        <w:rPr>
          <w:rFonts w:ascii="Times New Roman" w:hAnsi="Times New Roman" w:cs="Times New Roman"/>
        </w:rPr>
        <w:t xml:space="preserve">’, </w:t>
      </w:r>
      <w:r>
        <w:rPr>
          <w:rFonts w:ascii="Times New Roman" w:hAnsi="Times New Roman" w:cs="Times New Roman"/>
          <w:i/>
        </w:rPr>
        <w:t>Glassdoor Economic Research Report,</w:t>
      </w:r>
      <w:r>
        <w:rPr>
          <w:rFonts w:ascii="Times New Roman" w:hAnsi="Times New Roman" w:cs="Times New Roman"/>
        </w:rPr>
        <w:t xml:space="preserve"> 2015.</w:t>
      </w:r>
    </w:p>
  </w:footnote>
  <w:footnote w:id="56">
    <w:p>
      <w:pPr>
        <w:pStyle w:val="FootnoteText"/>
        <w:jc w:val="both"/>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rPr>
        <w:t xml:space="preserve"> See e.g. Babcock et al., ‘</w:t>
      </w:r>
      <w:hyperlink r:id="rId48" w:history="1">
        <w:r>
          <w:rPr>
            <w:rStyle w:val="Hyperlink"/>
            <w:rFonts w:ascii="Times New Roman" w:hAnsi="Times New Roman" w:cs="Times New Roman"/>
          </w:rPr>
          <w:t>Nice girls don't ask – Women negotiate less than men – and everyone pays the price</w:t>
        </w:r>
      </w:hyperlink>
      <w:r>
        <w:rPr>
          <w:rFonts w:ascii="Times New Roman" w:hAnsi="Times New Roman" w:cs="Times New Roman"/>
        </w:rPr>
        <w:t xml:space="preserve">’, </w:t>
      </w:r>
      <w:r>
        <w:rPr>
          <w:rFonts w:ascii="Times New Roman" w:hAnsi="Times New Roman" w:cs="Times New Roman"/>
          <w:i/>
        </w:rPr>
        <w:t>Harvard business review</w:t>
      </w:r>
      <w:r>
        <w:rPr>
          <w:rFonts w:ascii="Times New Roman" w:hAnsi="Times New Roman" w:cs="Times New Roman"/>
        </w:rPr>
        <w:t>, 2003. 57% of men against only 7% of women negotiated.</w:t>
      </w:r>
    </w:p>
  </w:footnote>
  <w:footnote w:id="57">
    <w:p>
      <w:pPr>
        <w:pStyle w:val="FootnoteText"/>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lang w:val="en-US"/>
        </w:rPr>
        <w:t xml:space="preserve"> Auspurg K., Hinz T., Sauer C., ‘Why Should Women Get Less? Evidence on the Gender Pay Gap from Multifactorial Survey Experiments’, American Sociological Review, 82(1), 2017, 179–210; Davison, H., ‘</w:t>
      </w:r>
      <w:hyperlink r:id="rId49" w:history="1">
        <w:r>
          <w:rPr>
            <w:rStyle w:val="Hyperlink"/>
            <w:rFonts w:ascii="Times New Roman" w:hAnsi="Times New Roman" w:cs="Times New Roman"/>
            <w:lang w:val="en-US"/>
          </w:rPr>
          <w:t>The Paradox of the Contented Female Worker: Why Are Women Satisfied with Lower Pay</w:t>
        </w:r>
      </w:hyperlink>
      <w:r>
        <w:rPr>
          <w:rFonts w:ascii="Times New Roman" w:hAnsi="Times New Roman" w:cs="Times New Roman"/>
          <w:lang w:val="en-US"/>
        </w:rPr>
        <w:t xml:space="preserve">?’, </w:t>
      </w:r>
      <w:r>
        <w:rPr>
          <w:rFonts w:ascii="Times New Roman" w:hAnsi="Times New Roman" w:cs="Times New Roman"/>
          <w:i/>
          <w:lang w:val="en-US"/>
        </w:rPr>
        <w:t>Employee Responsibilities and Rights Journal</w:t>
      </w:r>
      <w:r>
        <w:rPr>
          <w:rFonts w:ascii="Times New Roman" w:hAnsi="Times New Roman" w:cs="Times New Roman"/>
          <w:lang w:val="en-US"/>
        </w:rPr>
        <w:t>, 2014.</w:t>
      </w:r>
    </w:p>
  </w:footnote>
  <w:footnote w:id="5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AAUW, </w:t>
      </w:r>
      <w:hyperlink r:id="rId50" w:history="1">
        <w:r>
          <w:rPr>
            <w:rStyle w:val="Hyperlink"/>
            <w:rFonts w:ascii="Times New Roman" w:hAnsi="Times New Roman" w:cs="Times New Roman"/>
            <w:i/>
          </w:rPr>
          <w:t>Black Women &amp; the Pay Gap</w:t>
        </w:r>
      </w:hyperlink>
      <w:r>
        <w:rPr>
          <w:rFonts w:ascii="Times New Roman" w:hAnsi="Times New Roman" w:cs="Times New Roman"/>
        </w:rPr>
        <w:t xml:space="preserve">. Available at: https://www.aauw.org/resources/article/black-women-and-the-pay-gap/. </w:t>
      </w:r>
    </w:p>
  </w:footnote>
  <w:footnote w:id="5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EIGE, ‘Poverty, gender and lone parents’, </w:t>
      </w:r>
      <w:r>
        <w:rPr>
          <w:rFonts w:ascii="Times New Roman" w:hAnsi="Times New Roman" w:cs="Times New Roman"/>
          <w:i/>
        </w:rPr>
        <w:t>EU Review of the implementation of the Beijing Platform for Action</w:t>
      </w:r>
      <w:r>
        <w:rPr>
          <w:rFonts w:ascii="Times New Roman" w:hAnsi="Times New Roman" w:cs="Times New Roman"/>
        </w:rPr>
        <w:t>, 2016.</w:t>
      </w:r>
    </w:p>
  </w:footnote>
  <w:footnote w:id="6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European Union Agency for Fundamental Rights, </w:t>
      </w:r>
      <w:hyperlink r:id="rId51" w:history="1">
        <w:r>
          <w:rPr>
            <w:rStyle w:val="Hyperlink"/>
            <w:rFonts w:ascii="Times New Roman" w:hAnsi="Times New Roman" w:cs="Times New Roman"/>
            <w:i/>
            <w:color w:val="auto"/>
            <w:u w:val="none"/>
          </w:rPr>
          <w:t>EU LGBT survey - European Union lesbian, gay, bisexual and transgender survey</w:t>
        </w:r>
      </w:hyperlink>
      <w:r>
        <w:rPr>
          <w:rFonts w:ascii="Times New Roman" w:hAnsi="Times New Roman" w:cs="Times New Roman"/>
        </w:rPr>
        <w:t>, 2014, ‘25% of the respondents who had a paid job during the previous five years said they experienced unequal treatment with respect to employment conditions or benefits in this period because of having a same sex partner. […] Of those transgender respondents who were employed in the previous five years, around a third (35%) experienced this type of unequal treatment at work during this period, compared with ca one in four lesbian (26%), gay (24%) or bisexual (20% of bisexual women and 23% of bisexual men) respondents’, p. 32.</w:t>
      </w:r>
    </w:p>
  </w:footnote>
  <w:footnote w:id="6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w:t>
      </w:r>
      <w:r>
        <w:rPr>
          <w:rFonts w:ascii="Times New Roman" w:hAnsi="Times New Roman" w:cs="Times New Roman"/>
          <w:i/>
        </w:rPr>
        <w:t>Annex 8</w:t>
      </w:r>
      <w:r>
        <w:rPr>
          <w:rFonts w:ascii="Times New Roman" w:hAnsi="Times New Roman" w:cs="Times New Roman"/>
        </w:rPr>
        <w:t xml:space="preserve"> of European Commission, </w:t>
      </w:r>
      <w:r>
        <w:rPr>
          <w:rFonts w:ascii="Times New Roman" w:hAnsi="Times New Roman" w:cs="Times New Roman"/>
          <w:i/>
        </w:rPr>
        <w:t xml:space="preserve">Evaluation </w:t>
      </w:r>
      <w:hyperlink r:id="rId52" w:history="1">
        <w:r>
          <w:rPr>
            <w:rStyle w:val="Hyperlink"/>
            <w:rFonts w:ascii="Times New Roman" w:hAnsi="Times New Roman" w:cs="Times New Roman"/>
            <w:i/>
          </w:rPr>
          <w:t>SWD(2020)50</w:t>
        </w:r>
      </w:hyperlink>
      <w:r>
        <w:rPr>
          <w:rFonts w:ascii="Times New Roman" w:hAnsi="Times New Roman" w:cs="Times New Roman"/>
          <w:i/>
        </w:rPr>
        <w:t xml:space="preserve"> </w:t>
      </w:r>
      <w:r>
        <w:rPr>
          <w:rFonts w:ascii="Times New Roman" w:hAnsi="Times New Roman" w:cs="Times New Roman"/>
        </w:rPr>
        <w:t>on the difficulties of measurement of pay discrimination and other types of discrimination more in general.</w:t>
      </w:r>
    </w:p>
  </w:footnote>
  <w:footnote w:id="6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European Agency for Fundamental rights, </w:t>
      </w:r>
      <w:r>
        <w:rPr>
          <w:rFonts w:ascii="Times New Roman" w:hAnsi="Times New Roman" w:cs="Times New Roman"/>
          <w:i/>
        </w:rPr>
        <w:t>Handbook on European non-discrimination law</w:t>
      </w:r>
      <w:r>
        <w:rPr>
          <w:rFonts w:ascii="Times New Roman" w:hAnsi="Times New Roman" w:cs="Times New Roman"/>
        </w:rPr>
        <w:t>, 2011, pp. 123- 124.</w:t>
      </w:r>
    </w:p>
  </w:footnote>
  <w:footnote w:id="6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One third of employees in the EU are unaware of the salaries of their immediate colleagues (Eurobarometer 465).</w:t>
      </w:r>
    </w:p>
  </w:footnote>
  <w:footnote w:id="64">
    <w:p>
      <w:pPr>
        <w:pStyle w:val="FootnoteText"/>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lang w:val="en-US"/>
        </w:rPr>
        <w:t xml:space="preserve"> Trotter, R.G. et al., ‘The new age of pay transparency’, </w:t>
      </w:r>
      <w:r>
        <w:rPr>
          <w:rFonts w:ascii="Times New Roman" w:hAnsi="Times New Roman" w:cs="Times New Roman"/>
          <w:i/>
          <w:lang w:val="en-US"/>
        </w:rPr>
        <w:t>Business Horizons,</w:t>
      </w:r>
      <w:r>
        <w:rPr>
          <w:rFonts w:ascii="Times New Roman" w:hAnsi="Times New Roman" w:cs="Times New Roman"/>
          <w:lang w:val="en-US"/>
        </w:rPr>
        <w:t xml:space="preserve"> 2017.</w:t>
      </w:r>
    </w:p>
  </w:footnote>
  <w:footnote w:id="6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so-called paradox of ‘the contented female workers’ shows that female workers might end up being paid less than men but being more satisfied of their wage, in part because they consider lower wages as justified. The concept was originally introduced by Crosby F., </w:t>
      </w:r>
      <w:r>
        <w:rPr>
          <w:rFonts w:ascii="Times New Roman" w:hAnsi="Times New Roman" w:cs="Times New Roman"/>
          <w:i/>
        </w:rPr>
        <w:t xml:space="preserve">Relative Deprivation and Working Women. </w:t>
      </w:r>
      <w:r>
        <w:rPr>
          <w:rFonts w:ascii="Times New Roman" w:hAnsi="Times New Roman" w:cs="Times New Roman"/>
        </w:rPr>
        <w:t xml:space="preserve">New York: Oxford University Press, 1982. More recently, Mueller C.W. et al, found, with data collected from 30 countries, that the paradox is essentially a universal, worldwide phenomenon. Recent literature (Valet, P., ‘Social Structure and the Paradox of the Contented Female Worker: How Occupational Gender Segregation Biases Justice Perceptions of Wages', </w:t>
      </w:r>
      <w:r>
        <w:rPr>
          <w:rFonts w:ascii="Times New Roman" w:hAnsi="Times New Roman" w:cs="Times New Roman"/>
          <w:i/>
        </w:rPr>
        <w:t>Work and Ocupations</w:t>
      </w:r>
      <w:r>
        <w:rPr>
          <w:rFonts w:ascii="Times New Roman" w:hAnsi="Times New Roman" w:cs="Times New Roman"/>
        </w:rPr>
        <w:t xml:space="preserve">, 2018) contested the existence of inherent differences in justice perception between women and men. See Mueller C.W. et al, ‘The contented female worker: Still a paradox?’, Hegtvedt, K.A. and Clay-Warner, J. </w:t>
      </w:r>
      <w:r>
        <w:rPr>
          <w:rFonts w:ascii="Times New Roman" w:hAnsi="Times New Roman" w:cs="Times New Roman"/>
          <w:i/>
        </w:rPr>
        <w:t>Justice</w:t>
      </w:r>
      <w:r>
        <w:rPr>
          <w:rFonts w:ascii="Times New Roman" w:hAnsi="Times New Roman" w:cs="Times New Roman"/>
        </w:rPr>
        <w:t>, 2008.</w:t>
      </w:r>
    </w:p>
  </w:footnote>
  <w:footnote w:id="6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Avent-Holt, D., &amp; Tomaskovic-Devey, D., ‘A relational theory of earnings inequality’. </w:t>
      </w:r>
      <w:r>
        <w:rPr>
          <w:rFonts w:ascii="Times New Roman" w:hAnsi="Times New Roman" w:cs="Times New Roman"/>
          <w:i/>
        </w:rPr>
        <w:t>American Behavioral Scientist,</w:t>
      </w:r>
      <w:r>
        <w:rPr>
          <w:rFonts w:ascii="Times New Roman" w:hAnsi="Times New Roman" w:cs="Times New Roman"/>
        </w:rPr>
        <w:t xml:space="preserve"> 2014.</w:t>
      </w:r>
    </w:p>
  </w:footnote>
  <w:footnote w:id="67">
    <w:p>
      <w:pPr>
        <w:pStyle w:val="FootnoteText"/>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Research also shows a gendered attitude towards privacy on wages. Women tend to be more private and less informed about the market value of labour than men (Babcock et al., ‘Nice girls don't ask – Women negotiate less than men – and everyone pays the price’. </w:t>
      </w:r>
      <w:r>
        <w:rPr>
          <w:rFonts w:ascii="Times New Roman" w:hAnsi="Times New Roman" w:cs="Times New Roman"/>
          <w:i/>
        </w:rPr>
        <w:t>Harvard Business Review</w:t>
      </w:r>
      <w:r>
        <w:rPr>
          <w:rFonts w:ascii="Times New Roman" w:hAnsi="Times New Roman" w:cs="Times New Roman"/>
        </w:rPr>
        <w:t>, 2003). Cullen and Pakzad-Hurson also find in a field experiment that women are more likely to keep the information received private while men will disseminate it among their male peers, causing them to renegotiate bonuses with their employer. (Cullen, Z.B. and Pakzad-Hurson B., ‘Equilibrium Effects of Pay Transparency in a Simple Labor Market’ Working Paper, April 2019).</w:t>
      </w:r>
    </w:p>
  </w:footnote>
  <w:footnote w:id="6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Castilla, E.J., ‘Accounting for the Gap: A Firm Study Manipulating Organizational Accountability and Transparency in Pay Decisions’, </w:t>
      </w:r>
      <w:r>
        <w:rPr>
          <w:rFonts w:ascii="Times New Roman" w:hAnsi="Times New Roman" w:cs="Times New Roman"/>
          <w:i/>
        </w:rPr>
        <w:t>Organization Science</w:t>
      </w:r>
      <w:r>
        <w:rPr>
          <w:rFonts w:ascii="Times New Roman" w:hAnsi="Times New Roman" w:cs="Times New Roman"/>
        </w:rPr>
        <w:t xml:space="preserve">, 2015; Kim, ‘Pay Secrecy and the Gender Wage Gap in the United States’, </w:t>
      </w:r>
      <w:r>
        <w:rPr>
          <w:rFonts w:ascii="Times New Roman" w:hAnsi="Times New Roman" w:cs="Times New Roman"/>
          <w:i/>
        </w:rPr>
        <w:t>Industrial Relations</w:t>
      </w:r>
      <w:r>
        <w:rPr>
          <w:rFonts w:ascii="Times New Roman" w:hAnsi="Times New Roman" w:cs="Times New Roman"/>
        </w:rPr>
        <w:t>, 2015.</w:t>
      </w:r>
    </w:p>
  </w:footnote>
  <w:footnote w:id="6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O’Neill, O.A. and O’Reilly III, C.A. (2011), </w:t>
      </w:r>
      <w:hyperlink r:id="rId53" w:history="1">
        <w:r>
          <w:rPr>
            <w:rStyle w:val="Hyperlink"/>
            <w:rFonts w:ascii="Times New Roman" w:hAnsi="Times New Roman" w:cs="Times New Roman"/>
          </w:rPr>
          <w:t>Reducing the backlash effect: Self‐monitoring and women's promotions. Journal of Occupational and Organizational Psychology</w:t>
        </w:r>
      </w:hyperlink>
      <w:r>
        <w:rPr>
          <w:rFonts w:ascii="Times New Roman" w:hAnsi="Times New Roman" w:cs="Times New Roman"/>
        </w:rPr>
        <w:t xml:space="preserve">, 84: 825-832. </w:t>
      </w:r>
    </w:p>
  </w:footnote>
  <w:footnote w:id="7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40% versus 49% for men according to Special Eurobarometer 465. </w:t>
      </w:r>
    </w:p>
  </w:footnote>
  <w:footnote w:id="7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World Economic Forum, </w:t>
      </w:r>
      <w:hyperlink r:id="rId54" w:history="1">
        <w:r>
          <w:rPr>
            <w:rStyle w:val="Hyperlink"/>
            <w:rFonts w:ascii="Times New Roman" w:hAnsi="Times New Roman" w:cs="Times New Roman"/>
            <w:i/>
            <w:color w:val="auto"/>
            <w:u w:val="none"/>
          </w:rPr>
          <w:t>Women are still not asking for pay rises: here’s why</w:t>
        </w:r>
      </w:hyperlink>
      <w:r>
        <w:rPr>
          <w:rFonts w:ascii="Times New Roman" w:hAnsi="Times New Roman" w:cs="Times New Roman"/>
          <w:i/>
        </w:rPr>
        <w:t>,</w:t>
      </w:r>
      <w:r>
        <w:rPr>
          <w:rFonts w:ascii="Times New Roman" w:hAnsi="Times New Roman" w:cs="Times New Roman"/>
        </w:rPr>
        <w:t xml:space="preserve"> 2018. </w:t>
      </w:r>
    </w:p>
  </w:footnote>
  <w:footnote w:id="7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Artz B., Goodall  A.H., Oswald A.J., ‘Do Women Ask?’, </w:t>
      </w:r>
      <w:r>
        <w:rPr>
          <w:rFonts w:ascii="Times New Roman" w:hAnsi="Times New Roman" w:cs="Times New Roman"/>
          <w:i/>
        </w:rPr>
        <w:t>Industrial Relations: A Journal of Economy and Society</w:t>
      </w:r>
      <w:r>
        <w:rPr>
          <w:rFonts w:ascii="Times New Roman" w:hAnsi="Times New Roman" w:cs="Times New Roman"/>
        </w:rPr>
        <w:t>, 2018, ‘this paper documents evidence […] that women do ask but do not get.  Such a finding is potentially consistent with the existence of discrimination in the labour market’, p. 13.</w:t>
      </w:r>
    </w:p>
  </w:footnote>
  <w:footnote w:id="73">
    <w:p>
      <w:pPr>
        <w:spacing w:after="0" w:line="240" w:lineRule="auto"/>
        <w:jc w:val="both"/>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See e.g. The Commission's 2020 edition of the </w:t>
      </w:r>
      <w:hyperlink r:id="rId55" w:history="1">
        <w:r>
          <w:rPr>
            <w:rStyle w:val="Hyperlink"/>
            <w:rFonts w:ascii="Times New Roman" w:hAnsi="Times New Roman" w:cs="Times New Roman"/>
            <w:sz w:val="20"/>
            <w:szCs w:val="20"/>
          </w:rPr>
          <w:t>Employment and Social Developments in Europe (ESDE), chapter 2</w:t>
        </w:r>
      </w:hyperlink>
      <w:r>
        <w:rPr>
          <w:rFonts w:ascii="Times New Roman" w:hAnsi="Times New Roman" w:cs="Times New Roman"/>
          <w:sz w:val="20"/>
          <w:szCs w:val="20"/>
        </w:rPr>
        <w:t>: ‘</w:t>
      </w:r>
      <w:r>
        <w:rPr>
          <w:rFonts w:ascii="Times New Roman" w:eastAsia="Calibri" w:hAnsi="Times New Roman" w:cs="Times New Roman"/>
          <w:sz w:val="20"/>
          <w:szCs w:val="20"/>
          <w:lang w:val="en-US"/>
        </w:rPr>
        <w:t>Fewer women than men state that they have received fair opportunities in education, and particularly in getting the jobs they seek</w:t>
      </w:r>
      <w:r>
        <w:rPr>
          <w:rFonts w:ascii="Times New Roman" w:eastAsia="Calibri" w:hAnsi="Times New Roman" w:cs="Times New Roman"/>
          <w:b/>
          <w:bCs/>
          <w:sz w:val="20"/>
          <w:szCs w:val="20"/>
          <w:lang w:val="en-US"/>
        </w:rPr>
        <w:t>.</w:t>
      </w:r>
      <w:r>
        <w:rPr>
          <w:rFonts w:ascii="Times New Roman" w:eastAsia="Calibri" w:hAnsi="Times New Roman" w:cs="Times New Roman"/>
          <w:sz w:val="20"/>
          <w:szCs w:val="20"/>
          <w:lang w:val="en-US"/>
        </w:rPr>
        <w:t xml:space="preserve"> Controlling for age, activity status, country and ability to get by on income, the average gender gaps in perceived fairness amount to 2.5 percentage points for education, and 5 percentage points for jobs. There is ample evidence of widespread gender inequalities in the labour market, linked to unequal pay, career prospects or occupational segregation’.</w:t>
      </w:r>
    </w:p>
  </w:footnote>
  <w:footnote w:id="7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 recent survey among ETUC member organisations asked whether the legislation was easy to use, and a clear majority of trade union confederations considered it hard or very hard to make use of the legislation, pointing in particular to: (1) difficulty in making comparisons between different occupations; complexity of the legislation; (2) the idea that public opinion believes that there is no problem; (3) the lack of information about pay levels of comparators; and (4) a lack of resources by the bodies responsible for implementing the legislation (ETUC, </w:t>
      </w:r>
      <w:r>
        <w:rPr>
          <w:rFonts w:ascii="Times New Roman" w:hAnsi="Times New Roman" w:cs="Times New Roman"/>
          <w:i/>
        </w:rPr>
        <w:t>Annual Gender Equality Survey</w:t>
      </w:r>
      <w:r>
        <w:rPr>
          <w:rFonts w:ascii="Times New Roman" w:hAnsi="Times New Roman" w:cs="Times New Roman"/>
        </w:rPr>
        <w:t>, 2019).</w:t>
      </w:r>
    </w:p>
  </w:footnote>
  <w:footnote w:id="7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European Commission, </w:t>
      </w:r>
      <w:r>
        <w:rPr>
          <w:rFonts w:ascii="Times New Roman" w:hAnsi="Times New Roman" w:cs="Times New Roman"/>
          <w:i/>
        </w:rPr>
        <w:t>Evaluation of the relevant provisions in the Directive 2006/54/EC implementing the Treaty principle on ‘equal pay for equal work or work of equal value</w:t>
      </w:r>
      <w:r>
        <w:rPr>
          <w:rFonts w:ascii="Times New Roman" w:hAnsi="Times New Roman" w:cs="Times New Roman"/>
        </w:rPr>
        <w:t>’, 2020, SWD (2020)50, p. 18.</w:t>
      </w:r>
    </w:p>
  </w:footnote>
  <w:footnote w:id="76">
    <w:p>
      <w:pPr>
        <w:pStyle w:val="FootnoteText"/>
        <w:jc w:val="both"/>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rPr>
        <w:t xml:space="preserve"> Case </w:t>
      </w:r>
      <w:r>
        <w:rPr>
          <w:rFonts w:ascii="Times New Roman" w:hAnsi="Times New Roman" w:cs="Times New Roman"/>
          <w:lang w:val="es-ES_tradnl"/>
        </w:rPr>
        <w:t xml:space="preserve">C-400/93 Royal Copenhagen, ECLI:EU:C:1995:155: the Court clarified that </w:t>
      </w:r>
      <w:r>
        <w:rPr>
          <w:rFonts w:ascii="Times New Roman" w:eastAsia="Times New Roman" w:hAnsi="Times New Roman" w:cs="Times New Roman"/>
        </w:rPr>
        <w:t>the value of work should be assessed and compared based on objective criteria, such as educational, professional and training requirements, skills, effort and responsibility, work undertaken and the nature of the tasks involved.</w:t>
      </w:r>
    </w:p>
  </w:footnote>
  <w:footnote w:id="7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ICF, </w:t>
      </w:r>
      <w:r>
        <w:rPr>
          <w:rFonts w:ascii="Times New Roman" w:hAnsi="Times New Roman" w:cs="Times New Roman"/>
          <w:i/>
        </w:rPr>
        <w:t>Final Report - Study to support the evaluation of the relevant provisions in Directive 2006/54/EC implementing</w:t>
      </w:r>
      <w:r>
        <w:rPr>
          <w:rFonts w:ascii="Times New Roman" w:hAnsi="Times New Roman" w:cs="Times New Roman"/>
        </w:rPr>
        <w:t xml:space="preserve">, DG JUST, 2019. </w:t>
      </w:r>
    </w:p>
  </w:footnote>
  <w:footnote w:id="7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E.g. </w:t>
      </w:r>
      <w:r>
        <w:rPr>
          <w:rFonts w:ascii="Times New Roman" w:eastAsia="Times New Roman" w:hAnsi="Times New Roman" w:cs="Times New Roman"/>
        </w:rPr>
        <w:t>the European Women’s Lobby and Make Mothers Matter.</w:t>
      </w:r>
    </w:p>
  </w:footnote>
  <w:footnote w:id="7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the results of the public consultation in </w:t>
      </w:r>
      <w:r>
        <w:rPr>
          <w:rFonts w:ascii="Times New Roman" w:hAnsi="Times New Roman" w:cs="Times New Roman"/>
          <w:i/>
        </w:rPr>
        <w:t>Annex 2</w:t>
      </w:r>
      <w:r>
        <w:rPr>
          <w:rFonts w:ascii="Times New Roman" w:hAnsi="Times New Roman" w:cs="Times New Roman"/>
        </w:rPr>
        <w:t>.</w:t>
      </w:r>
    </w:p>
  </w:footnote>
  <w:footnote w:id="8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Gender pay discrimination for the same work relates to two people who only differ by gender carrying out the same job but being paid differently. Examples are presented in </w:t>
      </w:r>
      <w:hyperlink r:id="rId56" w:history="1">
        <w:r>
          <w:rPr>
            <w:rStyle w:val="Hyperlink"/>
            <w:rFonts w:ascii="Times New Roman" w:hAnsi="Times New Roman" w:cs="Times New Roman"/>
          </w:rPr>
          <w:t>Burri</w:t>
        </w:r>
      </w:hyperlink>
      <w:r>
        <w:rPr>
          <w:rFonts w:ascii="Times New Roman" w:hAnsi="Times New Roman" w:cs="Times New Roman"/>
        </w:rPr>
        <w:t xml:space="preserve"> (2019). The concept is not always as straightforward as it might seem: it also applies when  people performing the same job are given different titles depending on gender e.g. ‘chef’ versus ‘cook’; or ‘information manager’ versus ‘librarian’; or ‘management assistant’ versus ‘secretary’. See </w:t>
      </w:r>
      <w:hyperlink r:id="rId57" w:history="1">
        <w:r>
          <w:rPr>
            <w:rStyle w:val="Hyperlink"/>
            <w:rFonts w:ascii="Times New Roman" w:hAnsi="Times New Roman" w:cs="Times New Roman"/>
          </w:rPr>
          <w:t>ILO</w:t>
        </w:r>
      </w:hyperlink>
      <w:r>
        <w:rPr>
          <w:rFonts w:ascii="Times New Roman" w:hAnsi="Times New Roman" w:cs="Times New Roman"/>
        </w:rPr>
        <w:t xml:space="preserve">, </w:t>
      </w:r>
      <w:hyperlink r:id="rId58" w:history="1">
        <w:r>
          <w:rPr>
            <w:rStyle w:val="Hyperlink"/>
            <w:rFonts w:ascii="Times New Roman" w:hAnsi="Times New Roman" w:cs="Times New Roman"/>
            <w:color w:val="1E2DBE"/>
          </w:rPr>
          <w:t xml:space="preserve">Global Wage Report 2018/19: What lies behind gender pay gaps, </w:t>
        </w:r>
      </w:hyperlink>
      <w:r>
        <w:rPr>
          <w:rFonts w:ascii="Times New Roman" w:hAnsi="Times New Roman" w:cs="Times New Roman"/>
        </w:rPr>
        <w:t xml:space="preserve">p. 95, and </w:t>
      </w:r>
      <w:hyperlink r:id="rId59" w:history="1">
        <w:r>
          <w:rPr>
            <w:rStyle w:val="Hyperlink"/>
            <w:rFonts w:ascii="Times New Roman" w:hAnsi="Times New Roman" w:cs="Times New Roman"/>
          </w:rPr>
          <w:t>Oelz et al, 2013</w:t>
        </w:r>
      </w:hyperlink>
      <w:r>
        <w:rPr>
          <w:rFonts w:ascii="Times New Roman" w:hAnsi="Times New Roman" w:cs="Times New Roman"/>
        </w:rPr>
        <w:t>, p. 31.</w:t>
      </w:r>
    </w:p>
  </w:footnote>
  <w:footnote w:id="81">
    <w:p>
      <w:pPr>
        <w:pStyle w:val="FootnoteText"/>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England, P., </w:t>
      </w:r>
      <w:r>
        <w:rPr>
          <w:rFonts w:ascii="Times New Roman" w:hAnsi="Times New Roman" w:cs="Times New Roman"/>
          <w:i/>
          <w:lang w:val="en-US"/>
        </w:rPr>
        <w:t>Comparable Worth: Theories and Evidence. Social institutions and social change,</w:t>
      </w:r>
      <w:r>
        <w:rPr>
          <w:rFonts w:ascii="Times New Roman" w:hAnsi="Times New Roman" w:cs="Times New Roman"/>
          <w:lang w:val="en-US"/>
        </w:rPr>
        <w:t xml:space="preserve"> 1992, p. 22:</w:t>
      </w:r>
      <w:r>
        <w:rPr>
          <w:rFonts w:ascii="Times New Roman" w:hAnsi="Times New Roman" w:cs="Times New Roman"/>
        </w:rPr>
        <w:t xml:space="preserve"> ‘[…] </w:t>
      </w:r>
      <w:r>
        <w:rPr>
          <w:rFonts w:ascii="Times New Roman" w:hAnsi="Times New Roman" w:cs="Times New Roman"/>
          <w:lang w:val="en-US"/>
        </w:rPr>
        <w:t>skills common in women's jobs […] may come to be devalued via stigma that gets institutionalized into wage systems, so that this skill […] carry a low rate of reward’;</w:t>
      </w:r>
      <w:r>
        <w:rPr>
          <w:rFonts w:ascii="Times New Roman" w:hAnsi="Times New Roman" w:cs="Times New Roman"/>
        </w:rPr>
        <w:t xml:space="preserve"> p. 43: ‘[…] </w:t>
      </w:r>
      <w:r>
        <w:rPr>
          <w:rFonts w:ascii="Times New Roman" w:hAnsi="Times New Roman" w:cs="Times New Roman"/>
          <w:lang w:val="en-US"/>
        </w:rPr>
        <w:t>if a job starts out as female or male, considerable inertia develops around that initial label. Also, if entry level jobs are of one sex or the other, this segregation will be perpetuated over time and up the mobility ladders that comprise internal labor markets.’.</w:t>
      </w:r>
    </w:p>
  </w:footnote>
  <w:footnote w:id="8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rPr>
        <w:t xml:space="preserve">Foubert, P., </w:t>
      </w:r>
      <w:r>
        <w:rPr>
          <w:rFonts w:ascii="Times New Roman" w:eastAsia="Times New Roman" w:hAnsi="Times New Roman" w:cs="Times New Roman"/>
          <w:i/>
        </w:rPr>
        <w:t>The enforcement of the principle of equal pay for equal work or work of equal value, A legal analysis of the situation in the EU Member States, Iceland, Liechtenstein and Norway</w:t>
      </w:r>
      <w:r>
        <w:rPr>
          <w:rFonts w:ascii="Times New Roman" w:eastAsia="Times New Roman" w:hAnsi="Times New Roman" w:cs="Times New Roman"/>
        </w:rPr>
        <w:t>, European network of legal experts in gender equality and non-discrimination, DG JUST, 2017, p. 53.</w:t>
      </w:r>
    </w:p>
  </w:footnote>
  <w:footnote w:id="83">
    <w:p>
      <w:pPr>
        <w:pStyle w:val="FootnoteText"/>
        <w:jc w:val="both"/>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lang w:val="en-IE"/>
        </w:rPr>
        <w:t xml:space="preserve"> SWD (2020)50 final, p. 24.</w:t>
      </w:r>
    </w:p>
  </w:footnote>
  <w:footnote w:id="84">
    <w:p>
      <w:pPr>
        <w:pStyle w:val="FootnoteText"/>
        <w:jc w:val="both"/>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lang w:val="en-IE"/>
        </w:rPr>
        <w:t xml:space="preserve"> Ibid.</w:t>
      </w:r>
    </w:p>
  </w:footnote>
  <w:footnote w:id="8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SWD (2020) 50 final, p. 28; see also Article 25 of the Recast Directive. </w:t>
      </w:r>
    </w:p>
  </w:footnote>
  <w:footnote w:id="8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Eurostat: </w:t>
      </w:r>
      <w:hyperlink r:id="rId60" w:tgtFrame="_blank" w:history="1">
        <w:r>
          <w:rPr>
            <w:rStyle w:val="Hyperlink"/>
            <w:rFonts w:ascii="Times New Roman" w:hAnsi="Times New Roman" w:cs="Times New Roman"/>
            <w:color w:val="2873E6"/>
            <w:shd w:val="clear" w:color="auto" w:fill="FFFFFF"/>
          </w:rPr>
          <w:t>ilc_pnp13</w:t>
        </w:r>
      </w:hyperlink>
      <w:r>
        <w:rPr>
          <w:rStyle w:val="Hyperlink"/>
          <w:rFonts w:ascii="Times New Roman" w:hAnsi="Times New Roman" w:cs="Times New Roman"/>
          <w:color w:val="2873E6"/>
          <w:shd w:val="clear" w:color="auto" w:fill="FFFFFF"/>
        </w:rPr>
        <w:t>.</w:t>
      </w:r>
    </w:p>
  </w:footnote>
  <w:footnote w:id="87">
    <w:p>
      <w:pPr>
        <w:pStyle w:val="FootnoteText"/>
        <w:jc w:val="both"/>
        <w:rPr>
          <w:rFonts w:ascii="Times New Roman" w:hAnsi="Times New Roman" w:cs="Times New Roman"/>
          <w:highlight w:val="yellow"/>
        </w:rPr>
      </w:pPr>
      <w:r>
        <w:rPr>
          <w:rStyle w:val="FootnoteReference"/>
          <w:rFonts w:ascii="Times New Roman" w:hAnsi="Times New Roman" w:cs="Times New Roman"/>
        </w:rPr>
        <w:footnoteRef/>
      </w:r>
      <w:r>
        <w:rPr>
          <w:rFonts w:ascii="Times New Roman" w:hAnsi="Times New Roman" w:cs="Times New Roman"/>
        </w:rPr>
        <w:t xml:space="preserve"> 45.8% of tertiary attainment against 35.7%. See the European Commission, </w:t>
      </w:r>
      <w:hyperlink r:id="rId61" w:history="1">
        <w:r>
          <w:rPr>
            <w:rStyle w:val="Hyperlink"/>
            <w:rFonts w:ascii="Times New Roman" w:hAnsi="Times New Roman" w:cs="Times New Roman"/>
            <w:i/>
          </w:rPr>
          <w:t>Education and training Monitor</w:t>
        </w:r>
      </w:hyperlink>
      <w:r>
        <w:rPr>
          <w:rFonts w:ascii="Times New Roman" w:hAnsi="Times New Roman" w:cs="Times New Roman"/>
        </w:rPr>
        <w:t xml:space="preserve">, 2019 for an overview of differences. An increase in female labour market participation would also be beneficial in view of demographic challenges and sustainability of welfare states. </w:t>
      </w:r>
    </w:p>
  </w:footnote>
  <w:footnote w:id="8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Research show a positive impact of pay transparency on productivity. See e.g. Chamberlain, A., ‘Is Salary Transparency More Than a Trend?’, Glassdoor Economic Research Report, 2015Allen, A. et al., </w:t>
      </w:r>
      <w:r>
        <w:rPr>
          <w:rFonts w:ascii="Times New Roman" w:hAnsi="Times New Roman" w:cs="Times New Roman"/>
          <w:i/>
        </w:rPr>
        <w:t>International study on compensation and pay transparency practices</w:t>
      </w:r>
      <w:r>
        <w:rPr>
          <w:rFonts w:ascii="Times New Roman" w:hAnsi="Times New Roman" w:cs="Times New Roman"/>
        </w:rPr>
        <w:t xml:space="preserve">, 2018; Alterman, V. Bamberger, P., Belogolovsky, E., et al., ‘Looking for Assistance in the Dark: Pay Secrecy, Expertise Perceptions, and Efficacious Help Seeking Among Members of Newly Formed Virtual Work Groups’, </w:t>
      </w:r>
      <w:r>
        <w:rPr>
          <w:rFonts w:ascii="Times New Roman" w:hAnsi="Times New Roman" w:cs="Times New Roman"/>
          <w:i/>
        </w:rPr>
        <w:t>Journal of Business and Psychology</w:t>
      </w:r>
      <w:r>
        <w:rPr>
          <w:rFonts w:ascii="Times New Roman" w:hAnsi="Times New Roman" w:cs="Times New Roman"/>
        </w:rPr>
        <w:t xml:space="preserve">, 2016; Bamberger, P.; Belogolovsky E. ‘Signaling in Secret: Pay for Performance and the Incentive and Sorting Effects of Pay Secrecy’, </w:t>
      </w:r>
      <w:r>
        <w:rPr>
          <w:rFonts w:ascii="Times New Roman" w:hAnsi="Times New Roman" w:cs="Times New Roman"/>
          <w:i/>
        </w:rPr>
        <w:t>Academy of Management Journal</w:t>
      </w:r>
      <w:r>
        <w:rPr>
          <w:rFonts w:ascii="Times New Roman" w:hAnsi="Times New Roman" w:cs="Times New Roman"/>
        </w:rPr>
        <w:t xml:space="preserve">, 2014; Bennett, R.J.; Marasi S., ‘Pay communication: Where do we go from here?’, </w:t>
      </w:r>
      <w:r>
        <w:rPr>
          <w:rFonts w:ascii="Times New Roman" w:hAnsi="Times New Roman" w:cs="Times New Roman"/>
          <w:i/>
        </w:rPr>
        <w:t>Human Resource Management Review</w:t>
      </w:r>
      <w:r>
        <w:rPr>
          <w:rFonts w:ascii="Times New Roman" w:hAnsi="Times New Roman" w:cs="Times New Roman"/>
        </w:rPr>
        <w:t xml:space="preserve">, 2016; Bennett, R.J.; Marasi, S.; Wall, A.,  ‘Pay openness movement: Is it merited? Does it influence more desirable employee outcomes than pay secrecy?’, </w:t>
      </w:r>
      <w:r>
        <w:rPr>
          <w:rFonts w:ascii="Times New Roman" w:hAnsi="Times New Roman" w:cs="Times New Roman"/>
          <w:i/>
        </w:rPr>
        <w:t>Organization Management Journal</w:t>
      </w:r>
      <w:r>
        <w:rPr>
          <w:rFonts w:ascii="Times New Roman" w:hAnsi="Times New Roman" w:cs="Times New Roman"/>
        </w:rPr>
        <w:t xml:space="preserve">, 2018. </w:t>
      </w:r>
    </w:p>
  </w:footnote>
  <w:footnote w:id="8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C. Barnard, ‘The Economic Objectives of Article 119’ in D. O’Keeff e and T. Hervey (eds), Sex Equality Law in the European Union (Wiley, 1996). In the words of the Court of Justice: ‘The aim of Article 119 [now Article 157 TFEU] is to avoid a situation in which undertakings established in states which have actually implemented the principle of equal pay suffer a competitive disadvantage in intra-community competition as compared with undertakings established in states which have not yet eliminated discrimination against women workers as regards pay’ in CJEU, Case 43/75, Gabrielle Defrenne v Société anonyme belge de navigation aérienne Sabena (Defrenne II), Case 43/75, ECLI:EU:C:1976:56, para. 9.</w:t>
      </w:r>
    </w:p>
  </w:footnote>
  <w:footnote w:id="90">
    <w:p>
      <w:pPr>
        <w:pStyle w:val="FootnoteText"/>
        <w:jc w:val="both"/>
        <w:rPr>
          <w:rStyle w:val="FootnoteReference"/>
          <w:rFonts w:ascii="Times New Roman" w:hAnsi="Times New Roman" w:cs="Times New Roman"/>
          <w:lang w:val="en-US"/>
        </w:rPr>
      </w:pPr>
      <w:r>
        <w:rPr>
          <w:rStyle w:val="FootnoteReference"/>
          <w:rFonts w:ascii="Times New Roman" w:hAnsi="Times New Roman" w:cs="Times New Roman"/>
        </w:rPr>
        <w:footnoteRef/>
      </w:r>
      <w:r>
        <w:rPr>
          <w:rStyle w:val="FootnoteReference"/>
          <w:rFonts w:ascii="Times New Roman" w:hAnsi="Times New Roman" w:cs="Times New Roman"/>
          <w:vertAlign w:val="baseline"/>
          <w:lang w:val="en-US"/>
        </w:rPr>
        <w:t xml:space="preserve"> A</w:t>
      </w:r>
      <w:r>
        <w:rPr>
          <w:rFonts w:ascii="Times New Roman" w:hAnsi="Times New Roman" w:cs="Times New Roman"/>
          <w:lang w:val="en-US"/>
        </w:rPr>
        <w:t xml:space="preserve">lmost two thirds of Europeans according to </w:t>
      </w:r>
      <w:r>
        <w:rPr>
          <w:rStyle w:val="FootnoteReference"/>
          <w:rFonts w:ascii="Times New Roman" w:hAnsi="Times New Roman" w:cs="Times New Roman"/>
          <w:vertAlign w:val="baseline"/>
          <w:lang w:val="en-US"/>
        </w:rPr>
        <w:t>Eurobarometer 465</w:t>
      </w:r>
      <w:r>
        <w:rPr>
          <w:rFonts w:ascii="Times New Roman" w:hAnsi="Times New Roman" w:cs="Times New Roman"/>
          <w:lang w:val="en-US"/>
        </w:rPr>
        <w:t xml:space="preserve">, </w:t>
      </w:r>
      <w:r>
        <w:rPr>
          <w:rStyle w:val="FootnoteReference"/>
          <w:rFonts w:ascii="Times New Roman" w:hAnsi="Times New Roman" w:cs="Times New Roman"/>
          <w:vertAlign w:val="baseline"/>
          <w:lang w:val="en-US"/>
        </w:rPr>
        <w:t>2017</w:t>
      </w:r>
      <w:r>
        <w:rPr>
          <w:rFonts w:ascii="Times New Roman" w:hAnsi="Times New Roman" w:cs="Times New Roman"/>
          <w:lang w:val="en-US"/>
        </w:rPr>
        <w:t>.</w:t>
      </w:r>
    </w:p>
  </w:footnote>
  <w:footnote w:id="91">
    <w:p>
      <w:pPr>
        <w:pStyle w:val="FootnoteText"/>
        <w:jc w:val="both"/>
        <w:rPr>
          <w:rFonts w:ascii="Times New Roman" w:hAnsi="Times New Roman" w:cs="Times New Roman"/>
          <w:lang w:val="sv-SE"/>
        </w:rPr>
      </w:pPr>
      <w:r>
        <w:rPr>
          <w:rStyle w:val="FootnoteReference"/>
          <w:rFonts w:ascii="Times New Roman" w:hAnsi="Times New Roman" w:cs="Times New Roman"/>
        </w:rPr>
        <w:footnoteRef/>
      </w:r>
      <w:r>
        <w:rPr>
          <w:rFonts w:ascii="Times New Roman" w:hAnsi="Times New Roman" w:cs="Times New Roman"/>
          <w:lang w:val="sv-SE"/>
        </w:rPr>
        <w:t xml:space="preserve"> Trotter, Richard G., Zacur, Susan Rawson and Stickney, Lisa T., (2017), The new age of pay transparency, Business Horizons, 60, issue 4, p. 529-539..</w:t>
      </w:r>
    </w:p>
  </w:footnote>
  <w:footnote w:id="92">
    <w:p>
      <w:pPr>
        <w:pStyle w:val="FootnoteText"/>
        <w:jc w:val="both"/>
        <w:rPr>
          <w:rFonts w:ascii="Times New Roman" w:hAnsi="Times New Roman" w:cs="Times New Roman"/>
          <w:lang w:val="sv-SE"/>
        </w:rPr>
      </w:pPr>
      <w:r>
        <w:rPr>
          <w:rStyle w:val="FootnoteReference"/>
          <w:rFonts w:ascii="Times New Roman" w:hAnsi="Times New Roman" w:cs="Times New Roman"/>
        </w:rPr>
        <w:footnoteRef/>
      </w:r>
      <w:r>
        <w:rPr>
          <w:rFonts w:ascii="Times New Roman" w:hAnsi="Times New Roman" w:cs="Times New Roman"/>
          <w:lang w:val="sv-SE"/>
        </w:rPr>
        <w:t xml:space="preserve"> CIPD, </w:t>
      </w:r>
      <w:r>
        <w:rPr>
          <w:rFonts w:ascii="Times New Roman" w:hAnsi="Times New Roman" w:cs="Times New Roman"/>
          <w:i/>
          <w:lang w:val="sv-SE"/>
        </w:rPr>
        <w:t xml:space="preserve">Survey Report </w:t>
      </w:r>
      <w:hyperlink r:id="rId62" w:history="1">
        <w:r>
          <w:rPr>
            <w:rStyle w:val="Hyperlink"/>
            <w:rFonts w:ascii="Times New Roman" w:hAnsi="Times New Roman" w:cs="Times New Roman"/>
            <w:i/>
            <w:lang w:val="sv-SE"/>
          </w:rPr>
          <w:t>Reward management: focus on pay</w:t>
        </w:r>
      </w:hyperlink>
      <w:r>
        <w:rPr>
          <w:rFonts w:ascii="Times New Roman" w:hAnsi="Times New Roman" w:cs="Times New Roman"/>
          <w:i/>
          <w:lang w:val="sv-SE"/>
        </w:rPr>
        <w:t>,</w:t>
      </w:r>
      <w:r>
        <w:rPr>
          <w:rFonts w:ascii="Times New Roman" w:hAnsi="Times New Roman" w:cs="Times New Roman"/>
          <w:lang w:val="sv-SE"/>
        </w:rPr>
        <w:t xml:space="preserve"> December 2017.</w:t>
      </w:r>
    </w:p>
  </w:footnote>
  <w:footnote w:id="93">
    <w:p>
      <w:pPr>
        <w:pStyle w:val="FootnoteText"/>
        <w:jc w:val="both"/>
        <w:rPr>
          <w:rFonts w:ascii="Times New Roman" w:hAnsi="Times New Roman" w:cs="Times New Roman"/>
          <w:lang w:val="sv-SE"/>
        </w:rPr>
      </w:pPr>
      <w:r>
        <w:rPr>
          <w:rStyle w:val="FootnoteReference"/>
          <w:rFonts w:ascii="Times New Roman" w:hAnsi="Times New Roman" w:cs="Times New Roman"/>
        </w:rPr>
        <w:footnoteRef/>
      </w:r>
      <w:r>
        <w:rPr>
          <w:rFonts w:ascii="Times New Roman" w:hAnsi="Times New Roman" w:cs="Times New Roman"/>
          <w:lang w:val="sv-SE"/>
        </w:rPr>
        <w:t xml:space="preserve"> SimanTov-Nachlieli, I., &amp; Bamberger, P. (2020), </w:t>
      </w:r>
      <w:hyperlink r:id="rId63" w:history="1">
        <w:r>
          <w:rPr>
            <w:rStyle w:val="Hyperlink"/>
            <w:rFonts w:ascii="Times New Roman" w:hAnsi="Times New Roman" w:cs="Times New Roman"/>
            <w:lang w:val="sv-SE"/>
          </w:rPr>
          <w:t>Pay communication, justice, and affect: The asymmetric effects of process and outcome pay transparency on counterproductive workplace behavior</w:t>
        </w:r>
      </w:hyperlink>
      <w:r>
        <w:rPr>
          <w:rFonts w:ascii="Times New Roman" w:hAnsi="Times New Roman" w:cs="Times New Roman"/>
          <w:lang w:val="sv-SE"/>
        </w:rPr>
        <w:t xml:space="preserve">, Journal of Applied Psychology, Advance online publication. </w:t>
      </w:r>
    </w:p>
  </w:footnote>
  <w:footnote w:id="9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Calibri" w:hAnsi="Times New Roman" w:cs="Times New Roman"/>
        </w:rPr>
        <w:t xml:space="preserve">EY, </w:t>
      </w:r>
      <w:r>
        <w:rPr>
          <w:rFonts w:ascii="Times New Roman" w:eastAsia="Calibri" w:hAnsi="Times New Roman" w:cs="Times New Roman"/>
          <w:i/>
        </w:rPr>
        <w:t>Support study for the impact assessment</w:t>
      </w:r>
      <w:r>
        <w:rPr>
          <w:rFonts w:ascii="Times New Roman" w:eastAsia="Calibri" w:hAnsi="Times New Roman" w:cs="Times New Roman"/>
        </w:rPr>
        <w:t>, 2021.</w:t>
      </w:r>
    </w:p>
  </w:footnote>
  <w:footnote w:id="95">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EC, JRC (2020), </w:t>
      </w:r>
      <w:r>
        <w:rPr>
          <w:rFonts w:ascii="Times New Roman" w:hAnsi="Times New Roman" w:cs="Times New Roman"/>
          <w:i/>
        </w:rPr>
        <w:t>How will the COVID-19 crisis affect existing gender divides in Europe</w:t>
      </w:r>
      <w:r>
        <w:rPr>
          <w:rFonts w:ascii="Times New Roman" w:hAnsi="Times New Roman" w:cs="Times New Roman"/>
        </w:rPr>
        <w:t>.</w:t>
      </w:r>
    </w:p>
  </w:footnote>
  <w:footnote w:id="9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Eurofound, </w:t>
      </w:r>
      <w:hyperlink r:id="rId64" w:history="1">
        <w:r>
          <w:rPr>
            <w:rStyle w:val="Hyperlink"/>
            <w:rFonts w:ascii="Times New Roman" w:hAnsi="Times New Roman" w:cs="Times New Roman"/>
            <w:i/>
            <w:color w:val="auto"/>
            <w:u w:val="none"/>
          </w:rPr>
          <w:t>Women and labour market equality: Has COVID-19 rolled back recent gains</w:t>
        </w:r>
      </w:hyperlink>
      <w:r>
        <w:rPr>
          <w:rFonts w:ascii="Times New Roman" w:hAnsi="Times New Roman" w:cs="Times New Roman"/>
          <w:i/>
        </w:rPr>
        <w:t>?,</w:t>
      </w:r>
      <w:r>
        <w:rPr>
          <w:rFonts w:ascii="Times New Roman" w:hAnsi="Times New Roman" w:cs="Times New Roman"/>
        </w:rPr>
        <w:t xml:space="preserve"> Publications Office of the European Union, Luxembourg, 2020.</w:t>
      </w:r>
    </w:p>
  </w:footnote>
  <w:footnote w:id="9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Eurostat, </w:t>
      </w:r>
      <w:hyperlink r:id="rId65" w:history="1">
        <w:r>
          <w:rPr>
            <w:rStyle w:val="Hyperlink"/>
            <w:rFonts w:ascii="Times New Roman" w:hAnsi="Times New Roman" w:cs="Times New Roman"/>
            <w:i/>
            <w:color w:val="auto"/>
            <w:u w:val="none"/>
          </w:rPr>
          <w:t>Covid-19 labour effects across the income distribution</w:t>
        </w:r>
      </w:hyperlink>
      <w:r>
        <w:rPr>
          <w:rFonts w:ascii="Times New Roman" w:hAnsi="Times New Roman" w:cs="Times New Roman"/>
        </w:rPr>
        <w:t xml:space="preserve">, October 2020. </w:t>
      </w:r>
    </w:p>
  </w:footnote>
  <w:footnote w:id="98">
    <w:p>
      <w:pPr>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See </w:t>
      </w:r>
      <w:hyperlink r:id="rId66" w:history="1">
        <w:r>
          <w:rPr>
            <w:rStyle w:val="Hyperlink"/>
            <w:rFonts w:ascii="Times New Roman" w:hAnsi="Times New Roman" w:cs="Times New Roman"/>
            <w:color w:val="auto"/>
            <w:sz w:val="20"/>
            <w:szCs w:val="20"/>
            <w:u w:val="none"/>
          </w:rPr>
          <w:t>Eurofound</w:t>
        </w:r>
      </w:hyperlink>
      <w:r>
        <w:rPr>
          <w:rFonts w:ascii="Times New Roman" w:hAnsi="Times New Roman" w:cs="Times New Roman"/>
          <w:sz w:val="20"/>
          <w:szCs w:val="20"/>
        </w:rPr>
        <w:t xml:space="preserve"> for a definition: ‘Atypical work refers to employment relationships that do not conform to the standard or “typical” model of full-time, regular, open-ended employment with a single employer over a long time span. [...] includes part-time work, temporary work, fixed-term work, casual and seasonal work, self-employed people, independent workers and homeworkers.’. Available at: https://www.eurofound.europa.eu/observatories/eurwork/industrial-relations-dictionary/atypical-work.</w:t>
      </w:r>
    </w:p>
  </w:footnote>
  <w:footnote w:id="99">
    <w:p>
      <w:pPr>
        <w:pStyle w:val="FootnoteText"/>
        <w:jc w:val="both"/>
        <w:rPr>
          <w:rFonts w:ascii="Times New Roman" w:hAnsi="Times New Roman" w:cs="Times New Roman"/>
          <w:lang w:val="de-DE"/>
        </w:rPr>
      </w:pPr>
      <w:r>
        <w:rPr>
          <w:rStyle w:val="FootnoteReference"/>
          <w:rFonts w:ascii="Times New Roman" w:hAnsi="Times New Roman" w:cs="Times New Roman"/>
        </w:rPr>
        <w:footnoteRef/>
      </w:r>
      <w:r>
        <w:rPr>
          <w:rFonts w:ascii="Times New Roman" w:hAnsi="Times New Roman" w:cs="Times New Roman"/>
          <w:lang w:val="fr-BE"/>
        </w:rPr>
        <w:t xml:space="preserve"> Case 43/75, </w:t>
      </w:r>
      <w:r>
        <w:rPr>
          <w:rFonts w:ascii="Times New Roman" w:hAnsi="Times New Roman" w:cs="Times New Roman"/>
          <w:i/>
          <w:lang w:val="fr-BE"/>
        </w:rPr>
        <w:t>Gabrielle Defrenne v Société anonyme belge de navigation aérienne Sabena</w:t>
      </w:r>
      <w:r>
        <w:rPr>
          <w:rFonts w:ascii="Times New Roman" w:hAnsi="Times New Roman" w:cs="Times New Roman"/>
          <w:lang w:val="fr-BE"/>
        </w:rPr>
        <w:t xml:space="preserve"> (Defrenne II), ECLI:EU:C:1976:56, para. </w:t>
      </w:r>
      <w:r>
        <w:rPr>
          <w:rFonts w:ascii="Times New Roman" w:hAnsi="Times New Roman" w:cs="Times New Roman"/>
          <w:lang w:val="de-DE"/>
        </w:rPr>
        <w:t>9.</w:t>
      </w:r>
    </w:p>
  </w:footnote>
  <w:footnote w:id="100">
    <w:p>
      <w:pPr>
        <w:pStyle w:val="FootnoteText"/>
        <w:jc w:val="both"/>
        <w:rPr>
          <w:rFonts w:ascii="Times New Roman" w:hAnsi="Times New Roman" w:cs="Times New Roman"/>
          <w:lang w:val="sv-SE"/>
        </w:rPr>
      </w:pPr>
      <w:r>
        <w:rPr>
          <w:rStyle w:val="FootnoteReference"/>
          <w:rFonts w:ascii="Times New Roman" w:hAnsi="Times New Roman" w:cs="Times New Roman"/>
        </w:rPr>
        <w:footnoteRef/>
      </w:r>
      <w:r>
        <w:rPr>
          <w:rFonts w:ascii="Times New Roman" w:hAnsi="Times New Roman" w:cs="Times New Roman"/>
          <w:lang w:val="de-DE"/>
        </w:rPr>
        <w:t xml:space="preserve"> </w:t>
      </w:r>
      <w:r>
        <w:rPr>
          <w:rFonts w:ascii="Times New Roman" w:hAnsi="Times New Roman" w:cs="Times New Roman"/>
          <w:lang w:val="sv-SE"/>
        </w:rPr>
        <w:t>Ibid,</w:t>
      </w:r>
      <w:r>
        <w:rPr>
          <w:rFonts w:ascii="Times New Roman" w:hAnsi="Times New Roman" w:cs="Times New Roman"/>
          <w:lang w:val="de-DE"/>
        </w:rPr>
        <w:t xml:space="preserve"> para. </w:t>
      </w:r>
      <w:r>
        <w:rPr>
          <w:rFonts w:ascii="Times New Roman" w:hAnsi="Times New Roman" w:cs="Times New Roman"/>
          <w:lang w:val="sv-SE"/>
        </w:rPr>
        <w:t>8-10.</w:t>
      </w:r>
    </w:p>
  </w:footnote>
  <w:footnote w:id="101">
    <w:p>
      <w:pPr>
        <w:pStyle w:val="FootnoteText"/>
        <w:jc w:val="both"/>
        <w:rPr>
          <w:rFonts w:ascii="Times New Roman" w:hAnsi="Times New Roman" w:cs="Times New Roman"/>
          <w:lang w:val="sv-SE"/>
        </w:rPr>
      </w:pPr>
      <w:r>
        <w:rPr>
          <w:rStyle w:val="FootnoteReference"/>
          <w:rFonts w:ascii="Times New Roman" w:hAnsi="Times New Roman" w:cs="Times New Roman"/>
        </w:rPr>
        <w:footnoteRef/>
      </w:r>
      <w:r>
        <w:rPr>
          <w:rFonts w:ascii="Times New Roman" w:hAnsi="Times New Roman" w:cs="Times New Roman"/>
          <w:lang w:val="sv-SE"/>
        </w:rPr>
        <w:t xml:space="preserve"> Ibid, para. 40.</w:t>
      </w:r>
    </w:p>
  </w:footnote>
  <w:footnote w:id="102">
    <w:p>
      <w:pPr>
        <w:pStyle w:val="FootnoteText"/>
        <w:jc w:val="both"/>
        <w:rPr>
          <w:rFonts w:ascii="Times New Roman" w:hAnsi="Times New Roman" w:cs="Times New Roman"/>
          <w:lang w:val="sv-SE"/>
        </w:rPr>
      </w:pPr>
      <w:r>
        <w:rPr>
          <w:rStyle w:val="FootnoteReference"/>
          <w:rFonts w:ascii="Times New Roman" w:hAnsi="Times New Roman" w:cs="Times New Roman"/>
        </w:rPr>
        <w:footnoteRef/>
      </w:r>
      <w:r>
        <w:rPr>
          <w:rFonts w:ascii="Times New Roman" w:hAnsi="Times New Roman" w:cs="Times New Roman"/>
          <w:lang w:val="sv-SE"/>
        </w:rPr>
        <w:t xml:space="preserve"> Case 50/96, </w:t>
      </w:r>
      <w:r>
        <w:rPr>
          <w:rFonts w:ascii="Times New Roman" w:hAnsi="Times New Roman" w:cs="Times New Roman"/>
          <w:i/>
          <w:lang w:val="sv-SE"/>
        </w:rPr>
        <w:t>Deutsche Telekom AG v Lilli Schröder</w:t>
      </w:r>
      <w:r>
        <w:rPr>
          <w:rFonts w:ascii="Times New Roman" w:hAnsi="Times New Roman" w:cs="Times New Roman"/>
          <w:lang w:val="sv-SE"/>
        </w:rPr>
        <w:t>, ECLI:EU:C:2000:72, p.57.</w:t>
      </w:r>
    </w:p>
  </w:footnote>
  <w:footnote w:id="103">
    <w:p>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cs="Times New Roman"/>
          <w:lang w:val="fr-BE"/>
        </w:rPr>
        <w:t xml:space="preserve"> Case 43/75, </w:t>
      </w:r>
      <w:r>
        <w:rPr>
          <w:rFonts w:ascii="Times New Roman" w:hAnsi="Times New Roman" w:cs="Times New Roman"/>
          <w:i/>
          <w:lang w:val="fr-BE"/>
        </w:rPr>
        <w:t>Gabrielle Defrenne v Société anonyme belge de navigation aérienne Sabena</w:t>
      </w:r>
      <w:r>
        <w:rPr>
          <w:rFonts w:ascii="Times New Roman" w:hAnsi="Times New Roman" w:cs="Times New Roman"/>
          <w:lang w:val="fr-BE"/>
        </w:rPr>
        <w:t xml:space="preserve"> (Defrenne II), ECLI:EU:C:1976:56, para 39.</w:t>
      </w:r>
    </w:p>
  </w:footnote>
  <w:footnote w:id="104">
    <w:p>
      <w:pPr>
        <w:pStyle w:val="FootnoteText"/>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See Table 2 in the </w:t>
      </w:r>
      <w:r>
        <w:rPr>
          <w:rFonts w:ascii="Times New Roman" w:hAnsi="Times New Roman" w:cs="Times New Roman"/>
          <w:i/>
          <w:lang w:val="en-US"/>
        </w:rPr>
        <w:t>Annex 5, Section 3</w:t>
      </w:r>
      <w:r>
        <w:rPr>
          <w:rFonts w:ascii="Times New Roman" w:hAnsi="Times New Roman" w:cs="Times New Roman"/>
          <w:lang w:val="en-US"/>
        </w:rPr>
        <w:t xml:space="preserve">. </w:t>
      </w:r>
    </w:p>
  </w:footnote>
  <w:footnote w:id="105">
    <w:p>
      <w:pPr>
        <w:pStyle w:val="FootnoteText"/>
        <w:jc w:val="both"/>
        <w:rPr>
          <w:rFonts w:ascii="Times New Roman" w:hAnsi="Times New Roman" w:cs="Times New Roman"/>
          <w:lang w:val="nl-BE"/>
        </w:rPr>
      </w:pPr>
      <w:r>
        <w:rPr>
          <w:rStyle w:val="FootnoteReference"/>
          <w:rFonts w:ascii="Times New Roman" w:hAnsi="Times New Roman" w:cs="Times New Roman"/>
        </w:rPr>
        <w:footnoteRef/>
      </w:r>
      <w:r>
        <w:rPr>
          <w:rFonts w:ascii="Times New Roman" w:hAnsi="Times New Roman" w:cs="Times New Roman"/>
          <w:lang w:val="nl-BE"/>
        </w:rPr>
        <w:t xml:space="preserve"> AT, CZ, DE, EE, FI, FR, HU, MT, PT, SK, UK.</w:t>
      </w:r>
    </w:p>
  </w:footnote>
  <w:footnote w:id="10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EE.</w:t>
      </w:r>
    </w:p>
  </w:footnote>
  <w:footnote w:id="10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With current progress, the </w:t>
      </w:r>
      <w:hyperlink r:id="rId67" w:anchor="how-close-are-we-to-achieving-pay-equity" w:history="1">
        <w:r>
          <w:rPr>
            <w:rStyle w:val="Hyperlink"/>
            <w:rFonts w:ascii="Times New Roman" w:hAnsi="Times New Roman" w:cs="Times New Roman"/>
          </w:rPr>
          <w:t>ILO</w:t>
        </w:r>
      </w:hyperlink>
      <w:r>
        <w:rPr>
          <w:rFonts w:ascii="Times New Roman" w:hAnsi="Times New Roman" w:cs="Times New Roman"/>
        </w:rPr>
        <w:t xml:space="preserve"> estimates that the world GPG could be closed only in 2086. In 2018, the gender pay gap for EU 27 was 14.1%, less than two percentage points lower than in 2010.</w:t>
      </w:r>
    </w:p>
  </w:footnote>
  <w:footnote w:id="108">
    <w:p>
      <w:pPr>
        <w:spacing w:after="0" w:line="240" w:lineRule="auto"/>
        <w:jc w:val="both"/>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vertAlign w:val="superscript"/>
        </w:rPr>
        <w:t xml:space="preserve"> </w:t>
      </w:r>
      <w:r>
        <w:rPr>
          <w:rFonts w:ascii="Times New Roman" w:hAnsi="Times New Roman" w:cs="Times New Roman"/>
          <w:sz w:val="20"/>
          <w:szCs w:val="20"/>
        </w:rPr>
        <w:t>For an analysis of the economic and social impact of the COVID-19 crisis, see European Commission, ESDE, 2020.</w:t>
      </w:r>
    </w:p>
  </w:footnote>
  <w:footnote w:id="109">
    <w:p>
      <w:pPr>
        <w:spacing w:after="0" w:line="240" w:lineRule="auto"/>
        <w:jc w:val="both"/>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vertAlign w:val="superscript"/>
        </w:rPr>
        <w:t xml:space="preserve"> </w:t>
      </w:r>
      <w:r>
        <w:rPr>
          <w:rFonts w:ascii="Times New Roman" w:hAnsi="Times New Roman" w:cs="Times New Roman"/>
          <w:sz w:val="20"/>
          <w:szCs w:val="20"/>
        </w:rPr>
        <w:t>EIGE</w:t>
      </w:r>
      <w:r>
        <w:rPr>
          <w:rFonts w:ascii="Times New Roman" w:eastAsia="Times New Roman" w:hAnsi="Times New Roman" w:cs="Times New Roman"/>
          <w:sz w:val="20"/>
          <w:szCs w:val="20"/>
        </w:rPr>
        <w:t xml:space="preserve"> is, among others, </w:t>
      </w:r>
      <w:r>
        <w:rPr>
          <w:rFonts w:ascii="Times New Roman" w:hAnsi="Times New Roman" w:cs="Times New Roman"/>
          <w:sz w:val="20"/>
          <w:szCs w:val="20"/>
        </w:rPr>
        <w:t>monitoring the evolution of the pandemic from a gender perspective</w:t>
      </w:r>
      <w:r>
        <w:rPr>
          <w:rFonts w:ascii="Times New Roman" w:eastAsia="Times New Roman" w:hAnsi="Times New Roman" w:cs="Times New Roman"/>
          <w:sz w:val="20"/>
          <w:szCs w:val="20"/>
        </w:rPr>
        <w:t xml:space="preserve"> and will deliver a dedicated research note on the topic to the Portuguese presidency in the first half of 2021. For more information, please access: </w:t>
      </w:r>
      <w:hyperlink r:id="rId68" w:history="1">
        <w:r>
          <w:rPr>
            <w:rStyle w:val="Hyperlink"/>
            <w:rFonts w:ascii="Times New Roman" w:eastAsia="Times New Roman" w:hAnsi="Times New Roman" w:cs="Times New Roman"/>
            <w:sz w:val="20"/>
            <w:szCs w:val="20"/>
          </w:rPr>
          <w:t>https://eige.europa.eu/topics/health/covid-19-and-gender-equality</w:t>
        </w:r>
      </w:hyperlink>
      <w:r>
        <w:rPr>
          <w:rFonts w:ascii="Times New Roman" w:eastAsia="Times New Roman" w:hAnsi="Times New Roman" w:cs="Times New Roman"/>
          <w:sz w:val="20"/>
          <w:szCs w:val="20"/>
        </w:rPr>
        <w:t xml:space="preserve">. </w:t>
      </w:r>
    </w:p>
  </w:footnote>
  <w:footnote w:id="11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gender pay gap (and the corresponding share linked to gender pay discrimination) could, therefore, paradoxically, even decrease.</w:t>
      </w:r>
    </w:p>
  </w:footnote>
  <w:footnote w:id="11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Eurofound, ‘Women and labour market equality: Has COVID-19 rolled back recent gains?’, </w:t>
      </w:r>
      <w:r>
        <w:rPr>
          <w:rFonts w:ascii="Times New Roman" w:hAnsi="Times New Roman" w:cs="Times New Roman"/>
          <w:i/>
        </w:rPr>
        <w:t>Publications Office of the European Union</w:t>
      </w:r>
      <w:r>
        <w:rPr>
          <w:rFonts w:ascii="Times New Roman" w:hAnsi="Times New Roman" w:cs="Times New Roman"/>
        </w:rPr>
        <w:t>, Luxembourg, 2020.</w:t>
      </w:r>
    </w:p>
  </w:footnote>
  <w:footnote w:id="112">
    <w:p>
      <w:pPr>
        <w:spacing w:after="0" w:line="240" w:lineRule="auto"/>
        <w:jc w:val="both"/>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European Commission, </w:t>
      </w:r>
      <w:hyperlink r:id="rId69" w:history="1">
        <w:r>
          <w:rPr>
            <w:rStyle w:val="Hyperlink"/>
            <w:rFonts w:ascii="Times New Roman" w:hAnsi="Times New Roman" w:cs="Times New Roman"/>
            <w:i/>
            <w:color w:val="auto"/>
            <w:sz w:val="20"/>
            <w:szCs w:val="20"/>
            <w:u w:val="none"/>
          </w:rPr>
          <w:t>Recovery and resilience facility: Helping EU countries to come out of the coronavirus crisis stronger</w:t>
        </w:r>
      </w:hyperlink>
      <w:r>
        <w:rPr>
          <w:rFonts w:ascii="Times New Roman" w:hAnsi="Times New Roman" w:cs="Times New Roman"/>
          <w:sz w:val="20"/>
          <w:szCs w:val="20"/>
        </w:rPr>
        <w:t xml:space="preserve">, 2020. </w:t>
      </w:r>
    </w:p>
  </w:footnote>
  <w:footnote w:id="11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For the SME definition, please see: European Commission, </w:t>
      </w:r>
      <w:r>
        <w:rPr>
          <w:rFonts w:ascii="Times New Roman" w:hAnsi="Times New Roman" w:cs="Times New Roman"/>
          <w:i/>
        </w:rPr>
        <w:t>Commission Recommendation concerning the definition of micro, small and medium-sized enterprises</w:t>
      </w:r>
      <w:r>
        <w:rPr>
          <w:rFonts w:ascii="Times New Roman" w:hAnsi="Times New Roman" w:cs="Times New Roman"/>
        </w:rPr>
        <w:t xml:space="preserve">, C(2003) 1422), 2003. It includes local authorities under certain criteria.  </w:t>
      </w:r>
    </w:p>
  </w:footnote>
  <w:footnote w:id="11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According to the Structural business statistics overview (Eurostat, April 2020), SMEs represented in 2017 the overwhelming majority (99.8%) of enterprises active within the EU-27’s non-financial business economy, i.e. some 22.2 million. More than 9 out of 10 (93.1%) enterprises were micro enterprises. As a consequence, and most relevant for our analysis, around two thirds (67.0%) of the EU’s non-financial business economy workforce was employed in an SME in 2017.</w:t>
      </w:r>
    </w:p>
  </w:footnote>
  <w:footnote w:id="11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Thresholds of 50+ or lower are implemented for pay reporting or pay auditing in the majority of countries: BE, DK, EE, ES, FI, FR, LT, LU, PT, SE. Larger thresholds apply in AT (150+), IT (100+), and UK (250+). Only DE applies a threshold of 500+. </w:t>
      </w:r>
    </w:p>
  </w:footnote>
  <w:footnote w:id="11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w:t>
      </w:r>
      <w:r>
        <w:rPr>
          <w:rFonts w:ascii="Times New Roman" w:hAnsi="Times New Roman" w:cs="Times New Roman"/>
          <w:i/>
        </w:rPr>
        <w:t>Annex 3</w:t>
      </w:r>
      <w:r>
        <w:rPr>
          <w:rFonts w:ascii="Times New Roman" w:hAnsi="Times New Roman" w:cs="Times New Roman"/>
        </w:rPr>
        <w:t xml:space="preserve"> for the calculation of workforce and company coverage by thresholds.</w:t>
      </w:r>
    </w:p>
  </w:footnote>
  <w:footnote w:id="11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For example on: youth guarantee – </w:t>
      </w:r>
      <w:hyperlink r:id="rId70" w:history="1">
        <w:r>
          <w:rPr>
            <w:rStyle w:val="Hyperlink"/>
            <w:rFonts w:ascii="Times New Roman" w:hAnsi="Times New Roman" w:cs="Times New Roman"/>
          </w:rPr>
          <w:t>2013/C 120/01</w:t>
        </w:r>
      </w:hyperlink>
      <w:r>
        <w:rPr>
          <w:rFonts w:ascii="Times New Roman" w:hAnsi="Times New Roman" w:cs="Times New Roman"/>
        </w:rPr>
        <w:t xml:space="preserve">; key competences for lifelong learning – </w:t>
      </w:r>
      <w:hyperlink r:id="rId71" w:history="1">
        <w:r>
          <w:rPr>
            <w:rStyle w:val="Hyperlink"/>
            <w:rFonts w:ascii="Times New Roman" w:hAnsi="Times New Roman" w:cs="Times New Roman"/>
            <w:shd w:val="clear" w:color="auto" w:fill="FFFFFF"/>
          </w:rPr>
          <w:t>2018/C 189/01</w:t>
        </w:r>
      </w:hyperlink>
      <w:r>
        <w:rPr>
          <w:rFonts w:ascii="Times New Roman" w:hAnsi="Times New Roman" w:cs="Times New Roman"/>
        </w:rPr>
        <w:t xml:space="preserve">; Roma integration – </w:t>
      </w:r>
      <w:hyperlink r:id="rId72" w:history="1">
        <w:r>
          <w:rPr>
            <w:rStyle w:val="Hyperlink"/>
            <w:rFonts w:ascii="Times New Roman" w:hAnsi="Times New Roman" w:cs="Times New Roman"/>
            <w:shd w:val="clear" w:color="auto" w:fill="FFFFFF"/>
          </w:rPr>
          <w:t>2013/C 378/01</w:t>
        </w:r>
      </w:hyperlink>
      <w:r>
        <w:rPr>
          <w:rFonts w:ascii="Times New Roman" w:hAnsi="Times New Roman" w:cs="Times New Roman"/>
        </w:rPr>
        <w:t xml:space="preserve">; access to social protection –  </w:t>
      </w:r>
      <w:hyperlink r:id="rId73" w:history="1">
        <w:r>
          <w:rPr>
            <w:rStyle w:val="Hyperlink"/>
            <w:rFonts w:ascii="Times New Roman" w:hAnsi="Times New Roman" w:cs="Times New Roman"/>
          </w:rPr>
          <w:t>2019/C 387/01</w:t>
        </w:r>
      </w:hyperlink>
      <w:r>
        <w:rPr>
          <w:rFonts w:ascii="Times New Roman" w:hAnsi="Times New Roman" w:cs="Times New Roman"/>
        </w:rPr>
        <w:t xml:space="preserve">; high-quality early childhood education and care systems – </w:t>
      </w:r>
      <w:hyperlink r:id="rId74" w:history="1">
        <w:r>
          <w:rPr>
            <w:rStyle w:val="Hyperlink"/>
            <w:rFonts w:ascii="Times New Roman" w:hAnsi="Times New Roman" w:cs="Times New Roman"/>
            <w:shd w:val="clear" w:color="auto" w:fill="FFFFFF"/>
          </w:rPr>
          <w:t>2019/C 189/02</w:t>
        </w:r>
      </w:hyperlink>
      <w:r>
        <w:rPr>
          <w:rFonts w:ascii="Times New Roman" w:hAnsi="Times New Roman" w:cs="Times New Roman"/>
        </w:rPr>
        <w:t>.</w:t>
      </w:r>
    </w:p>
  </w:footnote>
  <w:footnote w:id="11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Case C-109/88, </w:t>
      </w:r>
      <w:r>
        <w:rPr>
          <w:rFonts w:ascii="Times New Roman" w:hAnsi="Times New Roman" w:cs="Times New Roman"/>
          <w:i/>
        </w:rPr>
        <w:t>Handels-og Kontorfunktionærernes Forbund I Danmark v Dansk Arbejdsgiverforening</w:t>
      </w:r>
      <w:r>
        <w:rPr>
          <w:rFonts w:ascii="Times New Roman" w:hAnsi="Times New Roman" w:cs="Times New Roman"/>
        </w:rPr>
        <w:t>, acting on behalf of Danfoss, ECLI:EU:C:1989:383.</w:t>
      </w:r>
    </w:p>
  </w:footnote>
  <w:footnote w:id="11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Icelandic Standards (IST) is an independent association whose role is the publication of Icelandic standards and the representation of Iceland in international and regional standards bodies. ISO is an independent, non-governmental international organization with a membership of 165 national standards bodies that represent ISO in their country. IST is the only national standards body in Iceland. </w:t>
      </w:r>
    </w:p>
  </w:footnote>
  <w:footnote w:id="12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For example, CJEU Case C-400/93 (Royal Copenhagen); Case C-309/97 (Angestelltenbetriebsrat der Wiener Gebietskrankenkasse); Case C-381/99 (Brunnhofer); Case C-61/81 (Commission of the European Communities v United Kingdom of Great Britain and Northern Ireland).  </w:t>
      </w:r>
    </w:p>
  </w:footnote>
  <w:footnote w:id="121">
    <w:p>
      <w:pPr>
        <w:pStyle w:val="FootnoteText"/>
        <w:jc w:val="both"/>
        <w:rPr>
          <w:rFonts w:ascii="Times New Roman" w:hAnsi="Times New Roman" w:cs="Times New Roman"/>
          <w:lang w:val="de-DE"/>
        </w:rPr>
      </w:pPr>
      <w:r>
        <w:rPr>
          <w:rStyle w:val="FootnoteReference"/>
          <w:rFonts w:ascii="Times New Roman" w:hAnsi="Times New Roman" w:cs="Times New Roman"/>
        </w:rPr>
        <w:footnoteRef/>
      </w:r>
      <w:r>
        <w:rPr>
          <w:rFonts w:ascii="Times New Roman" w:hAnsi="Times New Roman" w:cs="Times New Roman"/>
          <w:lang w:val="de-DE"/>
        </w:rPr>
        <w:t xml:space="preserve"> Case C-400/93 (Royal Copenhagen); Case C-309/97 (Angestelltenbetriebsrat der Wiener Gebietskrankenkasse); Case C-381/99 (Brunnhofer).  </w:t>
      </w:r>
    </w:p>
  </w:footnote>
  <w:footnote w:id="12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introduction of such systems was already recommended by the European Parliament in one of the Recommendation of the so-called Bauer report (</w:t>
      </w:r>
      <w:hyperlink r:id="rId75" w:history="1">
        <w:r>
          <w:rPr>
            <w:rStyle w:val="Hyperlink"/>
            <w:rFonts w:ascii="Times New Roman" w:hAnsi="Times New Roman" w:cs="Times New Roman"/>
            <w:i/>
            <w:color w:val="auto"/>
            <w:u w:val="none"/>
          </w:rPr>
          <w:t>European Parliament, Resolution with recommendations to the Commission on application of the principle of equal pay for male and female workers for equal work or work of equal value</w:t>
        </w:r>
      </w:hyperlink>
      <w:r>
        <w:rPr>
          <w:rStyle w:val="Hyperlink"/>
          <w:rFonts w:ascii="Times New Roman" w:hAnsi="Times New Roman" w:cs="Times New Roman"/>
        </w:rPr>
        <w:t>, 2012.</w:t>
      </w:r>
      <w:r>
        <w:rPr>
          <w:rFonts w:ascii="Times New Roman" w:hAnsi="Times New Roman" w:cs="Times New Roman"/>
        </w:rPr>
        <w:t xml:space="preserve"> (2011/2285(INI)), Texts adopted, P7_TA(2012)025).</w:t>
      </w:r>
    </w:p>
  </w:footnote>
  <w:footnote w:id="12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Logib tool (</w:t>
      </w:r>
      <w:hyperlink r:id="rId76" w:history="1">
        <w:r>
          <w:rPr>
            <w:rStyle w:val="Hyperlink"/>
            <w:rFonts w:ascii="Times New Roman" w:hAnsi="Times New Roman" w:cs="Times New Roman"/>
          </w:rPr>
          <w:t>Lohngleichheit im Betrieb</w:t>
        </w:r>
      </w:hyperlink>
      <w:r>
        <w:rPr>
          <w:rFonts w:ascii="Times New Roman" w:hAnsi="Times New Roman" w:cs="Times New Roman"/>
        </w:rPr>
        <w:t xml:space="preserve"> – Pay Equality in Companies) is a web-based tool that provides a standardised report on differences in pay by gender, including an analysis of the wage gaps within the organisation (or department), both unadjusted and adjusted. It was originally developed in Switzerland and is now also used in Germany, Austria and Luxembourg.</w:t>
      </w:r>
    </w:p>
  </w:footnote>
  <w:footnote w:id="124">
    <w:p>
      <w:pPr>
        <w:pStyle w:val="FootnoteText"/>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lang w:val="en-US"/>
        </w:rPr>
        <w:t xml:space="preserve"> Brosi, P.; Schwarzmüller, T.; Welpe, I., </w:t>
      </w:r>
      <w:r>
        <w:rPr>
          <w:rFonts w:ascii="Times New Roman" w:hAnsi="Times New Roman" w:cs="Times New Roman"/>
          <w:i/>
          <w:lang w:val="en-US"/>
        </w:rPr>
        <w:t>Ensuring equal pay and equal access to employment through gender-neutral job evaluation and classification</w:t>
      </w:r>
      <w:r>
        <w:rPr>
          <w:rFonts w:ascii="Times New Roman" w:hAnsi="Times New Roman" w:cs="Times New Roman"/>
          <w:lang w:val="en-US"/>
        </w:rPr>
        <w:t xml:space="preserve"> 2015.</w:t>
      </w:r>
    </w:p>
  </w:footnote>
  <w:footnote w:id="125">
    <w:p>
      <w:pPr>
        <w:pStyle w:val="FootnoteText"/>
        <w:jc w:val="both"/>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lang w:val="pt-BR"/>
        </w:rPr>
        <w:t xml:space="preserve"> </w:t>
      </w:r>
      <w:r>
        <w:rPr>
          <w:rFonts w:ascii="Times New Roman" w:hAnsi="Times New Roman" w:cs="Times New Roman"/>
          <w:color w:val="000000"/>
          <w:shd w:val="clear" w:color="auto" w:fill="FFFFFF"/>
          <w:lang w:val="pt-BR"/>
        </w:rPr>
        <w:t>Case C</w:t>
      </w:r>
      <w:r>
        <w:rPr>
          <w:rFonts w:ascii="Times New Roman" w:hAnsi="Times New Roman" w:cs="Times New Roman"/>
          <w:color w:val="000000"/>
          <w:shd w:val="clear" w:color="auto" w:fill="FFFFFF"/>
          <w:lang w:val="pt-BR"/>
        </w:rPr>
        <w:noBreakHyphen/>
        <w:t>407/14</w:t>
      </w:r>
      <w:r>
        <w:rPr>
          <w:rFonts w:ascii="Times New Roman" w:hAnsi="Times New Roman" w:cs="Times New Roman"/>
          <w:color w:val="666666"/>
          <w:shd w:val="clear" w:color="auto" w:fill="FFFFFF"/>
          <w:lang w:val="pt-BR"/>
        </w:rPr>
        <w:t xml:space="preserve">, </w:t>
      </w:r>
      <w:r>
        <w:rPr>
          <w:rFonts w:ascii="Times New Roman" w:hAnsi="Times New Roman" w:cs="Times New Roman"/>
          <w:i/>
          <w:iCs/>
          <w:color w:val="000000"/>
          <w:lang w:val="pt-BR"/>
        </w:rPr>
        <w:t>María Auxiliadora Arjona Camacho v Securitas Seguridad España SA,</w:t>
      </w:r>
      <w:r>
        <w:rPr>
          <w:rFonts w:ascii="Times New Roman" w:hAnsi="Times New Roman" w:cs="Times New Roman"/>
          <w:b/>
          <w:bCs/>
          <w:color w:val="000000"/>
          <w:lang w:val="pt-BR"/>
        </w:rPr>
        <w:t xml:space="preserve"> </w:t>
      </w:r>
      <w:r>
        <w:rPr>
          <w:rFonts w:ascii="Times New Roman" w:hAnsi="Times New Roman" w:cs="Times New Roman"/>
          <w:shd w:val="clear" w:color="auto" w:fill="FFFFFF"/>
          <w:lang w:val="pt-BR"/>
        </w:rPr>
        <w:t>ECLI:EU:C:2015:831, para.</w:t>
      </w:r>
      <w:r>
        <w:rPr>
          <w:rFonts w:ascii="Times New Roman" w:hAnsi="Times New Roman" w:cs="Times New Roman"/>
          <w:lang w:val="pt-PT"/>
        </w:rPr>
        <w:t xml:space="preserve"> </w:t>
      </w:r>
      <w:r>
        <w:rPr>
          <w:rFonts w:ascii="Times New Roman" w:hAnsi="Times New Roman" w:cs="Times New Roman"/>
          <w:lang w:val="en-IE"/>
        </w:rPr>
        <w:t>31.</w:t>
      </w:r>
    </w:p>
  </w:footnote>
  <w:footnote w:id="126">
    <w:p>
      <w:pPr>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EY, </w:t>
      </w:r>
      <w:r>
        <w:rPr>
          <w:rFonts w:ascii="Times New Roman" w:hAnsi="Times New Roman" w:cs="Times New Roman"/>
          <w:i/>
          <w:sz w:val="20"/>
          <w:szCs w:val="20"/>
        </w:rPr>
        <w:t>Support study for the impact assessment</w:t>
      </w:r>
      <w:r>
        <w:rPr>
          <w:rFonts w:ascii="Times New Roman" w:hAnsi="Times New Roman" w:cs="Times New Roman"/>
          <w:sz w:val="20"/>
          <w:szCs w:val="20"/>
        </w:rPr>
        <w:t>, forthcoming 2021.</w:t>
      </w:r>
    </w:p>
  </w:footnote>
  <w:footnote w:id="12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Theme="minorEastAsia" w:hAnsi="Times New Roman" w:cs="Times New Roman"/>
        </w:rPr>
        <w:t xml:space="preserve">For instance, </w:t>
      </w:r>
      <w:r>
        <w:rPr>
          <w:rFonts w:ascii="Times New Roman" w:hAnsi="Times New Roman" w:cs="Times New Roman"/>
        </w:rPr>
        <w:t xml:space="preserve">the Austrian Supreme Court held that the fact that a woman expressed a lower salary requirement at her job interview than her male comparator cannot justify different payments. The Court held that it is the employer’s responsibility to pay equally, since they can assess the performance of their employees, having information about the respective level of remuneration. The Court added that, in evaluating alleged discrimination on grounds of sex, the social environment cannot be ignored. From a statistical point of view, women in Austria are paid less than men. Women are also more frequently willing to accept lower paid work than men, particularly because women´s work is generally regarded as less difficult and consequently ranking lower in job evaluations. Equinet, </w:t>
      </w:r>
      <w:r>
        <w:rPr>
          <w:rFonts w:ascii="Times New Roman" w:hAnsi="Times New Roman" w:cs="Times New Roman"/>
          <w:i/>
        </w:rPr>
        <w:t>How to build a case on equal pay</w:t>
      </w:r>
      <w:r>
        <w:rPr>
          <w:rFonts w:ascii="Times New Roman" w:hAnsi="Times New Roman" w:cs="Times New Roman"/>
        </w:rPr>
        <w:t xml:space="preserve">, 2016, available at: </w:t>
      </w:r>
      <w:hyperlink r:id="rId77" w:history="1">
        <w:r>
          <w:rPr>
            <w:rStyle w:val="Hyperlink"/>
            <w:rFonts w:ascii="Times New Roman" w:hAnsi="Times New Roman" w:cs="Times New Roman"/>
          </w:rPr>
          <w:t>https://equineteurope.org/2016/equinet-handbook-how-to-build-a-case-on-equal-pay</w:t>
        </w:r>
      </w:hyperlink>
      <w:r>
        <w:rPr>
          <w:rStyle w:val="Hyperlink"/>
          <w:rFonts w:ascii="Times New Roman" w:hAnsi="Times New Roman" w:cs="Times New Roman"/>
        </w:rPr>
        <w:t>.</w:t>
      </w:r>
    </w:p>
  </w:footnote>
  <w:footnote w:id="12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measure does not preclude employers to vary workers’ pay, as long as such differences are based on objective, gender-neutral and bias-free criteria as for example performance and competence.</w:t>
      </w:r>
    </w:p>
  </w:footnote>
  <w:footnote w:id="12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problem definition in </w:t>
      </w:r>
      <w:r>
        <w:rPr>
          <w:rFonts w:ascii="Times New Roman" w:hAnsi="Times New Roman" w:cs="Times New Roman"/>
          <w:i/>
        </w:rPr>
        <w:t>Section 2</w:t>
      </w:r>
      <w:r>
        <w:rPr>
          <w:rFonts w:ascii="Times New Roman" w:hAnsi="Times New Roman" w:cs="Times New Roman"/>
        </w:rPr>
        <w:t>.</w:t>
      </w:r>
    </w:p>
  </w:footnote>
  <w:footnote w:id="13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lang w:val="en-US"/>
        </w:rPr>
        <w:t xml:space="preserve"> Leibbrandt, A.; List J.A., ‘Do women avoid salary negotiations? Evidence from a large-scale natural field experiment’, Management Science 61.9, 2012 (published in 2015), pp. 2016-2024. </w:t>
      </w:r>
      <w:r>
        <w:rPr>
          <w:rFonts w:ascii="Times New Roman" w:hAnsi="Times New Roman" w:cs="Times New Roman"/>
        </w:rPr>
        <w:t>.</w:t>
      </w:r>
    </w:p>
  </w:footnote>
  <w:footnote w:id="131">
    <w:p>
      <w:pPr>
        <w:pStyle w:val="ListNumber"/>
        <w:spacing w:after="0"/>
        <w:ind w:left="0" w:firstLine="0"/>
        <w:rPr>
          <w:sz w:val="20"/>
        </w:rPr>
      </w:pPr>
      <w:r>
        <w:rPr>
          <w:rStyle w:val="FootnoteReference"/>
          <w:sz w:val="20"/>
        </w:rPr>
        <w:footnoteRef/>
      </w:r>
      <w:r>
        <w:rPr>
          <w:sz w:val="20"/>
        </w:rPr>
        <w:t xml:space="preserve"> At aggregate level, this increase of salary for workers offsets the decrease in profit for employers.</w:t>
      </w:r>
    </w:p>
  </w:footnote>
  <w:footnote w:id="13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An ongoing behavioural study by JRC might provide useful insight on the order of magnitude. See </w:t>
      </w:r>
      <w:r>
        <w:rPr>
          <w:rFonts w:ascii="Times New Roman" w:hAnsi="Times New Roman" w:cs="Times New Roman"/>
          <w:i/>
        </w:rPr>
        <w:t>Annex 4</w:t>
      </w:r>
      <w:r>
        <w:rPr>
          <w:rFonts w:ascii="Times New Roman" w:hAnsi="Times New Roman" w:cs="Times New Roman"/>
        </w:rPr>
        <w:t xml:space="preserve"> for details on the methodology.</w:t>
      </w:r>
      <w:r>
        <w:rPr>
          <w:rFonts w:ascii="Times New Roman" w:eastAsia="Times New Roman" w:hAnsi="Times New Roman" w:cs="Times New Roman"/>
          <w:lang w:eastAsia="en-GB"/>
        </w:rPr>
        <w:t xml:space="preserve"> </w:t>
      </w:r>
    </w:p>
  </w:footnote>
  <w:footnote w:id="13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Information received from the European Equality Law Network.</w:t>
      </w:r>
    </w:p>
  </w:footnote>
  <w:footnote w:id="134">
    <w:p>
      <w:pPr>
        <w:pStyle w:val="CommentText"/>
        <w:spacing w:after="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This technical issue is recognised even by existing dedicated softwares e.g. Payanalitics: ‘an organization size of around 50 people is needed for the full utilization of all the softwares capabilities’. Available at: </w:t>
      </w:r>
      <w:hyperlink r:id="rId78" w:history="1">
        <w:r>
          <w:rPr>
            <w:rStyle w:val="Hyperlink"/>
            <w:rFonts w:ascii="Times New Roman" w:hAnsi="Times New Roman" w:cs="Times New Roman"/>
          </w:rPr>
          <w:t>https://www.payanalytics.com/faq</w:t>
        </w:r>
      </w:hyperlink>
      <w:r>
        <w:rPr>
          <w:rFonts w:ascii="Times New Roman" w:hAnsi="Times New Roman" w:cs="Times New Roman"/>
        </w:rPr>
        <w:t xml:space="preserve"> </w:t>
      </w:r>
    </w:p>
  </w:footnote>
  <w:footnote w:id="135">
    <w:p>
      <w:pPr>
        <w:pStyle w:val="FootnoteText"/>
        <w:contextualSpacing/>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article 6 (1) (c)and (f), </w:t>
      </w:r>
      <w:r>
        <w:rPr>
          <w:rFonts w:ascii="Times New Roman" w:hAnsi="Times New Roman" w:cs="Times New Roman"/>
          <w:i/>
        </w:rPr>
        <w:t>General Data Protection Regulation,</w:t>
      </w:r>
      <w:r>
        <w:rPr>
          <w:rFonts w:ascii="Times New Roman" w:hAnsi="Times New Roman" w:cs="Times New Roman"/>
        </w:rPr>
        <w:t xml:space="preserve"> EU/2016/679.</w:t>
      </w:r>
    </w:p>
  </w:footnote>
  <w:footnote w:id="13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Data on the number of companies are only available for the business economy. See </w:t>
      </w:r>
      <w:r>
        <w:rPr>
          <w:rFonts w:ascii="Times New Roman" w:hAnsi="Times New Roman" w:cs="Times New Roman"/>
          <w:i/>
        </w:rPr>
        <w:t>Annex 4</w:t>
      </w:r>
      <w:r>
        <w:rPr>
          <w:rFonts w:ascii="Times New Roman" w:hAnsi="Times New Roman" w:cs="Times New Roman"/>
        </w:rPr>
        <w:t xml:space="preserve"> for the methodology. </w:t>
      </w:r>
    </w:p>
  </w:footnote>
  <w:footnote w:id="13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Job evaluation methods help to determine when two jobs that differ in content are of “equal value” and, thus, entitled to equal remuneration. For a review see for instance Chicha, M.-T., ‘</w:t>
      </w:r>
      <w:hyperlink r:id="rId79" w:history="1">
        <w:r>
          <w:rPr>
            <w:rStyle w:val="Hyperlink"/>
            <w:rFonts w:ascii="Times New Roman" w:hAnsi="Times New Roman" w:cs="Times New Roman"/>
          </w:rPr>
          <w:t>A comparative analysis of promoting pay equity: models and impacts</w:t>
        </w:r>
      </w:hyperlink>
      <w:r>
        <w:rPr>
          <w:rFonts w:ascii="Times New Roman" w:hAnsi="Times New Roman" w:cs="Times New Roman"/>
        </w:rPr>
        <w:t>’, ILO Working Papers, International Labour Organization, 2006. A project to develop a methodology for a gender bias free assessment  of value of work in a specific sector and in a context of social dialogue was cofunded by the EU in 2005-2008. See CGTP-IN et al, ‘</w:t>
      </w:r>
      <w:hyperlink r:id="rId80" w:history="1">
        <w:r>
          <w:rPr>
            <w:rStyle w:val="Hyperlink"/>
            <w:rFonts w:ascii="Times New Roman" w:hAnsi="Times New Roman" w:cs="Times New Roman"/>
          </w:rPr>
          <w:t>Value of work and gender equality – Guide to applying a methodology for assessing the value of work free from gender bias</w:t>
        </w:r>
      </w:hyperlink>
      <w:r>
        <w:rPr>
          <w:rFonts w:ascii="Times New Roman" w:hAnsi="Times New Roman" w:cs="Times New Roman"/>
        </w:rPr>
        <w:t>’, Lisbon, November 2008</w:t>
      </w:r>
    </w:p>
  </w:footnote>
  <w:footnote w:id="138">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It was estimated in 2014 </w:t>
      </w:r>
      <w:r>
        <w:rPr>
          <w:rFonts w:ascii="Times New Roman" w:eastAsia="Times New Roman" w:hAnsi="Times New Roman" w:cs="Times New Roman"/>
        </w:rPr>
        <w:t>at a current value between 4,000 and 25,000 EUR per Member State.</w:t>
      </w:r>
    </w:p>
  </w:footnote>
  <w:footnote w:id="13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for instance </w:t>
      </w:r>
      <w:hyperlink r:id="rId81" w:history="1">
        <w:r>
          <w:rPr>
            <w:rStyle w:val="Hyperlink"/>
            <w:rFonts w:ascii="Times New Roman" w:hAnsi="Times New Roman" w:cs="Times New Roman"/>
          </w:rPr>
          <w:t>https://builtin.com/recruiting/cost-of-turnover</w:t>
        </w:r>
      </w:hyperlink>
    </w:p>
  </w:footnote>
  <w:footnote w:id="140">
    <w:p>
      <w:pPr>
        <w:pStyle w:val="PlainText"/>
        <w:jc w:val="both"/>
        <w:rPr>
          <w:rFonts w:ascii="Times New Roman" w:hAnsi="Times New Roman" w:cs="Times New Roman"/>
          <w:sz w:val="20"/>
          <w:szCs w:val="20"/>
          <w:lang w:val="en-US"/>
        </w:rPr>
      </w:pPr>
      <w:r>
        <w:rPr>
          <w:rStyle w:val="FootnoteReference"/>
          <w:rFonts w:ascii="Times New Roman" w:hAnsi="Times New Roman" w:cs="Times New Roman"/>
          <w:sz w:val="20"/>
          <w:szCs w:val="20"/>
        </w:rPr>
        <w:footnoteRef/>
      </w:r>
      <w:r>
        <w:rPr>
          <w:rFonts w:ascii="Times New Roman" w:hAnsi="Times New Roman" w:cs="Times New Roman"/>
          <w:sz w:val="20"/>
          <w:szCs w:val="20"/>
          <w:lang w:val="en-US"/>
        </w:rPr>
        <w:t xml:space="preserve"> Gomez, R.;Wald, S., ‘When Public-Sector Salaries Become Public Knowledge: Academic Salaries and Ontario’s Public Sector Salary Disclosure Act’, </w:t>
      </w:r>
      <w:r>
        <w:rPr>
          <w:rFonts w:ascii="Times New Roman" w:hAnsi="Times New Roman" w:cs="Times New Roman"/>
          <w:i/>
          <w:sz w:val="20"/>
          <w:szCs w:val="20"/>
          <w:lang w:val="en-US"/>
        </w:rPr>
        <w:t>Canadian Public Administration</w:t>
      </w:r>
      <w:r>
        <w:rPr>
          <w:rFonts w:ascii="Times New Roman" w:hAnsi="Times New Roman" w:cs="Times New Roman"/>
          <w:sz w:val="20"/>
          <w:szCs w:val="20"/>
          <w:lang w:val="en-US"/>
        </w:rPr>
        <w:t>, 2010.</w:t>
      </w:r>
    </w:p>
  </w:footnote>
  <w:footnote w:id="141">
    <w:p>
      <w:pPr>
        <w:pStyle w:val="PlainText"/>
        <w:jc w:val="both"/>
        <w:rPr>
          <w:rFonts w:ascii="Times New Roman" w:hAnsi="Times New Roman" w:cs="Times New Roman"/>
          <w:sz w:val="20"/>
          <w:szCs w:val="20"/>
          <w:lang w:val="en-GB"/>
        </w:rPr>
      </w:pPr>
      <w:r>
        <w:rPr>
          <w:rStyle w:val="FootnoteReference"/>
          <w:rFonts w:ascii="Times New Roman" w:hAnsi="Times New Roman" w:cs="Times New Roman"/>
          <w:sz w:val="20"/>
          <w:szCs w:val="20"/>
        </w:rPr>
        <w:footnoteRef/>
      </w:r>
      <w:r>
        <w:rPr>
          <w:rFonts w:ascii="Times New Roman" w:hAnsi="Times New Roman" w:cs="Times New Roman"/>
          <w:sz w:val="20"/>
          <w:szCs w:val="20"/>
          <w:lang w:val="en-GB"/>
        </w:rPr>
        <w:t xml:space="preserve"> Kahn, L., ‘</w:t>
      </w:r>
      <w:hyperlink r:id="rId82" w:history="1">
        <w:r>
          <w:rPr>
            <w:rStyle w:val="Hyperlink"/>
            <w:rFonts w:ascii="Times New Roman" w:hAnsi="Times New Roman" w:cs="Times New Roman"/>
            <w:sz w:val="20"/>
            <w:szCs w:val="20"/>
            <w:lang w:val="en-GB"/>
          </w:rPr>
          <w:t>Wage compression and the gender pay gap</w:t>
        </w:r>
      </w:hyperlink>
      <w:r>
        <w:rPr>
          <w:rFonts w:ascii="Times New Roman" w:hAnsi="Times New Roman" w:cs="Times New Roman"/>
          <w:sz w:val="20"/>
          <w:szCs w:val="20"/>
          <w:lang w:val="en-GB"/>
        </w:rPr>
        <w:t xml:space="preserve">’, </w:t>
      </w:r>
      <w:r>
        <w:rPr>
          <w:rFonts w:ascii="Times New Roman" w:hAnsi="Times New Roman" w:cs="Times New Roman"/>
          <w:i/>
          <w:sz w:val="20"/>
          <w:szCs w:val="20"/>
          <w:lang w:val="en-GB"/>
        </w:rPr>
        <w:t>IZA World of Labor, Institute of Labor Economics</w:t>
      </w:r>
      <w:r>
        <w:rPr>
          <w:rFonts w:ascii="Times New Roman" w:hAnsi="Times New Roman" w:cs="Times New Roman"/>
          <w:sz w:val="20"/>
          <w:szCs w:val="20"/>
          <w:lang w:val="en-GB"/>
        </w:rPr>
        <w:t>, 2015.</w:t>
      </w:r>
    </w:p>
  </w:footnote>
  <w:footnote w:id="14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Trotter, R. G., Zacur, S. Rawson and Stickney, L. T., The new age of pay transparency, Business Horizons, 60, issue 4, p. 529-539, 2017..</w:t>
      </w:r>
    </w:p>
  </w:footnote>
  <w:footnote w:id="14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Al-Zu'bi, H. A., ‘A study of relationship between organizational justice and job satisfaction’, </w:t>
      </w:r>
      <w:r>
        <w:rPr>
          <w:rFonts w:ascii="Times New Roman" w:hAnsi="Times New Roman" w:cs="Times New Roman"/>
          <w:i/>
        </w:rPr>
        <w:t>International Journal of Business and Management</w:t>
      </w:r>
      <w:r>
        <w:rPr>
          <w:rFonts w:ascii="Times New Roman" w:hAnsi="Times New Roman" w:cs="Times New Roman"/>
        </w:rPr>
        <w:t>, 2010.</w:t>
      </w:r>
    </w:p>
  </w:footnote>
  <w:footnote w:id="14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Smith, D., ‘</w:t>
      </w:r>
      <w:hyperlink r:id="rId83" w:history="1">
        <w:r>
          <w:rPr>
            <w:rStyle w:val="Hyperlink"/>
            <w:rFonts w:ascii="Times New Roman" w:hAnsi="Times New Roman" w:cs="Times New Roman"/>
          </w:rPr>
          <w:t>Most People Have No Idea Whether They’re Paid Fairly</w:t>
        </w:r>
      </w:hyperlink>
      <w:r>
        <w:rPr>
          <w:rStyle w:val="Hyperlink"/>
          <w:rFonts w:ascii="Times New Roman" w:hAnsi="Times New Roman" w:cs="Times New Roman"/>
        </w:rPr>
        <w:t xml:space="preserve">’, </w:t>
      </w:r>
      <w:r>
        <w:rPr>
          <w:rStyle w:val="Hyperlink"/>
          <w:rFonts w:ascii="Times New Roman" w:hAnsi="Times New Roman" w:cs="Times New Roman"/>
          <w:i/>
        </w:rPr>
        <w:t>Harvard Business Review</w:t>
      </w:r>
      <w:r>
        <w:rPr>
          <w:rStyle w:val="Hyperlink"/>
          <w:rFonts w:ascii="Times New Roman" w:hAnsi="Times New Roman" w:cs="Times New Roman"/>
        </w:rPr>
        <w:t>, 2015. Available at: https://hbr.org/2015/10/most-people-have-no-idea-whether-theyre-paid-fairly.</w:t>
      </w:r>
    </w:p>
  </w:footnote>
  <w:footnote w:id="14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However, Cullen and Pakzad-Hurson (2019) found that firms’ profits actually increased after the implementation of pay transparency, due mainly to the fall in average wages.</w:t>
      </w:r>
    </w:p>
  </w:footnote>
  <w:footnote w:id="146">
    <w:p>
      <w:pPr>
        <w:pStyle w:val="FootnoteText"/>
        <w:jc w:val="both"/>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rPr>
        <w:t xml:space="preserve"> Gulyas et al.,‘</w:t>
      </w:r>
      <w:hyperlink r:id="rId84" w:history="1">
        <w:r>
          <w:rPr>
            <w:rStyle w:val="Hyperlink"/>
            <w:rFonts w:ascii="Times New Roman" w:hAnsi="Times New Roman" w:cs="Times New Roman"/>
          </w:rPr>
          <w:t>Does Pay Transparency Affect the Gender Wage Gap? Evidence from Austria</w:t>
        </w:r>
      </w:hyperlink>
      <w:r>
        <w:rPr>
          <w:rFonts w:ascii="Times New Roman" w:hAnsi="Times New Roman" w:cs="Times New Roman"/>
        </w:rPr>
        <w:t xml:space="preserve">’, </w:t>
      </w:r>
      <w:r>
        <w:rPr>
          <w:rFonts w:ascii="Times New Roman" w:hAnsi="Times New Roman" w:cs="Times New Roman"/>
          <w:i/>
        </w:rPr>
        <w:t xml:space="preserve">Discussion Paper Series – CRC TR 224, </w:t>
      </w:r>
      <w:r>
        <w:rPr>
          <w:rFonts w:ascii="Times New Roman" w:hAnsi="Times New Roman" w:cs="Times New Roman"/>
        </w:rPr>
        <w:t xml:space="preserve">2020. </w:t>
      </w:r>
    </w:p>
  </w:footnote>
  <w:footnote w:id="14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possible cost to group employees would be the same as for Sub-option 1A, Measure 2, i.e. between 217 and 1,080 EUR per employer depending on the size.</w:t>
      </w:r>
    </w:p>
  </w:footnote>
  <w:footnote w:id="14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An estimation per class-size would also require to know the distribution of employees per class, which is not available.</w:t>
      </w:r>
    </w:p>
  </w:footnote>
  <w:footnote w:id="14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Eurofound, </w:t>
      </w:r>
      <w:hyperlink r:id="rId85" w:history="1">
        <w:r>
          <w:rPr>
            <w:rStyle w:val="Hyperlink"/>
            <w:rFonts w:ascii="Times New Roman" w:hAnsi="Times New Roman" w:cs="Times New Roman"/>
          </w:rPr>
          <w:t>Measures to promote gender pay transparency in companies: How much do they cost and what are their benefits and opportunities</w:t>
        </w:r>
      </w:hyperlink>
      <w:r>
        <w:rPr>
          <w:rFonts w:ascii="Times New Roman" w:hAnsi="Times New Roman" w:cs="Times New Roman"/>
        </w:rPr>
        <w:t xml:space="preserve">?, 2020. </w:t>
      </w:r>
    </w:p>
  </w:footnote>
  <w:footnote w:id="150">
    <w:p>
      <w:pPr>
        <w:keepNext/>
        <w:spacing w:after="0" w:line="240" w:lineRule="auto"/>
        <w:jc w:val="both"/>
        <w:textAlignment w:val="baseline"/>
        <w:rPr>
          <w:rFonts w:ascii="Times New Roman" w:eastAsia="Times New Roman" w:hAnsi="Times New Roman" w:cs="Times New Roman"/>
          <w:sz w:val="20"/>
          <w:szCs w:val="20"/>
          <w:lang w:val="fr-FR" w:eastAsia="fr-FR"/>
        </w:rPr>
      </w:pPr>
      <w:r>
        <w:rPr>
          <w:rStyle w:val="FootnoteReference"/>
          <w:rFonts w:ascii="Times New Roman" w:hAnsi="Times New Roman" w:cs="Times New Roman"/>
          <w:sz w:val="20"/>
          <w:szCs w:val="20"/>
        </w:rPr>
        <w:footnoteRef/>
      </w:r>
      <w:r>
        <w:rPr>
          <w:rFonts w:ascii="Times New Roman" w:hAnsi="Times New Roman" w:cs="Times New Roman"/>
          <w:sz w:val="20"/>
          <w:szCs w:val="20"/>
          <w:lang w:val="fr-FR"/>
        </w:rPr>
        <w:t xml:space="preserve"> </w:t>
      </w:r>
      <w:r>
        <w:rPr>
          <w:rFonts w:ascii="Times New Roman" w:eastAsia="Times New Roman" w:hAnsi="Times New Roman" w:cs="Times New Roman"/>
          <w:sz w:val="20"/>
          <w:szCs w:val="20"/>
          <w:lang w:val="fr-FR" w:eastAsia="fr-FR"/>
        </w:rPr>
        <w:t>CY,</w:t>
      </w:r>
      <w:r>
        <w:rPr>
          <w:rFonts w:ascii="Times New Roman" w:hAnsi="Times New Roman" w:cs="Times New Roman"/>
          <w:sz w:val="20"/>
          <w:szCs w:val="20"/>
          <w:lang w:val="fr-FR"/>
        </w:rPr>
        <w:t xml:space="preserve"> </w:t>
      </w:r>
      <w:r>
        <w:rPr>
          <w:rFonts w:ascii="Times New Roman" w:eastAsia="Times New Roman" w:hAnsi="Times New Roman" w:cs="Times New Roman"/>
          <w:sz w:val="20"/>
          <w:szCs w:val="20"/>
          <w:lang w:val="fr-FR" w:eastAsia="fr-FR"/>
        </w:rPr>
        <w:t xml:space="preserve">DE, ES, FI, IE, LV, PT, NL, RO, SE </w:t>
      </w:r>
      <w:r>
        <w:rPr>
          <w:rFonts w:ascii="Times New Roman" w:eastAsia="Times New Roman" w:hAnsi="Times New Roman" w:cs="Times New Roman"/>
          <w:sz w:val="20"/>
          <w:szCs w:val="20"/>
          <w:lang w:val="fr-FR"/>
        </w:rPr>
        <w:t xml:space="preserve">– see </w:t>
      </w:r>
      <w:r>
        <w:rPr>
          <w:rFonts w:ascii="Times New Roman" w:eastAsia="Times New Roman" w:hAnsi="Times New Roman" w:cs="Times New Roman"/>
          <w:i/>
          <w:sz w:val="20"/>
          <w:szCs w:val="20"/>
          <w:lang w:val="fr-FR"/>
        </w:rPr>
        <w:t>Annex 5, section 3</w:t>
      </w:r>
      <w:r>
        <w:rPr>
          <w:rFonts w:ascii="Times New Roman" w:eastAsia="Times New Roman" w:hAnsi="Times New Roman" w:cs="Times New Roman"/>
          <w:sz w:val="20"/>
          <w:szCs w:val="20"/>
          <w:lang w:val="fr-FR"/>
        </w:rPr>
        <w:t>.</w:t>
      </w:r>
    </w:p>
  </w:footnote>
  <w:footnote w:id="15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This is in line with estimates from Estonia for setting up an equal pay competence centre at cost of around 1 million EUR over 4 years (including IT investments and administration costs, information, communication and other support activities).</w:t>
      </w:r>
    </w:p>
  </w:footnote>
  <w:footnote w:id="15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According to information reported during a mutual learning seminar in 2019, the National Bank of Iceland estimated the average cost of obtaining the equal pay certification at: 2-3 million ISK (15-22,000k EUR) for a consulting firm, 800.000 ISK / 6,000 EUR  for the certification process itself and having one employee on the payroll for a year. In 2017, the monthly median income of in the category ‘personnel and career professionals’ was 759,000 ISK (around 6000 EUR). The Directorate of Customs, the first organisation to voluntary obtain the certification, had one employee on the payroll for six months. These estimates are in line with the results of a survey of the first (big) companies that obtained the certification: the cost varied from several hundred thousand icelandic kronas (ISK) to over 4 million, with an average of 3 million ISK (22,000 EUR) and 40% of respondents spending below 2 million ISK.</w:t>
      </w:r>
    </w:p>
  </w:footnote>
  <w:footnote w:id="15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average length for the implementation was 18 months for the bigger companies in the first survey, varying from 6 months to 2 years.</w:t>
      </w:r>
    </w:p>
  </w:footnote>
  <w:footnote w:id="15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81% of the 58 (large) employers who applied the standard and between 46 and 58% of the 206 smaller companies surveyed later. The difference depends on the stage of implementation and interestingly companies which had not started yet had much more negative opinions (13.3% very negative) compared to those which had almost concluded it (3%).</w:t>
      </w:r>
    </w:p>
  </w:footnote>
  <w:footnote w:id="15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w:t>
      </w:r>
      <w:r>
        <w:rPr>
          <w:rFonts w:ascii="Times New Roman" w:hAnsi="Times New Roman" w:cs="Times New Roman"/>
          <w:i/>
        </w:rPr>
        <w:t>Annex 5, section 15</w:t>
      </w:r>
      <w:r>
        <w:rPr>
          <w:rFonts w:ascii="Times New Roman" w:hAnsi="Times New Roman" w:cs="Times New Roman"/>
        </w:rPr>
        <w:t xml:space="preserve"> for some examples.</w:t>
      </w:r>
    </w:p>
  </w:footnote>
  <w:footnote w:id="15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color w:val="000000" w:themeColor="text1"/>
        </w:rPr>
        <w:t xml:space="preserve">The latest economic forecasts indicate that recovery prospects are subject to a high degree of uncertainty, with downside risks to the outlook (European Commission, </w:t>
      </w:r>
      <w:hyperlink r:id="rId86" w:history="1">
        <w:r>
          <w:rPr>
            <w:rStyle w:val="Hyperlink"/>
            <w:rFonts w:ascii="Times New Roman" w:hAnsi="Times New Roman" w:cs="Times New Roman"/>
          </w:rPr>
          <w:t>Autumn 2020 European Economic Forecasts</w:t>
        </w:r>
      </w:hyperlink>
      <w:r>
        <w:rPr>
          <w:rFonts w:ascii="Times New Roman" w:hAnsi="Times New Roman" w:cs="Times New Roman"/>
        </w:rPr>
        <w:t>, Institutional Paper 136, November 2020)</w:t>
      </w:r>
      <w:r>
        <w:rPr>
          <w:rFonts w:ascii="Times New Roman" w:hAnsi="Times New Roman" w:cs="Times New Roman"/>
          <w:color w:val="000000" w:themeColor="text1"/>
        </w:rPr>
        <w:t>.</w:t>
      </w:r>
    </w:p>
  </w:footnote>
  <w:footnote w:id="15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European </w:t>
      </w:r>
      <w:r>
        <w:rPr>
          <w:rFonts w:ascii="Times New Roman" w:hAnsi="Times New Roman" w:cs="Times New Roman"/>
          <w:shd w:val="clear" w:color="auto" w:fill="FFFFFF"/>
        </w:rPr>
        <w:t xml:space="preserve">Commission, </w:t>
      </w:r>
      <w:r>
        <w:rPr>
          <w:rFonts w:ascii="Times New Roman" w:hAnsi="Times New Roman" w:cs="Times New Roman"/>
          <w:i/>
          <w:iCs/>
          <w:shd w:val="clear" w:color="auto" w:fill="FFFFFF"/>
        </w:rPr>
        <w:t>Recommendation concerning the definition of micro, small and medium-sized enterprises</w:t>
      </w:r>
      <w:r>
        <w:rPr>
          <w:rFonts w:ascii="Times New Roman" w:hAnsi="Times New Roman" w:cs="Times New Roman"/>
          <w:shd w:val="clear" w:color="auto" w:fill="FFFFFF"/>
        </w:rPr>
        <w:t xml:space="preserve">, </w:t>
      </w:r>
      <w:r>
        <w:rPr>
          <w:rStyle w:val="Emphasis"/>
          <w:rFonts w:ascii="Times New Roman" w:hAnsi="Times New Roman" w:cs="Times New Roman"/>
          <w:i w:val="0"/>
          <w:iCs w:val="0"/>
          <w:shd w:val="clear" w:color="auto" w:fill="FFFFFF"/>
        </w:rPr>
        <w:t>2003, p. 36–41</w:t>
      </w:r>
      <w:r>
        <w:rPr>
          <w:rStyle w:val="Emphasis"/>
          <w:rFonts w:ascii="Times New Roman" w:hAnsi="Times New Roman" w:cs="Times New Roman"/>
          <w:i w:val="0"/>
          <w:iCs w:val="0"/>
          <w:color w:val="444444"/>
          <w:shd w:val="clear" w:color="auto" w:fill="FFFFFF"/>
        </w:rPr>
        <w:t>.</w:t>
      </w:r>
    </w:p>
  </w:footnote>
  <w:footnote w:id="15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Thresholds of 50+ or lower are implemented for pay reporting or pay auditing in the majority of countries: BE, DK, EE, ES, FI, FR, LT, LU, PT, SE. Larger thresholds apply in AT (150+), IT (100+), and UK (250+). Only DE applies a threshold of 500+.</w:t>
      </w:r>
    </w:p>
  </w:footnote>
  <w:footnote w:id="159">
    <w:p>
      <w:pPr>
        <w:pStyle w:val="FootnoteText"/>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See Impact assessment of the 2014 Recommendation, </w:t>
      </w:r>
      <w:hyperlink r:id="rId87" w:history="1">
        <w:r>
          <w:rPr>
            <w:rStyle w:val="Hyperlink"/>
            <w:rFonts w:ascii="Times New Roman" w:hAnsi="Times New Roman" w:cs="Times New Roman"/>
          </w:rPr>
          <w:t>SWD(2014)59 final</w:t>
        </w:r>
      </w:hyperlink>
      <w:r>
        <w:rPr>
          <w:rFonts w:ascii="Times New Roman" w:hAnsi="Times New Roman" w:cs="Times New Roman"/>
        </w:rPr>
        <w:t>.</w:t>
      </w:r>
    </w:p>
  </w:footnote>
  <w:footnote w:id="16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Ibid. The 2014 Recommendation’s impact assessment obviously still covered the United Kingdom.</w:t>
      </w:r>
    </w:p>
  </w:footnote>
  <w:footnote w:id="16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calculations take into account that some</w:t>
      </w:r>
      <w:r>
        <w:rPr>
          <w:rFonts w:ascii="Times New Roman" w:eastAsia="Times New Roman" w:hAnsi="Times New Roman" w:cs="Times New Roman"/>
        </w:rPr>
        <w:t xml:space="preserve"> </w:t>
      </w:r>
      <w:r>
        <w:rPr>
          <w:rFonts w:ascii="Times New Roman" w:hAnsi="Times New Roman" w:cs="Times New Roman"/>
        </w:rPr>
        <w:t>Member States already have adopted similar measures.</w:t>
      </w:r>
    </w:p>
  </w:footnote>
  <w:footnote w:id="16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w:t>
      </w:r>
      <w:r>
        <w:rPr>
          <w:rFonts w:ascii="Times New Roman" w:hAnsi="Times New Roman" w:cs="Times New Roman"/>
          <w:i/>
        </w:rPr>
        <w:t>Gender pay gap service</w:t>
      </w:r>
      <w:r>
        <w:rPr>
          <w:rFonts w:ascii="Times New Roman" w:hAnsi="Times New Roman" w:cs="Times New Roman"/>
        </w:rPr>
        <w:t xml:space="preserve"> at </w:t>
      </w:r>
      <w:hyperlink r:id="rId88" w:history="1">
        <w:r>
          <w:rPr>
            <w:rStyle w:val="Hyperlink"/>
            <w:rFonts w:ascii="Times New Roman" w:hAnsi="Times New Roman" w:cs="Times New Roman"/>
          </w:rPr>
          <w:t>https://gender-pay-gap.service.gov.uk</w:t>
        </w:r>
      </w:hyperlink>
      <w:r>
        <w:rPr>
          <w:rFonts w:ascii="Times New Roman" w:hAnsi="Times New Roman" w:cs="Times New Roman"/>
        </w:rPr>
        <w:t>.</w:t>
      </w:r>
    </w:p>
  </w:footnote>
  <w:footnote w:id="163">
    <w:p>
      <w:pPr>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81% of respondents from trade unions, 90% of NGOs, 81% of EU citizens while the measure is considered effective for 46% of business/company associations and organisations.</w:t>
      </w:r>
    </w:p>
  </w:footnote>
  <w:footnote w:id="164">
    <w:p>
      <w:pPr>
        <w:spacing w:after="0" w:line="240" w:lineRule="auto"/>
        <w:jc w:val="both"/>
        <w:rPr>
          <w:rFonts w:ascii="Times New Roman" w:eastAsia="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Eurofound (2020), p.51. T</w:t>
      </w:r>
      <w:r>
        <w:rPr>
          <w:rFonts w:ascii="Times New Roman" w:eastAsia="Times New Roman" w:hAnsi="Times New Roman" w:cs="Times New Roman"/>
          <w:sz w:val="20"/>
          <w:szCs w:val="20"/>
        </w:rPr>
        <w:t>his estimate is based on the assumption that the required data are already available in the company.</w:t>
      </w:r>
    </w:p>
  </w:footnote>
  <w:footnote w:id="16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These estimates take into account that some countries have already applied similar measures. See </w:t>
      </w:r>
      <w:r>
        <w:rPr>
          <w:rFonts w:ascii="Times New Roman" w:hAnsi="Times New Roman" w:cs="Times New Roman"/>
          <w:i/>
        </w:rPr>
        <w:t>Annex 4</w:t>
      </w:r>
      <w:r>
        <w:rPr>
          <w:rFonts w:ascii="Times New Roman" w:hAnsi="Times New Roman" w:cs="Times New Roman"/>
        </w:rPr>
        <w:t xml:space="preserve"> for the methodology.</w:t>
      </w:r>
    </w:p>
  </w:footnote>
  <w:footnote w:id="16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Estimates based on the experience in the United Kingdom.</w:t>
      </w:r>
    </w:p>
  </w:footnote>
  <w:footnote w:id="16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This is obviously not the ultimate purpose of these softwares. They are tools by which companies can (voluntarily) analyse their pay structures and detect a potential gender pay gap and its causes. The company-specific outcome report informs about the (unadjusted and adjusted) gender pay gaps and the statistical significance of the most relevant drivers. One example is for instance the EU-funded Equal pacE, based on Logib-D, a system financed by the German government, in turn based on </w:t>
      </w:r>
      <w:hyperlink r:id="rId89" w:history="1">
        <w:r>
          <w:rPr>
            <w:rStyle w:val="Hyperlink"/>
            <w:rFonts w:ascii="Times New Roman" w:hAnsi="Times New Roman" w:cs="Times New Roman"/>
          </w:rPr>
          <w:t>Logib</w:t>
        </w:r>
      </w:hyperlink>
      <w:r>
        <w:rPr>
          <w:rFonts w:ascii="Times New Roman" w:hAnsi="Times New Roman" w:cs="Times New Roman"/>
        </w:rPr>
        <w:t xml:space="preserve">, the software used for official gender pay reporting in Switzerland. </w:t>
      </w:r>
    </w:p>
  </w:footnote>
  <w:footnote w:id="168">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Granato, S., Santangelo, G., ‘Administrative data for the evaluation of Pay transparency measures’, JRC Technical report, 2020.</w:t>
      </w:r>
    </w:p>
  </w:footnote>
  <w:footnote w:id="16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 survey on the availability of linked firm-level and individual-level data, carried out in cooperation with the OECD, gives the following picture. All 20 surveyed Member States, except Czechia, record firm-level information; 12 countries already link firm-level with individual-level data (Belgium, Denmark, Finland, Germany, Greece, Hungary, Latvia, Lithuania, Malta, the Netherlands, Portugal and Sweden) and five expect to be able to do so shortly (Austria, Bulgaria, Ireland, Italy and Spain). According to this study, Czechia,  Slovakia and Slovenia are not yet able to link the data, and have no specific plans to do so soon.</w:t>
      </w:r>
    </w:p>
  </w:footnote>
  <w:footnote w:id="170">
    <w:p>
      <w:pPr>
        <w:pStyle w:val="FootnoteText"/>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lang w:val="en-US"/>
        </w:rPr>
        <w:t xml:space="preserve"> BE, DE, DK, EL, FI, HU, LT, LV, MT, NL, PT and SE.</w:t>
      </w:r>
    </w:p>
  </w:footnote>
  <w:footnote w:id="171">
    <w:p>
      <w:pPr>
        <w:pStyle w:val="FootnoteText"/>
        <w:jc w:val="both"/>
        <w:rPr>
          <w:rFonts w:ascii="Times New Roman" w:hAnsi="Times New Roman" w:cs="Times New Roman"/>
          <w:lang w:val="sv-SE"/>
        </w:rPr>
      </w:pPr>
      <w:r>
        <w:rPr>
          <w:rStyle w:val="FootnoteReference"/>
          <w:rFonts w:ascii="Times New Roman" w:hAnsi="Times New Roman" w:cs="Times New Roman"/>
        </w:rPr>
        <w:footnoteRef/>
      </w:r>
      <w:r>
        <w:rPr>
          <w:rFonts w:ascii="Times New Roman" w:hAnsi="Times New Roman" w:cs="Times New Roman"/>
          <w:lang w:val="sv-SE"/>
        </w:rPr>
        <w:t xml:space="preserve"> CZ, DK, FR, LT, PT and SE.</w:t>
      </w:r>
    </w:p>
  </w:footnote>
  <w:footnote w:id="17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 Denmark, annual pay reports are compiled by employers organisations, or </w:t>
      </w:r>
      <w:r>
        <w:rPr>
          <w:rFonts w:ascii="Times New Roman" w:hAnsi="Times New Roman" w:cs="Times New Roman"/>
          <w:i/>
        </w:rPr>
        <w:t>Statistics Denmark</w:t>
      </w:r>
      <w:r>
        <w:rPr>
          <w:rFonts w:ascii="Times New Roman" w:hAnsi="Times New Roman" w:cs="Times New Roman"/>
        </w:rPr>
        <w:t xml:space="preserve"> for non-affiliated companies, or companies themselves; companies must then share the results with workers representatives and pay audits are voluntary. In Estonia, for the public sector, the labour authority would run automated checks of companies based on wage data. </w:t>
      </w:r>
    </w:p>
  </w:footnote>
  <w:footnote w:id="17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90" w:history="1">
        <w:r>
          <w:rPr>
            <w:rStyle w:val="Hyperlink"/>
            <w:rFonts w:ascii="Times New Roman" w:hAnsi="Times New Roman" w:cs="Times New Roman"/>
          </w:rPr>
          <w:t>Gulyas et al. (2020)</w:t>
        </w:r>
      </w:hyperlink>
      <w:r>
        <w:rPr>
          <w:rFonts w:ascii="Times New Roman" w:hAnsi="Times New Roman" w:cs="Times New Roman"/>
        </w:rPr>
        <w:t xml:space="preserve"> analysed the effect of the  2011 Austrian Pay Transparency Law and found that  policy led to an increase in the retention rate of workers. </w:t>
      </w:r>
    </w:p>
  </w:footnote>
  <w:footnote w:id="17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rPr>
        <w:t>I</w:t>
      </w:r>
      <w:r>
        <w:rPr>
          <w:rFonts w:ascii="Times New Roman" w:hAnsi="Times New Roman" w:cs="Times New Roman"/>
        </w:rPr>
        <w:t>nformation received from the European Equality Law Network</w:t>
      </w:r>
      <w:r>
        <w:rPr>
          <w:rFonts w:ascii="Times New Roman" w:eastAsia="Times New Roman" w:hAnsi="Times New Roman" w:cs="Times New Roman"/>
        </w:rPr>
        <w:t>.</w:t>
      </w:r>
    </w:p>
  </w:footnote>
  <w:footnote w:id="17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Foubert, 2017, pp. 49-50.</w:t>
      </w:r>
    </w:p>
  </w:footnote>
  <w:footnote w:id="17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That argument was as well mentioned in </w:t>
      </w:r>
      <w:r>
        <w:rPr>
          <w:rFonts w:ascii="Times New Roman" w:eastAsia="Times New Roman" w:hAnsi="Times New Roman" w:cs="Times New Roman"/>
        </w:rPr>
        <w:t xml:space="preserve">the </w:t>
      </w:r>
      <w:r>
        <w:rPr>
          <w:rFonts w:ascii="Times New Roman" w:eastAsia="Times New Roman" w:hAnsi="Times New Roman" w:cs="Times New Roman"/>
          <w:i/>
        </w:rPr>
        <w:t>International Labour Organisation’s</w:t>
      </w:r>
      <w:r>
        <w:rPr>
          <w:rFonts w:ascii="Times New Roman" w:eastAsia="Times New Roman" w:hAnsi="Times New Roman" w:cs="Times New Roman"/>
        </w:rPr>
        <w:t xml:space="preserve"> answer to the public consultation.</w:t>
      </w:r>
    </w:p>
  </w:footnote>
  <w:footnote w:id="17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Based on Member States’ answers to the consultation.</w:t>
      </w:r>
    </w:p>
  </w:footnote>
  <w:footnote w:id="178">
    <w:p>
      <w:pPr>
        <w:pStyle w:val="FootnoteText"/>
        <w:jc w:val="both"/>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rPr>
        <w:t>ICF, 2019.</w:t>
      </w:r>
    </w:p>
  </w:footnote>
  <w:footnote w:id="179">
    <w:p>
      <w:pPr>
        <w:pStyle w:val="FootnoteText"/>
        <w:jc w:val="both"/>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rPr>
        <w:t xml:space="preserve"> Information received through consultation of  the European Equality Law Network.</w:t>
      </w:r>
    </w:p>
  </w:footnote>
  <w:footnote w:id="18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Such rule exists, for instance, in the United Kingdom in certain matters (e.g. personal injury). It was recently recommended to extend it to discrimination claims before the county courts (see House of Commons Women and Equalities Committee, Enforing the Equality Act: The Law and the Role of the Equality and Human Rights Commission, 10</w:t>
      </w:r>
      <w:r>
        <w:rPr>
          <w:rFonts w:ascii="Times New Roman" w:hAnsi="Times New Roman" w:cs="Times New Roman"/>
          <w:vertAlign w:val="superscript"/>
        </w:rPr>
        <w:t>th</w:t>
      </w:r>
      <w:r>
        <w:rPr>
          <w:rFonts w:ascii="Times New Roman" w:hAnsi="Times New Roman" w:cs="Times New Roman"/>
        </w:rPr>
        <w:t xml:space="preserve"> report of session 2017 – 19, 30 July 2019 (https://publications.parliament.uk/pa/cm201719/cmselect/cmwomeq/1470/147003.htm).</w:t>
      </w:r>
    </w:p>
  </w:footnote>
  <w:footnote w:id="181">
    <w:p>
      <w:pPr>
        <w:autoSpaceDE w:val="0"/>
        <w:autoSpaceDN w:val="0"/>
        <w:adjustRightInd w:val="0"/>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European Trade Institute, </w:t>
      </w:r>
      <w:hyperlink r:id="rId91" w:history="1">
        <w:r>
          <w:rPr>
            <w:rStyle w:val="Hyperlink"/>
            <w:rFonts w:ascii="Times New Roman" w:hAnsi="Times New Roman" w:cs="Times New Roman"/>
            <w:i/>
            <w:color w:val="auto"/>
            <w:sz w:val="20"/>
            <w:szCs w:val="20"/>
            <w:u w:val="none"/>
          </w:rPr>
          <w:t>What’s happening to collective bargaining in Europe?</w:t>
        </w:r>
      </w:hyperlink>
      <w:r>
        <w:rPr>
          <w:rFonts w:ascii="Times New Roman" w:hAnsi="Times New Roman" w:cs="Times New Roman"/>
          <w:sz w:val="20"/>
          <w:szCs w:val="20"/>
        </w:rPr>
        <w:t xml:space="preserve">, April 2019. </w:t>
      </w:r>
    </w:p>
  </w:footnote>
  <w:footnote w:id="18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For example, during the consultation process, although this initiative does not concern wage formation or setting, the Confederation of Swedish Enterprises emphasized that in Sweden social partners are responsible for wage formation and wage setting is to be determined in collective agreements.</w:t>
      </w:r>
    </w:p>
  </w:footnote>
  <w:footnote w:id="183">
    <w:p>
      <w:pPr>
        <w:pStyle w:val="FootnoteText"/>
        <w:rPr>
          <w:rFonts w:ascii="Times New Roman" w:hAnsi="Times New Roman" w:cs="Times New Roman"/>
          <w:lang w:val="pt-BR"/>
        </w:rPr>
      </w:pPr>
      <w:r>
        <w:rPr>
          <w:rStyle w:val="FootnoteReference"/>
          <w:rFonts w:ascii="Times New Roman" w:hAnsi="Times New Roman" w:cs="Times New Roman"/>
        </w:rPr>
        <w:footnoteRef/>
      </w:r>
      <w:r>
        <w:rPr>
          <w:rFonts w:ascii="Times New Roman" w:hAnsi="Times New Roman" w:cs="Times New Roman"/>
          <w:lang w:val="pt-BR"/>
        </w:rPr>
        <w:t xml:space="preserve"> </w:t>
      </w:r>
      <w:hyperlink r:id="rId92" w:history="1">
        <w:r>
          <w:rPr>
            <w:rStyle w:val="Hyperlink"/>
            <w:rFonts w:ascii="Times New Roman" w:hAnsi="Times New Roman" w:cs="Times New Roman"/>
            <w:lang w:val="pt-BR"/>
          </w:rPr>
          <w:t>https://ec.europa.eu/info/law/better-regulation/have-your-say/initiatives/12129-Revision-of-Non-Financial-</w:t>
        </w:r>
      </w:hyperlink>
      <w:r>
        <w:rPr>
          <w:rFonts w:ascii="Times New Roman" w:hAnsi="Times New Roman" w:cs="Times New Roman"/>
          <w:lang w:val="pt-BR"/>
        </w:rPr>
        <w:t>Reporting-Directive</w:t>
      </w:r>
    </w:p>
  </w:footnote>
  <w:footnote w:id="184">
    <w:p>
      <w:pPr>
        <w:pStyle w:val="FootnoteText"/>
        <w:rPr>
          <w:rFonts w:ascii="Times New Roman" w:hAnsi="Times New Roman" w:cs="Times New Roman"/>
          <w:lang w:val="pt-BR"/>
        </w:rPr>
      </w:pPr>
      <w:r>
        <w:rPr>
          <w:rStyle w:val="FootnoteReference"/>
          <w:rFonts w:ascii="Times New Roman" w:hAnsi="Times New Roman" w:cs="Times New Roman"/>
        </w:rPr>
        <w:footnoteRef/>
      </w:r>
      <w:r>
        <w:rPr>
          <w:rFonts w:ascii="Times New Roman" w:hAnsi="Times New Roman" w:cs="Times New Roman"/>
          <w:lang w:val="pt-BR"/>
        </w:rPr>
        <w:t xml:space="preserve"> COM(2020) 682 final.</w:t>
      </w:r>
    </w:p>
  </w:footnote>
  <w:footnote w:id="185">
    <w:p>
      <w:pPr>
        <w:pStyle w:val="FootnoteText"/>
        <w:rPr>
          <w:rFonts w:ascii="Times New Roman" w:hAnsi="Times New Roman" w:cs="Times New Roman"/>
          <w:lang w:val="pt-BR"/>
        </w:rPr>
      </w:pPr>
      <w:r>
        <w:rPr>
          <w:rStyle w:val="FootnoteReference"/>
          <w:rFonts w:ascii="Times New Roman" w:hAnsi="Times New Roman" w:cs="Times New Roman"/>
        </w:rPr>
        <w:footnoteRef/>
      </w:r>
      <w:r>
        <w:rPr>
          <w:rFonts w:ascii="Times New Roman" w:hAnsi="Times New Roman" w:cs="Times New Roman"/>
          <w:lang w:val="pt-BR"/>
        </w:rPr>
        <w:t xml:space="preserve"> </w:t>
      </w:r>
      <w:hyperlink r:id="rId93" w:history="1">
        <w:r>
          <w:rPr>
            <w:rStyle w:val="Hyperlink"/>
            <w:rFonts w:ascii="Times New Roman" w:hAnsi="Times New Roman" w:cs="Times New Roman"/>
            <w:lang w:val="pt-BR"/>
          </w:rPr>
          <w:t>https://ec.europa.eu/info/law/better-regulation/have-your-say/initiatives/12548-Sustainable-corporate-governance</w:t>
        </w:r>
      </w:hyperlink>
      <w:r>
        <w:rPr>
          <w:rFonts w:ascii="Times New Roman" w:hAnsi="Times New Roman" w:cs="Times New Roman"/>
          <w:lang w:val="pt-BR"/>
        </w:rPr>
        <w:t xml:space="preserve"> </w:t>
      </w:r>
    </w:p>
  </w:footnote>
  <w:footnote w:id="18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European Commission, </w:t>
      </w:r>
      <w:hyperlink r:id="rId94" w:history="1">
        <w:r>
          <w:rPr>
            <w:rStyle w:val="Hyperlink"/>
            <w:rFonts w:ascii="Times New Roman" w:hAnsi="Times New Roman" w:cs="Times New Roman"/>
          </w:rPr>
          <w:t>European Economic Forecasts Autumn 2020</w:t>
        </w:r>
      </w:hyperlink>
      <w:r>
        <w:rPr>
          <w:rFonts w:ascii="Times New Roman" w:hAnsi="Times New Roman" w:cs="Times New Roman"/>
        </w:rPr>
        <w:t>, Institutional Paper 136, November 2020.</w:t>
      </w:r>
    </w:p>
  </w:footnote>
  <w:footnote w:id="18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European Parliament, </w:t>
      </w:r>
      <w:hyperlink r:id="rId95" w:history="1">
        <w:r>
          <w:rPr>
            <w:rStyle w:val="Hyperlink"/>
            <w:rFonts w:ascii="Times New Roman" w:hAnsi="Times New Roman" w:cs="Times New Roman"/>
            <w:i/>
          </w:rPr>
          <w:t>Equal pay for equal work – Binding pay-transparency measures</w:t>
        </w:r>
      </w:hyperlink>
      <w:r>
        <w:rPr>
          <w:rFonts w:ascii="Times New Roman" w:hAnsi="Times New Roman" w:cs="Times New Roman"/>
        </w:rPr>
        <w:t xml:space="preserve">, 2020. </w:t>
      </w:r>
    </w:p>
  </w:footnote>
  <w:footnote w:id="18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w:t>
      </w:r>
      <w:r>
        <w:rPr>
          <w:rFonts w:ascii="Times New Roman" w:hAnsi="Times New Roman" w:cs="Times New Roman"/>
          <w:i/>
        </w:rPr>
        <w:t>Annex 5, section 4</w:t>
      </w:r>
      <w:r>
        <w:rPr>
          <w:rFonts w:ascii="Times New Roman" w:hAnsi="Times New Roman" w:cs="Times New Roman"/>
        </w:rPr>
        <w:t xml:space="preserve"> for a summary review, i.e. Baker et al., ‘Pay Transparency and the Gender Gap’, </w:t>
      </w:r>
      <w:r>
        <w:rPr>
          <w:rFonts w:ascii="Times New Roman" w:hAnsi="Times New Roman" w:cs="Times New Roman"/>
          <w:i/>
        </w:rPr>
        <w:t>NBER</w:t>
      </w:r>
      <w:r>
        <w:rPr>
          <w:rFonts w:ascii="Times New Roman" w:hAnsi="Times New Roman" w:cs="Times New Roman"/>
        </w:rPr>
        <w:t xml:space="preserve">, 2019 (Canada); Vaccaro, G., ‘Using econometrics to reduce gender discrimination: Evidence from a Difference-in-Discontinuity Design’, </w:t>
      </w:r>
      <w:r>
        <w:rPr>
          <w:rFonts w:ascii="Times New Roman" w:hAnsi="Times New Roman" w:cs="Times New Roman"/>
          <w:i/>
        </w:rPr>
        <w:t>IZA</w:t>
      </w:r>
      <w:r>
        <w:rPr>
          <w:rFonts w:ascii="Times New Roman" w:hAnsi="Times New Roman" w:cs="Times New Roman"/>
        </w:rPr>
        <w:t xml:space="preserve">, 2018 (Switzerland); Manning, A., ‘The Equal Pay Act as an Experiment to Test Theories of the Labour Market’, </w:t>
      </w:r>
      <w:r>
        <w:rPr>
          <w:rFonts w:ascii="Times New Roman" w:hAnsi="Times New Roman" w:cs="Times New Roman"/>
          <w:i/>
        </w:rPr>
        <w:t>Economica</w:t>
      </w:r>
      <w:r>
        <w:rPr>
          <w:rFonts w:ascii="Times New Roman" w:hAnsi="Times New Roman" w:cs="Times New Roman"/>
        </w:rPr>
        <w:t xml:space="preserve">, 1996 (UK); Bennedsen et al. ‘Do Firms Respond to Gender Pay Gap Transparency?’, </w:t>
      </w:r>
      <w:r>
        <w:rPr>
          <w:rFonts w:ascii="Times New Roman" w:hAnsi="Times New Roman" w:cs="Times New Roman"/>
          <w:i/>
        </w:rPr>
        <w:t>NBER</w:t>
      </w:r>
      <w:r>
        <w:rPr>
          <w:rFonts w:ascii="Times New Roman" w:hAnsi="Times New Roman" w:cs="Times New Roman"/>
        </w:rPr>
        <w:t>, 2019 (Denmark); Kim, M. (2015), ‘Pay Secrecy and the Gender Wage Gap in the United States’, Industrial Relations, 54, 2015, pp.: 648-667. (US).</w:t>
      </w:r>
    </w:p>
  </w:footnote>
  <w:footnote w:id="189">
    <w:p>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cs="Times New Roman"/>
        </w:rPr>
        <w:t xml:space="preserve"> The unexplained gender pay gap decreased in the EU on average by 1.4 percentage points between 2010 and 2014. Boll, C., Lagemann, A., </w:t>
      </w:r>
      <w:hyperlink r:id="rId96" w:history="1">
        <w:r>
          <w:rPr>
            <w:rStyle w:val="Hyperlink"/>
            <w:rFonts w:ascii="Times New Roman" w:hAnsi="Times New Roman" w:cs="Times New Roman"/>
            <w:i/>
          </w:rPr>
          <w:t>Gender pay gap in EU countries based on SES</w:t>
        </w:r>
      </w:hyperlink>
      <w:r>
        <w:rPr>
          <w:rStyle w:val="Hyperlink"/>
          <w:rFonts w:ascii="Times New Roman" w:hAnsi="Times New Roman" w:cs="Times New Roman"/>
          <w:i/>
        </w:rPr>
        <w:t xml:space="preserve"> (</w:t>
      </w:r>
      <w:r>
        <w:rPr>
          <w:rStyle w:val="Hyperlink"/>
          <w:rFonts w:ascii="Times New Roman" w:hAnsi="Times New Roman" w:cs="Times New Roman"/>
        </w:rPr>
        <w:t>2014)</w:t>
      </w:r>
      <w:r>
        <w:rPr>
          <w:rFonts w:ascii="Times New Roman" w:hAnsi="Times New Roman" w:cs="Times New Roman"/>
        </w:rPr>
        <w:t xml:space="preserve">, 2018. </w:t>
      </w:r>
      <w:r>
        <w:rPr>
          <w:rFonts w:ascii="Times New Roman" w:hAnsi="Times New Roman" w:cs="Times New Roman"/>
          <w:lang w:val="fr-BE"/>
        </w:rPr>
        <w:t>Available at:</w:t>
      </w:r>
      <w:hyperlink r:id="rId97" w:history="1">
        <w:r>
          <w:rPr>
            <w:rStyle w:val="Hyperlink"/>
            <w:rFonts w:ascii="Times New Roman" w:hAnsi="Times New Roman" w:cs="Times New Roman"/>
            <w:lang w:val="fr-BE"/>
          </w:rPr>
          <w:t>https://op.europa.eu/en/publication-detail/-/publication/828e54d8-db2c-11e8-afb3-01aa75ed71a1/ language-en/format-PDF/source-178531332</w:t>
        </w:r>
      </w:hyperlink>
      <w:r>
        <w:rPr>
          <w:rFonts w:ascii="Times New Roman" w:hAnsi="Times New Roman" w:cs="Times New Roman"/>
          <w:lang w:val="fr-BE"/>
        </w:rPr>
        <w:t xml:space="preserve"> </w:t>
      </w:r>
    </w:p>
  </w:footnote>
  <w:footnote w:id="19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w:t>
      </w:r>
      <w:hyperlink r:id="rId98" w:history="1">
        <w:r>
          <w:rPr>
            <w:rStyle w:val="Hyperlink"/>
            <w:rFonts w:ascii="Times New Roman" w:hAnsi="Times New Roman" w:cs="Times New Roman"/>
          </w:rPr>
          <w:t>Bauer</w:t>
        </w:r>
      </w:hyperlink>
      <w:r>
        <w:rPr>
          <w:rFonts w:ascii="Times New Roman" w:hAnsi="Times New Roman" w:cs="Times New Roman"/>
        </w:rPr>
        <w:t xml:space="preserve"> report assessed a potential impact of measures: to introduce an improved situational analysis and transparency of pay data, to introduce a transparent job classification process, to empower and ensure adequate funding for equality bodies within Member States, and to introduce sanctions, each between 1 and 2 percentage point reduction of the unadjusted part of the gender pay gap. </w:t>
      </w:r>
    </w:p>
  </w:footnote>
  <w:footnote w:id="19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estimates are based on the EU-microsimulation model EUROMOD and its underlying microdata based on the European Union Statistics on Income and Living Conditions (EU-SILC), EU-SILC 2018 (incomes refer to 2017).  </w:t>
      </w:r>
    </w:p>
  </w:footnote>
  <w:footnote w:id="19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 the simulations, the reduction of the unexplained gender pay gap by 3 pp is focused on the subsample of women earning less than the target gross hourly wage that narrows the gap for each group. Groups of the working population are defined by occupation, sector, education and working experience (36 groups are considered).</w:t>
      </w:r>
    </w:p>
  </w:footnote>
  <w:footnote w:id="19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w:t>
      </w:r>
      <w:hyperlink r:id="rId99" w:history="1">
        <w:r>
          <w:rPr>
            <w:rStyle w:val="Hyperlink"/>
            <w:rFonts w:ascii="Times New Roman" w:hAnsi="Times New Roman" w:cs="Times New Roman"/>
          </w:rPr>
          <w:t>https://eige.europa.eu/topics/health/covid-19-and-gender-equality</w:t>
        </w:r>
      </w:hyperlink>
      <w:r>
        <w:rPr>
          <w:rFonts w:ascii="Times New Roman" w:hAnsi="Times New Roman" w:cs="Times New Roman"/>
        </w:rPr>
        <w:t>.</w:t>
      </w:r>
    </w:p>
  </w:footnote>
  <w:footnote w:id="19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100" w:history="1">
        <w:r>
          <w:rPr>
            <w:rFonts w:ascii="Times New Roman" w:hAnsi="Times New Roman" w:cs="Times New Roman"/>
          </w:rPr>
          <w:t>European Added Value Assessment on the application of the principle of equal pay for men and womenfor equal work of equal value’, EAVA</w:t>
        </w:r>
        <w:r>
          <w:rPr>
            <w:rStyle w:val="Hyperlink"/>
            <w:rFonts w:ascii="Times New Roman" w:hAnsi="Times New Roman" w:cs="Times New Roman"/>
          </w:rPr>
          <w:t xml:space="preserve"> 4/2013</w:t>
        </w:r>
      </w:hyperlink>
      <w:r>
        <w:rPr>
          <w:rFonts w:ascii="Times New Roman" w:hAnsi="Times New Roman" w:cs="Times New Roman"/>
        </w:rPr>
        <w:t xml:space="preserve">. </w:t>
      </w:r>
    </w:p>
  </w:footnote>
  <w:footnote w:id="19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w:t>
      </w:r>
      <w:hyperlink r:id="rId101" w:history="1">
        <w:r>
          <w:rPr>
            <w:rStyle w:val="Hyperlink"/>
            <w:rFonts w:ascii="Times New Roman" w:hAnsi="Times New Roman" w:cs="Times New Roman"/>
          </w:rPr>
          <w:t>European Parliament resolution of 24 May 2012 with recommendations to the Commission on application of the principle of equal pay for male and female workers for equal work or work of equal value</w:t>
        </w:r>
      </w:hyperlink>
      <w:r>
        <w:rPr>
          <w:rFonts w:ascii="Times New Roman" w:hAnsi="Times New Roman" w:cs="Times New Roman"/>
        </w:rPr>
        <w:t xml:space="preserve"> (2011/2285(INI)), Texts adopted, P7_TA(2012)025, so called ‘</w:t>
      </w:r>
      <w:hyperlink r:id="rId102" w:history="1">
        <w:r>
          <w:rPr>
            <w:rStyle w:val="Hyperlink"/>
            <w:rFonts w:ascii="Times New Roman" w:hAnsi="Times New Roman" w:cs="Times New Roman"/>
          </w:rPr>
          <w:t>Bauer</w:t>
        </w:r>
      </w:hyperlink>
      <w:r>
        <w:rPr>
          <w:rFonts w:ascii="Times New Roman" w:hAnsi="Times New Roman" w:cs="Times New Roman"/>
        </w:rPr>
        <w:t xml:space="preserve"> report’.</w:t>
      </w:r>
    </w:p>
  </w:footnote>
  <w:footnote w:id="19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It was established by Commission Decision 2008/590/EC: of 16 June 2008 (replacing previous decision </w:t>
      </w:r>
      <w:r>
        <w:rPr>
          <w:rFonts w:ascii="Times New Roman" w:hAnsi="Times New Roman" w:cs="Times New Roman"/>
          <w:shd w:val="clear" w:color="auto" w:fill="FFFFFF"/>
        </w:rPr>
        <w:t xml:space="preserve">82/43/EEC </w:t>
      </w:r>
      <w:r>
        <w:rPr>
          <w:rFonts w:ascii="Times New Roman" w:hAnsi="Times New Roman" w:cs="Times New Roman"/>
        </w:rPr>
        <w:t xml:space="preserve">of </w:t>
      </w:r>
      <w:r>
        <w:rPr>
          <w:rFonts w:ascii="Times New Roman" w:hAnsi="Times New Roman" w:cs="Times New Roman"/>
          <w:shd w:val="clear" w:color="auto" w:fill="FFFFFF"/>
        </w:rPr>
        <w:t>9 December 1981</w:t>
      </w:r>
      <w:r>
        <w:rPr>
          <w:rFonts w:ascii="Times New Roman" w:hAnsi="Times New Roman" w:cs="Times New Roman"/>
        </w:rPr>
        <w:t>). The Committee was set up to assist the Commission in formulating and implementing the Community's activities aimed at promoting equal opportunities for women and men. It is also aimed at fostering ongoing exchanges of relevant experience, policies and practices between the Member States and the various parties involved.</w:t>
      </w:r>
    </w:p>
  </w:footnote>
  <w:footnote w:id="19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w:t>
      </w:r>
      <w:r>
        <w:rPr>
          <w:rFonts w:ascii="Times New Roman" w:hAnsi="Times New Roman" w:cs="Times New Roman"/>
          <w:i/>
        </w:rPr>
        <w:t>Annex 8</w:t>
      </w:r>
      <w:r>
        <w:rPr>
          <w:rFonts w:ascii="Times New Roman" w:hAnsi="Times New Roman" w:cs="Times New Roman"/>
        </w:rPr>
        <w:t xml:space="preserve"> of the 2020 Evaluation and its </w:t>
      </w:r>
      <w:r>
        <w:rPr>
          <w:rFonts w:ascii="Times New Roman" w:hAnsi="Times New Roman" w:cs="Times New Roman"/>
          <w:i/>
        </w:rPr>
        <w:t>Section 3</w:t>
      </w:r>
      <w:r>
        <w:rPr>
          <w:rFonts w:ascii="Times New Roman" w:hAnsi="Times New Roman" w:cs="Times New Roman"/>
        </w:rPr>
        <w:t xml:space="preserve"> – Process, methodology and limitations. </w:t>
      </w:r>
    </w:p>
  </w:footnote>
  <w:footnote w:id="19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w:t>
      </w:r>
      <w:hyperlink r:id="rId103" w:history="1">
        <w:r>
          <w:rPr>
            <w:rStyle w:val="Hyperlink"/>
            <w:rFonts w:ascii="Times New Roman" w:hAnsi="Times New Roman" w:cs="Times New Roman"/>
          </w:rPr>
          <w:t>European semester</w:t>
        </w:r>
      </w:hyperlink>
      <w:r>
        <w:rPr>
          <w:rFonts w:ascii="Times New Roman" w:hAnsi="Times New Roman" w:cs="Times New Roman"/>
        </w:rPr>
        <w:t xml:space="preserve"> is the framework for the coordination of economic policies across the EU.</w:t>
      </w:r>
    </w:p>
  </w:footnote>
  <w:footnote w:id="19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Calibri" w:hAnsi="Times New Roman" w:cs="Times New Roman"/>
        </w:rPr>
        <w:t xml:space="preserve">In Australia, for instance, the </w:t>
      </w:r>
      <w:r>
        <w:rPr>
          <w:rFonts w:ascii="Times New Roman" w:eastAsia="Calibri" w:hAnsi="Times New Roman" w:cs="Times New Roman"/>
          <w:i/>
        </w:rPr>
        <w:t>Workplace Gender Equality Agency</w:t>
      </w:r>
      <w:r>
        <w:rPr>
          <w:rFonts w:ascii="Times New Roman" w:eastAsia="Calibri" w:hAnsi="Times New Roman" w:cs="Times New Roman"/>
        </w:rPr>
        <w:t xml:space="preserve"> generates public reports </w:t>
      </w:r>
      <w:r>
        <w:rPr>
          <w:rFonts w:ascii="Times New Roman" w:hAnsi="Times New Roman" w:cs="Times New Roman"/>
        </w:rPr>
        <w:t>(excluding confidential remuneration information)</w:t>
      </w:r>
      <w:r>
        <w:rPr>
          <w:rFonts w:ascii="Times New Roman" w:eastAsia="Calibri" w:hAnsi="Times New Roman" w:cs="Times New Roman"/>
        </w:rPr>
        <w:t xml:space="preserve"> on gender equality indicators, including on equal pay, for any company willing to compare itself with a benchmark of similar companies (Workplace Gender Equality Agency, </w:t>
      </w:r>
      <w:hyperlink r:id="rId104" w:history="1">
        <w:r>
          <w:rPr>
            <w:rStyle w:val="Hyperlink"/>
            <w:rFonts w:ascii="Times New Roman" w:eastAsia="Calibri" w:hAnsi="Times New Roman" w:cs="Times New Roman"/>
            <w:i/>
          </w:rPr>
          <w:t>International Gender Equality Reporting Schemes</w:t>
        </w:r>
      </w:hyperlink>
      <w:r>
        <w:rPr>
          <w:rFonts w:ascii="Times New Roman" w:eastAsia="Calibri" w:hAnsi="Times New Roman" w:cs="Times New Roman"/>
        </w:rPr>
        <w:t>, April 2019, p. 6).</w:t>
      </w:r>
    </w:p>
  </w:footnote>
  <w:footnote w:id="20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Data are released every 4 years. The latest release was at the end of 2020 for 2018 data. Eurostat is working to reduce the time-lag between data collection and release.</w:t>
      </w:r>
    </w:p>
  </w:footnote>
  <w:footnote w:id="20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Bennedsen, M.; Simintzi, E.; Tsoutsoura, M.; Wolfenzon, D.: ‘Do Firms Respond to Gender Pay Gap Transparency?’, NBER Working Paper No. 25435, 2019.; Gulyas et. al., Does Pay Transparency Affect the Gender Wage Gap? Evidence from Austria’, Discussion Paper Series – CRC TR 224, 2020.</w:t>
      </w:r>
    </w:p>
  </w:footnote>
  <w:footnote w:id="202">
    <w:p>
      <w:pPr>
        <w:pStyle w:val="FootnoteText"/>
        <w:jc w:val="both"/>
        <w:rPr>
          <w:rFonts w:ascii="Times New Roman" w:hAnsi="Times New Roman" w:cs="Times New Roman"/>
          <w:lang w:val="pt-BR"/>
        </w:rPr>
      </w:pPr>
      <w:r>
        <w:rPr>
          <w:rStyle w:val="FootnoteReference"/>
          <w:rFonts w:ascii="Times New Roman" w:hAnsi="Times New Roman" w:cs="Times New Roman"/>
        </w:rPr>
        <w:footnoteRef/>
      </w:r>
      <w:r>
        <w:rPr>
          <w:rFonts w:ascii="Times New Roman" w:hAnsi="Times New Roman" w:cs="Times New Roman"/>
          <w:lang w:val="pt-BR"/>
        </w:rPr>
        <w:t xml:space="preserve"> </w:t>
      </w:r>
      <w:r>
        <w:rPr>
          <w:rFonts w:ascii="Times New Roman" w:eastAsia="Times New Roman" w:hAnsi="Times New Roman" w:cs="Times New Roman"/>
          <w:lang w:val="pt-BR"/>
        </w:rPr>
        <w:t>COM(2020) 440 final, Annex I</w:t>
      </w:r>
    </w:p>
  </w:footnote>
  <w:footnote w:id="203">
    <w:p>
      <w:pPr>
        <w:pStyle w:val="FootnoteText"/>
        <w:jc w:val="both"/>
        <w:rPr>
          <w:rFonts w:ascii="Times New Roman" w:hAnsi="Times New Roman" w:cs="Times New Roman"/>
          <w:lang w:val="pt-BR"/>
        </w:rPr>
      </w:pPr>
      <w:r>
        <w:rPr>
          <w:rStyle w:val="FootnoteReference"/>
          <w:rFonts w:ascii="Times New Roman" w:hAnsi="Times New Roman" w:cs="Times New Roman"/>
        </w:rPr>
        <w:footnoteRef/>
      </w:r>
      <w:r>
        <w:rPr>
          <w:rFonts w:ascii="Times New Roman" w:hAnsi="Times New Roman" w:cs="Times New Roman"/>
          <w:lang w:val="pt-BR"/>
        </w:rPr>
        <w:t xml:space="preserve"> SWD(2020)50 final.</w:t>
      </w:r>
    </w:p>
  </w:footnote>
  <w:footnote w:id="204">
    <w:p>
      <w:pPr>
        <w:spacing w:after="0" w:line="240" w:lineRule="auto"/>
        <w:jc w:val="both"/>
        <w:rPr>
          <w:rFonts w:ascii="Times New Roman" w:hAnsi="Times New Roman" w:cs="Times New Roman"/>
          <w:sz w:val="20"/>
          <w:szCs w:val="20"/>
          <w:lang w:val="en-US"/>
        </w:rPr>
      </w:pPr>
      <w:r>
        <w:rPr>
          <w:rStyle w:val="FootnoteReference"/>
          <w:rFonts w:ascii="Times New Roman" w:hAnsi="Times New Roman" w:cs="Times New Roman"/>
          <w:sz w:val="20"/>
          <w:szCs w:val="20"/>
        </w:rPr>
        <w:footnoteRef/>
      </w:r>
      <w:r>
        <w:rPr>
          <w:rFonts w:ascii="Times New Roman" w:hAnsi="Times New Roman" w:cs="Times New Roman"/>
          <w:sz w:val="20"/>
          <w:szCs w:val="20"/>
          <w:lang w:val="en-US"/>
        </w:rPr>
        <w:t xml:space="preserve"> Available at: </w:t>
      </w:r>
      <w:hyperlink r:id="rId105" w:history="1">
        <w:r>
          <w:rPr>
            <w:rStyle w:val="Hyperlink"/>
            <w:rFonts w:ascii="Times New Roman" w:eastAsia="Arial" w:hAnsi="Times New Roman" w:cs="Times New Roman"/>
            <w:color w:val="0000FF"/>
            <w:sz w:val="20"/>
            <w:szCs w:val="20"/>
            <w:lang w:val="en-US"/>
          </w:rPr>
          <w:t>https://ec.europa.eu/info/law/better-regulation/initiatives/ares-2018-3415794/public-consultation_en</w:t>
        </w:r>
      </w:hyperlink>
      <w:r>
        <w:rPr>
          <w:rStyle w:val="Hyperlink"/>
          <w:rFonts w:ascii="Times New Roman" w:eastAsia="Arial" w:hAnsi="Times New Roman" w:cs="Times New Roman"/>
          <w:color w:val="0000FF"/>
          <w:sz w:val="20"/>
          <w:szCs w:val="20"/>
          <w:lang w:val="en-US"/>
        </w:rPr>
        <w:t>.</w:t>
      </w:r>
    </w:p>
  </w:footnote>
  <w:footnote w:id="205">
    <w:p>
      <w:pPr>
        <w:spacing w:after="0" w:line="240" w:lineRule="auto"/>
        <w:jc w:val="both"/>
        <w:rPr>
          <w:rFonts w:ascii="Times New Roman" w:hAnsi="Times New Roman" w:cs="Times New Roman"/>
          <w:sz w:val="20"/>
          <w:szCs w:val="20"/>
          <w:lang w:val="en-US"/>
        </w:rPr>
      </w:pPr>
      <w:r>
        <w:rPr>
          <w:rStyle w:val="FootnoteReference"/>
          <w:rFonts w:ascii="Times New Roman" w:hAnsi="Times New Roman" w:cs="Times New Roman"/>
          <w:sz w:val="20"/>
          <w:szCs w:val="20"/>
        </w:rPr>
        <w:footnoteRef/>
      </w:r>
      <w:r>
        <w:rPr>
          <w:rFonts w:ascii="Times New Roman" w:hAnsi="Times New Roman" w:cs="Times New Roman"/>
          <w:sz w:val="20"/>
          <w:szCs w:val="20"/>
          <w:lang w:val="en-US"/>
        </w:rPr>
        <w:t xml:space="preserve">Available at: </w:t>
      </w:r>
      <w:hyperlink r:id="rId106" w:history="1">
        <w:r>
          <w:rPr>
            <w:rStyle w:val="Hyperlink"/>
            <w:rFonts w:ascii="Times New Roman" w:eastAsia="Arial" w:hAnsi="Times New Roman" w:cs="Times New Roman"/>
            <w:color w:val="0000FF"/>
            <w:sz w:val="20"/>
            <w:szCs w:val="20"/>
            <w:lang w:val="en-US"/>
          </w:rPr>
          <w:t>https://ec.europa.eu/info/law/better-regulation/initiatives/genderequalitybrp/public-consultation_en</w:t>
        </w:r>
      </w:hyperlink>
      <w:r>
        <w:rPr>
          <w:rStyle w:val="Hyperlink"/>
          <w:rFonts w:ascii="Times New Roman" w:eastAsia="Arial" w:hAnsi="Times New Roman" w:cs="Times New Roman"/>
          <w:color w:val="0000FF"/>
          <w:sz w:val="20"/>
          <w:szCs w:val="20"/>
          <w:lang w:val="en-US"/>
        </w:rPr>
        <w:t>.</w:t>
      </w:r>
    </w:p>
  </w:footnote>
  <w:footnote w:id="20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Arial" w:hAnsi="Times New Roman" w:cs="Times New Roman"/>
        </w:rPr>
        <w:t>The publication of the factual summary report is forthcoming.</w:t>
      </w:r>
    </w:p>
  </w:footnote>
  <w:footnote w:id="20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Available at </w:t>
      </w:r>
      <w:hyperlink r:id="rId107" w:history="1">
        <w:r>
          <w:rPr>
            <w:rStyle w:val="Hyperlink"/>
            <w:rFonts w:ascii="Times New Roman" w:eastAsia="Arial" w:hAnsi="Times New Roman" w:cs="Times New Roman"/>
          </w:rPr>
          <w:t>https://ec.europa.eu/info/publications/eu-mutual-learning-programme-gender-equality-equal-pay-iceland-27-28-may-2019_en</w:t>
        </w:r>
      </w:hyperlink>
      <w:r>
        <w:rPr>
          <w:rStyle w:val="Hyperlink"/>
          <w:rFonts w:ascii="Times New Roman" w:eastAsia="Arial" w:hAnsi="Times New Roman" w:cs="Times New Roman"/>
        </w:rPr>
        <w:t>.</w:t>
      </w:r>
    </w:p>
  </w:footnote>
  <w:footnote w:id="208">
    <w:p>
      <w:pPr>
        <w:pStyle w:val="FootnoteText"/>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Arial" w:hAnsi="Times New Roman" w:cs="Times New Roman"/>
        </w:rPr>
        <w:t>The forthcoming study provides a nearly complete picture of gender pay transparency in Europe, namely on AT, DE, DK, EE, ES, FI, FR, SE and UK (not included in this selection were: BE, IE, LT, NL).</w:t>
      </w:r>
    </w:p>
  </w:footnote>
  <w:footnote w:id="20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No environmental impacts are expected.</w:t>
      </w:r>
    </w:p>
  </w:footnote>
  <w:footnote w:id="21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De Wispelaere, J., Noguera, J. A., ‘On the Political Feasibility of Universal Basic Income’ in Caputo, K., </w:t>
      </w:r>
      <w:r>
        <w:rPr>
          <w:rFonts w:ascii="Times New Roman" w:hAnsi="Times New Roman" w:cs="Times New Roman"/>
          <w:i/>
        </w:rPr>
        <w:t>Basic Income Guarantee and Politics. International Experiences and Perspectives on the Viability of Income Guarantee</w:t>
      </w:r>
      <w:r>
        <w:rPr>
          <w:rFonts w:ascii="Times New Roman" w:hAnsi="Times New Roman" w:cs="Times New Roman"/>
        </w:rPr>
        <w:t>, 2012.</w:t>
      </w:r>
    </w:p>
  </w:footnote>
  <w:footnote w:id="21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Costs have been estimated by extrapolating the costs of similar measure introduced in Member States taking into account an assessment of the extent to which the effects observed in one Member State can also be expected to materialise in other Member States.</w:t>
      </w:r>
    </w:p>
  </w:footnote>
  <w:footnote w:id="21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European Commission, </w:t>
      </w:r>
      <w:r>
        <w:rPr>
          <w:rFonts w:ascii="Times New Roman" w:hAnsi="Times New Roman" w:cs="Times New Roman"/>
          <w:i/>
        </w:rPr>
        <w:t>Better Regulation Guildelines</w:t>
      </w:r>
      <w:r>
        <w:rPr>
          <w:rFonts w:ascii="Times New Roman" w:hAnsi="Times New Roman" w:cs="Times New Roman"/>
        </w:rPr>
        <w:t xml:space="preserve">, 2017 (Chapter III ‘Guidelines on impact assessment’, section 2.5.3 ‘Assess the most significant impacts’). Available at </w:t>
      </w:r>
      <w:hyperlink r:id="rId108" w:history="1">
        <w:r>
          <w:rPr>
            <w:rStyle w:val="Hyperlink"/>
            <w:rFonts w:ascii="Times New Roman" w:hAnsi="Times New Roman" w:cs="Times New Roman"/>
          </w:rPr>
          <w:t>https://ec.europa.eu/info/sites/info/files/better-regulation-guidelines-impact-assessment.pdf</w:t>
        </w:r>
      </w:hyperlink>
      <w:r>
        <w:rPr>
          <w:rFonts w:ascii="Times New Roman" w:hAnsi="Times New Roman" w:cs="Times New Roman"/>
        </w:rPr>
        <w:t>.</w:t>
      </w:r>
    </w:p>
  </w:footnote>
  <w:footnote w:id="213">
    <w:p>
      <w:pPr>
        <w:pStyle w:val="FootnoteText"/>
        <w:jc w:val="both"/>
        <w:rPr>
          <w:rFonts w:ascii="Times New Roman" w:eastAsia="Times New Roman" w:hAnsi="Times New Roman" w:cs="Times New Roman"/>
          <w:lang w:eastAsia="it-IT"/>
        </w:rPr>
      </w:pPr>
      <w:r>
        <w:rPr>
          <w:rFonts w:ascii="Times New Roman" w:hAnsi="Times New Roman" w:cs="Times New Roman"/>
          <w:vertAlign w:val="superscript"/>
        </w:rPr>
        <w:footnoteRef/>
      </w:r>
      <w:r>
        <w:rPr>
          <w:rFonts w:ascii="Times New Roman" w:hAnsi="Times New Roman" w:cs="Times New Roman"/>
        </w:rPr>
        <w:t xml:space="preserve"> Eurostat, Labour cost levels by NACE Rev. 2 activity [LC_LCI_LEV], Labour cost for LCI (compensation of employees plus taxes minus subsidies), Services of the business economy. This figure covers both HR specialists as well as external consultants.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footnote>
  <w:footnote w:id="21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Based on PwC’s ‘paying taxes 2018' component of the ‘Doing Business’ report from the World Bank. See </w:t>
      </w:r>
      <w:hyperlink r:id="rId109" w:history="1">
        <w:r>
          <w:rPr>
            <w:rStyle w:val="Hyperlink"/>
            <w:rFonts w:ascii="Times New Roman" w:hAnsi="Times New Roman" w:cs="Times New Roman"/>
          </w:rPr>
          <w:t>https://taxfoundation.org/labor-tax-complexity-europe-2019/</w:t>
        </w:r>
      </w:hyperlink>
      <w:r>
        <w:rPr>
          <w:rFonts w:ascii="Times New Roman" w:hAnsi="Times New Roman" w:cs="Times New Roman"/>
        </w:rPr>
        <w:t xml:space="preserve"> </w:t>
      </w:r>
    </w:p>
  </w:footnote>
  <w:footnote w:id="21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most consistent dataset from Eurostat (Annual enterprise statistics by size class for special aggregates of activities (NACE Rev. 2) [SBS_SC_SCA_R2]) is available for 2017 (several missing data for 2018), hence this was the main database used in the estimations.  </w:t>
      </w:r>
    </w:p>
  </w:footnote>
  <w:footnote w:id="21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main income inequality and poverty indicators which are used to evaluate the impact of reforms are generally based on equivalised household disposable income, considering economies of scale in consumption within the household: equivalised income refers to the fact that household members are made equivalent by weighting them according to their age, using the so-called modified OECD equivalence scale.</w:t>
      </w:r>
    </w:p>
  </w:footnote>
  <w:footnote w:id="21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Simon, H. A., ‘A Behavioral Model of Rational Choice’, </w:t>
      </w:r>
      <w:r>
        <w:rPr>
          <w:rFonts w:ascii="Times New Roman" w:hAnsi="Times New Roman" w:cs="Times New Roman"/>
          <w:i/>
        </w:rPr>
        <w:t>Quarterly Journal of Economics</w:t>
      </w:r>
      <w:r>
        <w:rPr>
          <w:rFonts w:ascii="Times New Roman" w:hAnsi="Times New Roman" w:cs="Times New Roman"/>
        </w:rPr>
        <w:t xml:space="preserve">, February 1955, 69(1), pp. 99-118 also as developed looking at ‘systematic biases that separate the beliefs that people have and the choices they make from the optimal beliefs and choices assumed in rational-agent models’. Kahneman, D., ‘Maps of Bounded Rationality: Psychology for Behavioral Economics’, </w:t>
      </w:r>
      <w:r>
        <w:rPr>
          <w:rFonts w:ascii="Times New Roman" w:hAnsi="Times New Roman" w:cs="Times New Roman"/>
          <w:i/>
        </w:rPr>
        <w:t>The American Economic Review</w:t>
      </w:r>
      <w:r>
        <w:rPr>
          <w:rFonts w:ascii="Times New Roman" w:hAnsi="Times New Roman" w:cs="Times New Roman"/>
        </w:rPr>
        <w:t>, 93(5), 2003.</w:t>
      </w:r>
    </w:p>
  </w:footnote>
  <w:footnote w:id="21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Kuhn, P. &amp; Shen, K., ‘Gender Discrimination in Job Ads: Evidence From China’, </w:t>
      </w:r>
      <w:r>
        <w:rPr>
          <w:rFonts w:ascii="Times New Roman" w:hAnsi="Times New Roman" w:cs="Times New Roman"/>
          <w:i/>
        </w:rPr>
        <w:t>The quarterly Journal of Economics</w:t>
      </w:r>
      <w:r>
        <w:rPr>
          <w:rFonts w:ascii="Times New Roman" w:hAnsi="Times New Roman" w:cs="Times New Roman"/>
        </w:rPr>
        <w:t>, 2003, pp. 287-336.</w:t>
      </w:r>
    </w:p>
  </w:footnote>
  <w:footnote w:id="21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Including through a third party.</w:t>
      </w:r>
    </w:p>
  </w:footnote>
  <w:footnote w:id="220">
    <w:p>
      <w:pPr>
        <w:pStyle w:val="FootnoteText"/>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lang w:val="en-US"/>
        </w:rPr>
        <w:t xml:space="preserve"> For instance, Baker et al. (2019) find a statistically significant 2 p.p. reduction in the gender gap linked to the public sector salary disclosure laws on university faculty salaries in Canada (corresponding to a 30% reduction. Vaccaro (2018) finds that a reduction of the mean unexplained wage gap in companies with at least 50 workers declined by 3.5 p.p. after the introduction of the anti-discriminatory policy Logib introduced in Switzerland in 2006. For the UK, Manning (1996) identified a rise in the relative earnings of women due to the introduction of the UK Equal Pay Act of 1970. Bennedsen et al. (2019) find a 2 p.p. reduction of the gender pay gap (corresponding to a 13% reduction) due to a legislation change in Denmark in 2006 with average decline more pronounced at the bottom and the middle of the wage distribution. Finally, Kim (2015) finds that wages are higher for women in states that have outlawed pay secrecy, especially among women with college or graduate degrees. They experience an earnings increase by 3%, reducing the gender wage gap by 5% to 15%. </w:t>
      </w:r>
    </w:p>
  </w:footnote>
  <w:footnote w:id="22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Bryson, A., et al., ‘</w:t>
      </w:r>
      <w:hyperlink r:id="rId110" w:history="1">
        <w:r>
          <w:rPr>
            <w:rStyle w:val="Hyperlink"/>
            <w:rFonts w:ascii="Times New Roman" w:hAnsi="Times New Roman" w:cs="Times New Roman"/>
          </w:rPr>
          <w:t>A Short History of the Gender Wage Gap in Britain</w:t>
        </w:r>
      </w:hyperlink>
      <w:r>
        <w:rPr>
          <w:rStyle w:val="Hyperlink"/>
          <w:rFonts w:ascii="Times New Roman" w:hAnsi="Times New Roman" w:cs="Times New Roman"/>
        </w:rPr>
        <w:t>’</w:t>
      </w:r>
      <w:r>
        <w:rPr>
          <w:rFonts w:ascii="Times New Roman" w:hAnsi="Times New Roman" w:cs="Times New Roman"/>
        </w:rPr>
        <w:t xml:space="preserve">, </w:t>
      </w:r>
      <w:r>
        <w:rPr>
          <w:rFonts w:ascii="Times New Roman" w:hAnsi="Times New Roman" w:cs="Times New Roman"/>
          <w:i/>
        </w:rPr>
        <w:t>IZA</w:t>
      </w:r>
      <w:r>
        <w:rPr>
          <w:rFonts w:ascii="Times New Roman" w:hAnsi="Times New Roman" w:cs="Times New Roman"/>
        </w:rPr>
        <w:t>, 2020.</w:t>
      </w:r>
    </w:p>
  </w:footnote>
  <w:footnote w:id="22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Eckel, C.C., Shurchkov, O., ‘</w:t>
      </w:r>
      <w:hyperlink r:id="rId111" w:history="1">
        <w:r>
          <w:rPr>
            <w:rStyle w:val="Hyperlink"/>
            <w:rFonts w:ascii="Times New Roman" w:hAnsi="Times New Roman" w:cs="Times New Roman"/>
          </w:rPr>
          <w:t>Gender differences in Behavioural Traits and Labour Market Outcomes</w:t>
        </w:r>
      </w:hyperlink>
      <w:r>
        <w:rPr>
          <w:rStyle w:val="Hyperlink"/>
          <w:rFonts w:ascii="Times New Roman" w:hAnsi="Times New Roman" w:cs="Times New Roman"/>
        </w:rPr>
        <w:t>’</w:t>
      </w:r>
      <w:r>
        <w:rPr>
          <w:rFonts w:ascii="Times New Roman" w:hAnsi="Times New Roman" w:cs="Times New Roman"/>
        </w:rPr>
        <w:t xml:space="preserve">, </w:t>
      </w:r>
      <w:r>
        <w:rPr>
          <w:rFonts w:ascii="Times New Roman" w:hAnsi="Times New Roman" w:cs="Times New Roman"/>
          <w:i/>
        </w:rPr>
        <w:t>The Oxford Handbook of Women and the Economy</w:t>
      </w:r>
      <w:r>
        <w:rPr>
          <w:rFonts w:ascii="Times New Roman" w:hAnsi="Times New Roman" w:cs="Times New Roman"/>
        </w:rPr>
        <w:t>, 2018.</w:t>
      </w:r>
    </w:p>
  </w:footnote>
  <w:footnote w:id="22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Burn, I., Kettler, K., ‘</w:t>
      </w:r>
      <w:hyperlink r:id="rId112" w:history="1">
        <w:r>
          <w:rPr>
            <w:rStyle w:val="Hyperlink"/>
            <w:rFonts w:ascii="Times New Roman" w:hAnsi="Times New Roman" w:cs="Times New Roman"/>
          </w:rPr>
          <w:t>The more you know, the better you’re paid? Evidence from pay secrecy bans for managers</w:t>
        </w:r>
      </w:hyperlink>
      <w:r>
        <w:rPr>
          <w:rStyle w:val="Hyperlink"/>
          <w:rFonts w:ascii="Times New Roman" w:hAnsi="Times New Roman" w:cs="Times New Roman"/>
        </w:rPr>
        <w:t>’</w:t>
      </w:r>
      <w:r>
        <w:rPr>
          <w:rFonts w:ascii="Times New Roman" w:hAnsi="Times New Roman" w:cs="Times New Roman"/>
        </w:rPr>
        <w:t xml:space="preserve">, </w:t>
      </w:r>
      <w:r>
        <w:rPr>
          <w:rFonts w:ascii="Times New Roman" w:hAnsi="Times New Roman" w:cs="Times New Roman"/>
          <w:i/>
        </w:rPr>
        <w:t>Labour Economics</w:t>
      </w:r>
      <w:r>
        <w:rPr>
          <w:rFonts w:ascii="Times New Roman" w:hAnsi="Times New Roman" w:cs="Times New Roman"/>
        </w:rPr>
        <w:t xml:space="preserve">, 2019. </w:t>
      </w:r>
    </w:p>
  </w:footnote>
  <w:footnote w:id="22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Bohnet, I., R. Zeckhauser, ‘</w:t>
      </w:r>
      <w:hyperlink r:id="rId113" w:history="1">
        <w:r>
          <w:rPr>
            <w:rStyle w:val="Hyperlink"/>
            <w:rFonts w:ascii="Times New Roman" w:hAnsi="Times New Roman" w:cs="Times New Roman"/>
          </w:rPr>
          <w:t>Social comparisons in ultimatum bargaining</w:t>
        </w:r>
      </w:hyperlink>
      <w:r>
        <w:rPr>
          <w:rFonts w:ascii="Times New Roman" w:hAnsi="Times New Roman" w:cs="Times New Roman"/>
        </w:rPr>
        <w:t xml:space="preserve">’, </w:t>
      </w:r>
      <w:r>
        <w:rPr>
          <w:rFonts w:ascii="Times New Roman" w:hAnsi="Times New Roman" w:cs="Times New Roman"/>
          <w:i/>
        </w:rPr>
        <w:t>Scandinavian</w:t>
      </w:r>
      <w:r>
        <w:rPr>
          <w:rFonts w:ascii="Times New Roman" w:hAnsi="Times New Roman" w:cs="Times New Roman"/>
        </w:rPr>
        <w:t xml:space="preserve"> </w:t>
      </w:r>
      <w:r>
        <w:rPr>
          <w:rFonts w:ascii="Times New Roman" w:hAnsi="Times New Roman" w:cs="Times New Roman"/>
          <w:i/>
        </w:rPr>
        <w:t xml:space="preserve">Journal of Economics, </w:t>
      </w:r>
      <w:r>
        <w:rPr>
          <w:rFonts w:ascii="Times New Roman" w:hAnsi="Times New Roman" w:cs="Times New Roman"/>
        </w:rPr>
        <w:t>2004.</w:t>
      </w:r>
      <w:r>
        <w:rPr>
          <w:rFonts w:ascii="Times New Roman" w:hAnsi="Times New Roman" w:cs="Times New Roman"/>
          <w:i/>
        </w:rPr>
        <w:t xml:space="preserve"> </w:t>
      </w:r>
    </w:p>
  </w:footnote>
  <w:footnote w:id="22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Werner, P., ‘</w:t>
      </w:r>
      <w:hyperlink r:id="rId114" w:history="1">
        <w:r>
          <w:rPr>
            <w:rFonts w:ascii="Times New Roman" w:hAnsi="Times New Roman" w:cs="Times New Roman"/>
            <w:color w:val="0000FF" w:themeColor="hyperlink"/>
            <w:u w:val="single"/>
          </w:rPr>
          <w:t>Wage negotiations and strategic responses to transparency</w:t>
        </w:r>
      </w:hyperlink>
      <w:r>
        <w:rPr>
          <w:rFonts w:ascii="Times New Roman" w:hAnsi="Times New Roman" w:cs="Times New Roman"/>
        </w:rPr>
        <w:t>’, Germa</w:t>
      </w:r>
      <w:r>
        <w:rPr>
          <w:rFonts w:ascii="Times New Roman" w:eastAsiaTheme="minorEastAsia" w:hAnsi="Times New Roman" w:cs="Times New Roman"/>
        </w:rPr>
        <w:t>n Economic Association, 2019.</w:t>
      </w:r>
    </w:p>
  </w:footnote>
  <w:footnote w:id="22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Clark, A. E., Masclet, D., Villeval, M. C.</w:t>
      </w:r>
      <w:r>
        <w:rPr>
          <w:rFonts w:ascii="Times New Roman" w:hAnsi="Times New Roman" w:cs="Times New Roman"/>
        </w:rPr>
        <w:t xml:space="preserve">, ‘Effort and comparison income: Experimentaland survey evidence’. </w:t>
      </w:r>
      <w:r>
        <w:rPr>
          <w:rFonts w:ascii="Times New Roman" w:hAnsi="Times New Roman" w:cs="Times New Roman"/>
          <w:i/>
        </w:rPr>
        <w:t>ILR Review</w:t>
      </w:r>
      <w:r>
        <w:rPr>
          <w:rFonts w:ascii="Times New Roman" w:hAnsi="Times New Roman" w:cs="Times New Roman"/>
        </w:rPr>
        <w:t>, 2010.</w:t>
      </w:r>
    </w:p>
  </w:footnote>
  <w:footnote w:id="22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Gächter, S., Thöni, C., ‘Social comparison and performance: Experimental evidence onthe fair wage–effort hypothesis’, </w:t>
      </w:r>
      <w:r>
        <w:rPr>
          <w:rFonts w:ascii="Times New Roman" w:hAnsi="Times New Roman" w:cs="Times New Roman"/>
          <w:i/>
        </w:rPr>
        <w:t>Journal of Economic Behavior &amp; Organization</w:t>
      </w:r>
      <w:r>
        <w:rPr>
          <w:rFonts w:ascii="Times New Roman" w:hAnsi="Times New Roman" w:cs="Times New Roman"/>
        </w:rPr>
        <w:t>, 2010.</w:t>
      </w:r>
    </w:p>
  </w:footnote>
  <w:footnote w:id="22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Greiner, B., Ockenfels, A., Werner: P., ‘Wage transparency and performance: A real-effort experiment’. </w:t>
      </w:r>
      <w:r>
        <w:rPr>
          <w:rFonts w:ascii="Times New Roman" w:hAnsi="Times New Roman" w:cs="Times New Roman"/>
          <w:i/>
        </w:rPr>
        <w:t>Economics Letters</w:t>
      </w:r>
      <w:r>
        <w:rPr>
          <w:rFonts w:ascii="Times New Roman" w:hAnsi="Times New Roman" w:cs="Times New Roman"/>
        </w:rPr>
        <w:t>, 2011.</w:t>
      </w:r>
    </w:p>
  </w:footnote>
  <w:footnote w:id="229">
    <w:p>
      <w:pPr>
        <w:pStyle w:val="FootnoteText"/>
        <w:jc w:val="both"/>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rPr>
        <w:t xml:space="preserve"> Charness, G. et al, ‘Social comparisons in wage delegation: Experimental evidence’, </w:t>
      </w:r>
      <w:r>
        <w:rPr>
          <w:rFonts w:ascii="Times New Roman" w:hAnsi="Times New Roman" w:cs="Times New Roman"/>
          <w:i/>
        </w:rPr>
        <w:t>Experimental Economics</w:t>
      </w:r>
      <w:r>
        <w:rPr>
          <w:rFonts w:ascii="Times New Roman" w:hAnsi="Times New Roman" w:cs="Times New Roman"/>
        </w:rPr>
        <w:t>, 2016.</w:t>
      </w:r>
    </w:p>
  </w:footnote>
  <w:footnote w:id="23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Bracha, A., Gneezy, U., Loewenstein, G.</w:t>
      </w:r>
      <w:r>
        <w:rPr>
          <w:rFonts w:ascii="Times New Roman" w:hAnsi="Times New Roman" w:cs="Times New Roman"/>
        </w:rPr>
        <w:t>, ‘</w:t>
      </w:r>
      <w:hyperlink r:id="rId115" w:history="1">
        <w:r>
          <w:rPr>
            <w:rStyle w:val="Hyperlink"/>
            <w:rFonts w:ascii="Times New Roman" w:hAnsi="Times New Roman" w:cs="Times New Roman"/>
          </w:rPr>
          <w:t>Relative pay and labor supply</w:t>
        </w:r>
      </w:hyperlink>
      <w:r>
        <w:rPr>
          <w:rFonts w:ascii="Times New Roman" w:hAnsi="Times New Roman" w:cs="Times New Roman"/>
        </w:rPr>
        <w:t xml:space="preserve">’. </w:t>
      </w:r>
      <w:r>
        <w:rPr>
          <w:rFonts w:ascii="Times New Roman" w:hAnsi="Times New Roman" w:cs="Times New Roman"/>
          <w:i/>
        </w:rPr>
        <w:t>Journal of labor economics</w:t>
      </w:r>
      <w:r>
        <w:rPr>
          <w:rFonts w:ascii="Times New Roman" w:hAnsi="Times New Roman" w:cs="Times New Roman"/>
        </w:rPr>
        <w:t>, 2015.</w:t>
      </w:r>
    </w:p>
  </w:footnote>
  <w:footnote w:id="23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Bosmans, K.,  Gagnon, N., Riedl, A.</w:t>
      </w:r>
      <w:r>
        <w:rPr>
          <w:rFonts w:ascii="Times New Roman" w:hAnsi="Times New Roman" w:cs="Times New Roman"/>
        </w:rPr>
        <w:t>, ‘</w:t>
      </w:r>
      <w:hyperlink r:id="rId116" w:history="1">
        <w:r>
          <w:rPr>
            <w:rStyle w:val="Hyperlink"/>
            <w:rFonts w:ascii="Times New Roman" w:hAnsi="Times New Roman" w:cs="Times New Roman"/>
          </w:rPr>
          <w:t>The Effect of Unfair Chances and Gender Discrimination on Labor Supply</w:t>
        </w:r>
      </w:hyperlink>
      <w:r>
        <w:rPr>
          <w:rFonts w:ascii="Times New Roman" w:hAnsi="Times New Roman" w:cs="Times New Roman"/>
        </w:rPr>
        <w:t xml:space="preserve">’, </w:t>
      </w:r>
      <w:r>
        <w:rPr>
          <w:rFonts w:ascii="Times New Roman" w:hAnsi="Times New Roman" w:cs="Times New Roman"/>
          <w:i/>
        </w:rPr>
        <w:t>IZA</w:t>
      </w:r>
      <w:r>
        <w:rPr>
          <w:rFonts w:ascii="Times New Roman" w:hAnsi="Times New Roman" w:cs="Times New Roman"/>
        </w:rPr>
        <w:t>, 2020.</w:t>
      </w:r>
    </w:p>
  </w:footnote>
  <w:footnote w:id="23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Card, D.; Mas, A.;   </w:t>
      </w:r>
      <w:r>
        <w:rPr>
          <w:rFonts w:ascii="Times New Roman" w:hAnsi="Times New Roman" w:cs="Times New Roman"/>
        </w:rPr>
        <w:t xml:space="preserve">Moretti, E.; Saez, </w:t>
      </w:r>
      <w:r>
        <w:rPr>
          <w:rFonts w:ascii="Times New Roman" w:hAnsi="Times New Roman" w:cs="Times New Roman"/>
          <w:lang w:val="en-US"/>
        </w:rPr>
        <w:t>E.</w:t>
      </w:r>
      <w:r>
        <w:rPr>
          <w:rFonts w:ascii="Times New Roman" w:hAnsi="Times New Roman" w:cs="Times New Roman"/>
        </w:rPr>
        <w:t xml:space="preserve">, ‘Inequality at work: The effect of peer salaries onjob satisfaction’. </w:t>
      </w:r>
      <w:r>
        <w:rPr>
          <w:rFonts w:ascii="Times New Roman" w:hAnsi="Times New Roman" w:cs="Times New Roman"/>
          <w:i/>
        </w:rPr>
        <w:t>American Economic Review</w:t>
      </w:r>
      <w:r>
        <w:rPr>
          <w:rFonts w:ascii="Times New Roman" w:hAnsi="Times New Roman" w:cs="Times New Roman"/>
        </w:rPr>
        <w:t xml:space="preserve">, 2012. </w:t>
      </w:r>
    </w:p>
  </w:footnote>
  <w:footnote w:id="23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Maas, V. S., Yin, H.,‘</w:t>
      </w:r>
      <w:hyperlink r:id="rId117" w:history="1">
        <w:r>
          <w:rPr>
            <w:rStyle w:val="Hyperlink"/>
            <w:rFonts w:ascii="Times New Roman" w:hAnsi="Times New Roman" w:cs="Times New Roman"/>
          </w:rPr>
          <w:t>Finding Partners in Crime? How Internal Transparency Affects Employee Collusion</w:t>
        </w:r>
      </w:hyperlink>
      <w:r>
        <w:rPr>
          <w:rFonts w:ascii="Times New Roman" w:hAnsi="Times New Roman" w:cs="Times New Roman"/>
        </w:rPr>
        <w:t>’ (paper), 2018.</w:t>
      </w:r>
    </w:p>
  </w:footnote>
  <w:footnote w:id="23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Breza, E., Kaur, S., Shamdasani, Y.</w:t>
      </w:r>
      <w:r>
        <w:rPr>
          <w:rFonts w:ascii="Times New Roman" w:hAnsi="Times New Roman" w:cs="Times New Roman"/>
        </w:rPr>
        <w:t>, ‘</w:t>
      </w:r>
      <w:hyperlink r:id="rId118" w:history="1">
        <w:r>
          <w:rPr>
            <w:rStyle w:val="Hyperlink"/>
            <w:rFonts w:ascii="Times New Roman" w:hAnsi="Times New Roman" w:cs="Times New Roman"/>
          </w:rPr>
          <w:t>The morale effects of pay inequality</w:t>
        </w:r>
      </w:hyperlink>
      <w:r>
        <w:rPr>
          <w:rFonts w:ascii="Times New Roman" w:hAnsi="Times New Roman" w:cs="Times New Roman"/>
        </w:rPr>
        <w:t xml:space="preserve">’. </w:t>
      </w:r>
      <w:r>
        <w:rPr>
          <w:rFonts w:ascii="Times New Roman" w:hAnsi="Times New Roman" w:cs="Times New Roman"/>
          <w:i/>
        </w:rPr>
        <w:t>The Quarterly Journal of Economics</w:t>
      </w:r>
      <w:r>
        <w:rPr>
          <w:rFonts w:ascii="Times New Roman" w:hAnsi="Times New Roman" w:cs="Times New Roman"/>
        </w:rPr>
        <w:t>, 2018.</w:t>
      </w:r>
    </w:p>
  </w:footnote>
  <w:footnote w:id="235">
    <w:p>
      <w:pPr>
        <w:pStyle w:val="FootnoteText"/>
        <w:jc w:val="both"/>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rPr>
        <w:t xml:space="preserve"> Bamberger, P.; Belogolovsky, E., ‘</w:t>
      </w:r>
      <w:hyperlink r:id="rId119" w:history="1">
        <w:r>
          <w:rPr>
            <w:rStyle w:val="Hyperlink"/>
            <w:rFonts w:ascii="Times New Roman" w:hAnsi="Times New Roman" w:cs="Times New Roman"/>
          </w:rPr>
          <w:t>The dark side of transparency: How and when pay administration practices affect employee helping</w:t>
        </w:r>
      </w:hyperlink>
      <w:r>
        <w:rPr>
          <w:rFonts w:ascii="Times New Roman" w:hAnsi="Times New Roman" w:cs="Times New Roman"/>
        </w:rPr>
        <w:t xml:space="preserve">.’, </w:t>
      </w:r>
      <w:r>
        <w:rPr>
          <w:rFonts w:ascii="Times New Roman" w:hAnsi="Times New Roman" w:cs="Times New Roman"/>
          <w:i/>
        </w:rPr>
        <w:t>Journal of Applied Psychology</w:t>
      </w:r>
      <w:r>
        <w:rPr>
          <w:rFonts w:ascii="Times New Roman" w:hAnsi="Times New Roman" w:cs="Times New Roman"/>
        </w:rPr>
        <w:t xml:space="preserve"> 102(4), 658, 2017.</w:t>
      </w:r>
    </w:p>
  </w:footnote>
  <w:footnote w:id="23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Gulyas, A. et al. analysed the effect of the  2011 Austrian Pay Transparency Law and found that policy led to an increase in the retention rate of workers. ‘Does Pay Transparency Affect the Gender Wage Gap? Evidence from Austria’, </w:t>
      </w:r>
      <w:r>
        <w:rPr>
          <w:rFonts w:ascii="Times New Roman" w:hAnsi="Times New Roman" w:cs="Times New Roman"/>
          <w:i/>
        </w:rPr>
        <w:t>Discussion Paper Series – CRC TR 224</w:t>
      </w:r>
      <w:r>
        <w:rPr>
          <w:rFonts w:ascii="Times New Roman" w:hAnsi="Times New Roman" w:cs="Times New Roman"/>
        </w:rPr>
        <w:t>, 2020.</w:t>
      </w:r>
    </w:p>
  </w:footnote>
  <w:footnote w:id="23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Richard G. et al. found that the main factor for employee satisfaction is whether or not staff think they’re being paid fairly—not if they’re actually being paid fairly. </w:t>
      </w:r>
    </w:p>
  </w:footnote>
  <w:footnote w:id="23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Smith, D., ‘</w:t>
      </w:r>
      <w:hyperlink r:id="rId120" w:history="1">
        <w:r>
          <w:rPr>
            <w:rStyle w:val="Hyperlink"/>
            <w:rFonts w:ascii="Times New Roman" w:hAnsi="Times New Roman" w:cs="Times New Roman"/>
          </w:rPr>
          <w:t>Most People Have No Idea Whether They’re Paid Fairly</w:t>
        </w:r>
      </w:hyperlink>
      <w:r>
        <w:rPr>
          <w:rStyle w:val="Hyperlink"/>
          <w:rFonts w:ascii="Times New Roman" w:hAnsi="Times New Roman" w:cs="Times New Roman"/>
        </w:rPr>
        <w:t xml:space="preserve">’, </w:t>
      </w:r>
      <w:r>
        <w:rPr>
          <w:rStyle w:val="Hyperlink"/>
          <w:rFonts w:ascii="Times New Roman" w:hAnsi="Times New Roman" w:cs="Times New Roman"/>
          <w:i/>
        </w:rPr>
        <w:t>Harvard Business Review</w:t>
      </w:r>
      <w:r>
        <w:rPr>
          <w:rStyle w:val="Hyperlink"/>
          <w:rFonts w:ascii="Times New Roman" w:hAnsi="Times New Roman" w:cs="Times New Roman"/>
        </w:rPr>
        <w:t>, 2015. Available at: https://hbr.org/2015/10/most-people-have-no-idea-whether-theyre-paid-fairly.</w:t>
      </w:r>
    </w:p>
  </w:footnote>
  <w:footnote w:id="23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Businesses could significantly improve productivity ‘simply by providing workers with information about the earnings of their peers’. See Huet-Vaughn, E., </w:t>
      </w:r>
      <w:r>
        <w:rPr>
          <w:rFonts w:ascii="Times New Roman" w:hAnsi="Times New Roman" w:cs="Times New Roman"/>
          <w:i/>
        </w:rPr>
        <w:t>Do Social Comparisons Motivate Workers? A Field Experiment on Relative Earnings, Labor Supply and the Inhibitory Effect of Pay Inequality</w:t>
      </w:r>
      <w:r>
        <w:rPr>
          <w:rFonts w:ascii="Times New Roman" w:hAnsi="Times New Roman" w:cs="Times New Roman"/>
        </w:rPr>
        <w:t>,Working paper, 2015.</w:t>
      </w:r>
    </w:p>
  </w:footnote>
  <w:footnote w:id="24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Colletti, J. A., Schuster, J. R., ‘</w:t>
      </w:r>
      <w:hyperlink r:id="rId121" w:anchor="metadata_info_tab_contents" w:history="1">
        <w:r>
          <w:rPr>
            <w:rStyle w:val="Hyperlink"/>
            <w:rFonts w:ascii="Times New Roman" w:hAnsi="Times New Roman" w:cs="Times New Roman"/>
          </w:rPr>
          <w:t>Pay Secrecy: Who Is for and against It</w:t>
        </w:r>
      </w:hyperlink>
      <w:r>
        <w:rPr>
          <w:rFonts w:ascii="Times New Roman" w:hAnsi="Times New Roman" w:cs="Times New Roman"/>
        </w:rPr>
        <w:t xml:space="preserve">?’, </w:t>
      </w:r>
      <w:r>
        <w:rPr>
          <w:rFonts w:ascii="Times New Roman" w:hAnsi="Times New Roman" w:cs="Times New Roman"/>
          <w:i/>
        </w:rPr>
        <w:t>The Academy</w:t>
      </w:r>
      <w:r>
        <w:rPr>
          <w:rFonts w:ascii="Times New Roman" w:hAnsi="Times New Roman" w:cs="Times New Roman"/>
        </w:rPr>
        <w:t xml:space="preserve"> </w:t>
      </w:r>
      <w:r>
        <w:rPr>
          <w:rFonts w:ascii="Times New Roman" w:hAnsi="Times New Roman" w:cs="Times New Roman"/>
          <w:i/>
        </w:rPr>
        <w:t>of Management Journal</w:t>
      </w:r>
      <w:r>
        <w:rPr>
          <w:rFonts w:ascii="Times New Roman" w:hAnsi="Times New Roman" w:cs="Times New Roman"/>
        </w:rPr>
        <w:t>, 1973.</w:t>
      </w:r>
    </w:p>
  </w:footnote>
  <w:footnote w:id="241">
    <w:p>
      <w:pPr>
        <w:pStyle w:val="NormalWeb"/>
        <w:spacing w:before="0" w:beforeAutospacing="0" w:after="0" w:afterAutospacing="0"/>
        <w:jc w:val="both"/>
        <w:rPr>
          <w:sz w:val="20"/>
          <w:szCs w:val="20"/>
        </w:rPr>
      </w:pPr>
      <w:r>
        <w:rPr>
          <w:rStyle w:val="FootnoteReference"/>
          <w:sz w:val="20"/>
          <w:szCs w:val="20"/>
        </w:rPr>
        <w:footnoteRef/>
      </w:r>
      <w:r>
        <w:rPr>
          <w:sz w:val="20"/>
          <w:szCs w:val="20"/>
        </w:rPr>
        <w:t xml:space="preserve"> According to BBC, available at:  </w:t>
      </w:r>
      <w:hyperlink r:id="rId122" w:history="1">
        <w:r>
          <w:rPr>
            <w:rFonts w:eastAsiaTheme="minorEastAsia"/>
            <w:color w:val="000000" w:themeColor="text1"/>
            <w:kern w:val="24"/>
            <w:sz w:val="20"/>
            <w:szCs w:val="20"/>
            <w:u w:val="single"/>
            <w:lang w:val="is-IS"/>
          </w:rPr>
          <w:t>http://www.bbc.com/news/av/magazine-41516920/the-skills-calculator-closing-the-gender-pay-gap</w:t>
        </w:r>
      </w:hyperlink>
      <w:r>
        <w:rPr>
          <w:rFonts w:eastAsiaTheme="minorEastAsia"/>
          <w:color w:val="000000" w:themeColor="text1"/>
          <w:kern w:val="24"/>
          <w:sz w:val="20"/>
          <w:szCs w:val="20"/>
          <w:u w:val="single"/>
          <w:lang w:val="is-IS"/>
        </w:rPr>
        <w:t>.</w:t>
      </w:r>
    </w:p>
    <w:p>
      <w:pPr>
        <w:pStyle w:val="FootnoteText"/>
        <w:jc w:val="both"/>
        <w:rPr>
          <w:rFonts w:ascii="Times New Roman" w:hAnsi="Times New Roman" w:cs="Times New Roman"/>
        </w:rPr>
      </w:pPr>
    </w:p>
  </w:footnote>
  <w:footnote w:id="24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European Parliament,‘</w:t>
      </w:r>
      <w:hyperlink r:id="rId123" w:history="1">
        <w:r>
          <w:rPr>
            <w:rFonts w:ascii="Times New Roman" w:hAnsi="Times New Roman" w:cs="Times New Roman"/>
          </w:rPr>
          <w:t xml:space="preserve">European Added Value Assessment on the application of the principle of equal pay for men and womenfor equal work of equal value’, </w:t>
        </w:r>
        <w:r>
          <w:rPr>
            <w:rFonts w:ascii="Times New Roman" w:hAnsi="Times New Roman" w:cs="Times New Roman"/>
            <w:i/>
          </w:rPr>
          <w:t>EAVA</w:t>
        </w:r>
        <w:r>
          <w:rPr>
            <w:rStyle w:val="Hyperlink"/>
            <w:rFonts w:ascii="Times New Roman" w:hAnsi="Times New Roman" w:cs="Times New Roman"/>
          </w:rPr>
          <w:t xml:space="preserve"> 4/2013</w:t>
        </w:r>
      </w:hyperlink>
      <w:r>
        <w:rPr>
          <w:rFonts w:ascii="Times New Roman" w:hAnsi="Times New Roman" w:cs="Times New Roman"/>
        </w:rPr>
        <w:t>.</w:t>
      </w:r>
    </w:p>
  </w:footnote>
  <w:footnote w:id="24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Their results are based on predictions using linear and non-linear least square estimation on macrodata.</w:t>
      </w:r>
    </w:p>
  </w:footnote>
  <w:footnote w:id="24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These results should be taken as upper-bound estimates of the potential gains from closing the gender gap. The author warns that these estimates are based on some simplifying assumptions. For example, men’s and women’s labour market earnings only reflect labour productivity, thus higher earnings for women of a given percentage would result in a GDP increase by the same amount.</w:t>
      </w:r>
    </w:p>
  </w:footnote>
  <w:footnote w:id="245">
    <w:p>
      <w:pPr>
        <w:pStyle w:val="FootnoteText"/>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lang w:val="de-DE"/>
        </w:rPr>
        <w:t xml:space="preserve"> Deutscher Bundestag, </w:t>
      </w:r>
      <w:r>
        <w:rPr>
          <w:rFonts w:ascii="Times New Roman" w:hAnsi="Times New Roman" w:cs="Times New Roman"/>
          <w:i/>
          <w:lang w:val="de-DE"/>
        </w:rPr>
        <w:t>Entwurf eines Gesetzes zur Förderung der Transparenz von Entgeltstrukturen, Gesetzentwurf der Bundesregierung</w:t>
      </w:r>
      <w:r>
        <w:rPr>
          <w:rFonts w:ascii="Times New Roman" w:hAnsi="Times New Roman" w:cs="Times New Roman"/>
          <w:lang w:val="de-DE"/>
        </w:rPr>
        <w:t xml:space="preserve">, 2017. </w:t>
      </w:r>
      <w:r>
        <w:rPr>
          <w:rFonts w:ascii="Times New Roman" w:hAnsi="Times New Roman" w:cs="Times New Roman"/>
          <w:lang w:val="en-US"/>
        </w:rPr>
        <w:t>(Drucksache 18/11133).</w:t>
      </w:r>
    </w:p>
  </w:footnote>
  <w:footnote w:id="246">
    <w:p>
      <w:pPr>
        <w:pStyle w:val="FootnoteText"/>
        <w:jc w:val="both"/>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lang w:val="en-IE"/>
        </w:rPr>
        <w:t xml:space="preserve"> Extracted from </w:t>
      </w:r>
      <w:hyperlink r:id="rId124" w:history="1">
        <w:r>
          <w:rPr>
            <w:rStyle w:val="Hyperlink"/>
            <w:rFonts w:ascii="Times New Roman" w:hAnsi="Times New Roman" w:cs="Times New Roman"/>
            <w:lang w:val="en-IE"/>
          </w:rPr>
          <w:t xml:space="preserve">Equinet, </w:t>
        </w:r>
        <w:r>
          <w:rPr>
            <w:rStyle w:val="Hyperlink"/>
            <w:rFonts w:ascii="Times New Roman" w:hAnsi="Times New Roman" w:cs="Times New Roman"/>
            <w:i/>
            <w:lang w:val="en-IE"/>
          </w:rPr>
          <w:t>Handbook: How to build a case on equal pay</w:t>
        </w:r>
      </w:hyperlink>
      <w:r>
        <w:rPr>
          <w:rFonts w:ascii="Times New Roman" w:hAnsi="Times New Roman" w:cs="Times New Roman"/>
          <w:lang w:val="en-IE"/>
        </w:rPr>
        <w:t>, 2016.</w:t>
      </w:r>
    </w:p>
  </w:footnote>
  <w:footnote w:id="247">
    <w:p>
      <w:pPr>
        <w:pStyle w:val="FootnoteText"/>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lang w:val="en-US"/>
        </w:rPr>
        <w:t xml:space="preserve"> See </w:t>
      </w:r>
      <w:hyperlink r:id="rId125" w:history="1">
        <w:r>
          <w:rPr>
            <w:rStyle w:val="Hyperlink"/>
            <w:rFonts w:ascii="Times New Roman" w:hAnsi="Times New Roman" w:cs="Times New Roman"/>
            <w:lang w:val="en-US"/>
          </w:rPr>
          <w:t>https://eur-lex.europa.eu/legal-content/EN/TXT/HTML/?uri=CELEX:12016E/PRO/02&amp;from=EN</w:t>
        </w:r>
      </w:hyperlink>
      <w:r>
        <w:rPr>
          <w:rFonts w:ascii="Times New Roman" w:hAnsi="Times New Roman" w:cs="Times New Roman"/>
          <w:lang w:val="en-US"/>
        </w:rPr>
        <w:t xml:space="preserve">. </w:t>
      </w:r>
    </w:p>
  </w:footnote>
  <w:footnote w:id="248">
    <w:p>
      <w:pPr>
        <w:pStyle w:val="FootnoteText"/>
        <w:jc w:val="both"/>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lang w:val="en-IE"/>
        </w:rPr>
        <w:t xml:space="preserve"> For more information: </w:t>
      </w:r>
      <w:hyperlink r:id="rId126" w:history="1">
        <w:r>
          <w:rPr>
            <w:rStyle w:val="Hyperlink"/>
            <w:rFonts w:ascii="Times New Roman" w:hAnsi="Times New Roman" w:cs="Times New Roman"/>
            <w:lang w:val="en-IE"/>
          </w:rPr>
          <w:t>https://europa.eu/european-union/about-eu/eu-in-brief_en</w:t>
        </w:r>
      </w:hyperlink>
      <w:r>
        <w:rPr>
          <w:rFonts w:ascii="Times New Roman" w:hAnsi="Times New Roman" w:cs="Times New Roman"/>
          <w:lang w:val="en-IE"/>
        </w:rPr>
        <w:t>.</w:t>
      </w:r>
    </w:p>
  </w:footnote>
  <w:footnote w:id="24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 the Member States cited, changes in legislation have occurred since 2006 to include the obligation of gender-neutrality in job classification systems.</w:t>
      </w:r>
    </w:p>
  </w:footnote>
  <w:footnote w:id="25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Gender neutral job evaluation are safeguarded by collective agreements in BE.</w:t>
      </w:r>
    </w:p>
  </w:footnote>
  <w:footnote w:id="25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European Commission, </w:t>
      </w:r>
      <w:r>
        <w:rPr>
          <w:rFonts w:ascii="Times New Roman" w:hAnsi="Times New Roman" w:cs="Times New Roman"/>
          <w:i/>
        </w:rPr>
        <w:t>Report on the application of Directive 2006/54/EC of the European Parliament and of the Council of 5 July 2006 on the implementation of the principle of equal opportunities and equal treatment of men and women in matters of employment and occupation (recast)</w:t>
      </w:r>
      <w:r>
        <w:rPr>
          <w:rFonts w:ascii="Times New Roman" w:hAnsi="Times New Roman" w:cs="Times New Roman"/>
        </w:rPr>
        <w:t>, 2013. COM(2013) 861.</w:t>
      </w:r>
    </w:p>
  </w:footnote>
  <w:footnote w:id="25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Guides and checklists mostly issued by gender equality bodies or by national authorities.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A06A8"/>
    <w:multiLevelType w:val="hybridMultilevel"/>
    <w:tmpl w:val="2D822C8C"/>
    <w:lvl w:ilvl="0" w:tplc="0809000F">
      <w:start w:val="1"/>
      <w:numFmt w:val="decimal"/>
      <w:lvlText w:val="%1."/>
      <w:lvlJc w:val="left"/>
      <w:pPr>
        <w:ind w:left="6240" w:hanging="360"/>
      </w:pPr>
    </w:lvl>
    <w:lvl w:ilvl="1" w:tplc="08090019" w:tentative="1">
      <w:start w:val="1"/>
      <w:numFmt w:val="lowerLetter"/>
      <w:lvlText w:val="%2."/>
      <w:lvlJc w:val="left"/>
      <w:pPr>
        <w:ind w:left="6960" w:hanging="360"/>
      </w:pPr>
    </w:lvl>
    <w:lvl w:ilvl="2" w:tplc="0809001B" w:tentative="1">
      <w:start w:val="1"/>
      <w:numFmt w:val="lowerRoman"/>
      <w:lvlText w:val="%3."/>
      <w:lvlJc w:val="right"/>
      <w:pPr>
        <w:ind w:left="7680" w:hanging="180"/>
      </w:pPr>
    </w:lvl>
    <w:lvl w:ilvl="3" w:tplc="0809000F" w:tentative="1">
      <w:start w:val="1"/>
      <w:numFmt w:val="decimal"/>
      <w:lvlText w:val="%4."/>
      <w:lvlJc w:val="left"/>
      <w:pPr>
        <w:ind w:left="8400" w:hanging="360"/>
      </w:pPr>
    </w:lvl>
    <w:lvl w:ilvl="4" w:tplc="08090019" w:tentative="1">
      <w:start w:val="1"/>
      <w:numFmt w:val="lowerLetter"/>
      <w:lvlText w:val="%5."/>
      <w:lvlJc w:val="left"/>
      <w:pPr>
        <w:ind w:left="9120" w:hanging="360"/>
      </w:pPr>
    </w:lvl>
    <w:lvl w:ilvl="5" w:tplc="0809001B" w:tentative="1">
      <w:start w:val="1"/>
      <w:numFmt w:val="lowerRoman"/>
      <w:lvlText w:val="%6."/>
      <w:lvlJc w:val="right"/>
      <w:pPr>
        <w:ind w:left="9840" w:hanging="180"/>
      </w:pPr>
    </w:lvl>
    <w:lvl w:ilvl="6" w:tplc="0809000F" w:tentative="1">
      <w:start w:val="1"/>
      <w:numFmt w:val="decimal"/>
      <w:lvlText w:val="%7."/>
      <w:lvlJc w:val="left"/>
      <w:pPr>
        <w:ind w:left="10560" w:hanging="360"/>
      </w:pPr>
    </w:lvl>
    <w:lvl w:ilvl="7" w:tplc="08090019" w:tentative="1">
      <w:start w:val="1"/>
      <w:numFmt w:val="lowerLetter"/>
      <w:lvlText w:val="%8."/>
      <w:lvlJc w:val="left"/>
      <w:pPr>
        <w:ind w:left="11280" w:hanging="360"/>
      </w:pPr>
    </w:lvl>
    <w:lvl w:ilvl="8" w:tplc="0809001B" w:tentative="1">
      <w:start w:val="1"/>
      <w:numFmt w:val="lowerRoman"/>
      <w:lvlText w:val="%9."/>
      <w:lvlJc w:val="right"/>
      <w:pPr>
        <w:ind w:left="12000" w:hanging="180"/>
      </w:pPr>
    </w:lvl>
  </w:abstractNum>
  <w:abstractNum w:abstractNumId="1">
    <w:nsid w:val="02D12E5D"/>
    <w:multiLevelType w:val="multilevel"/>
    <w:tmpl w:val="BBB477D8"/>
    <w:lvl w:ilvl="0">
      <w:start w:val="8"/>
      <w:numFmt w:val="decimal"/>
      <w:lvlText w:val="%1."/>
      <w:lvlJc w:val="left"/>
      <w:pPr>
        <w:ind w:left="360" w:hanging="360"/>
      </w:pPr>
      <w:rPr>
        <w:rFonts w:hint="default"/>
        <w:color w:val="auto"/>
      </w:rPr>
    </w:lvl>
    <w:lvl w:ilvl="1">
      <w:start w:val="5"/>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
    <w:nsid w:val="058E38D8"/>
    <w:multiLevelType w:val="hybridMultilevel"/>
    <w:tmpl w:val="F5DC8E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5D27C93"/>
    <w:multiLevelType w:val="hybridMultilevel"/>
    <w:tmpl w:val="8318A8CE"/>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8FF491E"/>
    <w:multiLevelType w:val="hybridMultilevel"/>
    <w:tmpl w:val="2D822C8C"/>
    <w:lvl w:ilvl="0" w:tplc="0809000F">
      <w:start w:val="1"/>
      <w:numFmt w:val="decimal"/>
      <w:lvlText w:val="%1."/>
      <w:lvlJc w:val="left"/>
      <w:pPr>
        <w:ind w:left="6240" w:hanging="360"/>
      </w:pPr>
    </w:lvl>
    <w:lvl w:ilvl="1" w:tplc="08090019" w:tentative="1">
      <w:start w:val="1"/>
      <w:numFmt w:val="lowerLetter"/>
      <w:lvlText w:val="%2."/>
      <w:lvlJc w:val="left"/>
      <w:pPr>
        <w:ind w:left="6960" w:hanging="360"/>
      </w:pPr>
    </w:lvl>
    <w:lvl w:ilvl="2" w:tplc="0809001B" w:tentative="1">
      <w:start w:val="1"/>
      <w:numFmt w:val="lowerRoman"/>
      <w:lvlText w:val="%3."/>
      <w:lvlJc w:val="right"/>
      <w:pPr>
        <w:ind w:left="7680" w:hanging="180"/>
      </w:pPr>
    </w:lvl>
    <w:lvl w:ilvl="3" w:tplc="0809000F" w:tentative="1">
      <w:start w:val="1"/>
      <w:numFmt w:val="decimal"/>
      <w:lvlText w:val="%4."/>
      <w:lvlJc w:val="left"/>
      <w:pPr>
        <w:ind w:left="8400" w:hanging="360"/>
      </w:pPr>
    </w:lvl>
    <w:lvl w:ilvl="4" w:tplc="08090019" w:tentative="1">
      <w:start w:val="1"/>
      <w:numFmt w:val="lowerLetter"/>
      <w:lvlText w:val="%5."/>
      <w:lvlJc w:val="left"/>
      <w:pPr>
        <w:ind w:left="9120" w:hanging="360"/>
      </w:pPr>
    </w:lvl>
    <w:lvl w:ilvl="5" w:tplc="0809001B" w:tentative="1">
      <w:start w:val="1"/>
      <w:numFmt w:val="lowerRoman"/>
      <w:lvlText w:val="%6."/>
      <w:lvlJc w:val="right"/>
      <w:pPr>
        <w:ind w:left="9840" w:hanging="180"/>
      </w:pPr>
    </w:lvl>
    <w:lvl w:ilvl="6" w:tplc="0809000F" w:tentative="1">
      <w:start w:val="1"/>
      <w:numFmt w:val="decimal"/>
      <w:lvlText w:val="%7."/>
      <w:lvlJc w:val="left"/>
      <w:pPr>
        <w:ind w:left="10560" w:hanging="360"/>
      </w:pPr>
    </w:lvl>
    <w:lvl w:ilvl="7" w:tplc="08090019" w:tentative="1">
      <w:start w:val="1"/>
      <w:numFmt w:val="lowerLetter"/>
      <w:lvlText w:val="%8."/>
      <w:lvlJc w:val="left"/>
      <w:pPr>
        <w:ind w:left="11280" w:hanging="360"/>
      </w:pPr>
    </w:lvl>
    <w:lvl w:ilvl="8" w:tplc="0809001B" w:tentative="1">
      <w:start w:val="1"/>
      <w:numFmt w:val="lowerRoman"/>
      <w:lvlText w:val="%9."/>
      <w:lvlJc w:val="right"/>
      <w:pPr>
        <w:ind w:left="12000" w:hanging="180"/>
      </w:pPr>
    </w:lvl>
  </w:abstractNum>
  <w:abstractNum w:abstractNumId="5">
    <w:nsid w:val="09F124A1"/>
    <w:multiLevelType w:val="hybridMultilevel"/>
    <w:tmpl w:val="2D822C8C"/>
    <w:lvl w:ilvl="0" w:tplc="0809000F">
      <w:start w:val="1"/>
      <w:numFmt w:val="decimal"/>
      <w:lvlText w:val="%1."/>
      <w:lvlJc w:val="left"/>
      <w:pPr>
        <w:ind w:left="6240" w:hanging="360"/>
      </w:pPr>
    </w:lvl>
    <w:lvl w:ilvl="1" w:tplc="08090019" w:tentative="1">
      <w:start w:val="1"/>
      <w:numFmt w:val="lowerLetter"/>
      <w:lvlText w:val="%2."/>
      <w:lvlJc w:val="left"/>
      <w:pPr>
        <w:ind w:left="6960" w:hanging="360"/>
      </w:pPr>
    </w:lvl>
    <w:lvl w:ilvl="2" w:tplc="0809001B" w:tentative="1">
      <w:start w:val="1"/>
      <w:numFmt w:val="lowerRoman"/>
      <w:lvlText w:val="%3."/>
      <w:lvlJc w:val="right"/>
      <w:pPr>
        <w:ind w:left="7680" w:hanging="180"/>
      </w:pPr>
    </w:lvl>
    <w:lvl w:ilvl="3" w:tplc="0809000F" w:tentative="1">
      <w:start w:val="1"/>
      <w:numFmt w:val="decimal"/>
      <w:lvlText w:val="%4."/>
      <w:lvlJc w:val="left"/>
      <w:pPr>
        <w:ind w:left="8400" w:hanging="360"/>
      </w:pPr>
    </w:lvl>
    <w:lvl w:ilvl="4" w:tplc="08090019" w:tentative="1">
      <w:start w:val="1"/>
      <w:numFmt w:val="lowerLetter"/>
      <w:lvlText w:val="%5."/>
      <w:lvlJc w:val="left"/>
      <w:pPr>
        <w:ind w:left="9120" w:hanging="360"/>
      </w:pPr>
    </w:lvl>
    <w:lvl w:ilvl="5" w:tplc="0809001B" w:tentative="1">
      <w:start w:val="1"/>
      <w:numFmt w:val="lowerRoman"/>
      <w:lvlText w:val="%6."/>
      <w:lvlJc w:val="right"/>
      <w:pPr>
        <w:ind w:left="9840" w:hanging="180"/>
      </w:pPr>
    </w:lvl>
    <w:lvl w:ilvl="6" w:tplc="0809000F" w:tentative="1">
      <w:start w:val="1"/>
      <w:numFmt w:val="decimal"/>
      <w:lvlText w:val="%7."/>
      <w:lvlJc w:val="left"/>
      <w:pPr>
        <w:ind w:left="10560" w:hanging="360"/>
      </w:pPr>
    </w:lvl>
    <w:lvl w:ilvl="7" w:tplc="08090019" w:tentative="1">
      <w:start w:val="1"/>
      <w:numFmt w:val="lowerLetter"/>
      <w:lvlText w:val="%8."/>
      <w:lvlJc w:val="left"/>
      <w:pPr>
        <w:ind w:left="11280" w:hanging="360"/>
      </w:pPr>
    </w:lvl>
    <w:lvl w:ilvl="8" w:tplc="0809001B" w:tentative="1">
      <w:start w:val="1"/>
      <w:numFmt w:val="lowerRoman"/>
      <w:lvlText w:val="%9."/>
      <w:lvlJc w:val="right"/>
      <w:pPr>
        <w:ind w:left="12000" w:hanging="180"/>
      </w:pPr>
    </w:lvl>
  </w:abstractNum>
  <w:abstractNum w:abstractNumId="6">
    <w:nsid w:val="0CC8767D"/>
    <w:multiLevelType w:val="hybridMultilevel"/>
    <w:tmpl w:val="2272D984"/>
    <w:lvl w:ilvl="0" w:tplc="12EA15D2">
      <w:start w:val="1"/>
      <w:numFmt w:val="decimal"/>
      <w:lvlText w:val="%1."/>
      <w:lvlJc w:val="left"/>
      <w:pPr>
        <w:tabs>
          <w:tab w:val="num" w:pos="720"/>
        </w:tabs>
        <w:ind w:left="720" w:hanging="360"/>
      </w:pPr>
      <w:rPr>
        <w:rFonts w:hint="default"/>
      </w:rPr>
    </w:lvl>
    <w:lvl w:ilvl="1" w:tplc="7D0EE4D0">
      <w:start w:val="1"/>
      <w:numFmt w:val="decimal"/>
      <w:lvlText w:val="%2."/>
      <w:lvlJc w:val="left"/>
      <w:pPr>
        <w:tabs>
          <w:tab w:val="num" w:pos="1440"/>
        </w:tabs>
        <w:ind w:left="1440" w:hanging="360"/>
      </w:pPr>
      <w:rPr>
        <w:rFonts w:hint="default"/>
      </w:rPr>
    </w:lvl>
    <w:lvl w:ilvl="2" w:tplc="A2506608">
      <w:start w:val="1"/>
      <w:numFmt w:val="decimal"/>
      <w:lvlText w:val="%3."/>
      <w:lvlJc w:val="left"/>
      <w:pPr>
        <w:tabs>
          <w:tab w:val="num" w:pos="2160"/>
        </w:tabs>
        <w:ind w:left="2160" w:hanging="360"/>
      </w:pPr>
      <w:rPr>
        <w:rFonts w:hint="default"/>
      </w:rPr>
    </w:lvl>
    <w:lvl w:ilvl="3" w:tplc="D2D81FCC">
      <w:start w:val="1"/>
      <w:numFmt w:val="decimal"/>
      <w:lvlText w:val="%4."/>
      <w:lvlJc w:val="left"/>
      <w:pPr>
        <w:tabs>
          <w:tab w:val="num" w:pos="2880"/>
        </w:tabs>
        <w:ind w:left="2880" w:hanging="360"/>
      </w:pPr>
      <w:rPr>
        <w:rFonts w:hint="default"/>
      </w:rPr>
    </w:lvl>
    <w:lvl w:ilvl="4" w:tplc="1A381B0C">
      <w:start w:val="1"/>
      <w:numFmt w:val="decimal"/>
      <w:lvlText w:val="%5."/>
      <w:lvlJc w:val="left"/>
      <w:pPr>
        <w:tabs>
          <w:tab w:val="num" w:pos="3600"/>
        </w:tabs>
        <w:ind w:left="3600" w:hanging="360"/>
      </w:pPr>
      <w:rPr>
        <w:rFonts w:hint="default"/>
      </w:rPr>
    </w:lvl>
    <w:lvl w:ilvl="5" w:tplc="F9864BE2">
      <w:start w:val="1"/>
      <w:numFmt w:val="decimal"/>
      <w:lvlText w:val="%6."/>
      <w:lvlJc w:val="left"/>
      <w:pPr>
        <w:tabs>
          <w:tab w:val="num" w:pos="4320"/>
        </w:tabs>
        <w:ind w:left="4320" w:hanging="360"/>
      </w:pPr>
      <w:rPr>
        <w:rFonts w:hint="default"/>
      </w:rPr>
    </w:lvl>
    <w:lvl w:ilvl="6" w:tplc="ADE48A68">
      <w:start w:val="1"/>
      <w:numFmt w:val="decimal"/>
      <w:lvlText w:val="%7."/>
      <w:lvlJc w:val="left"/>
      <w:pPr>
        <w:tabs>
          <w:tab w:val="num" w:pos="5040"/>
        </w:tabs>
        <w:ind w:left="5040" w:hanging="360"/>
      </w:pPr>
      <w:rPr>
        <w:rFonts w:hint="default"/>
      </w:rPr>
    </w:lvl>
    <w:lvl w:ilvl="7" w:tplc="237E0C90">
      <w:start w:val="1"/>
      <w:numFmt w:val="decimal"/>
      <w:lvlText w:val="%8."/>
      <w:lvlJc w:val="left"/>
      <w:pPr>
        <w:tabs>
          <w:tab w:val="num" w:pos="5760"/>
        </w:tabs>
        <w:ind w:left="5760" w:hanging="360"/>
      </w:pPr>
      <w:rPr>
        <w:rFonts w:hint="default"/>
      </w:rPr>
    </w:lvl>
    <w:lvl w:ilvl="8" w:tplc="48928CA8">
      <w:start w:val="1"/>
      <w:numFmt w:val="decimal"/>
      <w:lvlText w:val="%9."/>
      <w:lvlJc w:val="left"/>
      <w:pPr>
        <w:tabs>
          <w:tab w:val="num" w:pos="6480"/>
        </w:tabs>
        <w:ind w:left="6480" w:hanging="360"/>
      </w:pPr>
      <w:rPr>
        <w:rFonts w:hint="default"/>
      </w:rPr>
    </w:lvl>
  </w:abstractNum>
  <w:abstractNum w:abstractNumId="7">
    <w:nsid w:val="0D0F3633"/>
    <w:multiLevelType w:val="hybridMultilevel"/>
    <w:tmpl w:val="FA30A888"/>
    <w:lvl w:ilvl="0" w:tplc="0809000F">
      <w:start w:val="1"/>
      <w:numFmt w:val="decimal"/>
      <w:lvlText w:val="%1."/>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E1E5800"/>
    <w:multiLevelType w:val="hybridMultilevel"/>
    <w:tmpl w:val="7C7E7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E5C1259"/>
    <w:multiLevelType w:val="hybridMultilevel"/>
    <w:tmpl w:val="3E3A9A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3CE09B9"/>
    <w:multiLevelType w:val="multilevel"/>
    <w:tmpl w:val="315E539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3F30284"/>
    <w:multiLevelType w:val="hybridMultilevel"/>
    <w:tmpl w:val="60F40D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5B20CB6"/>
    <w:multiLevelType w:val="hybridMultilevel"/>
    <w:tmpl w:val="68224F72"/>
    <w:lvl w:ilvl="0" w:tplc="479C9B4E">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nsid w:val="189B2512"/>
    <w:multiLevelType w:val="multilevel"/>
    <w:tmpl w:val="14569F98"/>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CC43A22"/>
    <w:multiLevelType w:val="hybridMultilevel"/>
    <w:tmpl w:val="D8E6A530"/>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F734306"/>
    <w:multiLevelType w:val="multilevel"/>
    <w:tmpl w:val="9D0C85E8"/>
    <w:lvl w:ilvl="0">
      <w:start w:val="1"/>
      <w:numFmt w:val="decimal"/>
      <w:lvlText w:val="%1."/>
      <w:lvlJc w:val="left"/>
      <w:pPr>
        <w:tabs>
          <w:tab w:val="num" w:pos="2640"/>
        </w:tabs>
        <w:ind w:left="2640" w:hanging="48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4080"/>
        </w:tabs>
        <w:ind w:left="4080" w:hanging="720"/>
      </w:pPr>
      <w:rPr>
        <w:rFonts w:hint="default"/>
      </w:rPr>
    </w:lvl>
    <w:lvl w:ilvl="3">
      <w:start w:val="1"/>
      <w:numFmt w:val="decimal"/>
      <w:lvlText w:val="%1.%2.%3.%4."/>
      <w:lvlJc w:val="left"/>
      <w:pPr>
        <w:tabs>
          <w:tab w:val="num" w:pos="2846"/>
        </w:tabs>
        <w:ind w:left="2846" w:hanging="720"/>
      </w:pPr>
      <w:rPr>
        <w:rFonts w:ascii="Times New Roman" w:hAnsi="Times New Roman" w:cs="Times New Roman" w:hint="default"/>
        <w:sz w:val="24"/>
        <w:szCs w:val="24"/>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320"/>
        </w:tabs>
        <w:ind w:left="4320" w:hanging="36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040"/>
        </w:tabs>
        <w:ind w:left="5040" w:hanging="360"/>
      </w:pPr>
      <w:rPr>
        <w:rFonts w:hint="default"/>
      </w:rPr>
    </w:lvl>
    <w:lvl w:ilvl="8">
      <w:start w:val="1"/>
      <w:numFmt w:val="lowerRoman"/>
      <w:lvlText w:val="%9."/>
      <w:lvlJc w:val="left"/>
      <w:pPr>
        <w:tabs>
          <w:tab w:val="num" w:pos="5400"/>
        </w:tabs>
        <w:ind w:left="5400" w:hanging="360"/>
      </w:pPr>
      <w:rPr>
        <w:rFonts w:hint="default"/>
      </w:rPr>
    </w:lvl>
  </w:abstractNum>
  <w:abstractNum w:abstractNumId="16">
    <w:nsid w:val="20CF6218"/>
    <w:multiLevelType w:val="hybridMultilevel"/>
    <w:tmpl w:val="9D400CF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22097410"/>
    <w:multiLevelType w:val="hybridMultilevel"/>
    <w:tmpl w:val="287CA080"/>
    <w:lvl w:ilvl="0" w:tplc="43C0ADC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24336179"/>
    <w:multiLevelType w:val="hybridMultilevel"/>
    <w:tmpl w:val="43B25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54E694A"/>
    <w:multiLevelType w:val="hybridMultilevel"/>
    <w:tmpl w:val="1EA4EE2A"/>
    <w:lvl w:ilvl="0" w:tplc="CEEE1B9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D293CE3"/>
    <w:multiLevelType w:val="hybridMultilevel"/>
    <w:tmpl w:val="8D7C4D2A"/>
    <w:lvl w:ilvl="0" w:tplc="DA70873C">
      <w:start w:val="1"/>
      <w:numFmt w:val="decimal"/>
      <w:pStyle w:val="LegalNumPar"/>
      <w:lvlText w:val="%1."/>
      <w:lvlJc w:val="left"/>
      <w:pPr>
        <w:ind w:left="476" w:hanging="476"/>
      </w:pPr>
      <w:rPr>
        <w:rFonts w:hint="default"/>
      </w:rPr>
    </w:lvl>
    <w:lvl w:ilvl="1" w:tplc="ABA08AFE">
      <w:start w:val="1"/>
      <w:numFmt w:val="lowerLetter"/>
      <w:pStyle w:val="LegalNumPar2"/>
      <w:lvlText w:val="%2."/>
      <w:lvlJc w:val="left"/>
      <w:pPr>
        <w:ind w:left="953" w:hanging="477"/>
      </w:pPr>
      <w:rPr>
        <w:rFonts w:hint="default"/>
      </w:rPr>
    </w:lvl>
    <w:lvl w:ilvl="2" w:tplc="A8EE426E">
      <w:start w:val="1"/>
      <w:numFmt w:val="lowerRoman"/>
      <w:pStyle w:val="LegalNumPar3"/>
      <w:lvlText w:val="%3."/>
      <w:lvlJc w:val="left"/>
      <w:pPr>
        <w:ind w:left="1429" w:hanging="476"/>
      </w:pPr>
      <w:rPr>
        <w:rFonts w:hint="default"/>
      </w:rPr>
    </w:lvl>
    <w:lvl w:ilvl="3" w:tplc="E1249EBA">
      <w:start w:val="1"/>
      <w:numFmt w:val="decimal"/>
      <w:lvlText w:val="%4."/>
      <w:lvlJc w:val="left"/>
      <w:pPr>
        <w:ind w:left="2880" w:hanging="360"/>
      </w:pPr>
      <w:rPr>
        <w:rFonts w:hint="default"/>
      </w:rPr>
    </w:lvl>
    <w:lvl w:ilvl="4" w:tplc="E4481910">
      <w:start w:val="1"/>
      <w:numFmt w:val="lowerLetter"/>
      <w:lvlText w:val="%5."/>
      <w:lvlJc w:val="left"/>
      <w:pPr>
        <w:ind w:left="3600" w:hanging="360"/>
      </w:pPr>
      <w:rPr>
        <w:rFonts w:hint="default"/>
      </w:rPr>
    </w:lvl>
    <w:lvl w:ilvl="5" w:tplc="D654DBA0">
      <w:start w:val="1"/>
      <w:numFmt w:val="lowerRoman"/>
      <w:lvlText w:val="%6."/>
      <w:lvlJc w:val="right"/>
      <w:pPr>
        <w:ind w:left="4320" w:hanging="180"/>
      </w:pPr>
      <w:rPr>
        <w:rFonts w:hint="default"/>
      </w:rPr>
    </w:lvl>
    <w:lvl w:ilvl="6" w:tplc="0BDC605A">
      <w:start w:val="1"/>
      <w:numFmt w:val="decimal"/>
      <w:lvlText w:val="%7."/>
      <w:lvlJc w:val="left"/>
      <w:pPr>
        <w:ind w:left="5040" w:hanging="360"/>
      </w:pPr>
      <w:rPr>
        <w:rFonts w:hint="default"/>
      </w:rPr>
    </w:lvl>
    <w:lvl w:ilvl="7" w:tplc="C6380850">
      <w:start w:val="1"/>
      <w:numFmt w:val="lowerLetter"/>
      <w:lvlText w:val="%8."/>
      <w:lvlJc w:val="left"/>
      <w:pPr>
        <w:ind w:left="5760" w:hanging="360"/>
      </w:pPr>
      <w:rPr>
        <w:rFonts w:hint="default"/>
      </w:rPr>
    </w:lvl>
    <w:lvl w:ilvl="8" w:tplc="5D2824FC">
      <w:start w:val="1"/>
      <w:numFmt w:val="lowerRoman"/>
      <w:lvlText w:val="%9."/>
      <w:lvlJc w:val="right"/>
      <w:pPr>
        <w:ind w:left="6480" w:hanging="180"/>
      </w:pPr>
      <w:rPr>
        <w:rFonts w:hint="default"/>
      </w:rPr>
    </w:lvl>
  </w:abstractNum>
  <w:abstractNum w:abstractNumId="21">
    <w:nsid w:val="2D861A94"/>
    <w:multiLevelType w:val="hybridMultilevel"/>
    <w:tmpl w:val="45704ABC"/>
    <w:lvl w:ilvl="0" w:tplc="9084A38E">
      <w:start w:val="5"/>
      <w:numFmt w:val="decimal"/>
      <w:lvlText w:val="%1."/>
      <w:lvlJc w:val="left"/>
      <w:pPr>
        <w:tabs>
          <w:tab w:val="num" w:pos="720"/>
        </w:tabs>
        <w:ind w:left="720" w:hanging="360"/>
      </w:pPr>
      <w:rPr>
        <w:rFonts w:hint="default"/>
      </w:rPr>
    </w:lvl>
    <w:lvl w:ilvl="1" w:tplc="2722B2A6">
      <w:start w:val="1"/>
      <w:numFmt w:val="decimal"/>
      <w:lvlText w:val="%2."/>
      <w:lvlJc w:val="left"/>
      <w:pPr>
        <w:tabs>
          <w:tab w:val="num" w:pos="1440"/>
        </w:tabs>
        <w:ind w:left="1440" w:hanging="360"/>
      </w:pPr>
      <w:rPr>
        <w:rFonts w:hint="default"/>
      </w:rPr>
    </w:lvl>
    <w:lvl w:ilvl="2" w:tplc="014AEE60">
      <w:start w:val="1"/>
      <w:numFmt w:val="decimal"/>
      <w:lvlText w:val="%3."/>
      <w:lvlJc w:val="left"/>
      <w:pPr>
        <w:tabs>
          <w:tab w:val="num" w:pos="2160"/>
        </w:tabs>
        <w:ind w:left="2160" w:hanging="360"/>
      </w:pPr>
      <w:rPr>
        <w:rFonts w:hint="default"/>
      </w:rPr>
    </w:lvl>
    <w:lvl w:ilvl="3" w:tplc="60285B7E">
      <w:start w:val="1"/>
      <w:numFmt w:val="decimal"/>
      <w:lvlText w:val="%4."/>
      <w:lvlJc w:val="left"/>
      <w:pPr>
        <w:tabs>
          <w:tab w:val="num" w:pos="2880"/>
        </w:tabs>
        <w:ind w:left="2880" w:hanging="360"/>
      </w:pPr>
      <w:rPr>
        <w:rFonts w:hint="default"/>
      </w:rPr>
    </w:lvl>
    <w:lvl w:ilvl="4" w:tplc="43604B96">
      <w:start w:val="1"/>
      <w:numFmt w:val="decimal"/>
      <w:lvlText w:val="%5."/>
      <w:lvlJc w:val="left"/>
      <w:pPr>
        <w:tabs>
          <w:tab w:val="num" w:pos="3600"/>
        </w:tabs>
        <w:ind w:left="3600" w:hanging="360"/>
      </w:pPr>
      <w:rPr>
        <w:rFonts w:hint="default"/>
      </w:rPr>
    </w:lvl>
    <w:lvl w:ilvl="5" w:tplc="28D4D3FC">
      <w:start w:val="1"/>
      <w:numFmt w:val="decimal"/>
      <w:lvlText w:val="%6."/>
      <w:lvlJc w:val="left"/>
      <w:pPr>
        <w:tabs>
          <w:tab w:val="num" w:pos="4320"/>
        </w:tabs>
        <w:ind w:left="4320" w:hanging="360"/>
      </w:pPr>
      <w:rPr>
        <w:rFonts w:hint="default"/>
      </w:rPr>
    </w:lvl>
    <w:lvl w:ilvl="6" w:tplc="15CA5232">
      <w:start w:val="1"/>
      <w:numFmt w:val="decimal"/>
      <w:lvlText w:val="%7."/>
      <w:lvlJc w:val="left"/>
      <w:pPr>
        <w:tabs>
          <w:tab w:val="num" w:pos="5040"/>
        </w:tabs>
        <w:ind w:left="5040" w:hanging="360"/>
      </w:pPr>
      <w:rPr>
        <w:rFonts w:hint="default"/>
      </w:rPr>
    </w:lvl>
    <w:lvl w:ilvl="7" w:tplc="C79647FA">
      <w:start w:val="1"/>
      <w:numFmt w:val="decimal"/>
      <w:lvlText w:val="%8."/>
      <w:lvlJc w:val="left"/>
      <w:pPr>
        <w:tabs>
          <w:tab w:val="num" w:pos="5760"/>
        </w:tabs>
        <w:ind w:left="5760" w:hanging="360"/>
      </w:pPr>
      <w:rPr>
        <w:rFonts w:hint="default"/>
      </w:rPr>
    </w:lvl>
    <w:lvl w:ilvl="8" w:tplc="8F34433A">
      <w:start w:val="1"/>
      <w:numFmt w:val="decimal"/>
      <w:lvlText w:val="%9."/>
      <w:lvlJc w:val="left"/>
      <w:pPr>
        <w:tabs>
          <w:tab w:val="num" w:pos="6480"/>
        </w:tabs>
        <w:ind w:left="6480" w:hanging="360"/>
      </w:pPr>
      <w:rPr>
        <w:rFonts w:hint="default"/>
      </w:rPr>
    </w:lvl>
  </w:abstractNum>
  <w:abstractNum w:abstractNumId="22">
    <w:nsid w:val="2FC37B3E"/>
    <w:multiLevelType w:val="hybridMultilevel"/>
    <w:tmpl w:val="E9EA3E56"/>
    <w:lvl w:ilvl="0" w:tplc="0A604350">
      <w:start w:val="1"/>
      <w:numFmt w:val="decimal"/>
      <w:lvlText w:val="%1)"/>
      <w:lvlJc w:val="left"/>
      <w:pPr>
        <w:ind w:left="720" w:hanging="360"/>
      </w:pPr>
      <w:rPr>
        <w:rFonts w:hint="default"/>
        <w:i/>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4107F84"/>
    <w:multiLevelType w:val="hybridMultilevel"/>
    <w:tmpl w:val="9BA0BBE8"/>
    <w:lvl w:ilvl="0" w:tplc="C1E29E1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tplc="646AA664">
      <w:numFmt w:val="decimal"/>
      <w:lvlText w:val=""/>
      <w:lvlJc w:val="left"/>
    </w:lvl>
    <w:lvl w:ilvl="2" w:tplc="F0BC18A8">
      <w:numFmt w:val="decimal"/>
      <w:lvlText w:val=""/>
      <w:lvlJc w:val="left"/>
    </w:lvl>
    <w:lvl w:ilvl="3" w:tplc="4DC29774">
      <w:numFmt w:val="decimal"/>
      <w:lvlText w:val=""/>
      <w:lvlJc w:val="left"/>
    </w:lvl>
    <w:lvl w:ilvl="4" w:tplc="D1B46716">
      <w:numFmt w:val="decimal"/>
      <w:lvlText w:val=""/>
      <w:lvlJc w:val="left"/>
    </w:lvl>
    <w:lvl w:ilvl="5" w:tplc="20E8E88C">
      <w:numFmt w:val="decimal"/>
      <w:lvlText w:val=""/>
      <w:lvlJc w:val="left"/>
    </w:lvl>
    <w:lvl w:ilvl="6" w:tplc="F022EF84">
      <w:numFmt w:val="decimal"/>
      <w:lvlText w:val=""/>
      <w:lvlJc w:val="left"/>
    </w:lvl>
    <w:lvl w:ilvl="7" w:tplc="1CC8ABB8">
      <w:numFmt w:val="decimal"/>
      <w:lvlText w:val=""/>
      <w:lvlJc w:val="left"/>
    </w:lvl>
    <w:lvl w:ilvl="8" w:tplc="324E1FD4">
      <w:numFmt w:val="decimal"/>
      <w:lvlText w:val=""/>
      <w:lvlJc w:val="left"/>
    </w:lvl>
  </w:abstractNum>
  <w:abstractNum w:abstractNumId="24">
    <w:nsid w:val="363A01CA"/>
    <w:multiLevelType w:val="hybridMultilevel"/>
    <w:tmpl w:val="2140F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D2620AE"/>
    <w:multiLevelType w:val="hybridMultilevel"/>
    <w:tmpl w:val="D3F0400A"/>
    <w:lvl w:ilvl="0" w:tplc="D250EE90">
      <w:start w:val="1"/>
      <w:numFmt w:val="bullet"/>
      <w:lvlText w:val="-"/>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3F3762C1"/>
    <w:multiLevelType w:val="hybridMultilevel"/>
    <w:tmpl w:val="C2D4C618"/>
    <w:lvl w:ilvl="0" w:tplc="0A862726">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single"/>
        <w:lang w:val="en-US" w:eastAsia="en-US" w:bidi="en-US"/>
      </w:rPr>
    </w:lvl>
    <w:lvl w:ilvl="1" w:tplc="401E2988">
      <w:numFmt w:val="decimal"/>
      <w:lvlText w:val=""/>
      <w:lvlJc w:val="left"/>
    </w:lvl>
    <w:lvl w:ilvl="2" w:tplc="B3D4772C">
      <w:numFmt w:val="decimal"/>
      <w:lvlText w:val=""/>
      <w:lvlJc w:val="left"/>
    </w:lvl>
    <w:lvl w:ilvl="3" w:tplc="35B831EA">
      <w:numFmt w:val="decimal"/>
      <w:lvlText w:val=""/>
      <w:lvlJc w:val="left"/>
    </w:lvl>
    <w:lvl w:ilvl="4" w:tplc="259050C0">
      <w:numFmt w:val="decimal"/>
      <w:lvlText w:val=""/>
      <w:lvlJc w:val="left"/>
    </w:lvl>
    <w:lvl w:ilvl="5" w:tplc="62DE5E90">
      <w:numFmt w:val="decimal"/>
      <w:lvlText w:val=""/>
      <w:lvlJc w:val="left"/>
    </w:lvl>
    <w:lvl w:ilvl="6" w:tplc="124AF570">
      <w:numFmt w:val="decimal"/>
      <w:lvlText w:val=""/>
      <w:lvlJc w:val="left"/>
    </w:lvl>
    <w:lvl w:ilvl="7" w:tplc="6A3272D2">
      <w:numFmt w:val="decimal"/>
      <w:lvlText w:val=""/>
      <w:lvlJc w:val="left"/>
    </w:lvl>
    <w:lvl w:ilvl="8" w:tplc="7DA6D742">
      <w:numFmt w:val="decimal"/>
      <w:lvlText w:val=""/>
      <w:lvlJc w:val="left"/>
    </w:lvl>
  </w:abstractNum>
  <w:abstractNum w:abstractNumId="27">
    <w:nsid w:val="3F4E5021"/>
    <w:multiLevelType w:val="multilevel"/>
    <w:tmpl w:val="95882486"/>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8">
    <w:nsid w:val="40C8758D"/>
    <w:multiLevelType w:val="multilevel"/>
    <w:tmpl w:val="B830C2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1437822"/>
    <w:multiLevelType w:val="hybridMultilevel"/>
    <w:tmpl w:val="EA9ADA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427256C0"/>
    <w:multiLevelType w:val="hybridMultilevel"/>
    <w:tmpl w:val="526C7502"/>
    <w:lvl w:ilvl="0" w:tplc="EA8CAF2E">
      <w:start w:val="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nsid w:val="435D05A5"/>
    <w:multiLevelType w:val="hybridMultilevel"/>
    <w:tmpl w:val="747AC8FE"/>
    <w:lvl w:ilvl="0" w:tplc="270AFF0E">
      <w:start w:val="1"/>
      <w:numFmt w:val="decimal"/>
      <w:lvlText w:val="%1."/>
      <w:lvlJc w:val="left"/>
      <w:pPr>
        <w:ind w:left="1080" w:hanging="360"/>
      </w:pPr>
      <w:rPr>
        <w:rFonts w:hint="default"/>
      </w:rPr>
    </w:lvl>
    <w:lvl w:ilvl="1" w:tplc="18090019">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2">
    <w:nsid w:val="47DB6FC0"/>
    <w:multiLevelType w:val="hybridMultilevel"/>
    <w:tmpl w:val="2272D984"/>
    <w:lvl w:ilvl="0" w:tplc="50AC474A">
      <w:start w:val="1"/>
      <w:numFmt w:val="decimal"/>
      <w:lvlText w:val="%1."/>
      <w:lvlJc w:val="left"/>
      <w:pPr>
        <w:tabs>
          <w:tab w:val="num" w:pos="720"/>
        </w:tabs>
        <w:ind w:left="720" w:hanging="360"/>
      </w:pPr>
      <w:rPr>
        <w:rFonts w:hint="default"/>
      </w:rPr>
    </w:lvl>
    <w:lvl w:ilvl="1" w:tplc="74AC658C">
      <w:start w:val="1"/>
      <w:numFmt w:val="decimal"/>
      <w:lvlText w:val="%2."/>
      <w:lvlJc w:val="left"/>
      <w:pPr>
        <w:tabs>
          <w:tab w:val="num" w:pos="1440"/>
        </w:tabs>
        <w:ind w:left="1440" w:hanging="360"/>
      </w:pPr>
      <w:rPr>
        <w:rFonts w:hint="default"/>
      </w:rPr>
    </w:lvl>
    <w:lvl w:ilvl="2" w:tplc="2CFE80D8">
      <w:start w:val="1"/>
      <w:numFmt w:val="decimal"/>
      <w:lvlText w:val="%3."/>
      <w:lvlJc w:val="left"/>
      <w:pPr>
        <w:tabs>
          <w:tab w:val="num" w:pos="2160"/>
        </w:tabs>
        <w:ind w:left="2160" w:hanging="360"/>
      </w:pPr>
      <w:rPr>
        <w:rFonts w:hint="default"/>
      </w:rPr>
    </w:lvl>
    <w:lvl w:ilvl="3" w:tplc="4468A490">
      <w:start w:val="1"/>
      <w:numFmt w:val="decimal"/>
      <w:lvlText w:val="%4."/>
      <w:lvlJc w:val="left"/>
      <w:pPr>
        <w:tabs>
          <w:tab w:val="num" w:pos="2880"/>
        </w:tabs>
        <w:ind w:left="2880" w:hanging="360"/>
      </w:pPr>
      <w:rPr>
        <w:rFonts w:hint="default"/>
      </w:rPr>
    </w:lvl>
    <w:lvl w:ilvl="4" w:tplc="B620604C">
      <w:start w:val="1"/>
      <w:numFmt w:val="decimal"/>
      <w:lvlText w:val="%5."/>
      <w:lvlJc w:val="left"/>
      <w:pPr>
        <w:tabs>
          <w:tab w:val="num" w:pos="3600"/>
        </w:tabs>
        <w:ind w:left="3600" w:hanging="360"/>
      </w:pPr>
      <w:rPr>
        <w:rFonts w:hint="default"/>
      </w:rPr>
    </w:lvl>
    <w:lvl w:ilvl="5" w:tplc="B5FE7332">
      <w:start w:val="1"/>
      <w:numFmt w:val="decimal"/>
      <w:lvlText w:val="%6."/>
      <w:lvlJc w:val="left"/>
      <w:pPr>
        <w:tabs>
          <w:tab w:val="num" w:pos="4320"/>
        </w:tabs>
        <w:ind w:left="4320" w:hanging="360"/>
      </w:pPr>
      <w:rPr>
        <w:rFonts w:hint="default"/>
      </w:rPr>
    </w:lvl>
    <w:lvl w:ilvl="6" w:tplc="A41C6E02">
      <w:start w:val="1"/>
      <w:numFmt w:val="decimal"/>
      <w:lvlText w:val="%7."/>
      <w:lvlJc w:val="left"/>
      <w:pPr>
        <w:tabs>
          <w:tab w:val="num" w:pos="5040"/>
        </w:tabs>
        <w:ind w:left="5040" w:hanging="360"/>
      </w:pPr>
      <w:rPr>
        <w:rFonts w:hint="default"/>
      </w:rPr>
    </w:lvl>
    <w:lvl w:ilvl="7" w:tplc="E634E456">
      <w:start w:val="1"/>
      <w:numFmt w:val="decimal"/>
      <w:lvlText w:val="%8."/>
      <w:lvlJc w:val="left"/>
      <w:pPr>
        <w:tabs>
          <w:tab w:val="num" w:pos="5760"/>
        </w:tabs>
        <w:ind w:left="5760" w:hanging="360"/>
      </w:pPr>
      <w:rPr>
        <w:rFonts w:hint="default"/>
      </w:rPr>
    </w:lvl>
    <w:lvl w:ilvl="8" w:tplc="577A75B0">
      <w:start w:val="1"/>
      <w:numFmt w:val="decimal"/>
      <w:lvlText w:val="%9."/>
      <w:lvlJc w:val="left"/>
      <w:pPr>
        <w:tabs>
          <w:tab w:val="num" w:pos="6480"/>
        </w:tabs>
        <w:ind w:left="6480" w:hanging="360"/>
      </w:pPr>
      <w:rPr>
        <w:rFonts w:hint="default"/>
      </w:rPr>
    </w:lvl>
  </w:abstractNum>
  <w:abstractNum w:abstractNumId="33">
    <w:nsid w:val="491D15CB"/>
    <w:multiLevelType w:val="multilevel"/>
    <w:tmpl w:val="F94A1C94"/>
    <w:lvl w:ilvl="0">
      <w:start w:val="1"/>
      <w:numFmt w:val="decimal"/>
      <w:lvlText w:val="%1."/>
      <w:lvlJc w:val="left"/>
      <w:pPr>
        <w:ind w:left="360" w:hanging="360"/>
      </w:pPr>
      <w:rPr>
        <w:color w:val="FFFFFF" w:themeColor="background1"/>
      </w:rPr>
    </w:lvl>
    <w:lvl w:ilvl="1">
      <w:start w:val="1"/>
      <w:numFmt w:val="decima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34">
    <w:nsid w:val="4CBB7487"/>
    <w:multiLevelType w:val="hybridMultilevel"/>
    <w:tmpl w:val="09AA42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FEE1899"/>
    <w:multiLevelType w:val="hybridMultilevel"/>
    <w:tmpl w:val="2D822C8C"/>
    <w:lvl w:ilvl="0" w:tplc="0809000F">
      <w:start w:val="1"/>
      <w:numFmt w:val="decimal"/>
      <w:lvlText w:val="%1."/>
      <w:lvlJc w:val="left"/>
      <w:pPr>
        <w:ind w:left="6240" w:hanging="360"/>
      </w:pPr>
    </w:lvl>
    <w:lvl w:ilvl="1" w:tplc="08090019" w:tentative="1">
      <w:start w:val="1"/>
      <w:numFmt w:val="lowerLetter"/>
      <w:lvlText w:val="%2."/>
      <w:lvlJc w:val="left"/>
      <w:pPr>
        <w:ind w:left="6960" w:hanging="360"/>
      </w:pPr>
    </w:lvl>
    <w:lvl w:ilvl="2" w:tplc="0809001B" w:tentative="1">
      <w:start w:val="1"/>
      <w:numFmt w:val="lowerRoman"/>
      <w:lvlText w:val="%3."/>
      <w:lvlJc w:val="right"/>
      <w:pPr>
        <w:ind w:left="7680" w:hanging="180"/>
      </w:pPr>
    </w:lvl>
    <w:lvl w:ilvl="3" w:tplc="0809000F" w:tentative="1">
      <w:start w:val="1"/>
      <w:numFmt w:val="decimal"/>
      <w:lvlText w:val="%4."/>
      <w:lvlJc w:val="left"/>
      <w:pPr>
        <w:ind w:left="8400" w:hanging="360"/>
      </w:pPr>
    </w:lvl>
    <w:lvl w:ilvl="4" w:tplc="08090019" w:tentative="1">
      <w:start w:val="1"/>
      <w:numFmt w:val="lowerLetter"/>
      <w:lvlText w:val="%5."/>
      <w:lvlJc w:val="left"/>
      <w:pPr>
        <w:ind w:left="9120" w:hanging="360"/>
      </w:pPr>
    </w:lvl>
    <w:lvl w:ilvl="5" w:tplc="0809001B" w:tentative="1">
      <w:start w:val="1"/>
      <w:numFmt w:val="lowerRoman"/>
      <w:lvlText w:val="%6."/>
      <w:lvlJc w:val="right"/>
      <w:pPr>
        <w:ind w:left="9840" w:hanging="180"/>
      </w:pPr>
    </w:lvl>
    <w:lvl w:ilvl="6" w:tplc="0809000F" w:tentative="1">
      <w:start w:val="1"/>
      <w:numFmt w:val="decimal"/>
      <w:lvlText w:val="%7."/>
      <w:lvlJc w:val="left"/>
      <w:pPr>
        <w:ind w:left="10560" w:hanging="360"/>
      </w:pPr>
    </w:lvl>
    <w:lvl w:ilvl="7" w:tplc="08090019" w:tentative="1">
      <w:start w:val="1"/>
      <w:numFmt w:val="lowerLetter"/>
      <w:lvlText w:val="%8."/>
      <w:lvlJc w:val="left"/>
      <w:pPr>
        <w:ind w:left="11280" w:hanging="360"/>
      </w:pPr>
    </w:lvl>
    <w:lvl w:ilvl="8" w:tplc="0809001B" w:tentative="1">
      <w:start w:val="1"/>
      <w:numFmt w:val="lowerRoman"/>
      <w:lvlText w:val="%9."/>
      <w:lvlJc w:val="right"/>
      <w:pPr>
        <w:ind w:left="12000" w:hanging="180"/>
      </w:pPr>
    </w:lvl>
  </w:abstractNum>
  <w:abstractNum w:abstractNumId="36">
    <w:nsid w:val="528F048A"/>
    <w:multiLevelType w:val="hybridMultilevel"/>
    <w:tmpl w:val="28106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2DA3FEE"/>
    <w:multiLevelType w:val="hybridMultilevel"/>
    <w:tmpl w:val="810C10B2"/>
    <w:lvl w:ilvl="0" w:tplc="2E420CA6">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nsid w:val="5B516E63"/>
    <w:multiLevelType w:val="hybridMultilevel"/>
    <w:tmpl w:val="36F4B2C2"/>
    <w:lvl w:ilvl="0" w:tplc="6808953A">
      <w:start w:val="2"/>
      <w:numFmt w:val="lowerLetter"/>
      <w:lvlText w:val="%1."/>
      <w:lvlJc w:val="left"/>
      <w:pPr>
        <w:tabs>
          <w:tab w:val="num" w:pos="785"/>
        </w:tabs>
        <w:ind w:left="785" w:hanging="360"/>
      </w:pPr>
      <w:rPr>
        <w:b/>
        <w:bCs/>
      </w:rPr>
    </w:lvl>
    <w:lvl w:ilvl="1" w:tplc="DD165348" w:tentative="1">
      <w:start w:val="1"/>
      <w:numFmt w:val="lowerLetter"/>
      <w:lvlText w:val="%2."/>
      <w:lvlJc w:val="left"/>
      <w:pPr>
        <w:tabs>
          <w:tab w:val="num" w:pos="1505"/>
        </w:tabs>
        <w:ind w:left="1505" w:hanging="360"/>
      </w:pPr>
    </w:lvl>
    <w:lvl w:ilvl="2" w:tplc="642A141C" w:tentative="1">
      <w:start w:val="1"/>
      <w:numFmt w:val="lowerLetter"/>
      <w:lvlText w:val="%3."/>
      <w:lvlJc w:val="left"/>
      <w:pPr>
        <w:tabs>
          <w:tab w:val="num" w:pos="2225"/>
        </w:tabs>
        <w:ind w:left="2225" w:hanging="360"/>
      </w:pPr>
    </w:lvl>
    <w:lvl w:ilvl="3" w:tplc="C67C28AC" w:tentative="1">
      <w:start w:val="1"/>
      <w:numFmt w:val="lowerLetter"/>
      <w:lvlText w:val="%4."/>
      <w:lvlJc w:val="left"/>
      <w:pPr>
        <w:tabs>
          <w:tab w:val="num" w:pos="2945"/>
        </w:tabs>
        <w:ind w:left="2945" w:hanging="360"/>
      </w:pPr>
    </w:lvl>
    <w:lvl w:ilvl="4" w:tplc="DC0429DC" w:tentative="1">
      <w:start w:val="1"/>
      <w:numFmt w:val="lowerLetter"/>
      <w:lvlText w:val="%5."/>
      <w:lvlJc w:val="left"/>
      <w:pPr>
        <w:tabs>
          <w:tab w:val="num" w:pos="3665"/>
        </w:tabs>
        <w:ind w:left="3665" w:hanging="360"/>
      </w:pPr>
    </w:lvl>
    <w:lvl w:ilvl="5" w:tplc="611CD770" w:tentative="1">
      <w:start w:val="1"/>
      <w:numFmt w:val="lowerLetter"/>
      <w:lvlText w:val="%6."/>
      <w:lvlJc w:val="left"/>
      <w:pPr>
        <w:tabs>
          <w:tab w:val="num" w:pos="4385"/>
        </w:tabs>
        <w:ind w:left="4385" w:hanging="360"/>
      </w:pPr>
    </w:lvl>
    <w:lvl w:ilvl="6" w:tplc="72DE142A">
      <w:start w:val="1"/>
      <w:numFmt w:val="lowerLetter"/>
      <w:lvlText w:val="%7."/>
      <w:lvlJc w:val="left"/>
      <w:pPr>
        <w:tabs>
          <w:tab w:val="num" w:pos="5105"/>
        </w:tabs>
        <w:ind w:left="5105" w:hanging="360"/>
      </w:pPr>
    </w:lvl>
    <w:lvl w:ilvl="7" w:tplc="EB8E24A6" w:tentative="1">
      <w:start w:val="1"/>
      <w:numFmt w:val="lowerLetter"/>
      <w:lvlText w:val="%8."/>
      <w:lvlJc w:val="left"/>
      <w:pPr>
        <w:tabs>
          <w:tab w:val="num" w:pos="5825"/>
        </w:tabs>
        <w:ind w:left="5825" w:hanging="360"/>
      </w:pPr>
    </w:lvl>
    <w:lvl w:ilvl="8" w:tplc="4F12CD28" w:tentative="1">
      <w:start w:val="1"/>
      <w:numFmt w:val="lowerLetter"/>
      <w:lvlText w:val="%9."/>
      <w:lvlJc w:val="left"/>
      <w:pPr>
        <w:tabs>
          <w:tab w:val="num" w:pos="6545"/>
        </w:tabs>
        <w:ind w:left="6545" w:hanging="360"/>
      </w:pPr>
    </w:lvl>
  </w:abstractNum>
  <w:abstractNum w:abstractNumId="39">
    <w:nsid w:val="5BF341B8"/>
    <w:multiLevelType w:val="hybridMultilevel"/>
    <w:tmpl w:val="F21A838A"/>
    <w:lvl w:ilvl="0" w:tplc="8E363F3E">
      <w:start w:val="2"/>
      <w:numFmt w:val="bullet"/>
      <w:lvlText w:val="-"/>
      <w:lvlJc w:val="left"/>
      <w:pPr>
        <w:ind w:left="720" w:hanging="360"/>
      </w:pPr>
      <w:rPr>
        <w:rFonts w:ascii="Times New Roman" w:eastAsia="Times New Roman" w:hAnsi="Times New Roman" w:cs="Times New Roman" w:hint="default"/>
      </w:rPr>
    </w:lvl>
    <w:lvl w:ilvl="1" w:tplc="B0321AD0">
      <w:start w:val="3"/>
      <w:numFmt w:val="bullet"/>
      <w:lvlText w:val="•"/>
      <w:lvlJc w:val="left"/>
      <w:pPr>
        <w:ind w:left="1800" w:hanging="72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0E4593C"/>
    <w:multiLevelType w:val="hybridMultilevel"/>
    <w:tmpl w:val="1368CBBE"/>
    <w:lvl w:ilvl="0" w:tplc="69FC80D8">
      <w:start w:val="1"/>
      <w:numFmt w:val="decimal"/>
      <w:lvlText w:val="%1."/>
      <w:lvlJc w:val="left"/>
      <w:pPr>
        <w:tabs>
          <w:tab w:val="num" w:pos="720"/>
        </w:tabs>
        <w:ind w:left="720" w:hanging="360"/>
      </w:pPr>
    </w:lvl>
    <w:lvl w:ilvl="1" w:tplc="81623626">
      <w:start w:val="1"/>
      <w:numFmt w:val="decimal"/>
      <w:lvlText w:val="%2."/>
      <w:lvlJc w:val="left"/>
      <w:pPr>
        <w:tabs>
          <w:tab w:val="num" w:pos="1440"/>
        </w:tabs>
        <w:ind w:left="1440" w:hanging="360"/>
      </w:pPr>
    </w:lvl>
    <w:lvl w:ilvl="2" w:tplc="C7580FA8" w:tentative="1">
      <w:start w:val="1"/>
      <w:numFmt w:val="decimal"/>
      <w:lvlText w:val="%3."/>
      <w:lvlJc w:val="left"/>
      <w:pPr>
        <w:tabs>
          <w:tab w:val="num" w:pos="2160"/>
        </w:tabs>
        <w:ind w:left="2160" w:hanging="360"/>
      </w:pPr>
    </w:lvl>
    <w:lvl w:ilvl="3" w:tplc="1360A52C" w:tentative="1">
      <w:start w:val="1"/>
      <w:numFmt w:val="decimal"/>
      <w:lvlText w:val="%4."/>
      <w:lvlJc w:val="left"/>
      <w:pPr>
        <w:tabs>
          <w:tab w:val="num" w:pos="2880"/>
        </w:tabs>
        <w:ind w:left="2880" w:hanging="360"/>
      </w:pPr>
    </w:lvl>
    <w:lvl w:ilvl="4" w:tplc="F4B0B258" w:tentative="1">
      <w:start w:val="1"/>
      <w:numFmt w:val="decimal"/>
      <w:lvlText w:val="%5."/>
      <w:lvlJc w:val="left"/>
      <w:pPr>
        <w:tabs>
          <w:tab w:val="num" w:pos="3600"/>
        </w:tabs>
        <w:ind w:left="3600" w:hanging="360"/>
      </w:pPr>
    </w:lvl>
    <w:lvl w:ilvl="5" w:tplc="8B047E22" w:tentative="1">
      <w:start w:val="1"/>
      <w:numFmt w:val="decimal"/>
      <w:lvlText w:val="%6."/>
      <w:lvlJc w:val="left"/>
      <w:pPr>
        <w:tabs>
          <w:tab w:val="num" w:pos="4320"/>
        </w:tabs>
        <w:ind w:left="4320" w:hanging="360"/>
      </w:pPr>
    </w:lvl>
    <w:lvl w:ilvl="6" w:tplc="6554AC2E" w:tentative="1">
      <w:start w:val="1"/>
      <w:numFmt w:val="decimal"/>
      <w:lvlText w:val="%7."/>
      <w:lvlJc w:val="left"/>
      <w:pPr>
        <w:tabs>
          <w:tab w:val="num" w:pos="5040"/>
        </w:tabs>
        <w:ind w:left="5040" w:hanging="360"/>
      </w:pPr>
    </w:lvl>
    <w:lvl w:ilvl="7" w:tplc="FB72DD9E" w:tentative="1">
      <w:start w:val="1"/>
      <w:numFmt w:val="decimal"/>
      <w:lvlText w:val="%8."/>
      <w:lvlJc w:val="left"/>
      <w:pPr>
        <w:tabs>
          <w:tab w:val="num" w:pos="5760"/>
        </w:tabs>
        <w:ind w:left="5760" w:hanging="360"/>
      </w:pPr>
    </w:lvl>
    <w:lvl w:ilvl="8" w:tplc="B97C3EC6" w:tentative="1">
      <w:start w:val="1"/>
      <w:numFmt w:val="decimal"/>
      <w:lvlText w:val="%9."/>
      <w:lvlJc w:val="left"/>
      <w:pPr>
        <w:tabs>
          <w:tab w:val="num" w:pos="6480"/>
        </w:tabs>
        <w:ind w:left="6480" w:hanging="360"/>
      </w:pPr>
    </w:lvl>
  </w:abstractNum>
  <w:abstractNum w:abstractNumId="41">
    <w:nsid w:val="612752C7"/>
    <w:multiLevelType w:val="hybridMultilevel"/>
    <w:tmpl w:val="A4D2BD64"/>
    <w:lvl w:ilvl="0" w:tplc="FC4223A4">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2080CDE"/>
    <w:multiLevelType w:val="hybridMultilevel"/>
    <w:tmpl w:val="8F6EE310"/>
    <w:lvl w:ilvl="0" w:tplc="69FAF722">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3">
    <w:nsid w:val="639750FB"/>
    <w:multiLevelType w:val="hybridMultilevel"/>
    <w:tmpl w:val="5F54B024"/>
    <w:lvl w:ilvl="0" w:tplc="FE1C3FA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62B5C67"/>
    <w:multiLevelType w:val="multilevel"/>
    <w:tmpl w:val="40D2097A"/>
    <w:lvl w:ilvl="0">
      <w:start w:val="1"/>
      <w:numFmt w:val="bullet"/>
      <w:pStyle w:val="ListDash"/>
      <w:lvlText w:val="–"/>
      <w:lvlJc w:val="left"/>
      <w:pPr>
        <w:tabs>
          <w:tab w:val="num" w:pos="283"/>
        </w:tabs>
        <w:ind w:left="283" w:hanging="283"/>
      </w:pPr>
      <w:rPr>
        <w:rFonts w:ascii="Times New Roman" w:hAnsi="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7613B4E"/>
    <w:multiLevelType w:val="hybridMultilevel"/>
    <w:tmpl w:val="8912E126"/>
    <w:lvl w:ilvl="0" w:tplc="A7D40704">
      <w:start w:val="9"/>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68930A4C"/>
    <w:multiLevelType w:val="hybridMultilevel"/>
    <w:tmpl w:val="112C4734"/>
    <w:lvl w:ilvl="0" w:tplc="EB6C35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B771598"/>
    <w:multiLevelType w:val="hybridMultilevel"/>
    <w:tmpl w:val="2D822C8C"/>
    <w:lvl w:ilvl="0" w:tplc="0809000F">
      <w:start w:val="1"/>
      <w:numFmt w:val="decimal"/>
      <w:lvlText w:val="%1."/>
      <w:lvlJc w:val="left"/>
      <w:pPr>
        <w:ind w:left="4080" w:hanging="360"/>
      </w:pPr>
    </w:lvl>
    <w:lvl w:ilvl="1" w:tplc="08090019" w:tentative="1">
      <w:start w:val="1"/>
      <w:numFmt w:val="lowerLetter"/>
      <w:lvlText w:val="%2."/>
      <w:lvlJc w:val="left"/>
      <w:pPr>
        <w:ind w:left="4800" w:hanging="360"/>
      </w:pPr>
    </w:lvl>
    <w:lvl w:ilvl="2" w:tplc="0809001B" w:tentative="1">
      <w:start w:val="1"/>
      <w:numFmt w:val="lowerRoman"/>
      <w:lvlText w:val="%3."/>
      <w:lvlJc w:val="right"/>
      <w:pPr>
        <w:ind w:left="5520" w:hanging="180"/>
      </w:pPr>
    </w:lvl>
    <w:lvl w:ilvl="3" w:tplc="0809000F" w:tentative="1">
      <w:start w:val="1"/>
      <w:numFmt w:val="decimal"/>
      <w:lvlText w:val="%4."/>
      <w:lvlJc w:val="left"/>
      <w:pPr>
        <w:ind w:left="6240" w:hanging="360"/>
      </w:pPr>
    </w:lvl>
    <w:lvl w:ilvl="4" w:tplc="08090019" w:tentative="1">
      <w:start w:val="1"/>
      <w:numFmt w:val="lowerLetter"/>
      <w:lvlText w:val="%5."/>
      <w:lvlJc w:val="left"/>
      <w:pPr>
        <w:ind w:left="6960" w:hanging="360"/>
      </w:pPr>
    </w:lvl>
    <w:lvl w:ilvl="5" w:tplc="0809001B" w:tentative="1">
      <w:start w:val="1"/>
      <w:numFmt w:val="lowerRoman"/>
      <w:lvlText w:val="%6."/>
      <w:lvlJc w:val="right"/>
      <w:pPr>
        <w:ind w:left="7680" w:hanging="180"/>
      </w:pPr>
    </w:lvl>
    <w:lvl w:ilvl="6" w:tplc="0809000F" w:tentative="1">
      <w:start w:val="1"/>
      <w:numFmt w:val="decimal"/>
      <w:lvlText w:val="%7."/>
      <w:lvlJc w:val="left"/>
      <w:pPr>
        <w:ind w:left="8400" w:hanging="360"/>
      </w:pPr>
    </w:lvl>
    <w:lvl w:ilvl="7" w:tplc="08090019" w:tentative="1">
      <w:start w:val="1"/>
      <w:numFmt w:val="lowerLetter"/>
      <w:lvlText w:val="%8."/>
      <w:lvlJc w:val="left"/>
      <w:pPr>
        <w:ind w:left="9120" w:hanging="360"/>
      </w:pPr>
    </w:lvl>
    <w:lvl w:ilvl="8" w:tplc="0809001B" w:tentative="1">
      <w:start w:val="1"/>
      <w:numFmt w:val="lowerRoman"/>
      <w:lvlText w:val="%9."/>
      <w:lvlJc w:val="right"/>
      <w:pPr>
        <w:ind w:left="9840" w:hanging="180"/>
      </w:pPr>
    </w:lvl>
  </w:abstractNum>
  <w:abstractNum w:abstractNumId="48">
    <w:nsid w:val="73E30B7C"/>
    <w:multiLevelType w:val="hybridMultilevel"/>
    <w:tmpl w:val="6B08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66E3610"/>
    <w:multiLevelType w:val="hybridMultilevel"/>
    <w:tmpl w:val="B6986C5A"/>
    <w:lvl w:ilvl="0" w:tplc="0AD86AB2">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91C02EF"/>
    <w:multiLevelType w:val="multilevel"/>
    <w:tmpl w:val="C49AE90A"/>
    <w:lvl w:ilvl="0">
      <w:start w:val="1"/>
      <w:numFmt w:val="decimal"/>
      <w:lvlText w:val="%1."/>
      <w:lvlJc w:val="left"/>
      <w:pPr>
        <w:ind w:left="720" w:hanging="360"/>
      </w:pPr>
      <w:rPr>
        <w:rFonts w:ascii="Times New Roman" w:hAnsi="Times New Roman" w:cs="Times New Roman"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7A847717"/>
    <w:multiLevelType w:val="multilevel"/>
    <w:tmpl w:val="F2EC095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B761EB9"/>
    <w:multiLevelType w:val="hybridMultilevel"/>
    <w:tmpl w:val="CB68CC20"/>
    <w:lvl w:ilvl="0" w:tplc="EA8CAF2E">
      <w:start w:val="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3">
    <w:nsid w:val="7C981E98"/>
    <w:multiLevelType w:val="hybridMultilevel"/>
    <w:tmpl w:val="CE7CF238"/>
    <w:lvl w:ilvl="0" w:tplc="52E20FE6">
      <w:start w:val="1"/>
      <w:numFmt w:val="lowerLetter"/>
      <w:lvlText w:val="%1."/>
      <w:lvlJc w:val="left"/>
      <w:pPr>
        <w:tabs>
          <w:tab w:val="num" w:pos="720"/>
        </w:tabs>
        <w:ind w:left="720" w:hanging="360"/>
      </w:pPr>
    </w:lvl>
    <w:lvl w:ilvl="1" w:tplc="72080AB4" w:tentative="1">
      <w:start w:val="1"/>
      <w:numFmt w:val="lowerLetter"/>
      <w:lvlText w:val="%2."/>
      <w:lvlJc w:val="left"/>
      <w:pPr>
        <w:tabs>
          <w:tab w:val="num" w:pos="1440"/>
        </w:tabs>
        <w:ind w:left="1440" w:hanging="360"/>
      </w:pPr>
    </w:lvl>
    <w:lvl w:ilvl="2" w:tplc="1F90590E" w:tentative="1">
      <w:start w:val="1"/>
      <w:numFmt w:val="lowerLetter"/>
      <w:lvlText w:val="%3."/>
      <w:lvlJc w:val="left"/>
      <w:pPr>
        <w:tabs>
          <w:tab w:val="num" w:pos="2160"/>
        </w:tabs>
        <w:ind w:left="2160" w:hanging="360"/>
      </w:pPr>
    </w:lvl>
    <w:lvl w:ilvl="3" w:tplc="C406B4C6" w:tentative="1">
      <w:start w:val="1"/>
      <w:numFmt w:val="lowerLetter"/>
      <w:lvlText w:val="%4."/>
      <w:lvlJc w:val="left"/>
      <w:pPr>
        <w:tabs>
          <w:tab w:val="num" w:pos="2880"/>
        </w:tabs>
        <w:ind w:left="2880" w:hanging="360"/>
      </w:pPr>
    </w:lvl>
    <w:lvl w:ilvl="4" w:tplc="964A442A" w:tentative="1">
      <w:start w:val="1"/>
      <w:numFmt w:val="lowerLetter"/>
      <w:lvlText w:val="%5."/>
      <w:lvlJc w:val="left"/>
      <w:pPr>
        <w:tabs>
          <w:tab w:val="num" w:pos="3600"/>
        </w:tabs>
        <w:ind w:left="3600" w:hanging="360"/>
      </w:pPr>
    </w:lvl>
    <w:lvl w:ilvl="5" w:tplc="644E6BCC" w:tentative="1">
      <w:start w:val="1"/>
      <w:numFmt w:val="lowerLetter"/>
      <w:lvlText w:val="%6."/>
      <w:lvlJc w:val="left"/>
      <w:pPr>
        <w:tabs>
          <w:tab w:val="num" w:pos="4320"/>
        </w:tabs>
        <w:ind w:left="4320" w:hanging="360"/>
      </w:pPr>
    </w:lvl>
    <w:lvl w:ilvl="6" w:tplc="D6E48E4E" w:tentative="1">
      <w:start w:val="1"/>
      <w:numFmt w:val="lowerLetter"/>
      <w:lvlText w:val="%7."/>
      <w:lvlJc w:val="left"/>
      <w:pPr>
        <w:tabs>
          <w:tab w:val="num" w:pos="5040"/>
        </w:tabs>
        <w:ind w:left="5040" w:hanging="360"/>
      </w:pPr>
    </w:lvl>
    <w:lvl w:ilvl="7" w:tplc="B4AA651A" w:tentative="1">
      <w:start w:val="1"/>
      <w:numFmt w:val="lowerLetter"/>
      <w:lvlText w:val="%8."/>
      <w:lvlJc w:val="left"/>
      <w:pPr>
        <w:tabs>
          <w:tab w:val="num" w:pos="5760"/>
        </w:tabs>
        <w:ind w:left="5760" w:hanging="360"/>
      </w:pPr>
    </w:lvl>
    <w:lvl w:ilvl="8" w:tplc="09B0ED3A" w:tentative="1">
      <w:start w:val="1"/>
      <w:numFmt w:val="lowerLetter"/>
      <w:lvlText w:val="%9."/>
      <w:lvlJc w:val="left"/>
      <w:pPr>
        <w:tabs>
          <w:tab w:val="num" w:pos="6480"/>
        </w:tabs>
        <w:ind w:left="6480" w:hanging="360"/>
      </w:pPr>
    </w:lvl>
  </w:abstractNum>
  <w:abstractNum w:abstractNumId="54">
    <w:nsid w:val="7CF23618"/>
    <w:multiLevelType w:val="hybridMultilevel"/>
    <w:tmpl w:val="E8B4F658"/>
    <w:lvl w:ilvl="0" w:tplc="982E9588">
      <w:start w:val="7"/>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nsid w:val="7DD94E22"/>
    <w:multiLevelType w:val="hybridMultilevel"/>
    <w:tmpl w:val="55A0443E"/>
    <w:lvl w:ilvl="0" w:tplc="5B5EA016">
      <w:start w:val="1"/>
      <w:numFmt w:val="bullet"/>
      <w:lvlText w:val=""/>
      <w:lvlJc w:val="left"/>
      <w:pPr>
        <w:tabs>
          <w:tab w:val="num" w:pos="720"/>
        </w:tabs>
        <w:ind w:left="720" w:hanging="360"/>
      </w:pPr>
      <w:rPr>
        <w:rFonts w:ascii="Wingdings" w:hAnsi="Wingdings" w:hint="default"/>
        <w:sz w:val="20"/>
      </w:rPr>
    </w:lvl>
    <w:lvl w:ilvl="1" w:tplc="1AD235AA" w:tentative="1">
      <w:start w:val="1"/>
      <w:numFmt w:val="bullet"/>
      <w:lvlText w:val=""/>
      <w:lvlJc w:val="left"/>
      <w:pPr>
        <w:tabs>
          <w:tab w:val="num" w:pos="1440"/>
        </w:tabs>
        <w:ind w:left="1440" w:hanging="360"/>
      </w:pPr>
      <w:rPr>
        <w:rFonts w:ascii="Wingdings" w:hAnsi="Wingdings" w:hint="default"/>
        <w:sz w:val="20"/>
      </w:rPr>
    </w:lvl>
    <w:lvl w:ilvl="2" w:tplc="1D4084AE" w:tentative="1">
      <w:start w:val="1"/>
      <w:numFmt w:val="bullet"/>
      <w:lvlText w:val=""/>
      <w:lvlJc w:val="left"/>
      <w:pPr>
        <w:tabs>
          <w:tab w:val="num" w:pos="2160"/>
        </w:tabs>
        <w:ind w:left="2160" w:hanging="360"/>
      </w:pPr>
      <w:rPr>
        <w:rFonts w:ascii="Wingdings" w:hAnsi="Wingdings" w:hint="default"/>
        <w:sz w:val="20"/>
      </w:rPr>
    </w:lvl>
    <w:lvl w:ilvl="3" w:tplc="ADB6CCAA" w:tentative="1">
      <w:start w:val="1"/>
      <w:numFmt w:val="bullet"/>
      <w:lvlText w:val=""/>
      <w:lvlJc w:val="left"/>
      <w:pPr>
        <w:tabs>
          <w:tab w:val="num" w:pos="2880"/>
        </w:tabs>
        <w:ind w:left="2880" w:hanging="360"/>
      </w:pPr>
      <w:rPr>
        <w:rFonts w:ascii="Wingdings" w:hAnsi="Wingdings" w:hint="default"/>
        <w:sz w:val="20"/>
      </w:rPr>
    </w:lvl>
    <w:lvl w:ilvl="4" w:tplc="5480427C" w:tentative="1">
      <w:start w:val="1"/>
      <w:numFmt w:val="bullet"/>
      <w:lvlText w:val=""/>
      <w:lvlJc w:val="left"/>
      <w:pPr>
        <w:tabs>
          <w:tab w:val="num" w:pos="3600"/>
        </w:tabs>
        <w:ind w:left="3600" w:hanging="360"/>
      </w:pPr>
      <w:rPr>
        <w:rFonts w:ascii="Wingdings" w:hAnsi="Wingdings" w:hint="default"/>
        <w:sz w:val="20"/>
      </w:rPr>
    </w:lvl>
    <w:lvl w:ilvl="5" w:tplc="E658609E" w:tentative="1">
      <w:start w:val="1"/>
      <w:numFmt w:val="bullet"/>
      <w:lvlText w:val=""/>
      <w:lvlJc w:val="left"/>
      <w:pPr>
        <w:tabs>
          <w:tab w:val="num" w:pos="4320"/>
        </w:tabs>
        <w:ind w:left="4320" w:hanging="360"/>
      </w:pPr>
      <w:rPr>
        <w:rFonts w:ascii="Wingdings" w:hAnsi="Wingdings" w:hint="default"/>
        <w:sz w:val="20"/>
      </w:rPr>
    </w:lvl>
    <w:lvl w:ilvl="6" w:tplc="F6A82952" w:tentative="1">
      <w:start w:val="1"/>
      <w:numFmt w:val="bullet"/>
      <w:lvlText w:val=""/>
      <w:lvlJc w:val="left"/>
      <w:pPr>
        <w:tabs>
          <w:tab w:val="num" w:pos="5040"/>
        </w:tabs>
        <w:ind w:left="5040" w:hanging="360"/>
      </w:pPr>
      <w:rPr>
        <w:rFonts w:ascii="Wingdings" w:hAnsi="Wingdings" w:hint="default"/>
        <w:sz w:val="20"/>
      </w:rPr>
    </w:lvl>
    <w:lvl w:ilvl="7" w:tplc="878C68DC" w:tentative="1">
      <w:start w:val="1"/>
      <w:numFmt w:val="bullet"/>
      <w:lvlText w:val=""/>
      <w:lvlJc w:val="left"/>
      <w:pPr>
        <w:tabs>
          <w:tab w:val="num" w:pos="5760"/>
        </w:tabs>
        <w:ind w:left="5760" w:hanging="360"/>
      </w:pPr>
      <w:rPr>
        <w:rFonts w:ascii="Wingdings" w:hAnsi="Wingdings" w:hint="default"/>
        <w:sz w:val="20"/>
      </w:rPr>
    </w:lvl>
    <w:lvl w:ilvl="8" w:tplc="231AF36E" w:tentative="1">
      <w:start w:val="1"/>
      <w:numFmt w:val="bullet"/>
      <w:lvlText w:val=""/>
      <w:lvlJc w:val="left"/>
      <w:pPr>
        <w:tabs>
          <w:tab w:val="num" w:pos="6480"/>
        </w:tabs>
        <w:ind w:left="6480" w:hanging="360"/>
      </w:pPr>
      <w:rPr>
        <w:rFonts w:ascii="Wingdings" w:hAnsi="Wingdings" w:hint="default"/>
        <w:sz w:val="20"/>
      </w:rPr>
    </w:lvl>
  </w:abstractNum>
  <w:abstractNum w:abstractNumId="56">
    <w:nsid w:val="7FCA2B80"/>
    <w:multiLevelType w:val="multilevel"/>
    <w:tmpl w:val="2BA49BE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53"/>
  </w:num>
  <w:num w:numId="3">
    <w:abstractNumId w:val="38"/>
  </w:num>
  <w:num w:numId="4">
    <w:abstractNumId w:val="40"/>
  </w:num>
  <w:num w:numId="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num>
  <w:num w:numId="11">
    <w:abstractNumId w:val="55"/>
  </w:num>
  <w:num w:numId="12">
    <w:abstractNumId w:val="21"/>
  </w:num>
  <w:num w:numId="13">
    <w:abstractNumId w:val="24"/>
  </w:num>
  <w:num w:numId="14">
    <w:abstractNumId w:val="50"/>
  </w:num>
  <w:num w:numId="15">
    <w:abstractNumId w:val="31"/>
  </w:num>
  <w:num w:numId="16">
    <w:abstractNumId w:val="6"/>
  </w:num>
  <w:num w:numId="17">
    <w:abstractNumId w:val="36"/>
  </w:num>
  <w:num w:numId="18">
    <w:abstractNumId w:val="7"/>
  </w:num>
  <w:num w:numId="19">
    <w:abstractNumId w:val="39"/>
  </w:num>
  <w:num w:numId="20">
    <w:abstractNumId w:val="54"/>
  </w:num>
  <w:num w:numId="21">
    <w:abstractNumId w:val="3"/>
  </w:num>
  <w:num w:numId="22">
    <w:abstractNumId w:val="29"/>
  </w:num>
  <w:num w:numId="23">
    <w:abstractNumId w:val="49"/>
  </w:num>
  <w:num w:numId="24">
    <w:abstractNumId w:val="44"/>
  </w:num>
  <w:num w:numId="25">
    <w:abstractNumId w:val="25"/>
  </w:num>
  <w:num w:numId="26">
    <w:abstractNumId w:val="32"/>
  </w:num>
  <w:num w:numId="27">
    <w:abstractNumId w:val="14"/>
  </w:num>
  <w:num w:numId="28">
    <w:abstractNumId w:val="22"/>
  </w:num>
  <w:num w:numId="29">
    <w:abstractNumId w:val="47"/>
  </w:num>
  <w:num w:numId="30">
    <w:abstractNumId w:val="8"/>
  </w:num>
  <w:num w:numId="31">
    <w:abstractNumId w:val="26"/>
  </w:num>
  <w:num w:numId="32">
    <w:abstractNumId w:val="56"/>
  </w:num>
  <w:num w:numId="33">
    <w:abstractNumId w:val="23"/>
  </w:num>
  <w:num w:numId="34">
    <w:abstractNumId w:val="41"/>
  </w:num>
  <w:num w:numId="35">
    <w:abstractNumId w:val="12"/>
  </w:num>
  <w:num w:numId="36">
    <w:abstractNumId w:val="18"/>
  </w:num>
  <w:num w:numId="37">
    <w:abstractNumId w:val="52"/>
  </w:num>
  <w:num w:numId="38">
    <w:abstractNumId w:val="9"/>
  </w:num>
  <w:num w:numId="39">
    <w:abstractNumId w:val="11"/>
  </w:num>
  <w:num w:numId="40">
    <w:abstractNumId w:val="2"/>
  </w:num>
  <w:num w:numId="41">
    <w:abstractNumId w:val="13"/>
  </w:num>
  <w:num w:numId="42">
    <w:abstractNumId w:val="28"/>
  </w:num>
  <w:num w:numId="43">
    <w:abstractNumId w:val="1"/>
  </w:num>
  <w:num w:numId="44">
    <w:abstractNumId w:val="20"/>
  </w:num>
  <w:num w:numId="45">
    <w:abstractNumId w:val="20"/>
  </w:num>
  <w:num w:numId="46">
    <w:abstractNumId w:val="20"/>
  </w:num>
  <w:num w:numId="47">
    <w:abstractNumId w:val="46"/>
  </w:num>
  <w:num w:numId="48">
    <w:abstractNumId w:val="51"/>
  </w:num>
  <w:num w:numId="49">
    <w:abstractNumId w:val="43"/>
  </w:num>
  <w:num w:numId="50">
    <w:abstractNumId w:val="45"/>
  </w:num>
  <w:num w:numId="51">
    <w:abstractNumId w:val="48"/>
  </w:num>
  <w:num w:numId="52">
    <w:abstractNumId w:val="34"/>
  </w:num>
  <w:num w:numId="53">
    <w:abstractNumId w:val="16"/>
  </w:num>
  <w:num w:numId="54">
    <w:abstractNumId w:val="4"/>
  </w:num>
  <w:num w:numId="55">
    <w:abstractNumId w:val="5"/>
  </w:num>
  <w:num w:numId="56">
    <w:abstractNumId w:val="35"/>
  </w:num>
  <w:num w:numId="57">
    <w:abstractNumId w:val="0"/>
  </w:num>
  <w:num w:numId="58">
    <w:abstractNumId w:val="17"/>
  </w:num>
  <w:num w:numId="59">
    <w:abstractNumId w:val="19"/>
  </w:num>
  <w:num w:numId="60">
    <w:abstractNumId w:val="1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fr-FR" w:vendorID="64" w:dllVersion="6" w:nlCheck="1" w:checkStyle="0"/>
  <w:activeWritingStyle w:appName="MSWord" w:lang="en-GB" w:vendorID="64" w:dllVersion="6" w:nlCheck="1" w:checkStyle="1"/>
  <w:activeWritingStyle w:appName="MSWord" w:lang="de-DE" w:vendorID="64" w:dllVersion="6" w:nlCheck="1" w:checkStyle="0"/>
  <w:activeWritingStyle w:appName="MSWord" w:lang="fr-BE" w:vendorID="64" w:dllVersion="6" w:nlCheck="1" w:checkStyle="0"/>
  <w:activeWritingStyle w:appName="MSWord" w:lang="en-US" w:vendorID="64" w:dllVersion="6" w:nlCheck="1" w:checkStyle="1"/>
  <w:activeWritingStyle w:appName="MSWord" w:lang="it-IT"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it-IT" w:vendorID="64" w:dllVersion="4096" w:nlCheck="1" w:checkStyle="0"/>
  <w:activeWritingStyle w:appName="MSWord" w:lang="fr-BE" w:vendorID="64" w:dllVersion="4096" w:nlCheck="1" w:checkStyle="0"/>
  <w:activeWritingStyle w:appName="MSWord" w:lang="nl-NL" w:vendorID="64" w:dllVersion="4096" w:nlCheck="1" w:checkStyle="0"/>
  <w:activeWritingStyle w:appName="MSWord" w:lang="es-ES" w:vendorID="64" w:dllVersion="409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fr-BE"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0"/>
  <w:activeWritingStyle w:appName="MSWord" w:lang="de-DE" w:vendorID="64" w:dllVersion="131078" w:nlCheck="1" w:checkStyle="0"/>
  <w:activeWritingStyle w:appName="MSWord" w:lang="fr-BE" w:vendorID="64" w:dllVersion="131078" w:nlCheck="1" w:checkStyle="0"/>
  <w:activeWritingStyle w:appName="MSWord" w:lang="it-IT" w:vendorID="64" w:dllVersion="131078" w:nlCheck="1" w:checkStyle="0"/>
  <w:activeWritingStyle w:appName="MSWord" w:lang="nl-BE" w:vendorID="64" w:dllVersion="131078" w:nlCheck="1" w:checkStyle="0"/>
  <w:activeWritingStyle w:appName="MSWord" w:lang="es-ES" w:vendorID="64" w:dllVersion="131078" w:nlCheck="1" w:checkStyle="0"/>
  <w:activeWritingStyle w:appName="MSWord" w:lang="en-IE" w:vendorID="64" w:dllVersion="131078" w:nlCheck="1" w:checkStyle="1"/>
  <w:activeWritingStyle w:appName="MSWord" w:lang="da-DK" w:vendorID="64" w:dllVersion="131078" w:nlCheck="1" w:checkStyle="0"/>
  <w:activeWritingStyle w:appName="MSWord" w:lang="pt-PT" w:vendorID="64" w:dllVersion="131078" w:nlCheck="1" w:checkStyle="0"/>
  <w:activeWritingStyle w:appName="MSWord" w:lang="es-ES_tradnl" w:vendorID="64" w:dllVersion="131078" w:nlCheck="1" w:checkStyle="0"/>
  <w:revisionView w:markup="0"/>
  <w:defaultTabStop w:val="720"/>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C6E031AF-E9BA-4B99-82EF-C1EF26B25273"/>
    <w:docVar w:name="LW_COVERPAGE_TYPE" w:val="1"/>
    <w:docVar w:name="LW_CROSSREFERENCE" w:val="{COM(2021) 93 final} - {SEC(2021) 101 final} - {SWD(2021) 42 final}"/>
    <w:docVar w:name="LW_DocType" w:val="NORMAL"/>
    <w:docVar w:name="LW_EMISSION" w:val="4.3.2021"/>
    <w:docVar w:name="LW_EMISSION_ISODATE" w:val="2021-03-04"/>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to strengthen the application of the principle of equal pay for equal work or work of equal value between men and women through pay transparency and enforcement mechanisms_x000d__x000d__x000d__x000d__x000d__x000d__x000d__x000d__x000d__x000d__x000d__x000d__x000d__x000d__x000d__x000d__x000d__x000b_"/>
    <w:docVar w:name="LW_PART_NBR" w:val="1"/>
    <w:docVar w:name="LW_PART_NBR_TOTAL" w:val="1"/>
    <w:docVar w:name="LW_REF.INST.NEW" w:val="SWD"/>
    <w:docVar w:name="LW_REF.INST.NEW_ADOPTED" w:val="final"/>
    <w:docVar w:name="LW_REF.INST.NEW_TEXT" w:val="(2021) 4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Proposal for a _x000b_DIRECTIVE OF THE EUROPEAN PARLIAMENT AND OF THE COUNCIL"/>
  </w:docVar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Text1"/>
    <w:link w:val="Heading1Char"/>
    <w:qFormat/>
    <w:pPr>
      <w:keepNext/>
      <w:tabs>
        <w:tab w:val="num" w:pos="2640"/>
      </w:tabs>
      <w:spacing w:before="240" w:after="240" w:line="240" w:lineRule="auto"/>
      <w:ind w:left="2640" w:hanging="480"/>
      <w:jc w:val="both"/>
      <w:outlineLvl w:val="0"/>
    </w:pPr>
    <w:rPr>
      <w:rFonts w:ascii="Times New Roman" w:eastAsia="Times New Roman" w:hAnsi="Times New Roman" w:cs="Times New Roman"/>
      <w:b/>
      <w:smallCaps/>
      <w:sz w:val="24"/>
      <w:szCs w:val="20"/>
    </w:rPr>
  </w:style>
  <w:style w:type="paragraph" w:styleId="Heading2">
    <w:name w:val="heading 2"/>
    <w:basedOn w:val="Normal"/>
    <w:next w:val="Text2"/>
    <w:link w:val="Heading2Char"/>
    <w:qFormat/>
    <w:pPr>
      <w:keepNext/>
      <w:tabs>
        <w:tab w:val="num" w:pos="3306"/>
      </w:tabs>
      <w:spacing w:after="240" w:line="240" w:lineRule="auto"/>
      <w:ind w:left="3306" w:hanging="720"/>
      <w:jc w:val="both"/>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qFormat/>
    <w:pPr>
      <w:keepNext/>
      <w:tabs>
        <w:tab w:val="num" w:pos="4080"/>
      </w:tabs>
      <w:spacing w:after="240" w:line="240" w:lineRule="auto"/>
      <w:ind w:left="4080" w:hanging="720"/>
      <w:jc w:val="both"/>
      <w:outlineLvl w:val="2"/>
    </w:pPr>
    <w:rPr>
      <w:rFonts w:ascii="Times New Roman" w:eastAsia="Times New Roman" w:hAnsi="Times New Roman" w:cs="Times New Roman"/>
      <w:i/>
      <w:sz w:val="24"/>
      <w:szCs w:val="20"/>
    </w:rPr>
  </w:style>
  <w:style w:type="paragraph" w:styleId="Heading4">
    <w:name w:val="heading 4"/>
    <w:basedOn w:val="Normal"/>
    <w:next w:val="Normal"/>
    <w:link w:val="Heading4Char"/>
    <w:qFormat/>
    <w:pPr>
      <w:keepNext/>
      <w:tabs>
        <w:tab w:val="num" w:pos="2846"/>
        <w:tab w:val="num" w:pos="4122"/>
      </w:tabs>
      <w:spacing w:after="240" w:line="240" w:lineRule="auto"/>
      <w:ind w:left="2846" w:hanging="720"/>
      <w:jc w:val="both"/>
      <w:outlineLvl w:val="3"/>
    </w:pPr>
    <w:rPr>
      <w:rFonts w:ascii="Times New Roman" w:eastAsia="Times New Roman" w:hAnsi="Times New Roman" w:cs="Times New Roman"/>
      <w:sz w:val="24"/>
      <w:szCs w:val="20"/>
    </w:rPr>
  </w:style>
  <w:style w:type="paragraph" w:styleId="Heading5">
    <w:name w:val="heading 5"/>
    <w:basedOn w:val="Normal"/>
    <w:next w:val="Normal"/>
    <w:link w:val="Heading5Char"/>
    <w:uiPriority w:val="9"/>
    <w:unhideWhenUsed/>
    <w:qFormat/>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customStyle="1" w:styleId="Text2">
    <w:name w:val="Text 2"/>
    <w:basedOn w:val="Normal"/>
    <w:qFormat/>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ListBullet">
    <w:name w:val="List Bullet"/>
    <w:basedOn w:val="Normal"/>
    <w:pPr>
      <w:tabs>
        <w:tab w:val="num" w:pos="283"/>
      </w:tabs>
      <w:spacing w:after="240" w:line="240" w:lineRule="auto"/>
      <w:ind w:left="283" w:hanging="283"/>
      <w:jc w:val="both"/>
    </w:pPr>
    <w:rPr>
      <w:rFonts w:ascii="Times New Roman" w:eastAsia="Times New Roman" w:hAnsi="Times New Roman" w:cs="Times New Roman"/>
      <w:sz w:val="24"/>
      <w:szCs w:val="20"/>
    </w:rPr>
  </w:style>
  <w:style w:type="paragraph" w:customStyle="1" w:styleId="ListDash1">
    <w:name w:val="List Dash 1"/>
    <w:basedOn w:val="Text1"/>
    <w:pPr>
      <w:tabs>
        <w:tab w:val="num" w:pos="765"/>
      </w:tabs>
      <w:ind w:left="765" w:hanging="283"/>
    </w:pPr>
  </w:style>
  <w:style w:type="table" w:styleId="TableGrid">
    <w:name w:val="Table Grid"/>
    <w:aliases w:val="Document Table,CV1"/>
    <w:basedOn w:val="TableNormal"/>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pPr>
      <w:keepNext/>
      <w:spacing w:after="480" w:line="240" w:lineRule="auto"/>
      <w:jc w:val="center"/>
    </w:pPr>
    <w:rPr>
      <w:rFonts w:ascii="Times New Roman" w:eastAsia="Times New Roman" w:hAnsi="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pPr>
      <w:tabs>
        <w:tab w:val="right" w:leader="dot" w:pos="8640"/>
      </w:tabs>
      <w:spacing w:after="0" w:line="240" w:lineRule="auto"/>
      <w:ind w:left="482" w:right="720" w:hanging="482"/>
      <w:jc w:val="both"/>
    </w:pPr>
    <w:rPr>
      <w:rFonts w:ascii="Times New Roman" w:eastAsia="Times New Roman" w:hAnsi="Times New Roman" w:cs="Times New Roman"/>
      <w:caps/>
      <w:sz w:val="24"/>
      <w:szCs w:val="20"/>
    </w:rPr>
  </w:style>
  <w:style w:type="paragraph" w:styleId="TOC2">
    <w:name w:val="toc 2"/>
    <w:basedOn w:val="Normal"/>
    <w:next w:val="Normal"/>
    <w:uiPriority w:val="39"/>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rPr>
  </w:style>
  <w:style w:type="paragraph" w:styleId="TOCHeading">
    <w:name w:val="TOC Heading"/>
    <w:basedOn w:val="Normal"/>
    <w:next w:val="Normal"/>
    <w:uiPriority w:val="39"/>
    <w:qFormat/>
    <w:pPr>
      <w:keepNext/>
      <w:spacing w:before="240" w:after="240" w:line="240" w:lineRule="auto"/>
      <w:jc w:val="center"/>
    </w:pPr>
    <w:rPr>
      <w:rFonts w:ascii="Times New Roman" w:eastAsia="Times New Roman" w:hAnsi="Times New Roman" w:cs="Times New Roman"/>
      <w:b/>
      <w:sz w:val="24"/>
      <w:szCs w:val="20"/>
    </w:rPr>
  </w:style>
  <w:style w:type="character" w:styleId="Hyperlink">
    <w:name w:val="Hyperlink"/>
    <w:basedOn w:val="DefaultParagraphFont"/>
    <w:uiPriority w:val="99"/>
    <w:unhideWhenUsed/>
    <w:qFormat/>
    <w:rPr>
      <w:color w:val="0000FF" w:themeColor="hyperlink"/>
      <w:u w:val="single"/>
    </w:rPr>
  </w:style>
  <w:style w:type="paragraph" w:styleId="BalloonText">
    <w:name w:val="Balloon Text"/>
    <w:basedOn w:val="Normal"/>
    <w:link w:val="BalloonTextChar"/>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styleId="ListParagraph">
    <w:name w:val="List Paragraph"/>
    <w:basedOn w:val="Normal"/>
    <w:link w:val="ListParagraphChar"/>
    <w:uiPriority w:val="34"/>
    <w:qFormat/>
    <w:pPr>
      <w:ind w:left="720"/>
      <w:contextualSpacing/>
    </w:p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 w:type="paragraph" w:customStyle="1" w:styleId="HeaderSensitivityRight">
    <w:name w:val="Header Sensitivity Right"/>
    <w:basedOn w:val="Normal"/>
    <w:pPr>
      <w:spacing w:after="120" w:line="240" w:lineRule="auto"/>
      <w:jc w:val="right"/>
    </w:pPr>
    <w:rPr>
      <w:rFonts w:ascii="Times New Roman" w:hAnsi="Times New Roman" w:cs="Times New Roman"/>
      <w:sz w:val="28"/>
    </w:rPr>
  </w:style>
  <w:style w:type="paragraph" w:styleId="FootnoteText">
    <w:name w:val="footnote text"/>
    <w:aliases w:val="Footnote,Fußnote,Footnote text,Footnote Text Char Char Char Char,Footnote Text Char Char,Footnote Text Char Char Char Char Char,Footnote Text Char Char Char Char Char Char Char Char,Footnote Text Char Char Char,f t,ft,f,f ,fn,Char,o"/>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ootnote Char,Fußnote Char,Footnote text Char,Footnote Text Char Char Char Char Char1,Footnote Text Char Char Char1,Footnote Text Char Char Char Char Char Char,Footnote Text Char Char Char Char Char Char Char Char Char,f t Char,f Char"/>
    <w:basedOn w:val="DefaultParagraphFont"/>
    <w:link w:val="FootnoteText"/>
    <w:uiPriority w:val="99"/>
    <w:qFormat/>
    <w:rPr>
      <w:sz w:val="20"/>
      <w:szCs w:val="20"/>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B2,F,B21"/>
    <w:basedOn w:val="DefaultParagraphFont"/>
    <w:link w:val="FootnotesymbolCarZchn"/>
    <w:uiPriority w:val="99"/>
    <w:unhideWhenUsed/>
    <w:qFormat/>
    <w:rPr>
      <w:vertAlign w:val="superscript"/>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TMLCite">
    <w:name w:val="HTML Cite"/>
    <w:basedOn w:val="DefaultParagraphFont"/>
    <w:uiPriority w:val="99"/>
    <w:semiHidden/>
    <w:unhideWhenUsed/>
    <w:rPr>
      <w:i/>
      <w:iCs/>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before="60" w:after="160" w:line="240" w:lineRule="exact"/>
      <w:ind w:left="357" w:hanging="357"/>
      <w:jc w:val="both"/>
    </w:pPr>
    <w:rPr>
      <w:vertAlign w:val="superscript"/>
    </w:rPr>
  </w:style>
  <w:style w:type="character" w:customStyle="1" w:styleId="UnresolvedMention">
    <w:name w:val="Unresolved Mention"/>
    <w:basedOn w:val="DefaultParagraphFont"/>
    <w:uiPriority w:val="99"/>
    <w:semiHidden/>
    <w:unhideWhenUsed/>
    <w:rPr>
      <w:color w:val="605E5C"/>
      <w:shd w:val="clear" w:color="auto" w:fill="E1DFDD"/>
    </w:rPr>
  </w:style>
  <w:style w:type="paragraph" w:styleId="Revision">
    <w:name w:val="Revision"/>
    <w:hidden/>
    <w:uiPriority w:val="99"/>
    <w:semiHidden/>
    <w:pPr>
      <w:spacing w:after="0" w:line="240" w:lineRule="auto"/>
    </w:pPr>
  </w:style>
  <w:style w:type="character" w:customStyle="1" w:styleId="normaltextrun">
    <w:name w:val="normaltextrun"/>
    <w:basedOn w:val="DefaultParagraphFont"/>
  </w:style>
  <w:style w:type="character" w:customStyle="1" w:styleId="eop">
    <w:name w:val="eop"/>
    <w:basedOn w:val="DefaultParagraphFont"/>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textrun">
    <w:name w:val="textrun"/>
    <w:basedOn w:val="DefaultParagraphFont"/>
  </w:style>
  <w:style w:type="character" w:customStyle="1" w:styleId="findhit">
    <w:name w:val="findhit"/>
    <w:basedOn w:val="DefaultParagraphFont"/>
  </w:style>
  <w:style w:type="paragraph" w:styleId="TOC3">
    <w:name w:val="toc 3"/>
    <w:basedOn w:val="Normal"/>
    <w:next w:val="Normal"/>
    <w:autoRedefine/>
    <w:uiPriority w:val="39"/>
    <w:unhideWhenUsed/>
    <w:pPr>
      <w:spacing w:after="100"/>
      <w:ind w:left="440"/>
    </w:pPr>
  </w:style>
  <w:style w:type="character" w:customStyle="1" w:styleId="superscript">
    <w:name w:val="superscript"/>
    <w:basedOn w:val="DefaultParagraphFont"/>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outlineelement">
    <w:name w:val="outlineelement"/>
    <w:basedOn w:val="Normal"/>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pagebreakblob">
    <w:name w:val="pagebreakblob"/>
    <w:basedOn w:val="DefaultParagraphFont"/>
  </w:style>
  <w:style w:type="character" w:customStyle="1" w:styleId="pagebreakborderspan">
    <w:name w:val="pagebreakborderspan"/>
    <w:basedOn w:val="DefaultParagraphFont"/>
  </w:style>
  <w:style w:type="character" w:customStyle="1" w:styleId="pagebreaktextspan">
    <w:name w:val="pagebreaktextspan"/>
    <w:basedOn w:val="DefaultParagraphFont"/>
  </w:style>
  <w:style w:type="character" w:customStyle="1" w:styleId="spellingerror">
    <w:name w:val="spellingerror"/>
    <w:basedOn w:val="DefaultParagraphFont"/>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lang w:val="en-IE"/>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365F91" w:themeColor="accent1" w:themeShade="BF"/>
    </w:rPr>
  </w:style>
  <w:style w:type="table" w:customStyle="1" w:styleId="EFTableStyle">
    <w:name w:val="EF Table Style"/>
    <w:basedOn w:val="TableNormal"/>
    <w:uiPriority w:val="99"/>
    <w:pPr>
      <w:spacing w:after="0" w:line="240" w:lineRule="auto"/>
    </w:pPr>
    <w:rPr>
      <w:sz w:val="20"/>
    </w:rPr>
    <w:tblPr>
      <w:tblStyleRowBandSize w:val="1"/>
      <w:tblBorders>
        <w:top w:val="single" w:sz="4" w:space="0" w:color="009BD9"/>
        <w:bottom w:val="single" w:sz="4" w:space="0" w:color="009BD9"/>
        <w:insideH w:val="single" w:sz="4" w:space="0" w:color="009BD9"/>
        <w:insideV w:val="single" w:sz="4" w:space="0" w:color="009BD9"/>
      </w:tblBorders>
      <w:tblCellMar>
        <w:top w:w="28" w:type="dxa"/>
        <w:bottom w:w="28" w:type="dxa"/>
      </w:tblCellMar>
    </w:tblPr>
    <w:tblStylePr w:type="firstRow">
      <w:pPr>
        <w:jc w:val="center"/>
      </w:pPr>
      <w:rPr>
        <w:rFonts w:asciiTheme="minorHAnsi" w:hAnsiTheme="minorHAnsi"/>
        <w:b/>
        <w:color w:val="164194"/>
      </w:rPr>
    </w:tblStylePr>
    <w:tblStylePr w:type="firstCol">
      <w:rPr>
        <w:rFonts w:asciiTheme="minorHAnsi" w:hAnsiTheme="minorHAnsi"/>
        <w:b/>
        <w:color w:val="164194"/>
        <w:sz w:val="20"/>
      </w:rPr>
    </w:tblStylePr>
    <w:tblStylePr w:type="band1Horz">
      <w:tblPr/>
      <w:tcPr>
        <w:shd w:val="clear" w:color="auto" w:fill="F0F6FD"/>
      </w:tcPr>
    </w:tblStylePr>
  </w:style>
  <w:style w:type="paragraph" w:styleId="BodyText">
    <w:name w:val="Body Text"/>
    <w:basedOn w:val="Normal"/>
    <w:link w:val="BodyTextChar"/>
    <w:uiPriority w:val="1"/>
    <w:unhideWhenUsed/>
    <w:qFormat/>
    <w:pPr>
      <w:widowControl w:val="0"/>
      <w:spacing w:after="0" w:line="240" w:lineRule="auto"/>
    </w:pPr>
    <w:rPr>
      <w:rFonts w:ascii="Verdana" w:eastAsia="Verdana" w:hAnsi="Verdana" w:cs="Verdana"/>
      <w:sz w:val="20"/>
      <w:szCs w:val="20"/>
      <w:lang w:val="en-US"/>
    </w:rPr>
  </w:style>
  <w:style w:type="character" w:customStyle="1" w:styleId="BodyTextChar">
    <w:name w:val="Body Text Char"/>
    <w:basedOn w:val="DefaultParagraphFont"/>
    <w:link w:val="BodyText"/>
    <w:uiPriority w:val="1"/>
    <w:rPr>
      <w:rFonts w:ascii="Verdana" w:eastAsia="Verdana" w:hAnsi="Verdana" w:cs="Verdana"/>
      <w:sz w:val="20"/>
      <w:szCs w:val="20"/>
      <w:lang w:val="en-US"/>
    </w:rPr>
  </w:style>
  <w:style w:type="table" w:customStyle="1" w:styleId="GridTable5DarkAccent4">
    <w:name w:val="Grid Table 5 Dark Accent 4"/>
    <w:basedOn w:val="TableNormal"/>
    <w:uiPriority w:val="50"/>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ListTable3-Accent31">
    <w:name w:val="List Table 3 - Accent 31"/>
    <w:basedOn w:val="TableNormal"/>
    <w:uiPriority w:val="48"/>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styleId="ListNumber">
    <w:name w:val="List Number"/>
    <w:basedOn w:val="Normal"/>
    <w:pPr>
      <w:tabs>
        <w:tab w:val="num" w:pos="709"/>
      </w:tabs>
      <w:spacing w:after="240" w:line="240" w:lineRule="auto"/>
      <w:ind w:left="709" w:hanging="709"/>
      <w:jc w:val="both"/>
    </w:pPr>
    <w:rPr>
      <w:rFonts w:ascii="Times New Roman" w:eastAsia="Times New Roman" w:hAnsi="Times New Roman" w:cs="Times New Roman"/>
      <w:sz w:val="24"/>
      <w:szCs w:val="20"/>
    </w:rPr>
  </w:style>
  <w:style w:type="paragraph" w:customStyle="1" w:styleId="matrixnormaltext">
    <w:name w:val="matrix_normal text"/>
    <w:link w:val="matrixnormaltextChar"/>
    <w:uiPriority w:val="99"/>
    <w:pPr>
      <w:spacing w:after="0" w:line="280" w:lineRule="exact"/>
    </w:pPr>
    <w:rPr>
      <w:rFonts w:ascii="Arial" w:eastAsia="Times New Roman" w:hAnsi="Arial" w:cs="Times New Roman"/>
      <w:color w:val="000000"/>
      <w:sz w:val="20"/>
      <w:szCs w:val="20"/>
    </w:rPr>
  </w:style>
  <w:style w:type="character" w:customStyle="1" w:styleId="matrixnormaltextChar">
    <w:name w:val="matrix_normal text Char"/>
    <w:link w:val="matrixnormaltext"/>
    <w:uiPriority w:val="99"/>
    <w:locked/>
    <w:rPr>
      <w:rFonts w:ascii="Arial" w:eastAsia="Times New Roman" w:hAnsi="Arial" w:cs="Times New Roman"/>
      <w:color w:val="000000"/>
      <w:sz w:val="20"/>
      <w:szCs w:val="20"/>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customStyle="1" w:styleId="matrixappendixabstractheading">
    <w:name w:val="matrix_appendixabstract_heading"/>
    <w:basedOn w:val="matrixnormaltext"/>
    <w:next w:val="matrixnormaltext"/>
    <w:uiPriority w:val="99"/>
    <w:pPr>
      <w:spacing w:after="240" w:line="420" w:lineRule="exact"/>
    </w:pPr>
    <w:rPr>
      <w:color w:val="7AB66E"/>
      <w:sz w:val="30"/>
      <w:szCs w:val="30"/>
    </w:rPr>
  </w:style>
  <w:style w:type="table" w:customStyle="1" w:styleId="GridTable5DarkAccent2">
    <w:name w:val="Grid Table 5 Dark Accent 2"/>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customStyle="1" w:styleId="FootnotesymbolCharCharChar">
    <w:name w:val="Footnote symbol Char Char Char"/>
    <w:aliases w:val="Voetnootverwijzing Char Char Char,Times 10 Point Char Char Char,Exposant 3 Point Char Char Char, Exposant 3 Point Char Char Char,Footnote Reference Superscript Char Char Char,Footnote symbol Char,FR Char,FZ Char,4_G Char"/>
    <w:basedOn w:val="Normal"/>
    <w:uiPriority w:val="99"/>
    <w:pPr>
      <w:spacing w:after="160" w:line="240" w:lineRule="exact"/>
    </w:pPr>
    <w:rPr>
      <w:vertAlign w:val="superscript"/>
    </w:rPr>
  </w:style>
  <w:style w:type="paragraph" w:customStyle="1" w:styleId="Titolo11">
    <w:name w:val="Titolo 11"/>
    <w:basedOn w:val="Normal"/>
    <w:pPr>
      <w:spacing w:after="160" w:line="259" w:lineRule="auto"/>
      <w:ind w:left="432" w:hanging="432"/>
    </w:pPr>
    <w:rPr>
      <w:lang w:val="it-IT"/>
    </w:rPr>
  </w:style>
  <w:style w:type="paragraph" w:customStyle="1" w:styleId="Titolo21">
    <w:name w:val="Titolo 21"/>
    <w:basedOn w:val="Normal"/>
    <w:pPr>
      <w:spacing w:after="160" w:line="259" w:lineRule="auto"/>
      <w:ind w:left="576" w:hanging="576"/>
    </w:pPr>
    <w:rPr>
      <w:lang w:val="it-IT"/>
    </w:rPr>
  </w:style>
  <w:style w:type="paragraph" w:customStyle="1" w:styleId="Titolo31">
    <w:name w:val="Titolo 31"/>
    <w:basedOn w:val="Normal"/>
    <w:pPr>
      <w:spacing w:after="160" w:line="259" w:lineRule="auto"/>
      <w:ind w:left="720" w:hanging="720"/>
    </w:pPr>
    <w:rPr>
      <w:lang w:val="it-IT"/>
    </w:rPr>
  </w:style>
  <w:style w:type="paragraph" w:customStyle="1" w:styleId="Titolo41">
    <w:name w:val="Titolo 41"/>
    <w:basedOn w:val="Normal"/>
    <w:link w:val="Titolo4Char"/>
    <w:pPr>
      <w:spacing w:after="160" w:line="259" w:lineRule="auto"/>
      <w:ind w:left="864" w:hanging="864"/>
    </w:pPr>
    <w:rPr>
      <w:lang w:val="it-IT"/>
    </w:rPr>
  </w:style>
  <w:style w:type="paragraph" w:customStyle="1" w:styleId="Titolo51">
    <w:name w:val="Titolo 51"/>
    <w:basedOn w:val="Normal"/>
    <w:link w:val="Titolo5Char"/>
    <w:pPr>
      <w:spacing w:after="160" w:line="259" w:lineRule="auto"/>
      <w:ind w:left="1008" w:hanging="1008"/>
    </w:pPr>
    <w:rPr>
      <w:lang w:val="it-IT"/>
    </w:rPr>
  </w:style>
  <w:style w:type="paragraph" w:customStyle="1" w:styleId="Titolo61">
    <w:name w:val="Titolo 61"/>
    <w:basedOn w:val="Normal"/>
    <w:pPr>
      <w:spacing w:after="160" w:line="259" w:lineRule="auto"/>
      <w:ind w:left="1152" w:hanging="1152"/>
    </w:pPr>
    <w:rPr>
      <w:lang w:val="it-IT"/>
    </w:rPr>
  </w:style>
  <w:style w:type="paragraph" w:customStyle="1" w:styleId="Titolo71">
    <w:name w:val="Titolo 71"/>
    <w:basedOn w:val="Normal"/>
    <w:pPr>
      <w:spacing w:after="160" w:line="259" w:lineRule="auto"/>
      <w:ind w:left="1296" w:hanging="1296"/>
    </w:pPr>
    <w:rPr>
      <w:lang w:val="it-IT"/>
    </w:rPr>
  </w:style>
  <w:style w:type="paragraph" w:customStyle="1" w:styleId="Titolo81">
    <w:name w:val="Titolo 81"/>
    <w:basedOn w:val="Normal"/>
    <w:pPr>
      <w:spacing w:after="160" w:line="259" w:lineRule="auto"/>
      <w:ind w:left="1440" w:hanging="1440"/>
    </w:pPr>
    <w:rPr>
      <w:lang w:val="it-IT"/>
    </w:rPr>
  </w:style>
  <w:style w:type="paragraph" w:customStyle="1" w:styleId="Titolo91">
    <w:name w:val="Titolo 91"/>
    <w:basedOn w:val="Normal"/>
    <w:pPr>
      <w:spacing w:after="160" w:line="259" w:lineRule="auto"/>
      <w:ind w:left="1584" w:hanging="1584"/>
    </w:pPr>
    <w:rPr>
      <w:lang w:val="it-IT"/>
    </w:rPr>
  </w:style>
  <w:style w:type="paragraph" w:customStyle="1" w:styleId="Title2">
    <w:name w:val="Title 2"/>
    <w:basedOn w:val="Titolo21"/>
    <w:link w:val="Title2Char"/>
    <w:qFormat/>
    <w:rPr>
      <w:b/>
      <w:bCs/>
      <w:lang w:val="en-GB"/>
    </w:rPr>
  </w:style>
  <w:style w:type="paragraph" w:customStyle="1" w:styleId="Title3">
    <w:name w:val="Title 3"/>
    <w:basedOn w:val="Titolo31"/>
    <w:link w:val="Title3Char"/>
    <w:qFormat/>
    <w:rPr>
      <w:i/>
      <w:iCs/>
      <w:lang w:val="en-GB"/>
    </w:rPr>
  </w:style>
  <w:style w:type="character" w:customStyle="1" w:styleId="Title2Char">
    <w:name w:val="Title 2 Char"/>
    <w:basedOn w:val="DefaultParagraphFont"/>
    <w:link w:val="Title2"/>
    <w:rPr>
      <w:b/>
      <w:bCs/>
    </w:rPr>
  </w:style>
  <w:style w:type="character" w:customStyle="1" w:styleId="Title3Char">
    <w:name w:val="Title 3 Char"/>
    <w:basedOn w:val="DefaultParagraphFont"/>
    <w:link w:val="Title3"/>
    <w:rPr>
      <w:i/>
      <w:iCs/>
    </w:rPr>
  </w:style>
  <w:style w:type="paragraph" w:customStyle="1" w:styleId="TableHeading">
    <w:name w:val="TableHeading"/>
    <w:aliases w:val="TableHeadingWhite"/>
    <w:basedOn w:val="Normal"/>
    <w:uiPriority w:val="30"/>
    <w:qFormat/>
    <w:pPr>
      <w:spacing w:before="120" w:after="0" w:line="240" w:lineRule="auto"/>
      <w:ind w:left="113"/>
    </w:pPr>
    <w:rPr>
      <w:rFonts w:ascii="Verdana" w:hAnsi="Verdana"/>
      <w:b/>
      <w:color w:val="FFFFFF" w:themeColor="background1"/>
      <w:sz w:val="20"/>
    </w:rPr>
  </w:style>
  <w:style w:type="paragraph" w:customStyle="1" w:styleId="TableText">
    <w:name w:val="TableText"/>
    <w:aliases w:val="TableTextNoSpace"/>
    <w:basedOn w:val="Normal"/>
    <w:uiPriority w:val="15"/>
    <w:qFormat/>
    <w:pPr>
      <w:spacing w:before="120" w:after="0" w:line="240" w:lineRule="auto"/>
      <w:ind w:left="113"/>
    </w:pPr>
    <w:rPr>
      <w:rFonts w:ascii="Verdana" w:hAnsi="Verdana"/>
      <w:color w:val="000000" w:themeColor="text1"/>
      <w:sz w:val="20"/>
    </w:rPr>
  </w:style>
  <w:style w:type="table" w:customStyle="1" w:styleId="GridTable4Accent4">
    <w:name w:val="Grid Table 4 Accent 4"/>
    <w:basedOn w:val="TableNormal"/>
    <w:uiPriority w:val="49"/>
    <w:pPr>
      <w:spacing w:after="0" w:line="240" w:lineRule="auto"/>
    </w:pPr>
    <w:rPr>
      <w:lang w:val="fr-FR"/>
    </w:rPr>
    <w:tblPr>
      <w:tblStyleRowBandSize w:val="1"/>
      <w:tblStyleColBandSize w:val="1"/>
      <w:tblInd w:w="0" w:type="nil"/>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Title4">
    <w:name w:val="Title 4"/>
    <w:basedOn w:val="Titolo41"/>
    <w:link w:val="Title4Char"/>
    <w:qFormat/>
    <w:pPr>
      <w:ind w:left="2880" w:hanging="360"/>
    </w:pPr>
    <w:rPr>
      <w:sz w:val="20"/>
      <w:szCs w:val="20"/>
    </w:rPr>
  </w:style>
  <w:style w:type="paragraph" w:customStyle="1" w:styleId="Title5">
    <w:name w:val="Title 5"/>
    <w:basedOn w:val="Titolo51"/>
    <w:link w:val="Title5Char"/>
    <w:qFormat/>
    <w:pPr>
      <w:ind w:firstLine="0"/>
    </w:pPr>
    <w:rPr>
      <w:i/>
      <w:iCs/>
      <w:sz w:val="20"/>
      <w:szCs w:val="20"/>
    </w:rPr>
  </w:style>
  <w:style w:type="character" w:customStyle="1" w:styleId="Titolo4Char">
    <w:name w:val="Titolo 4 Char"/>
    <w:basedOn w:val="DefaultParagraphFont"/>
    <w:link w:val="Titolo41"/>
    <w:rPr>
      <w:lang w:val="it-IT"/>
    </w:rPr>
  </w:style>
  <w:style w:type="character" w:customStyle="1" w:styleId="Title4Char">
    <w:name w:val="Title 4 Char"/>
    <w:basedOn w:val="Titolo4Char"/>
    <w:link w:val="Title4"/>
    <w:rPr>
      <w:sz w:val="20"/>
      <w:szCs w:val="20"/>
      <w:lang w:val="it-IT"/>
    </w:rPr>
  </w:style>
  <w:style w:type="character" w:customStyle="1" w:styleId="Titolo5Char">
    <w:name w:val="Titolo 5 Char"/>
    <w:basedOn w:val="DefaultParagraphFont"/>
    <w:link w:val="Titolo51"/>
    <w:rPr>
      <w:lang w:val="it-IT"/>
    </w:rPr>
  </w:style>
  <w:style w:type="character" w:customStyle="1" w:styleId="Title5Char">
    <w:name w:val="Title 5 Char"/>
    <w:basedOn w:val="Titolo5Char"/>
    <w:link w:val="Title5"/>
    <w:rPr>
      <w:i/>
      <w:iCs/>
      <w:sz w:val="20"/>
      <w:szCs w:val="20"/>
      <w:lang w:val="it-IT"/>
    </w:rPr>
  </w:style>
  <w:style w:type="paragraph" w:styleId="Caption">
    <w:name w:val="caption"/>
    <w:basedOn w:val="Normal"/>
    <w:next w:val="Normal"/>
    <w:uiPriority w:val="35"/>
    <w:unhideWhenUsed/>
    <w:qFormat/>
    <w:pPr>
      <w:spacing w:line="240" w:lineRule="auto"/>
    </w:pPr>
    <w:rPr>
      <w:i/>
      <w:iCs/>
      <w:color w:val="1F497D" w:themeColor="text2"/>
      <w:sz w:val="18"/>
      <w:szCs w:val="18"/>
      <w:lang w:val="it-IT"/>
    </w:rPr>
  </w:style>
  <w:style w:type="paragraph" w:styleId="PlainText">
    <w:name w:val="Plain Text"/>
    <w:basedOn w:val="Normal"/>
    <w:link w:val="PlainTextChar"/>
    <w:uiPriority w:val="99"/>
    <w:unhideWhenUsed/>
    <w:pPr>
      <w:spacing w:after="0" w:line="240" w:lineRule="auto"/>
    </w:pPr>
    <w:rPr>
      <w:rFonts w:ascii="Calibri" w:hAnsi="Calibri"/>
      <w:szCs w:val="21"/>
      <w:lang w:val="fr-FR"/>
    </w:rPr>
  </w:style>
  <w:style w:type="character" w:customStyle="1" w:styleId="PlainTextChar">
    <w:name w:val="Plain Text Char"/>
    <w:basedOn w:val="DefaultParagraphFont"/>
    <w:link w:val="PlainText"/>
    <w:uiPriority w:val="99"/>
    <w:rPr>
      <w:rFonts w:ascii="Calibri" w:hAnsi="Calibri"/>
      <w:szCs w:val="21"/>
      <w:lang w:val="fr-FR"/>
    </w:rPr>
  </w:style>
  <w:style w:type="table" w:customStyle="1" w:styleId="GridTable5DarkAccent1">
    <w:name w:val="Grid Table 5 Dark Accent 1"/>
    <w:basedOn w:val="TableNormal"/>
    <w:uiPriority w:val="50"/>
    <w:pPr>
      <w:spacing w:after="0"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ListParagraphChar">
    <w:name w:val="List Paragraph Char"/>
    <w:link w:val="ListParagraph"/>
    <w:uiPriority w:val="34"/>
    <w:locked/>
  </w:style>
  <w:style w:type="paragraph" w:customStyle="1" w:styleId="ListDash">
    <w:name w:val="List Dash"/>
    <w:basedOn w:val="Normal"/>
    <w:pPr>
      <w:numPr>
        <w:numId w:val="24"/>
      </w:numPr>
      <w:spacing w:after="240" w:line="240" w:lineRule="auto"/>
      <w:jc w:val="both"/>
    </w:pPr>
    <w:rPr>
      <w:rFonts w:ascii="Times New Roman" w:eastAsia="Times New Roman" w:hAnsi="Times New Roman" w:cs="Times New Roman"/>
      <w:sz w:val="24"/>
      <w:szCs w:val="20"/>
    </w:rPr>
  </w:style>
  <w:style w:type="table" w:customStyle="1" w:styleId="CV14">
    <w:name w:val="CV14"/>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
    <w:name w:val="Grid Table 4 Accent 5"/>
    <w:basedOn w:val="TableNormal"/>
    <w:uiPriority w:val="49"/>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c02alineaalta">
    <w:name w:val="c02alineaalta"/>
    <w:basedOn w:val="Normal"/>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table" w:customStyle="1" w:styleId="CV15">
    <w:name w:val="CV15"/>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
    <w:name w:val="Grid Table 4 Accent 2"/>
    <w:basedOn w:val="TableNormal"/>
    <w:uiPriority w:val="49"/>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Bodytext2">
    <w:name w:val="Body text|2_"/>
    <w:basedOn w:val="DefaultParagraphFont"/>
    <w:link w:val="Bodytext20"/>
    <w:rPr>
      <w:shd w:val="clear" w:color="auto" w:fill="FFFFFF"/>
    </w:rPr>
  </w:style>
  <w:style w:type="character" w:customStyle="1" w:styleId="Bodytext3">
    <w:name w:val="Body text|3_"/>
    <w:basedOn w:val="DefaultParagraphFont"/>
    <w:link w:val="Bodytext30"/>
    <w:rPr>
      <w:shd w:val="clear" w:color="auto" w:fill="FFFFFF"/>
    </w:rPr>
  </w:style>
  <w:style w:type="character" w:customStyle="1" w:styleId="Bodytext4">
    <w:name w:val="Body text|4_"/>
    <w:basedOn w:val="DefaultParagraphFont"/>
    <w:rPr>
      <w:b/>
      <w:bCs/>
      <w:i w:val="0"/>
      <w:iCs w:val="0"/>
      <w:smallCaps w:val="0"/>
      <w:strike w:val="0"/>
      <w:u w:val="none"/>
    </w:rPr>
  </w:style>
  <w:style w:type="character" w:customStyle="1" w:styleId="Bodytext40">
    <w:name w:val="Body text|4"/>
    <w:basedOn w:val="Bodytext4"/>
    <w:semiHidden/>
    <w:unhideWhenUsed/>
    <w:rPr>
      <w:rFonts w:ascii="Times New Roman" w:eastAsia="Times New Roman" w:hAnsi="Times New Roman" w:cs="Times New Roman"/>
      <w:b/>
      <w:bCs/>
      <w:i w:val="0"/>
      <w:iCs w:val="0"/>
      <w:smallCaps w:val="0"/>
      <w:strike w:val="0"/>
      <w:color w:val="000000"/>
      <w:spacing w:val="0"/>
      <w:w w:val="100"/>
      <w:position w:val="0"/>
      <w:sz w:val="24"/>
      <w:szCs w:val="24"/>
      <w:u w:val="single"/>
      <w:lang w:val="en-US" w:eastAsia="en-US" w:bidi="en-US"/>
    </w:rPr>
  </w:style>
  <w:style w:type="character" w:customStyle="1" w:styleId="Bodytext5">
    <w:name w:val="Body text|5_"/>
    <w:basedOn w:val="DefaultParagraphFont"/>
    <w:link w:val="Bodytext50"/>
    <w:rPr>
      <w:b/>
      <w:bCs/>
      <w:sz w:val="15"/>
      <w:szCs w:val="15"/>
      <w:shd w:val="clear" w:color="auto" w:fill="FFFFFF"/>
    </w:rPr>
  </w:style>
  <w:style w:type="paragraph" w:customStyle="1" w:styleId="Bodytext20">
    <w:name w:val="Body text|2"/>
    <w:basedOn w:val="Normal"/>
    <w:link w:val="Bodytext2"/>
    <w:qFormat/>
    <w:pPr>
      <w:widowControl w:val="0"/>
      <w:shd w:val="clear" w:color="auto" w:fill="FFFFFF"/>
      <w:spacing w:after="0" w:line="266" w:lineRule="exact"/>
    </w:pPr>
  </w:style>
  <w:style w:type="paragraph" w:customStyle="1" w:styleId="Bodytext30">
    <w:name w:val="Body text|3"/>
    <w:basedOn w:val="Normal"/>
    <w:link w:val="Bodytext3"/>
    <w:pPr>
      <w:widowControl w:val="0"/>
      <w:shd w:val="clear" w:color="auto" w:fill="FFFFFF"/>
      <w:spacing w:after="420" w:line="244" w:lineRule="exact"/>
      <w:ind w:hanging="460"/>
    </w:pPr>
  </w:style>
  <w:style w:type="paragraph" w:customStyle="1" w:styleId="Bodytext50">
    <w:name w:val="Body text|5"/>
    <w:basedOn w:val="Normal"/>
    <w:link w:val="Bodytext5"/>
    <w:pPr>
      <w:widowControl w:val="0"/>
      <w:shd w:val="clear" w:color="auto" w:fill="FFFFFF"/>
      <w:spacing w:before="120" w:after="0" w:line="166" w:lineRule="exact"/>
      <w:ind w:hanging="460"/>
      <w:jc w:val="both"/>
    </w:pPr>
    <w:rPr>
      <w:b/>
      <w:bCs/>
      <w:sz w:val="15"/>
      <w:szCs w:val="15"/>
    </w:rPr>
  </w:style>
  <w:style w:type="table" w:customStyle="1" w:styleId="GridTable5DarkAccent3">
    <w:name w:val="Grid Table 5 Dark Accent 3"/>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5DarkAccent5">
    <w:name w:val="Grid Table 5 Dark Accent 5"/>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6">
    <w:name w:val="Grid Table 5 Dark Accent 6"/>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character" w:styleId="IntenseReference">
    <w:name w:val="Intense Reference"/>
    <w:uiPriority w:val="32"/>
    <w:qFormat/>
    <w:rPr>
      <w:b/>
      <w:bCs/>
      <w:smallCaps/>
      <w:color w:val="5B9BD5"/>
      <w:spacing w:val="5"/>
    </w:rPr>
  </w:style>
  <w:style w:type="paragraph" w:customStyle="1" w:styleId="LegalNumPar">
    <w:name w:val="LegalNumPar"/>
    <w:basedOn w:val="Normal"/>
    <w:pPr>
      <w:numPr>
        <w:numId w:val="46"/>
      </w:numPr>
      <w:spacing w:line="360" w:lineRule="auto"/>
    </w:pPr>
    <w:rPr>
      <w:sz w:val="24"/>
    </w:rPr>
  </w:style>
  <w:style w:type="paragraph" w:customStyle="1" w:styleId="LegalNumPar2">
    <w:name w:val="LegalNumPar2"/>
    <w:basedOn w:val="Normal"/>
    <w:pPr>
      <w:numPr>
        <w:ilvl w:val="1"/>
        <w:numId w:val="46"/>
      </w:numPr>
      <w:spacing w:line="360" w:lineRule="auto"/>
    </w:pPr>
    <w:rPr>
      <w:sz w:val="24"/>
    </w:rPr>
  </w:style>
  <w:style w:type="paragraph" w:customStyle="1" w:styleId="LegalNumPar3">
    <w:name w:val="LegalNumPar3"/>
    <w:basedOn w:val="Normal"/>
    <w:pPr>
      <w:numPr>
        <w:ilvl w:val="2"/>
        <w:numId w:val="46"/>
      </w:numPr>
      <w:spacing w:line="240" w:lineRule="auto"/>
    </w:pPr>
    <w:rPr>
      <w:sz w:val="24"/>
    </w:rPr>
  </w:style>
  <w:style w:type="table" w:customStyle="1" w:styleId="CV141">
    <w:name w:val="CV14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VIfnr">
    <w:name w:val="BVI fnr Знак Знак"/>
    <w:aliases w:val="BVI fnr Car Car Знак Знак,BVI fnr Char Car Car Car Знак Знак,BVI fnr Char Car Car Car Char Знак Знак,BVI fnr Car Знак Знак,BVI fnr Car Car Car Car Знак Знак,BVI fnr Char Char Знак Знак,ftref,16 Point,R"/>
    <w:basedOn w:val="Normal"/>
    <w:uiPriority w:val="99"/>
    <w:pPr>
      <w:spacing w:after="160" w:line="240" w:lineRule="exact"/>
    </w:pPr>
    <w:rPr>
      <w:vertAlign w:val="superscript"/>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Text1"/>
    <w:link w:val="Heading1Char"/>
    <w:qFormat/>
    <w:pPr>
      <w:keepNext/>
      <w:tabs>
        <w:tab w:val="num" w:pos="2640"/>
      </w:tabs>
      <w:spacing w:before="240" w:after="240" w:line="240" w:lineRule="auto"/>
      <w:ind w:left="2640" w:hanging="480"/>
      <w:jc w:val="both"/>
      <w:outlineLvl w:val="0"/>
    </w:pPr>
    <w:rPr>
      <w:rFonts w:ascii="Times New Roman" w:eastAsia="Times New Roman" w:hAnsi="Times New Roman" w:cs="Times New Roman"/>
      <w:b/>
      <w:smallCaps/>
      <w:sz w:val="24"/>
      <w:szCs w:val="20"/>
    </w:rPr>
  </w:style>
  <w:style w:type="paragraph" w:styleId="Heading2">
    <w:name w:val="heading 2"/>
    <w:basedOn w:val="Normal"/>
    <w:next w:val="Text2"/>
    <w:link w:val="Heading2Char"/>
    <w:qFormat/>
    <w:pPr>
      <w:keepNext/>
      <w:tabs>
        <w:tab w:val="num" w:pos="3306"/>
      </w:tabs>
      <w:spacing w:after="240" w:line="240" w:lineRule="auto"/>
      <w:ind w:left="3306" w:hanging="720"/>
      <w:jc w:val="both"/>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qFormat/>
    <w:pPr>
      <w:keepNext/>
      <w:tabs>
        <w:tab w:val="num" w:pos="4080"/>
      </w:tabs>
      <w:spacing w:after="240" w:line="240" w:lineRule="auto"/>
      <w:ind w:left="4080" w:hanging="720"/>
      <w:jc w:val="both"/>
      <w:outlineLvl w:val="2"/>
    </w:pPr>
    <w:rPr>
      <w:rFonts w:ascii="Times New Roman" w:eastAsia="Times New Roman" w:hAnsi="Times New Roman" w:cs="Times New Roman"/>
      <w:i/>
      <w:sz w:val="24"/>
      <w:szCs w:val="20"/>
    </w:rPr>
  </w:style>
  <w:style w:type="paragraph" w:styleId="Heading4">
    <w:name w:val="heading 4"/>
    <w:basedOn w:val="Normal"/>
    <w:next w:val="Normal"/>
    <w:link w:val="Heading4Char"/>
    <w:qFormat/>
    <w:pPr>
      <w:keepNext/>
      <w:tabs>
        <w:tab w:val="num" w:pos="2846"/>
        <w:tab w:val="num" w:pos="4122"/>
      </w:tabs>
      <w:spacing w:after="240" w:line="240" w:lineRule="auto"/>
      <w:ind w:left="2846" w:hanging="720"/>
      <w:jc w:val="both"/>
      <w:outlineLvl w:val="3"/>
    </w:pPr>
    <w:rPr>
      <w:rFonts w:ascii="Times New Roman" w:eastAsia="Times New Roman" w:hAnsi="Times New Roman" w:cs="Times New Roman"/>
      <w:sz w:val="24"/>
      <w:szCs w:val="20"/>
    </w:rPr>
  </w:style>
  <w:style w:type="paragraph" w:styleId="Heading5">
    <w:name w:val="heading 5"/>
    <w:basedOn w:val="Normal"/>
    <w:next w:val="Normal"/>
    <w:link w:val="Heading5Char"/>
    <w:uiPriority w:val="9"/>
    <w:unhideWhenUsed/>
    <w:qFormat/>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customStyle="1" w:styleId="Text2">
    <w:name w:val="Text 2"/>
    <w:basedOn w:val="Normal"/>
    <w:qFormat/>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ListBullet">
    <w:name w:val="List Bullet"/>
    <w:basedOn w:val="Normal"/>
    <w:pPr>
      <w:tabs>
        <w:tab w:val="num" w:pos="283"/>
      </w:tabs>
      <w:spacing w:after="240" w:line="240" w:lineRule="auto"/>
      <w:ind w:left="283" w:hanging="283"/>
      <w:jc w:val="both"/>
    </w:pPr>
    <w:rPr>
      <w:rFonts w:ascii="Times New Roman" w:eastAsia="Times New Roman" w:hAnsi="Times New Roman" w:cs="Times New Roman"/>
      <w:sz w:val="24"/>
      <w:szCs w:val="20"/>
    </w:rPr>
  </w:style>
  <w:style w:type="paragraph" w:customStyle="1" w:styleId="ListDash1">
    <w:name w:val="List Dash 1"/>
    <w:basedOn w:val="Text1"/>
    <w:pPr>
      <w:tabs>
        <w:tab w:val="num" w:pos="765"/>
      </w:tabs>
      <w:ind w:left="765" w:hanging="283"/>
    </w:pPr>
  </w:style>
  <w:style w:type="table" w:styleId="TableGrid">
    <w:name w:val="Table Grid"/>
    <w:aliases w:val="Document Table,CV1"/>
    <w:basedOn w:val="TableNormal"/>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pPr>
      <w:keepNext/>
      <w:spacing w:after="480" w:line="240" w:lineRule="auto"/>
      <w:jc w:val="center"/>
    </w:pPr>
    <w:rPr>
      <w:rFonts w:ascii="Times New Roman" w:eastAsia="Times New Roman" w:hAnsi="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pPr>
      <w:tabs>
        <w:tab w:val="right" w:leader="dot" w:pos="8640"/>
      </w:tabs>
      <w:spacing w:after="0" w:line="240" w:lineRule="auto"/>
      <w:ind w:left="482" w:right="720" w:hanging="482"/>
      <w:jc w:val="both"/>
    </w:pPr>
    <w:rPr>
      <w:rFonts w:ascii="Times New Roman" w:eastAsia="Times New Roman" w:hAnsi="Times New Roman" w:cs="Times New Roman"/>
      <w:caps/>
      <w:sz w:val="24"/>
      <w:szCs w:val="20"/>
    </w:rPr>
  </w:style>
  <w:style w:type="paragraph" w:styleId="TOC2">
    <w:name w:val="toc 2"/>
    <w:basedOn w:val="Normal"/>
    <w:next w:val="Normal"/>
    <w:uiPriority w:val="39"/>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rPr>
  </w:style>
  <w:style w:type="paragraph" w:styleId="TOCHeading">
    <w:name w:val="TOC Heading"/>
    <w:basedOn w:val="Normal"/>
    <w:next w:val="Normal"/>
    <w:uiPriority w:val="39"/>
    <w:qFormat/>
    <w:pPr>
      <w:keepNext/>
      <w:spacing w:before="240" w:after="240" w:line="240" w:lineRule="auto"/>
      <w:jc w:val="center"/>
    </w:pPr>
    <w:rPr>
      <w:rFonts w:ascii="Times New Roman" w:eastAsia="Times New Roman" w:hAnsi="Times New Roman" w:cs="Times New Roman"/>
      <w:b/>
      <w:sz w:val="24"/>
      <w:szCs w:val="20"/>
    </w:rPr>
  </w:style>
  <w:style w:type="character" w:styleId="Hyperlink">
    <w:name w:val="Hyperlink"/>
    <w:basedOn w:val="DefaultParagraphFont"/>
    <w:uiPriority w:val="99"/>
    <w:unhideWhenUsed/>
    <w:qFormat/>
    <w:rPr>
      <w:color w:val="0000FF" w:themeColor="hyperlink"/>
      <w:u w:val="single"/>
    </w:rPr>
  </w:style>
  <w:style w:type="paragraph" w:styleId="BalloonText">
    <w:name w:val="Balloon Text"/>
    <w:basedOn w:val="Normal"/>
    <w:link w:val="BalloonTextChar"/>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styleId="ListParagraph">
    <w:name w:val="List Paragraph"/>
    <w:basedOn w:val="Normal"/>
    <w:link w:val="ListParagraphChar"/>
    <w:uiPriority w:val="34"/>
    <w:qFormat/>
    <w:pPr>
      <w:ind w:left="720"/>
      <w:contextualSpacing/>
    </w:p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 w:type="paragraph" w:customStyle="1" w:styleId="HeaderSensitivityRight">
    <w:name w:val="Header Sensitivity Right"/>
    <w:basedOn w:val="Normal"/>
    <w:pPr>
      <w:spacing w:after="120" w:line="240" w:lineRule="auto"/>
      <w:jc w:val="right"/>
    </w:pPr>
    <w:rPr>
      <w:rFonts w:ascii="Times New Roman" w:hAnsi="Times New Roman" w:cs="Times New Roman"/>
      <w:sz w:val="28"/>
    </w:rPr>
  </w:style>
  <w:style w:type="paragraph" w:styleId="FootnoteText">
    <w:name w:val="footnote text"/>
    <w:aliases w:val="Footnote,Fußnote,Footnote text,Footnote Text Char Char Char Char,Footnote Text Char Char,Footnote Text Char Char Char Char Char,Footnote Text Char Char Char Char Char Char Char Char,Footnote Text Char Char Char,f t,ft,f,f ,fn,Char,o"/>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ootnote Char,Fußnote Char,Footnote text Char,Footnote Text Char Char Char Char Char1,Footnote Text Char Char Char1,Footnote Text Char Char Char Char Char Char,Footnote Text Char Char Char Char Char Char Char Char Char,f t Char,f Char"/>
    <w:basedOn w:val="DefaultParagraphFont"/>
    <w:link w:val="FootnoteText"/>
    <w:uiPriority w:val="99"/>
    <w:qFormat/>
    <w:rPr>
      <w:sz w:val="20"/>
      <w:szCs w:val="20"/>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B2,F,B21"/>
    <w:basedOn w:val="DefaultParagraphFont"/>
    <w:link w:val="FootnotesymbolCarZchn"/>
    <w:uiPriority w:val="99"/>
    <w:unhideWhenUsed/>
    <w:qFormat/>
    <w:rPr>
      <w:vertAlign w:val="superscript"/>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TMLCite">
    <w:name w:val="HTML Cite"/>
    <w:basedOn w:val="DefaultParagraphFont"/>
    <w:uiPriority w:val="99"/>
    <w:semiHidden/>
    <w:unhideWhenUsed/>
    <w:rPr>
      <w:i/>
      <w:iCs/>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before="60" w:after="160" w:line="240" w:lineRule="exact"/>
      <w:ind w:left="357" w:hanging="357"/>
      <w:jc w:val="both"/>
    </w:pPr>
    <w:rPr>
      <w:vertAlign w:val="superscript"/>
    </w:rPr>
  </w:style>
  <w:style w:type="character" w:customStyle="1" w:styleId="UnresolvedMention">
    <w:name w:val="Unresolved Mention"/>
    <w:basedOn w:val="DefaultParagraphFont"/>
    <w:uiPriority w:val="99"/>
    <w:semiHidden/>
    <w:unhideWhenUsed/>
    <w:rPr>
      <w:color w:val="605E5C"/>
      <w:shd w:val="clear" w:color="auto" w:fill="E1DFDD"/>
    </w:rPr>
  </w:style>
  <w:style w:type="paragraph" w:styleId="Revision">
    <w:name w:val="Revision"/>
    <w:hidden/>
    <w:uiPriority w:val="99"/>
    <w:semiHidden/>
    <w:pPr>
      <w:spacing w:after="0" w:line="240" w:lineRule="auto"/>
    </w:pPr>
  </w:style>
  <w:style w:type="character" w:customStyle="1" w:styleId="normaltextrun">
    <w:name w:val="normaltextrun"/>
    <w:basedOn w:val="DefaultParagraphFont"/>
  </w:style>
  <w:style w:type="character" w:customStyle="1" w:styleId="eop">
    <w:name w:val="eop"/>
    <w:basedOn w:val="DefaultParagraphFont"/>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textrun">
    <w:name w:val="textrun"/>
    <w:basedOn w:val="DefaultParagraphFont"/>
  </w:style>
  <w:style w:type="character" w:customStyle="1" w:styleId="findhit">
    <w:name w:val="findhit"/>
    <w:basedOn w:val="DefaultParagraphFont"/>
  </w:style>
  <w:style w:type="paragraph" w:styleId="TOC3">
    <w:name w:val="toc 3"/>
    <w:basedOn w:val="Normal"/>
    <w:next w:val="Normal"/>
    <w:autoRedefine/>
    <w:uiPriority w:val="39"/>
    <w:unhideWhenUsed/>
    <w:pPr>
      <w:spacing w:after="100"/>
      <w:ind w:left="440"/>
    </w:pPr>
  </w:style>
  <w:style w:type="character" w:customStyle="1" w:styleId="superscript">
    <w:name w:val="superscript"/>
    <w:basedOn w:val="DefaultParagraphFont"/>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outlineelement">
    <w:name w:val="outlineelement"/>
    <w:basedOn w:val="Normal"/>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pagebreakblob">
    <w:name w:val="pagebreakblob"/>
    <w:basedOn w:val="DefaultParagraphFont"/>
  </w:style>
  <w:style w:type="character" w:customStyle="1" w:styleId="pagebreakborderspan">
    <w:name w:val="pagebreakborderspan"/>
    <w:basedOn w:val="DefaultParagraphFont"/>
  </w:style>
  <w:style w:type="character" w:customStyle="1" w:styleId="pagebreaktextspan">
    <w:name w:val="pagebreaktextspan"/>
    <w:basedOn w:val="DefaultParagraphFont"/>
  </w:style>
  <w:style w:type="character" w:customStyle="1" w:styleId="spellingerror">
    <w:name w:val="spellingerror"/>
    <w:basedOn w:val="DefaultParagraphFont"/>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lang w:val="en-IE"/>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365F91" w:themeColor="accent1" w:themeShade="BF"/>
    </w:rPr>
  </w:style>
  <w:style w:type="table" w:customStyle="1" w:styleId="EFTableStyle">
    <w:name w:val="EF Table Style"/>
    <w:basedOn w:val="TableNormal"/>
    <w:uiPriority w:val="99"/>
    <w:pPr>
      <w:spacing w:after="0" w:line="240" w:lineRule="auto"/>
    </w:pPr>
    <w:rPr>
      <w:sz w:val="20"/>
    </w:rPr>
    <w:tblPr>
      <w:tblStyleRowBandSize w:val="1"/>
      <w:tblBorders>
        <w:top w:val="single" w:sz="4" w:space="0" w:color="009BD9"/>
        <w:bottom w:val="single" w:sz="4" w:space="0" w:color="009BD9"/>
        <w:insideH w:val="single" w:sz="4" w:space="0" w:color="009BD9"/>
        <w:insideV w:val="single" w:sz="4" w:space="0" w:color="009BD9"/>
      </w:tblBorders>
      <w:tblCellMar>
        <w:top w:w="28" w:type="dxa"/>
        <w:bottom w:w="28" w:type="dxa"/>
      </w:tblCellMar>
    </w:tblPr>
    <w:tblStylePr w:type="firstRow">
      <w:pPr>
        <w:jc w:val="center"/>
      </w:pPr>
      <w:rPr>
        <w:rFonts w:asciiTheme="minorHAnsi" w:hAnsiTheme="minorHAnsi"/>
        <w:b/>
        <w:color w:val="164194"/>
      </w:rPr>
    </w:tblStylePr>
    <w:tblStylePr w:type="firstCol">
      <w:rPr>
        <w:rFonts w:asciiTheme="minorHAnsi" w:hAnsiTheme="minorHAnsi"/>
        <w:b/>
        <w:color w:val="164194"/>
        <w:sz w:val="20"/>
      </w:rPr>
    </w:tblStylePr>
    <w:tblStylePr w:type="band1Horz">
      <w:tblPr/>
      <w:tcPr>
        <w:shd w:val="clear" w:color="auto" w:fill="F0F6FD"/>
      </w:tcPr>
    </w:tblStylePr>
  </w:style>
  <w:style w:type="paragraph" w:styleId="BodyText">
    <w:name w:val="Body Text"/>
    <w:basedOn w:val="Normal"/>
    <w:link w:val="BodyTextChar"/>
    <w:uiPriority w:val="1"/>
    <w:unhideWhenUsed/>
    <w:qFormat/>
    <w:pPr>
      <w:widowControl w:val="0"/>
      <w:spacing w:after="0" w:line="240" w:lineRule="auto"/>
    </w:pPr>
    <w:rPr>
      <w:rFonts w:ascii="Verdana" w:eastAsia="Verdana" w:hAnsi="Verdana" w:cs="Verdana"/>
      <w:sz w:val="20"/>
      <w:szCs w:val="20"/>
      <w:lang w:val="en-US"/>
    </w:rPr>
  </w:style>
  <w:style w:type="character" w:customStyle="1" w:styleId="BodyTextChar">
    <w:name w:val="Body Text Char"/>
    <w:basedOn w:val="DefaultParagraphFont"/>
    <w:link w:val="BodyText"/>
    <w:uiPriority w:val="1"/>
    <w:rPr>
      <w:rFonts w:ascii="Verdana" w:eastAsia="Verdana" w:hAnsi="Verdana" w:cs="Verdana"/>
      <w:sz w:val="20"/>
      <w:szCs w:val="20"/>
      <w:lang w:val="en-US"/>
    </w:rPr>
  </w:style>
  <w:style w:type="table" w:customStyle="1" w:styleId="GridTable5DarkAccent4">
    <w:name w:val="Grid Table 5 Dark Accent 4"/>
    <w:basedOn w:val="TableNormal"/>
    <w:uiPriority w:val="50"/>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ListTable3-Accent31">
    <w:name w:val="List Table 3 - Accent 31"/>
    <w:basedOn w:val="TableNormal"/>
    <w:uiPriority w:val="48"/>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styleId="ListNumber">
    <w:name w:val="List Number"/>
    <w:basedOn w:val="Normal"/>
    <w:pPr>
      <w:tabs>
        <w:tab w:val="num" w:pos="709"/>
      </w:tabs>
      <w:spacing w:after="240" w:line="240" w:lineRule="auto"/>
      <w:ind w:left="709" w:hanging="709"/>
      <w:jc w:val="both"/>
    </w:pPr>
    <w:rPr>
      <w:rFonts w:ascii="Times New Roman" w:eastAsia="Times New Roman" w:hAnsi="Times New Roman" w:cs="Times New Roman"/>
      <w:sz w:val="24"/>
      <w:szCs w:val="20"/>
    </w:rPr>
  </w:style>
  <w:style w:type="paragraph" w:customStyle="1" w:styleId="matrixnormaltext">
    <w:name w:val="matrix_normal text"/>
    <w:link w:val="matrixnormaltextChar"/>
    <w:uiPriority w:val="99"/>
    <w:pPr>
      <w:spacing w:after="0" w:line="280" w:lineRule="exact"/>
    </w:pPr>
    <w:rPr>
      <w:rFonts w:ascii="Arial" w:eastAsia="Times New Roman" w:hAnsi="Arial" w:cs="Times New Roman"/>
      <w:color w:val="000000"/>
      <w:sz w:val="20"/>
      <w:szCs w:val="20"/>
    </w:rPr>
  </w:style>
  <w:style w:type="character" w:customStyle="1" w:styleId="matrixnormaltextChar">
    <w:name w:val="matrix_normal text Char"/>
    <w:link w:val="matrixnormaltext"/>
    <w:uiPriority w:val="99"/>
    <w:locked/>
    <w:rPr>
      <w:rFonts w:ascii="Arial" w:eastAsia="Times New Roman" w:hAnsi="Arial" w:cs="Times New Roman"/>
      <w:color w:val="000000"/>
      <w:sz w:val="20"/>
      <w:szCs w:val="20"/>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customStyle="1" w:styleId="matrixappendixabstractheading">
    <w:name w:val="matrix_appendixabstract_heading"/>
    <w:basedOn w:val="matrixnormaltext"/>
    <w:next w:val="matrixnormaltext"/>
    <w:uiPriority w:val="99"/>
    <w:pPr>
      <w:spacing w:after="240" w:line="420" w:lineRule="exact"/>
    </w:pPr>
    <w:rPr>
      <w:color w:val="7AB66E"/>
      <w:sz w:val="30"/>
      <w:szCs w:val="30"/>
    </w:rPr>
  </w:style>
  <w:style w:type="table" w:customStyle="1" w:styleId="GridTable5DarkAccent2">
    <w:name w:val="Grid Table 5 Dark Accent 2"/>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customStyle="1" w:styleId="FootnotesymbolCharCharChar">
    <w:name w:val="Footnote symbol Char Char Char"/>
    <w:aliases w:val="Voetnootverwijzing Char Char Char,Times 10 Point Char Char Char,Exposant 3 Point Char Char Char, Exposant 3 Point Char Char Char,Footnote Reference Superscript Char Char Char,Footnote symbol Char,FR Char,FZ Char,4_G Char"/>
    <w:basedOn w:val="Normal"/>
    <w:uiPriority w:val="99"/>
    <w:pPr>
      <w:spacing w:after="160" w:line="240" w:lineRule="exact"/>
    </w:pPr>
    <w:rPr>
      <w:vertAlign w:val="superscript"/>
    </w:rPr>
  </w:style>
  <w:style w:type="paragraph" w:customStyle="1" w:styleId="Titolo11">
    <w:name w:val="Titolo 11"/>
    <w:basedOn w:val="Normal"/>
    <w:pPr>
      <w:spacing w:after="160" w:line="259" w:lineRule="auto"/>
      <w:ind w:left="432" w:hanging="432"/>
    </w:pPr>
    <w:rPr>
      <w:lang w:val="it-IT"/>
    </w:rPr>
  </w:style>
  <w:style w:type="paragraph" w:customStyle="1" w:styleId="Titolo21">
    <w:name w:val="Titolo 21"/>
    <w:basedOn w:val="Normal"/>
    <w:pPr>
      <w:spacing w:after="160" w:line="259" w:lineRule="auto"/>
      <w:ind w:left="576" w:hanging="576"/>
    </w:pPr>
    <w:rPr>
      <w:lang w:val="it-IT"/>
    </w:rPr>
  </w:style>
  <w:style w:type="paragraph" w:customStyle="1" w:styleId="Titolo31">
    <w:name w:val="Titolo 31"/>
    <w:basedOn w:val="Normal"/>
    <w:pPr>
      <w:spacing w:after="160" w:line="259" w:lineRule="auto"/>
      <w:ind w:left="720" w:hanging="720"/>
    </w:pPr>
    <w:rPr>
      <w:lang w:val="it-IT"/>
    </w:rPr>
  </w:style>
  <w:style w:type="paragraph" w:customStyle="1" w:styleId="Titolo41">
    <w:name w:val="Titolo 41"/>
    <w:basedOn w:val="Normal"/>
    <w:link w:val="Titolo4Char"/>
    <w:pPr>
      <w:spacing w:after="160" w:line="259" w:lineRule="auto"/>
      <w:ind w:left="864" w:hanging="864"/>
    </w:pPr>
    <w:rPr>
      <w:lang w:val="it-IT"/>
    </w:rPr>
  </w:style>
  <w:style w:type="paragraph" w:customStyle="1" w:styleId="Titolo51">
    <w:name w:val="Titolo 51"/>
    <w:basedOn w:val="Normal"/>
    <w:link w:val="Titolo5Char"/>
    <w:pPr>
      <w:spacing w:after="160" w:line="259" w:lineRule="auto"/>
      <w:ind w:left="1008" w:hanging="1008"/>
    </w:pPr>
    <w:rPr>
      <w:lang w:val="it-IT"/>
    </w:rPr>
  </w:style>
  <w:style w:type="paragraph" w:customStyle="1" w:styleId="Titolo61">
    <w:name w:val="Titolo 61"/>
    <w:basedOn w:val="Normal"/>
    <w:pPr>
      <w:spacing w:after="160" w:line="259" w:lineRule="auto"/>
      <w:ind w:left="1152" w:hanging="1152"/>
    </w:pPr>
    <w:rPr>
      <w:lang w:val="it-IT"/>
    </w:rPr>
  </w:style>
  <w:style w:type="paragraph" w:customStyle="1" w:styleId="Titolo71">
    <w:name w:val="Titolo 71"/>
    <w:basedOn w:val="Normal"/>
    <w:pPr>
      <w:spacing w:after="160" w:line="259" w:lineRule="auto"/>
      <w:ind w:left="1296" w:hanging="1296"/>
    </w:pPr>
    <w:rPr>
      <w:lang w:val="it-IT"/>
    </w:rPr>
  </w:style>
  <w:style w:type="paragraph" w:customStyle="1" w:styleId="Titolo81">
    <w:name w:val="Titolo 81"/>
    <w:basedOn w:val="Normal"/>
    <w:pPr>
      <w:spacing w:after="160" w:line="259" w:lineRule="auto"/>
      <w:ind w:left="1440" w:hanging="1440"/>
    </w:pPr>
    <w:rPr>
      <w:lang w:val="it-IT"/>
    </w:rPr>
  </w:style>
  <w:style w:type="paragraph" w:customStyle="1" w:styleId="Titolo91">
    <w:name w:val="Titolo 91"/>
    <w:basedOn w:val="Normal"/>
    <w:pPr>
      <w:spacing w:after="160" w:line="259" w:lineRule="auto"/>
      <w:ind w:left="1584" w:hanging="1584"/>
    </w:pPr>
    <w:rPr>
      <w:lang w:val="it-IT"/>
    </w:rPr>
  </w:style>
  <w:style w:type="paragraph" w:customStyle="1" w:styleId="Title2">
    <w:name w:val="Title 2"/>
    <w:basedOn w:val="Titolo21"/>
    <w:link w:val="Title2Char"/>
    <w:qFormat/>
    <w:rPr>
      <w:b/>
      <w:bCs/>
      <w:lang w:val="en-GB"/>
    </w:rPr>
  </w:style>
  <w:style w:type="paragraph" w:customStyle="1" w:styleId="Title3">
    <w:name w:val="Title 3"/>
    <w:basedOn w:val="Titolo31"/>
    <w:link w:val="Title3Char"/>
    <w:qFormat/>
    <w:rPr>
      <w:i/>
      <w:iCs/>
      <w:lang w:val="en-GB"/>
    </w:rPr>
  </w:style>
  <w:style w:type="character" w:customStyle="1" w:styleId="Title2Char">
    <w:name w:val="Title 2 Char"/>
    <w:basedOn w:val="DefaultParagraphFont"/>
    <w:link w:val="Title2"/>
    <w:rPr>
      <w:b/>
      <w:bCs/>
    </w:rPr>
  </w:style>
  <w:style w:type="character" w:customStyle="1" w:styleId="Title3Char">
    <w:name w:val="Title 3 Char"/>
    <w:basedOn w:val="DefaultParagraphFont"/>
    <w:link w:val="Title3"/>
    <w:rPr>
      <w:i/>
      <w:iCs/>
    </w:rPr>
  </w:style>
  <w:style w:type="paragraph" w:customStyle="1" w:styleId="TableHeading">
    <w:name w:val="TableHeading"/>
    <w:aliases w:val="TableHeadingWhite"/>
    <w:basedOn w:val="Normal"/>
    <w:uiPriority w:val="30"/>
    <w:qFormat/>
    <w:pPr>
      <w:spacing w:before="120" w:after="0" w:line="240" w:lineRule="auto"/>
      <w:ind w:left="113"/>
    </w:pPr>
    <w:rPr>
      <w:rFonts w:ascii="Verdana" w:hAnsi="Verdana"/>
      <w:b/>
      <w:color w:val="FFFFFF" w:themeColor="background1"/>
      <w:sz w:val="20"/>
    </w:rPr>
  </w:style>
  <w:style w:type="paragraph" w:customStyle="1" w:styleId="TableText">
    <w:name w:val="TableText"/>
    <w:aliases w:val="TableTextNoSpace"/>
    <w:basedOn w:val="Normal"/>
    <w:uiPriority w:val="15"/>
    <w:qFormat/>
    <w:pPr>
      <w:spacing w:before="120" w:after="0" w:line="240" w:lineRule="auto"/>
      <w:ind w:left="113"/>
    </w:pPr>
    <w:rPr>
      <w:rFonts w:ascii="Verdana" w:hAnsi="Verdana"/>
      <w:color w:val="000000" w:themeColor="text1"/>
      <w:sz w:val="20"/>
    </w:rPr>
  </w:style>
  <w:style w:type="table" w:customStyle="1" w:styleId="GridTable4Accent4">
    <w:name w:val="Grid Table 4 Accent 4"/>
    <w:basedOn w:val="TableNormal"/>
    <w:uiPriority w:val="49"/>
    <w:pPr>
      <w:spacing w:after="0" w:line="240" w:lineRule="auto"/>
    </w:pPr>
    <w:rPr>
      <w:lang w:val="fr-FR"/>
    </w:rPr>
    <w:tblPr>
      <w:tblStyleRowBandSize w:val="1"/>
      <w:tblStyleColBandSize w:val="1"/>
      <w:tblInd w:w="0" w:type="nil"/>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Title4">
    <w:name w:val="Title 4"/>
    <w:basedOn w:val="Titolo41"/>
    <w:link w:val="Title4Char"/>
    <w:qFormat/>
    <w:pPr>
      <w:ind w:left="2880" w:hanging="360"/>
    </w:pPr>
    <w:rPr>
      <w:sz w:val="20"/>
      <w:szCs w:val="20"/>
    </w:rPr>
  </w:style>
  <w:style w:type="paragraph" w:customStyle="1" w:styleId="Title5">
    <w:name w:val="Title 5"/>
    <w:basedOn w:val="Titolo51"/>
    <w:link w:val="Title5Char"/>
    <w:qFormat/>
    <w:pPr>
      <w:ind w:firstLine="0"/>
    </w:pPr>
    <w:rPr>
      <w:i/>
      <w:iCs/>
      <w:sz w:val="20"/>
      <w:szCs w:val="20"/>
    </w:rPr>
  </w:style>
  <w:style w:type="character" w:customStyle="1" w:styleId="Titolo4Char">
    <w:name w:val="Titolo 4 Char"/>
    <w:basedOn w:val="DefaultParagraphFont"/>
    <w:link w:val="Titolo41"/>
    <w:rPr>
      <w:lang w:val="it-IT"/>
    </w:rPr>
  </w:style>
  <w:style w:type="character" w:customStyle="1" w:styleId="Title4Char">
    <w:name w:val="Title 4 Char"/>
    <w:basedOn w:val="Titolo4Char"/>
    <w:link w:val="Title4"/>
    <w:rPr>
      <w:sz w:val="20"/>
      <w:szCs w:val="20"/>
      <w:lang w:val="it-IT"/>
    </w:rPr>
  </w:style>
  <w:style w:type="character" w:customStyle="1" w:styleId="Titolo5Char">
    <w:name w:val="Titolo 5 Char"/>
    <w:basedOn w:val="DefaultParagraphFont"/>
    <w:link w:val="Titolo51"/>
    <w:rPr>
      <w:lang w:val="it-IT"/>
    </w:rPr>
  </w:style>
  <w:style w:type="character" w:customStyle="1" w:styleId="Title5Char">
    <w:name w:val="Title 5 Char"/>
    <w:basedOn w:val="Titolo5Char"/>
    <w:link w:val="Title5"/>
    <w:rPr>
      <w:i/>
      <w:iCs/>
      <w:sz w:val="20"/>
      <w:szCs w:val="20"/>
      <w:lang w:val="it-IT"/>
    </w:rPr>
  </w:style>
  <w:style w:type="paragraph" w:styleId="Caption">
    <w:name w:val="caption"/>
    <w:basedOn w:val="Normal"/>
    <w:next w:val="Normal"/>
    <w:uiPriority w:val="35"/>
    <w:unhideWhenUsed/>
    <w:qFormat/>
    <w:pPr>
      <w:spacing w:line="240" w:lineRule="auto"/>
    </w:pPr>
    <w:rPr>
      <w:i/>
      <w:iCs/>
      <w:color w:val="1F497D" w:themeColor="text2"/>
      <w:sz w:val="18"/>
      <w:szCs w:val="18"/>
      <w:lang w:val="it-IT"/>
    </w:rPr>
  </w:style>
  <w:style w:type="paragraph" w:styleId="PlainText">
    <w:name w:val="Plain Text"/>
    <w:basedOn w:val="Normal"/>
    <w:link w:val="PlainTextChar"/>
    <w:uiPriority w:val="99"/>
    <w:unhideWhenUsed/>
    <w:pPr>
      <w:spacing w:after="0" w:line="240" w:lineRule="auto"/>
    </w:pPr>
    <w:rPr>
      <w:rFonts w:ascii="Calibri" w:hAnsi="Calibri"/>
      <w:szCs w:val="21"/>
      <w:lang w:val="fr-FR"/>
    </w:rPr>
  </w:style>
  <w:style w:type="character" w:customStyle="1" w:styleId="PlainTextChar">
    <w:name w:val="Plain Text Char"/>
    <w:basedOn w:val="DefaultParagraphFont"/>
    <w:link w:val="PlainText"/>
    <w:uiPriority w:val="99"/>
    <w:rPr>
      <w:rFonts w:ascii="Calibri" w:hAnsi="Calibri"/>
      <w:szCs w:val="21"/>
      <w:lang w:val="fr-FR"/>
    </w:rPr>
  </w:style>
  <w:style w:type="table" w:customStyle="1" w:styleId="GridTable5DarkAccent1">
    <w:name w:val="Grid Table 5 Dark Accent 1"/>
    <w:basedOn w:val="TableNormal"/>
    <w:uiPriority w:val="50"/>
    <w:pPr>
      <w:spacing w:after="0"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ListParagraphChar">
    <w:name w:val="List Paragraph Char"/>
    <w:link w:val="ListParagraph"/>
    <w:uiPriority w:val="34"/>
    <w:locked/>
  </w:style>
  <w:style w:type="paragraph" w:customStyle="1" w:styleId="ListDash">
    <w:name w:val="List Dash"/>
    <w:basedOn w:val="Normal"/>
    <w:pPr>
      <w:numPr>
        <w:numId w:val="24"/>
      </w:numPr>
      <w:spacing w:after="240" w:line="240" w:lineRule="auto"/>
      <w:jc w:val="both"/>
    </w:pPr>
    <w:rPr>
      <w:rFonts w:ascii="Times New Roman" w:eastAsia="Times New Roman" w:hAnsi="Times New Roman" w:cs="Times New Roman"/>
      <w:sz w:val="24"/>
      <w:szCs w:val="20"/>
    </w:rPr>
  </w:style>
  <w:style w:type="table" w:customStyle="1" w:styleId="CV14">
    <w:name w:val="CV14"/>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
    <w:name w:val="Grid Table 4 Accent 5"/>
    <w:basedOn w:val="TableNormal"/>
    <w:uiPriority w:val="49"/>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c02alineaalta">
    <w:name w:val="c02alineaalta"/>
    <w:basedOn w:val="Normal"/>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table" w:customStyle="1" w:styleId="CV15">
    <w:name w:val="CV15"/>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
    <w:name w:val="Grid Table 4 Accent 2"/>
    <w:basedOn w:val="TableNormal"/>
    <w:uiPriority w:val="49"/>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Bodytext2">
    <w:name w:val="Body text|2_"/>
    <w:basedOn w:val="DefaultParagraphFont"/>
    <w:link w:val="Bodytext20"/>
    <w:rPr>
      <w:shd w:val="clear" w:color="auto" w:fill="FFFFFF"/>
    </w:rPr>
  </w:style>
  <w:style w:type="character" w:customStyle="1" w:styleId="Bodytext3">
    <w:name w:val="Body text|3_"/>
    <w:basedOn w:val="DefaultParagraphFont"/>
    <w:link w:val="Bodytext30"/>
    <w:rPr>
      <w:shd w:val="clear" w:color="auto" w:fill="FFFFFF"/>
    </w:rPr>
  </w:style>
  <w:style w:type="character" w:customStyle="1" w:styleId="Bodytext4">
    <w:name w:val="Body text|4_"/>
    <w:basedOn w:val="DefaultParagraphFont"/>
    <w:rPr>
      <w:b/>
      <w:bCs/>
      <w:i w:val="0"/>
      <w:iCs w:val="0"/>
      <w:smallCaps w:val="0"/>
      <w:strike w:val="0"/>
      <w:u w:val="none"/>
    </w:rPr>
  </w:style>
  <w:style w:type="character" w:customStyle="1" w:styleId="Bodytext40">
    <w:name w:val="Body text|4"/>
    <w:basedOn w:val="Bodytext4"/>
    <w:semiHidden/>
    <w:unhideWhenUsed/>
    <w:rPr>
      <w:rFonts w:ascii="Times New Roman" w:eastAsia="Times New Roman" w:hAnsi="Times New Roman" w:cs="Times New Roman"/>
      <w:b/>
      <w:bCs/>
      <w:i w:val="0"/>
      <w:iCs w:val="0"/>
      <w:smallCaps w:val="0"/>
      <w:strike w:val="0"/>
      <w:color w:val="000000"/>
      <w:spacing w:val="0"/>
      <w:w w:val="100"/>
      <w:position w:val="0"/>
      <w:sz w:val="24"/>
      <w:szCs w:val="24"/>
      <w:u w:val="single"/>
      <w:lang w:val="en-US" w:eastAsia="en-US" w:bidi="en-US"/>
    </w:rPr>
  </w:style>
  <w:style w:type="character" w:customStyle="1" w:styleId="Bodytext5">
    <w:name w:val="Body text|5_"/>
    <w:basedOn w:val="DefaultParagraphFont"/>
    <w:link w:val="Bodytext50"/>
    <w:rPr>
      <w:b/>
      <w:bCs/>
      <w:sz w:val="15"/>
      <w:szCs w:val="15"/>
      <w:shd w:val="clear" w:color="auto" w:fill="FFFFFF"/>
    </w:rPr>
  </w:style>
  <w:style w:type="paragraph" w:customStyle="1" w:styleId="Bodytext20">
    <w:name w:val="Body text|2"/>
    <w:basedOn w:val="Normal"/>
    <w:link w:val="Bodytext2"/>
    <w:qFormat/>
    <w:pPr>
      <w:widowControl w:val="0"/>
      <w:shd w:val="clear" w:color="auto" w:fill="FFFFFF"/>
      <w:spacing w:after="0" w:line="266" w:lineRule="exact"/>
    </w:pPr>
  </w:style>
  <w:style w:type="paragraph" w:customStyle="1" w:styleId="Bodytext30">
    <w:name w:val="Body text|3"/>
    <w:basedOn w:val="Normal"/>
    <w:link w:val="Bodytext3"/>
    <w:pPr>
      <w:widowControl w:val="0"/>
      <w:shd w:val="clear" w:color="auto" w:fill="FFFFFF"/>
      <w:spacing w:after="420" w:line="244" w:lineRule="exact"/>
      <w:ind w:hanging="460"/>
    </w:pPr>
  </w:style>
  <w:style w:type="paragraph" w:customStyle="1" w:styleId="Bodytext50">
    <w:name w:val="Body text|5"/>
    <w:basedOn w:val="Normal"/>
    <w:link w:val="Bodytext5"/>
    <w:pPr>
      <w:widowControl w:val="0"/>
      <w:shd w:val="clear" w:color="auto" w:fill="FFFFFF"/>
      <w:spacing w:before="120" w:after="0" w:line="166" w:lineRule="exact"/>
      <w:ind w:hanging="460"/>
      <w:jc w:val="both"/>
    </w:pPr>
    <w:rPr>
      <w:b/>
      <w:bCs/>
      <w:sz w:val="15"/>
      <w:szCs w:val="15"/>
    </w:rPr>
  </w:style>
  <w:style w:type="table" w:customStyle="1" w:styleId="GridTable5DarkAccent3">
    <w:name w:val="Grid Table 5 Dark Accent 3"/>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5DarkAccent5">
    <w:name w:val="Grid Table 5 Dark Accent 5"/>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6">
    <w:name w:val="Grid Table 5 Dark Accent 6"/>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character" w:styleId="IntenseReference">
    <w:name w:val="Intense Reference"/>
    <w:uiPriority w:val="32"/>
    <w:qFormat/>
    <w:rPr>
      <w:b/>
      <w:bCs/>
      <w:smallCaps/>
      <w:color w:val="5B9BD5"/>
      <w:spacing w:val="5"/>
    </w:rPr>
  </w:style>
  <w:style w:type="paragraph" w:customStyle="1" w:styleId="LegalNumPar">
    <w:name w:val="LegalNumPar"/>
    <w:basedOn w:val="Normal"/>
    <w:pPr>
      <w:numPr>
        <w:numId w:val="46"/>
      </w:numPr>
      <w:spacing w:line="360" w:lineRule="auto"/>
    </w:pPr>
    <w:rPr>
      <w:sz w:val="24"/>
    </w:rPr>
  </w:style>
  <w:style w:type="paragraph" w:customStyle="1" w:styleId="LegalNumPar2">
    <w:name w:val="LegalNumPar2"/>
    <w:basedOn w:val="Normal"/>
    <w:pPr>
      <w:numPr>
        <w:ilvl w:val="1"/>
        <w:numId w:val="46"/>
      </w:numPr>
      <w:spacing w:line="360" w:lineRule="auto"/>
    </w:pPr>
    <w:rPr>
      <w:sz w:val="24"/>
    </w:rPr>
  </w:style>
  <w:style w:type="paragraph" w:customStyle="1" w:styleId="LegalNumPar3">
    <w:name w:val="LegalNumPar3"/>
    <w:basedOn w:val="Normal"/>
    <w:pPr>
      <w:numPr>
        <w:ilvl w:val="2"/>
        <w:numId w:val="46"/>
      </w:numPr>
      <w:spacing w:line="240" w:lineRule="auto"/>
    </w:pPr>
    <w:rPr>
      <w:sz w:val="24"/>
    </w:rPr>
  </w:style>
  <w:style w:type="table" w:customStyle="1" w:styleId="CV141">
    <w:name w:val="CV14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VIfnr">
    <w:name w:val="BVI fnr Знак Знак"/>
    <w:aliases w:val="BVI fnr Car Car Знак Знак,BVI fnr Char Car Car Car Знак Знак,BVI fnr Char Car Car Car Char Знак Знак,BVI fnr Car Знак Знак,BVI fnr Car Car Car Car Знак Знак,BVI fnr Char Char Знак Знак,ftref,16 Point,R"/>
    <w:basedOn w:val="Normal"/>
    <w:uiPriority w:val="99"/>
    <w:pPr>
      <w:spacing w:after="160" w:line="240" w:lineRule="exact"/>
    </w:pPr>
    <w:rPr>
      <w:vertAlign w:val="superscript"/>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6752">
      <w:bodyDiv w:val="1"/>
      <w:marLeft w:val="0"/>
      <w:marRight w:val="0"/>
      <w:marTop w:val="0"/>
      <w:marBottom w:val="0"/>
      <w:divBdr>
        <w:top w:val="none" w:sz="0" w:space="0" w:color="auto"/>
        <w:left w:val="none" w:sz="0" w:space="0" w:color="auto"/>
        <w:bottom w:val="none" w:sz="0" w:space="0" w:color="auto"/>
        <w:right w:val="none" w:sz="0" w:space="0" w:color="auto"/>
      </w:divBdr>
    </w:div>
    <w:div w:id="16002505">
      <w:bodyDiv w:val="1"/>
      <w:marLeft w:val="0"/>
      <w:marRight w:val="0"/>
      <w:marTop w:val="0"/>
      <w:marBottom w:val="0"/>
      <w:divBdr>
        <w:top w:val="none" w:sz="0" w:space="0" w:color="auto"/>
        <w:left w:val="none" w:sz="0" w:space="0" w:color="auto"/>
        <w:bottom w:val="none" w:sz="0" w:space="0" w:color="auto"/>
        <w:right w:val="none" w:sz="0" w:space="0" w:color="auto"/>
      </w:divBdr>
      <w:divsChild>
        <w:div w:id="234050868">
          <w:marLeft w:val="0"/>
          <w:marRight w:val="0"/>
          <w:marTop w:val="0"/>
          <w:marBottom w:val="0"/>
          <w:divBdr>
            <w:top w:val="none" w:sz="0" w:space="0" w:color="auto"/>
            <w:left w:val="none" w:sz="0" w:space="0" w:color="auto"/>
            <w:bottom w:val="none" w:sz="0" w:space="0" w:color="auto"/>
            <w:right w:val="none" w:sz="0" w:space="0" w:color="auto"/>
          </w:divBdr>
        </w:div>
        <w:div w:id="297348176">
          <w:marLeft w:val="0"/>
          <w:marRight w:val="0"/>
          <w:marTop w:val="0"/>
          <w:marBottom w:val="0"/>
          <w:divBdr>
            <w:top w:val="none" w:sz="0" w:space="0" w:color="auto"/>
            <w:left w:val="none" w:sz="0" w:space="0" w:color="auto"/>
            <w:bottom w:val="none" w:sz="0" w:space="0" w:color="auto"/>
            <w:right w:val="none" w:sz="0" w:space="0" w:color="auto"/>
          </w:divBdr>
        </w:div>
        <w:div w:id="1119109935">
          <w:marLeft w:val="0"/>
          <w:marRight w:val="0"/>
          <w:marTop w:val="0"/>
          <w:marBottom w:val="0"/>
          <w:divBdr>
            <w:top w:val="none" w:sz="0" w:space="0" w:color="auto"/>
            <w:left w:val="none" w:sz="0" w:space="0" w:color="auto"/>
            <w:bottom w:val="none" w:sz="0" w:space="0" w:color="auto"/>
            <w:right w:val="none" w:sz="0" w:space="0" w:color="auto"/>
          </w:divBdr>
        </w:div>
        <w:div w:id="1822387368">
          <w:marLeft w:val="0"/>
          <w:marRight w:val="0"/>
          <w:marTop w:val="0"/>
          <w:marBottom w:val="0"/>
          <w:divBdr>
            <w:top w:val="none" w:sz="0" w:space="0" w:color="auto"/>
            <w:left w:val="none" w:sz="0" w:space="0" w:color="auto"/>
            <w:bottom w:val="none" w:sz="0" w:space="0" w:color="auto"/>
            <w:right w:val="none" w:sz="0" w:space="0" w:color="auto"/>
          </w:divBdr>
        </w:div>
      </w:divsChild>
    </w:div>
    <w:div w:id="18968329">
      <w:bodyDiv w:val="1"/>
      <w:marLeft w:val="0"/>
      <w:marRight w:val="0"/>
      <w:marTop w:val="0"/>
      <w:marBottom w:val="0"/>
      <w:divBdr>
        <w:top w:val="none" w:sz="0" w:space="0" w:color="auto"/>
        <w:left w:val="none" w:sz="0" w:space="0" w:color="auto"/>
        <w:bottom w:val="none" w:sz="0" w:space="0" w:color="auto"/>
        <w:right w:val="none" w:sz="0" w:space="0" w:color="auto"/>
      </w:divBdr>
    </w:div>
    <w:div w:id="28649173">
      <w:bodyDiv w:val="1"/>
      <w:marLeft w:val="0"/>
      <w:marRight w:val="0"/>
      <w:marTop w:val="0"/>
      <w:marBottom w:val="0"/>
      <w:divBdr>
        <w:top w:val="none" w:sz="0" w:space="0" w:color="auto"/>
        <w:left w:val="none" w:sz="0" w:space="0" w:color="auto"/>
        <w:bottom w:val="none" w:sz="0" w:space="0" w:color="auto"/>
        <w:right w:val="none" w:sz="0" w:space="0" w:color="auto"/>
      </w:divBdr>
    </w:div>
    <w:div w:id="29380518">
      <w:bodyDiv w:val="1"/>
      <w:marLeft w:val="0"/>
      <w:marRight w:val="0"/>
      <w:marTop w:val="0"/>
      <w:marBottom w:val="0"/>
      <w:divBdr>
        <w:top w:val="none" w:sz="0" w:space="0" w:color="auto"/>
        <w:left w:val="none" w:sz="0" w:space="0" w:color="auto"/>
        <w:bottom w:val="none" w:sz="0" w:space="0" w:color="auto"/>
        <w:right w:val="none" w:sz="0" w:space="0" w:color="auto"/>
      </w:divBdr>
    </w:div>
    <w:div w:id="44719916">
      <w:bodyDiv w:val="1"/>
      <w:marLeft w:val="0"/>
      <w:marRight w:val="0"/>
      <w:marTop w:val="0"/>
      <w:marBottom w:val="0"/>
      <w:divBdr>
        <w:top w:val="none" w:sz="0" w:space="0" w:color="auto"/>
        <w:left w:val="none" w:sz="0" w:space="0" w:color="auto"/>
        <w:bottom w:val="none" w:sz="0" w:space="0" w:color="auto"/>
        <w:right w:val="none" w:sz="0" w:space="0" w:color="auto"/>
      </w:divBdr>
      <w:divsChild>
        <w:div w:id="25066205">
          <w:marLeft w:val="0"/>
          <w:marRight w:val="0"/>
          <w:marTop w:val="0"/>
          <w:marBottom w:val="0"/>
          <w:divBdr>
            <w:top w:val="none" w:sz="0" w:space="0" w:color="auto"/>
            <w:left w:val="none" w:sz="0" w:space="0" w:color="auto"/>
            <w:bottom w:val="none" w:sz="0" w:space="0" w:color="auto"/>
            <w:right w:val="none" w:sz="0" w:space="0" w:color="auto"/>
          </w:divBdr>
          <w:divsChild>
            <w:div w:id="458303961">
              <w:marLeft w:val="0"/>
              <w:marRight w:val="0"/>
              <w:marTop w:val="0"/>
              <w:marBottom w:val="0"/>
              <w:divBdr>
                <w:top w:val="none" w:sz="0" w:space="0" w:color="auto"/>
                <w:left w:val="none" w:sz="0" w:space="0" w:color="auto"/>
                <w:bottom w:val="none" w:sz="0" w:space="0" w:color="auto"/>
                <w:right w:val="none" w:sz="0" w:space="0" w:color="auto"/>
              </w:divBdr>
            </w:div>
          </w:divsChild>
        </w:div>
        <w:div w:id="27535403">
          <w:marLeft w:val="0"/>
          <w:marRight w:val="0"/>
          <w:marTop w:val="0"/>
          <w:marBottom w:val="0"/>
          <w:divBdr>
            <w:top w:val="none" w:sz="0" w:space="0" w:color="auto"/>
            <w:left w:val="none" w:sz="0" w:space="0" w:color="auto"/>
            <w:bottom w:val="none" w:sz="0" w:space="0" w:color="auto"/>
            <w:right w:val="none" w:sz="0" w:space="0" w:color="auto"/>
          </w:divBdr>
          <w:divsChild>
            <w:div w:id="766577464">
              <w:marLeft w:val="0"/>
              <w:marRight w:val="0"/>
              <w:marTop w:val="0"/>
              <w:marBottom w:val="0"/>
              <w:divBdr>
                <w:top w:val="none" w:sz="0" w:space="0" w:color="auto"/>
                <w:left w:val="none" w:sz="0" w:space="0" w:color="auto"/>
                <w:bottom w:val="none" w:sz="0" w:space="0" w:color="auto"/>
                <w:right w:val="none" w:sz="0" w:space="0" w:color="auto"/>
              </w:divBdr>
            </w:div>
          </w:divsChild>
        </w:div>
        <w:div w:id="34820308">
          <w:marLeft w:val="0"/>
          <w:marRight w:val="0"/>
          <w:marTop w:val="0"/>
          <w:marBottom w:val="0"/>
          <w:divBdr>
            <w:top w:val="none" w:sz="0" w:space="0" w:color="auto"/>
            <w:left w:val="none" w:sz="0" w:space="0" w:color="auto"/>
            <w:bottom w:val="none" w:sz="0" w:space="0" w:color="auto"/>
            <w:right w:val="none" w:sz="0" w:space="0" w:color="auto"/>
          </w:divBdr>
          <w:divsChild>
            <w:div w:id="2005354744">
              <w:marLeft w:val="0"/>
              <w:marRight w:val="0"/>
              <w:marTop w:val="0"/>
              <w:marBottom w:val="0"/>
              <w:divBdr>
                <w:top w:val="none" w:sz="0" w:space="0" w:color="auto"/>
                <w:left w:val="none" w:sz="0" w:space="0" w:color="auto"/>
                <w:bottom w:val="none" w:sz="0" w:space="0" w:color="auto"/>
                <w:right w:val="none" w:sz="0" w:space="0" w:color="auto"/>
              </w:divBdr>
            </w:div>
          </w:divsChild>
        </w:div>
        <w:div w:id="35667039">
          <w:marLeft w:val="0"/>
          <w:marRight w:val="0"/>
          <w:marTop w:val="0"/>
          <w:marBottom w:val="0"/>
          <w:divBdr>
            <w:top w:val="none" w:sz="0" w:space="0" w:color="auto"/>
            <w:left w:val="none" w:sz="0" w:space="0" w:color="auto"/>
            <w:bottom w:val="none" w:sz="0" w:space="0" w:color="auto"/>
            <w:right w:val="none" w:sz="0" w:space="0" w:color="auto"/>
          </w:divBdr>
          <w:divsChild>
            <w:div w:id="1763405685">
              <w:marLeft w:val="0"/>
              <w:marRight w:val="0"/>
              <w:marTop w:val="0"/>
              <w:marBottom w:val="0"/>
              <w:divBdr>
                <w:top w:val="none" w:sz="0" w:space="0" w:color="auto"/>
                <w:left w:val="none" w:sz="0" w:space="0" w:color="auto"/>
                <w:bottom w:val="none" w:sz="0" w:space="0" w:color="auto"/>
                <w:right w:val="none" w:sz="0" w:space="0" w:color="auto"/>
              </w:divBdr>
            </w:div>
          </w:divsChild>
        </w:div>
        <w:div w:id="53428769">
          <w:marLeft w:val="0"/>
          <w:marRight w:val="0"/>
          <w:marTop w:val="0"/>
          <w:marBottom w:val="0"/>
          <w:divBdr>
            <w:top w:val="none" w:sz="0" w:space="0" w:color="auto"/>
            <w:left w:val="none" w:sz="0" w:space="0" w:color="auto"/>
            <w:bottom w:val="none" w:sz="0" w:space="0" w:color="auto"/>
            <w:right w:val="none" w:sz="0" w:space="0" w:color="auto"/>
          </w:divBdr>
          <w:divsChild>
            <w:div w:id="1732653403">
              <w:marLeft w:val="0"/>
              <w:marRight w:val="0"/>
              <w:marTop w:val="0"/>
              <w:marBottom w:val="0"/>
              <w:divBdr>
                <w:top w:val="none" w:sz="0" w:space="0" w:color="auto"/>
                <w:left w:val="none" w:sz="0" w:space="0" w:color="auto"/>
                <w:bottom w:val="none" w:sz="0" w:space="0" w:color="auto"/>
                <w:right w:val="none" w:sz="0" w:space="0" w:color="auto"/>
              </w:divBdr>
            </w:div>
          </w:divsChild>
        </w:div>
        <w:div w:id="69274772">
          <w:marLeft w:val="0"/>
          <w:marRight w:val="0"/>
          <w:marTop w:val="0"/>
          <w:marBottom w:val="0"/>
          <w:divBdr>
            <w:top w:val="none" w:sz="0" w:space="0" w:color="auto"/>
            <w:left w:val="none" w:sz="0" w:space="0" w:color="auto"/>
            <w:bottom w:val="none" w:sz="0" w:space="0" w:color="auto"/>
            <w:right w:val="none" w:sz="0" w:space="0" w:color="auto"/>
          </w:divBdr>
          <w:divsChild>
            <w:div w:id="260457000">
              <w:marLeft w:val="0"/>
              <w:marRight w:val="0"/>
              <w:marTop w:val="0"/>
              <w:marBottom w:val="0"/>
              <w:divBdr>
                <w:top w:val="none" w:sz="0" w:space="0" w:color="auto"/>
                <w:left w:val="none" w:sz="0" w:space="0" w:color="auto"/>
                <w:bottom w:val="none" w:sz="0" w:space="0" w:color="auto"/>
                <w:right w:val="none" w:sz="0" w:space="0" w:color="auto"/>
              </w:divBdr>
            </w:div>
          </w:divsChild>
        </w:div>
        <w:div w:id="80764231">
          <w:marLeft w:val="0"/>
          <w:marRight w:val="0"/>
          <w:marTop w:val="0"/>
          <w:marBottom w:val="0"/>
          <w:divBdr>
            <w:top w:val="none" w:sz="0" w:space="0" w:color="auto"/>
            <w:left w:val="none" w:sz="0" w:space="0" w:color="auto"/>
            <w:bottom w:val="none" w:sz="0" w:space="0" w:color="auto"/>
            <w:right w:val="none" w:sz="0" w:space="0" w:color="auto"/>
          </w:divBdr>
          <w:divsChild>
            <w:div w:id="1031685302">
              <w:marLeft w:val="0"/>
              <w:marRight w:val="0"/>
              <w:marTop w:val="0"/>
              <w:marBottom w:val="0"/>
              <w:divBdr>
                <w:top w:val="none" w:sz="0" w:space="0" w:color="auto"/>
                <w:left w:val="none" w:sz="0" w:space="0" w:color="auto"/>
                <w:bottom w:val="none" w:sz="0" w:space="0" w:color="auto"/>
                <w:right w:val="none" w:sz="0" w:space="0" w:color="auto"/>
              </w:divBdr>
            </w:div>
          </w:divsChild>
        </w:div>
        <w:div w:id="97599449">
          <w:marLeft w:val="0"/>
          <w:marRight w:val="0"/>
          <w:marTop w:val="0"/>
          <w:marBottom w:val="0"/>
          <w:divBdr>
            <w:top w:val="none" w:sz="0" w:space="0" w:color="auto"/>
            <w:left w:val="none" w:sz="0" w:space="0" w:color="auto"/>
            <w:bottom w:val="none" w:sz="0" w:space="0" w:color="auto"/>
            <w:right w:val="none" w:sz="0" w:space="0" w:color="auto"/>
          </w:divBdr>
          <w:divsChild>
            <w:div w:id="1161888842">
              <w:marLeft w:val="0"/>
              <w:marRight w:val="0"/>
              <w:marTop w:val="0"/>
              <w:marBottom w:val="0"/>
              <w:divBdr>
                <w:top w:val="none" w:sz="0" w:space="0" w:color="auto"/>
                <w:left w:val="none" w:sz="0" w:space="0" w:color="auto"/>
                <w:bottom w:val="none" w:sz="0" w:space="0" w:color="auto"/>
                <w:right w:val="none" w:sz="0" w:space="0" w:color="auto"/>
              </w:divBdr>
            </w:div>
          </w:divsChild>
        </w:div>
        <w:div w:id="107749384">
          <w:marLeft w:val="0"/>
          <w:marRight w:val="0"/>
          <w:marTop w:val="0"/>
          <w:marBottom w:val="0"/>
          <w:divBdr>
            <w:top w:val="none" w:sz="0" w:space="0" w:color="auto"/>
            <w:left w:val="none" w:sz="0" w:space="0" w:color="auto"/>
            <w:bottom w:val="none" w:sz="0" w:space="0" w:color="auto"/>
            <w:right w:val="none" w:sz="0" w:space="0" w:color="auto"/>
          </w:divBdr>
          <w:divsChild>
            <w:div w:id="134222362">
              <w:marLeft w:val="0"/>
              <w:marRight w:val="0"/>
              <w:marTop w:val="0"/>
              <w:marBottom w:val="0"/>
              <w:divBdr>
                <w:top w:val="none" w:sz="0" w:space="0" w:color="auto"/>
                <w:left w:val="none" w:sz="0" w:space="0" w:color="auto"/>
                <w:bottom w:val="none" w:sz="0" w:space="0" w:color="auto"/>
                <w:right w:val="none" w:sz="0" w:space="0" w:color="auto"/>
              </w:divBdr>
            </w:div>
          </w:divsChild>
        </w:div>
        <w:div w:id="123037455">
          <w:marLeft w:val="0"/>
          <w:marRight w:val="0"/>
          <w:marTop w:val="0"/>
          <w:marBottom w:val="0"/>
          <w:divBdr>
            <w:top w:val="none" w:sz="0" w:space="0" w:color="auto"/>
            <w:left w:val="none" w:sz="0" w:space="0" w:color="auto"/>
            <w:bottom w:val="none" w:sz="0" w:space="0" w:color="auto"/>
            <w:right w:val="none" w:sz="0" w:space="0" w:color="auto"/>
          </w:divBdr>
          <w:divsChild>
            <w:div w:id="244582077">
              <w:marLeft w:val="0"/>
              <w:marRight w:val="0"/>
              <w:marTop w:val="0"/>
              <w:marBottom w:val="0"/>
              <w:divBdr>
                <w:top w:val="none" w:sz="0" w:space="0" w:color="auto"/>
                <w:left w:val="none" w:sz="0" w:space="0" w:color="auto"/>
                <w:bottom w:val="none" w:sz="0" w:space="0" w:color="auto"/>
                <w:right w:val="none" w:sz="0" w:space="0" w:color="auto"/>
              </w:divBdr>
            </w:div>
          </w:divsChild>
        </w:div>
        <w:div w:id="128475091">
          <w:marLeft w:val="0"/>
          <w:marRight w:val="0"/>
          <w:marTop w:val="0"/>
          <w:marBottom w:val="0"/>
          <w:divBdr>
            <w:top w:val="none" w:sz="0" w:space="0" w:color="auto"/>
            <w:left w:val="none" w:sz="0" w:space="0" w:color="auto"/>
            <w:bottom w:val="none" w:sz="0" w:space="0" w:color="auto"/>
            <w:right w:val="none" w:sz="0" w:space="0" w:color="auto"/>
          </w:divBdr>
          <w:divsChild>
            <w:div w:id="463472157">
              <w:marLeft w:val="0"/>
              <w:marRight w:val="0"/>
              <w:marTop w:val="0"/>
              <w:marBottom w:val="0"/>
              <w:divBdr>
                <w:top w:val="none" w:sz="0" w:space="0" w:color="auto"/>
                <w:left w:val="none" w:sz="0" w:space="0" w:color="auto"/>
                <w:bottom w:val="none" w:sz="0" w:space="0" w:color="auto"/>
                <w:right w:val="none" w:sz="0" w:space="0" w:color="auto"/>
              </w:divBdr>
            </w:div>
          </w:divsChild>
        </w:div>
        <w:div w:id="138158230">
          <w:marLeft w:val="0"/>
          <w:marRight w:val="0"/>
          <w:marTop w:val="0"/>
          <w:marBottom w:val="0"/>
          <w:divBdr>
            <w:top w:val="none" w:sz="0" w:space="0" w:color="auto"/>
            <w:left w:val="none" w:sz="0" w:space="0" w:color="auto"/>
            <w:bottom w:val="none" w:sz="0" w:space="0" w:color="auto"/>
            <w:right w:val="none" w:sz="0" w:space="0" w:color="auto"/>
          </w:divBdr>
          <w:divsChild>
            <w:div w:id="2083718878">
              <w:marLeft w:val="0"/>
              <w:marRight w:val="0"/>
              <w:marTop w:val="0"/>
              <w:marBottom w:val="0"/>
              <w:divBdr>
                <w:top w:val="none" w:sz="0" w:space="0" w:color="auto"/>
                <w:left w:val="none" w:sz="0" w:space="0" w:color="auto"/>
                <w:bottom w:val="none" w:sz="0" w:space="0" w:color="auto"/>
                <w:right w:val="none" w:sz="0" w:space="0" w:color="auto"/>
              </w:divBdr>
            </w:div>
          </w:divsChild>
        </w:div>
        <w:div w:id="138815296">
          <w:marLeft w:val="0"/>
          <w:marRight w:val="0"/>
          <w:marTop w:val="0"/>
          <w:marBottom w:val="0"/>
          <w:divBdr>
            <w:top w:val="none" w:sz="0" w:space="0" w:color="auto"/>
            <w:left w:val="none" w:sz="0" w:space="0" w:color="auto"/>
            <w:bottom w:val="none" w:sz="0" w:space="0" w:color="auto"/>
            <w:right w:val="none" w:sz="0" w:space="0" w:color="auto"/>
          </w:divBdr>
          <w:divsChild>
            <w:div w:id="595215445">
              <w:marLeft w:val="0"/>
              <w:marRight w:val="0"/>
              <w:marTop w:val="0"/>
              <w:marBottom w:val="0"/>
              <w:divBdr>
                <w:top w:val="none" w:sz="0" w:space="0" w:color="auto"/>
                <w:left w:val="none" w:sz="0" w:space="0" w:color="auto"/>
                <w:bottom w:val="none" w:sz="0" w:space="0" w:color="auto"/>
                <w:right w:val="none" w:sz="0" w:space="0" w:color="auto"/>
              </w:divBdr>
            </w:div>
          </w:divsChild>
        </w:div>
        <w:div w:id="159658507">
          <w:marLeft w:val="0"/>
          <w:marRight w:val="0"/>
          <w:marTop w:val="0"/>
          <w:marBottom w:val="0"/>
          <w:divBdr>
            <w:top w:val="none" w:sz="0" w:space="0" w:color="auto"/>
            <w:left w:val="none" w:sz="0" w:space="0" w:color="auto"/>
            <w:bottom w:val="none" w:sz="0" w:space="0" w:color="auto"/>
            <w:right w:val="none" w:sz="0" w:space="0" w:color="auto"/>
          </w:divBdr>
          <w:divsChild>
            <w:div w:id="1049954858">
              <w:marLeft w:val="0"/>
              <w:marRight w:val="0"/>
              <w:marTop w:val="0"/>
              <w:marBottom w:val="0"/>
              <w:divBdr>
                <w:top w:val="none" w:sz="0" w:space="0" w:color="auto"/>
                <w:left w:val="none" w:sz="0" w:space="0" w:color="auto"/>
                <w:bottom w:val="none" w:sz="0" w:space="0" w:color="auto"/>
                <w:right w:val="none" w:sz="0" w:space="0" w:color="auto"/>
              </w:divBdr>
            </w:div>
          </w:divsChild>
        </w:div>
        <w:div w:id="165902025">
          <w:marLeft w:val="0"/>
          <w:marRight w:val="0"/>
          <w:marTop w:val="0"/>
          <w:marBottom w:val="0"/>
          <w:divBdr>
            <w:top w:val="none" w:sz="0" w:space="0" w:color="auto"/>
            <w:left w:val="none" w:sz="0" w:space="0" w:color="auto"/>
            <w:bottom w:val="none" w:sz="0" w:space="0" w:color="auto"/>
            <w:right w:val="none" w:sz="0" w:space="0" w:color="auto"/>
          </w:divBdr>
          <w:divsChild>
            <w:div w:id="415789988">
              <w:marLeft w:val="0"/>
              <w:marRight w:val="0"/>
              <w:marTop w:val="0"/>
              <w:marBottom w:val="0"/>
              <w:divBdr>
                <w:top w:val="none" w:sz="0" w:space="0" w:color="auto"/>
                <w:left w:val="none" w:sz="0" w:space="0" w:color="auto"/>
                <w:bottom w:val="none" w:sz="0" w:space="0" w:color="auto"/>
                <w:right w:val="none" w:sz="0" w:space="0" w:color="auto"/>
              </w:divBdr>
            </w:div>
          </w:divsChild>
        </w:div>
        <w:div w:id="177549727">
          <w:marLeft w:val="0"/>
          <w:marRight w:val="0"/>
          <w:marTop w:val="0"/>
          <w:marBottom w:val="0"/>
          <w:divBdr>
            <w:top w:val="none" w:sz="0" w:space="0" w:color="auto"/>
            <w:left w:val="none" w:sz="0" w:space="0" w:color="auto"/>
            <w:bottom w:val="none" w:sz="0" w:space="0" w:color="auto"/>
            <w:right w:val="none" w:sz="0" w:space="0" w:color="auto"/>
          </w:divBdr>
          <w:divsChild>
            <w:div w:id="1455950749">
              <w:marLeft w:val="0"/>
              <w:marRight w:val="0"/>
              <w:marTop w:val="0"/>
              <w:marBottom w:val="0"/>
              <w:divBdr>
                <w:top w:val="none" w:sz="0" w:space="0" w:color="auto"/>
                <w:left w:val="none" w:sz="0" w:space="0" w:color="auto"/>
                <w:bottom w:val="none" w:sz="0" w:space="0" w:color="auto"/>
                <w:right w:val="none" w:sz="0" w:space="0" w:color="auto"/>
              </w:divBdr>
            </w:div>
          </w:divsChild>
        </w:div>
        <w:div w:id="192545730">
          <w:marLeft w:val="0"/>
          <w:marRight w:val="0"/>
          <w:marTop w:val="0"/>
          <w:marBottom w:val="0"/>
          <w:divBdr>
            <w:top w:val="none" w:sz="0" w:space="0" w:color="auto"/>
            <w:left w:val="none" w:sz="0" w:space="0" w:color="auto"/>
            <w:bottom w:val="none" w:sz="0" w:space="0" w:color="auto"/>
            <w:right w:val="none" w:sz="0" w:space="0" w:color="auto"/>
          </w:divBdr>
          <w:divsChild>
            <w:div w:id="1883706777">
              <w:marLeft w:val="0"/>
              <w:marRight w:val="0"/>
              <w:marTop w:val="0"/>
              <w:marBottom w:val="0"/>
              <w:divBdr>
                <w:top w:val="none" w:sz="0" w:space="0" w:color="auto"/>
                <w:left w:val="none" w:sz="0" w:space="0" w:color="auto"/>
                <w:bottom w:val="none" w:sz="0" w:space="0" w:color="auto"/>
                <w:right w:val="none" w:sz="0" w:space="0" w:color="auto"/>
              </w:divBdr>
            </w:div>
          </w:divsChild>
        </w:div>
        <w:div w:id="196429904">
          <w:marLeft w:val="0"/>
          <w:marRight w:val="0"/>
          <w:marTop w:val="0"/>
          <w:marBottom w:val="0"/>
          <w:divBdr>
            <w:top w:val="none" w:sz="0" w:space="0" w:color="auto"/>
            <w:left w:val="none" w:sz="0" w:space="0" w:color="auto"/>
            <w:bottom w:val="none" w:sz="0" w:space="0" w:color="auto"/>
            <w:right w:val="none" w:sz="0" w:space="0" w:color="auto"/>
          </w:divBdr>
          <w:divsChild>
            <w:div w:id="1645547495">
              <w:marLeft w:val="0"/>
              <w:marRight w:val="0"/>
              <w:marTop w:val="0"/>
              <w:marBottom w:val="0"/>
              <w:divBdr>
                <w:top w:val="none" w:sz="0" w:space="0" w:color="auto"/>
                <w:left w:val="none" w:sz="0" w:space="0" w:color="auto"/>
                <w:bottom w:val="none" w:sz="0" w:space="0" w:color="auto"/>
                <w:right w:val="none" w:sz="0" w:space="0" w:color="auto"/>
              </w:divBdr>
            </w:div>
          </w:divsChild>
        </w:div>
        <w:div w:id="238636135">
          <w:marLeft w:val="0"/>
          <w:marRight w:val="0"/>
          <w:marTop w:val="0"/>
          <w:marBottom w:val="0"/>
          <w:divBdr>
            <w:top w:val="none" w:sz="0" w:space="0" w:color="auto"/>
            <w:left w:val="none" w:sz="0" w:space="0" w:color="auto"/>
            <w:bottom w:val="none" w:sz="0" w:space="0" w:color="auto"/>
            <w:right w:val="none" w:sz="0" w:space="0" w:color="auto"/>
          </w:divBdr>
          <w:divsChild>
            <w:div w:id="1165241441">
              <w:marLeft w:val="0"/>
              <w:marRight w:val="0"/>
              <w:marTop w:val="0"/>
              <w:marBottom w:val="0"/>
              <w:divBdr>
                <w:top w:val="none" w:sz="0" w:space="0" w:color="auto"/>
                <w:left w:val="none" w:sz="0" w:space="0" w:color="auto"/>
                <w:bottom w:val="none" w:sz="0" w:space="0" w:color="auto"/>
                <w:right w:val="none" w:sz="0" w:space="0" w:color="auto"/>
              </w:divBdr>
            </w:div>
          </w:divsChild>
        </w:div>
        <w:div w:id="247886968">
          <w:marLeft w:val="0"/>
          <w:marRight w:val="0"/>
          <w:marTop w:val="0"/>
          <w:marBottom w:val="0"/>
          <w:divBdr>
            <w:top w:val="none" w:sz="0" w:space="0" w:color="auto"/>
            <w:left w:val="none" w:sz="0" w:space="0" w:color="auto"/>
            <w:bottom w:val="none" w:sz="0" w:space="0" w:color="auto"/>
            <w:right w:val="none" w:sz="0" w:space="0" w:color="auto"/>
          </w:divBdr>
          <w:divsChild>
            <w:div w:id="808328998">
              <w:marLeft w:val="0"/>
              <w:marRight w:val="0"/>
              <w:marTop w:val="0"/>
              <w:marBottom w:val="0"/>
              <w:divBdr>
                <w:top w:val="none" w:sz="0" w:space="0" w:color="auto"/>
                <w:left w:val="none" w:sz="0" w:space="0" w:color="auto"/>
                <w:bottom w:val="none" w:sz="0" w:space="0" w:color="auto"/>
                <w:right w:val="none" w:sz="0" w:space="0" w:color="auto"/>
              </w:divBdr>
            </w:div>
          </w:divsChild>
        </w:div>
        <w:div w:id="248850364">
          <w:marLeft w:val="0"/>
          <w:marRight w:val="0"/>
          <w:marTop w:val="0"/>
          <w:marBottom w:val="0"/>
          <w:divBdr>
            <w:top w:val="none" w:sz="0" w:space="0" w:color="auto"/>
            <w:left w:val="none" w:sz="0" w:space="0" w:color="auto"/>
            <w:bottom w:val="none" w:sz="0" w:space="0" w:color="auto"/>
            <w:right w:val="none" w:sz="0" w:space="0" w:color="auto"/>
          </w:divBdr>
          <w:divsChild>
            <w:div w:id="494733089">
              <w:marLeft w:val="0"/>
              <w:marRight w:val="0"/>
              <w:marTop w:val="0"/>
              <w:marBottom w:val="0"/>
              <w:divBdr>
                <w:top w:val="none" w:sz="0" w:space="0" w:color="auto"/>
                <w:left w:val="none" w:sz="0" w:space="0" w:color="auto"/>
                <w:bottom w:val="none" w:sz="0" w:space="0" w:color="auto"/>
                <w:right w:val="none" w:sz="0" w:space="0" w:color="auto"/>
              </w:divBdr>
            </w:div>
          </w:divsChild>
        </w:div>
        <w:div w:id="252128901">
          <w:marLeft w:val="0"/>
          <w:marRight w:val="0"/>
          <w:marTop w:val="0"/>
          <w:marBottom w:val="0"/>
          <w:divBdr>
            <w:top w:val="none" w:sz="0" w:space="0" w:color="auto"/>
            <w:left w:val="none" w:sz="0" w:space="0" w:color="auto"/>
            <w:bottom w:val="none" w:sz="0" w:space="0" w:color="auto"/>
            <w:right w:val="none" w:sz="0" w:space="0" w:color="auto"/>
          </w:divBdr>
          <w:divsChild>
            <w:div w:id="290013436">
              <w:marLeft w:val="0"/>
              <w:marRight w:val="0"/>
              <w:marTop w:val="0"/>
              <w:marBottom w:val="0"/>
              <w:divBdr>
                <w:top w:val="none" w:sz="0" w:space="0" w:color="auto"/>
                <w:left w:val="none" w:sz="0" w:space="0" w:color="auto"/>
                <w:bottom w:val="none" w:sz="0" w:space="0" w:color="auto"/>
                <w:right w:val="none" w:sz="0" w:space="0" w:color="auto"/>
              </w:divBdr>
            </w:div>
          </w:divsChild>
        </w:div>
        <w:div w:id="287325942">
          <w:marLeft w:val="0"/>
          <w:marRight w:val="0"/>
          <w:marTop w:val="0"/>
          <w:marBottom w:val="0"/>
          <w:divBdr>
            <w:top w:val="none" w:sz="0" w:space="0" w:color="auto"/>
            <w:left w:val="none" w:sz="0" w:space="0" w:color="auto"/>
            <w:bottom w:val="none" w:sz="0" w:space="0" w:color="auto"/>
            <w:right w:val="none" w:sz="0" w:space="0" w:color="auto"/>
          </w:divBdr>
          <w:divsChild>
            <w:div w:id="1814177024">
              <w:marLeft w:val="0"/>
              <w:marRight w:val="0"/>
              <w:marTop w:val="0"/>
              <w:marBottom w:val="0"/>
              <w:divBdr>
                <w:top w:val="none" w:sz="0" w:space="0" w:color="auto"/>
                <w:left w:val="none" w:sz="0" w:space="0" w:color="auto"/>
                <w:bottom w:val="none" w:sz="0" w:space="0" w:color="auto"/>
                <w:right w:val="none" w:sz="0" w:space="0" w:color="auto"/>
              </w:divBdr>
            </w:div>
          </w:divsChild>
        </w:div>
        <w:div w:id="306327810">
          <w:marLeft w:val="0"/>
          <w:marRight w:val="0"/>
          <w:marTop w:val="0"/>
          <w:marBottom w:val="0"/>
          <w:divBdr>
            <w:top w:val="none" w:sz="0" w:space="0" w:color="auto"/>
            <w:left w:val="none" w:sz="0" w:space="0" w:color="auto"/>
            <w:bottom w:val="none" w:sz="0" w:space="0" w:color="auto"/>
            <w:right w:val="none" w:sz="0" w:space="0" w:color="auto"/>
          </w:divBdr>
          <w:divsChild>
            <w:div w:id="1930113078">
              <w:marLeft w:val="0"/>
              <w:marRight w:val="0"/>
              <w:marTop w:val="0"/>
              <w:marBottom w:val="0"/>
              <w:divBdr>
                <w:top w:val="none" w:sz="0" w:space="0" w:color="auto"/>
                <w:left w:val="none" w:sz="0" w:space="0" w:color="auto"/>
                <w:bottom w:val="none" w:sz="0" w:space="0" w:color="auto"/>
                <w:right w:val="none" w:sz="0" w:space="0" w:color="auto"/>
              </w:divBdr>
            </w:div>
          </w:divsChild>
        </w:div>
        <w:div w:id="314533022">
          <w:marLeft w:val="0"/>
          <w:marRight w:val="0"/>
          <w:marTop w:val="0"/>
          <w:marBottom w:val="0"/>
          <w:divBdr>
            <w:top w:val="none" w:sz="0" w:space="0" w:color="auto"/>
            <w:left w:val="none" w:sz="0" w:space="0" w:color="auto"/>
            <w:bottom w:val="none" w:sz="0" w:space="0" w:color="auto"/>
            <w:right w:val="none" w:sz="0" w:space="0" w:color="auto"/>
          </w:divBdr>
          <w:divsChild>
            <w:div w:id="1736779559">
              <w:marLeft w:val="0"/>
              <w:marRight w:val="0"/>
              <w:marTop w:val="0"/>
              <w:marBottom w:val="0"/>
              <w:divBdr>
                <w:top w:val="none" w:sz="0" w:space="0" w:color="auto"/>
                <w:left w:val="none" w:sz="0" w:space="0" w:color="auto"/>
                <w:bottom w:val="none" w:sz="0" w:space="0" w:color="auto"/>
                <w:right w:val="none" w:sz="0" w:space="0" w:color="auto"/>
              </w:divBdr>
            </w:div>
          </w:divsChild>
        </w:div>
        <w:div w:id="340931411">
          <w:marLeft w:val="0"/>
          <w:marRight w:val="0"/>
          <w:marTop w:val="0"/>
          <w:marBottom w:val="0"/>
          <w:divBdr>
            <w:top w:val="none" w:sz="0" w:space="0" w:color="auto"/>
            <w:left w:val="none" w:sz="0" w:space="0" w:color="auto"/>
            <w:bottom w:val="none" w:sz="0" w:space="0" w:color="auto"/>
            <w:right w:val="none" w:sz="0" w:space="0" w:color="auto"/>
          </w:divBdr>
          <w:divsChild>
            <w:div w:id="1487279219">
              <w:marLeft w:val="0"/>
              <w:marRight w:val="0"/>
              <w:marTop w:val="0"/>
              <w:marBottom w:val="0"/>
              <w:divBdr>
                <w:top w:val="none" w:sz="0" w:space="0" w:color="auto"/>
                <w:left w:val="none" w:sz="0" w:space="0" w:color="auto"/>
                <w:bottom w:val="none" w:sz="0" w:space="0" w:color="auto"/>
                <w:right w:val="none" w:sz="0" w:space="0" w:color="auto"/>
              </w:divBdr>
            </w:div>
          </w:divsChild>
        </w:div>
        <w:div w:id="342167235">
          <w:marLeft w:val="0"/>
          <w:marRight w:val="0"/>
          <w:marTop w:val="0"/>
          <w:marBottom w:val="0"/>
          <w:divBdr>
            <w:top w:val="none" w:sz="0" w:space="0" w:color="auto"/>
            <w:left w:val="none" w:sz="0" w:space="0" w:color="auto"/>
            <w:bottom w:val="none" w:sz="0" w:space="0" w:color="auto"/>
            <w:right w:val="none" w:sz="0" w:space="0" w:color="auto"/>
          </w:divBdr>
          <w:divsChild>
            <w:div w:id="1905600689">
              <w:marLeft w:val="0"/>
              <w:marRight w:val="0"/>
              <w:marTop w:val="0"/>
              <w:marBottom w:val="0"/>
              <w:divBdr>
                <w:top w:val="none" w:sz="0" w:space="0" w:color="auto"/>
                <w:left w:val="none" w:sz="0" w:space="0" w:color="auto"/>
                <w:bottom w:val="none" w:sz="0" w:space="0" w:color="auto"/>
                <w:right w:val="none" w:sz="0" w:space="0" w:color="auto"/>
              </w:divBdr>
            </w:div>
          </w:divsChild>
        </w:div>
        <w:div w:id="347371999">
          <w:marLeft w:val="0"/>
          <w:marRight w:val="0"/>
          <w:marTop w:val="0"/>
          <w:marBottom w:val="0"/>
          <w:divBdr>
            <w:top w:val="none" w:sz="0" w:space="0" w:color="auto"/>
            <w:left w:val="none" w:sz="0" w:space="0" w:color="auto"/>
            <w:bottom w:val="none" w:sz="0" w:space="0" w:color="auto"/>
            <w:right w:val="none" w:sz="0" w:space="0" w:color="auto"/>
          </w:divBdr>
          <w:divsChild>
            <w:div w:id="1403792965">
              <w:marLeft w:val="0"/>
              <w:marRight w:val="0"/>
              <w:marTop w:val="0"/>
              <w:marBottom w:val="0"/>
              <w:divBdr>
                <w:top w:val="none" w:sz="0" w:space="0" w:color="auto"/>
                <w:left w:val="none" w:sz="0" w:space="0" w:color="auto"/>
                <w:bottom w:val="none" w:sz="0" w:space="0" w:color="auto"/>
                <w:right w:val="none" w:sz="0" w:space="0" w:color="auto"/>
              </w:divBdr>
            </w:div>
          </w:divsChild>
        </w:div>
        <w:div w:id="351420114">
          <w:marLeft w:val="0"/>
          <w:marRight w:val="0"/>
          <w:marTop w:val="0"/>
          <w:marBottom w:val="0"/>
          <w:divBdr>
            <w:top w:val="none" w:sz="0" w:space="0" w:color="auto"/>
            <w:left w:val="none" w:sz="0" w:space="0" w:color="auto"/>
            <w:bottom w:val="none" w:sz="0" w:space="0" w:color="auto"/>
            <w:right w:val="none" w:sz="0" w:space="0" w:color="auto"/>
          </w:divBdr>
          <w:divsChild>
            <w:div w:id="315770592">
              <w:marLeft w:val="0"/>
              <w:marRight w:val="0"/>
              <w:marTop w:val="0"/>
              <w:marBottom w:val="0"/>
              <w:divBdr>
                <w:top w:val="none" w:sz="0" w:space="0" w:color="auto"/>
                <w:left w:val="none" w:sz="0" w:space="0" w:color="auto"/>
                <w:bottom w:val="none" w:sz="0" w:space="0" w:color="auto"/>
                <w:right w:val="none" w:sz="0" w:space="0" w:color="auto"/>
              </w:divBdr>
            </w:div>
          </w:divsChild>
        </w:div>
        <w:div w:id="366413310">
          <w:marLeft w:val="0"/>
          <w:marRight w:val="0"/>
          <w:marTop w:val="0"/>
          <w:marBottom w:val="0"/>
          <w:divBdr>
            <w:top w:val="none" w:sz="0" w:space="0" w:color="auto"/>
            <w:left w:val="none" w:sz="0" w:space="0" w:color="auto"/>
            <w:bottom w:val="none" w:sz="0" w:space="0" w:color="auto"/>
            <w:right w:val="none" w:sz="0" w:space="0" w:color="auto"/>
          </w:divBdr>
          <w:divsChild>
            <w:div w:id="1956280265">
              <w:marLeft w:val="0"/>
              <w:marRight w:val="0"/>
              <w:marTop w:val="0"/>
              <w:marBottom w:val="0"/>
              <w:divBdr>
                <w:top w:val="none" w:sz="0" w:space="0" w:color="auto"/>
                <w:left w:val="none" w:sz="0" w:space="0" w:color="auto"/>
                <w:bottom w:val="none" w:sz="0" w:space="0" w:color="auto"/>
                <w:right w:val="none" w:sz="0" w:space="0" w:color="auto"/>
              </w:divBdr>
            </w:div>
          </w:divsChild>
        </w:div>
        <w:div w:id="377701210">
          <w:marLeft w:val="0"/>
          <w:marRight w:val="0"/>
          <w:marTop w:val="0"/>
          <w:marBottom w:val="0"/>
          <w:divBdr>
            <w:top w:val="none" w:sz="0" w:space="0" w:color="auto"/>
            <w:left w:val="none" w:sz="0" w:space="0" w:color="auto"/>
            <w:bottom w:val="none" w:sz="0" w:space="0" w:color="auto"/>
            <w:right w:val="none" w:sz="0" w:space="0" w:color="auto"/>
          </w:divBdr>
          <w:divsChild>
            <w:div w:id="152723607">
              <w:marLeft w:val="0"/>
              <w:marRight w:val="0"/>
              <w:marTop w:val="0"/>
              <w:marBottom w:val="0"/>
              <w:divBdr>
                <w:top w:val="none" w:sz="0" w:space="0" w:color="auto"/>
                <w:left w:val="none" w:sz="0" w:space="0" w:color="auto"/>
                <w:bottom w:val="none" w:sz="0" w:space="0" w:color="auto"/>
                <w:right w:val="none" w:sz="0" w:space="0" w:color="auto"/>
              </w:divBdr>
            </w:div>
          </w:divsChild>
        </w:div>
        <w:div w:id="381905318">
          <w:marLeft w:val="0"/>
          <w:marRight w:val="0"/>
          <w:marTop w:val="0"/>
          <w:marBottom w:val="0"/>
          <w:divBdr>
            <w:top w:val="none" w:sz="0" w:space="0" w:color="auto"/>
            <w:left w:val="none" w:sz="0" w:space="0" w:color="auto"/>
            <w:bottom w:val="none" w:sz="0" w:space="0" w:color="auto"/>
            <w:right w:val="none" w:sz="0" w:space="0" w:color="auto"/>
          </w:divBdr>
          <w:divsChild>
            <w:div w:id="1017535215">
              <w:marLeft w:val="0"/>
              <w:marRight w:val="0"/>
              <w:marTop w:val="0"/>
              <w:marBottom w:val="0"/>
              <w:divBdr>
                <w:top w:val="none" w:sz="0" w:space="0" w:color="auto"/>
                <w:left w:val="none" w:sz="0" w:space="0" w:color="auto"/>
                <w:bottom w:val="none" w:sz="0" w:space="0" w:color="auto"/>
                <w:right w:val="none" w:sz="0" w:space="0" w:color="auto"/>
              </w:divBdr>
            </w:div>
          </w:divsChild>
        </w:div>
        <w:div w:id="385614388">
          <w:marLeft w:val="0"/>
          <w:marRight w:val="0"/>
          <w:marTop w:val="0"/>
          <w:marBottom w:val="0"/>
          <w:divBdr>
            <w:top w:val="none" w:sz="0" w:space="0" w:color="auto"/>
            <w:left w:val="none" w:sz="0" w:space="0" w:color="auto"/>
            <w:bottom w:val="none" w:sz="0" w:space="0" w:color="auto"/>
            <w:right w:val="none" w:sz="0" w:space="0" w:color="auto"/>
          </w:divBdr>
          <w:divsChild>
            <w:div w:id="517739552">
              <w:marLeft w:val="0"/>
              <w:marRight w:val="0"/>
              <w:marTop w:val="0"/>
              <w:marBottom w:val="0"/>
              <w:divBdr>
                <w:top w:val="none" w:sz="0" w:space="0" w:color="auto"/>
                <w:left w:val="none" w:sz="0" w:space="0" w:color="auto"/>
                <w:bottom w:val="none" w:sz="0" w:space="0" w:color="auto"/>
                <w:right w:val="none" w:sz="0" w:space="0" w:color="auto"/>
              </w:divBdr>
            </w:div>
          </w:divsChild>
        </w:div>
        <w:div w:id="388846061">
          <w:marLeft w:val="0"/>
          <w:marRight w:val="0"/>
          <w:marTop w:val="0"/>
          <w:marBottom w:val="0"/>
          <w:divBdr>
            <w:top w:val="none" w:sz="0" w:space="0" w:color="auto"/>
            <w:left w:val="none" w:sz="0" w:space="0" w:color="auto"/>
            <w:bottom w:val="none" w:sz="0" w:space="0" w:color="auto"/>
            <w:right w:val="none" w:sz="0" w:space="0" w:color="auto"/>
          </w:divBdr>
          <w:divsChild>
            <w:div w:id="1239946335">
              <w:marLeft w:val="0"/>
              <w:marRight w:val="0"/>
              <w:marTop w:val="0"/>
              <w:marBottom w:val="0"/>
              <w:divBdr>
                <w:top w:val="none" w:sz="0" w:space="0" w:color="auto"/>
                <w:left w:val="none" w:sz="0" w:space="0" w:color="auto"/>
                <w:bottom w:val="none" w:sz="0" w:space="0" w:color="auto"/>
                <w:right w:val="none" w:sz="0" w:space="0" w:color="auto"/>
              </w:divBdr>
            </w:div>
          </w:divsChild>
        </w:div>
        <w:div w:id="392897724">
          <w:marLeft w:val="0"/>
          <w:marRight w:val="0"/>
          <w:marTop w:val="0"/>
          <w:marBottom w:val="0"/>
          <w:divBdr>
            <w:top w:val="none" w:sz="0" w:space="0" w:color="auto"/>
            <w:left w:val="none" w:sz="0" w:space="0" w:color="auto"/>
            <w:bottom w:val="none" w:sz="0" w:space="0" w:color="auto"/>
            <w:right w:val="none" w:sz="0" w:space="0" w:color="auto"/>
          </w:divBdr>
          <w:divsChild>
            <w:div w:id="1027291647">
              <w:marLeft w:val="0"/>
              <w:marRight w:val="0"/>
              <w:marTop w:val="0"/>
              <w:marBottom w:val="0"/>
              <w:divBdr>
                <w:top w:val="none" w:sz="0" w:space="0" w:color="auto"/>
                <w:left w:val="none" w:sz="0" w:space="0" w:color="auto"/>
                <w:bottom w:val="none" w:sz="0" w:space="0" w:color="auto"/>
                <w:right w:val="none" w:sz="0" w:space="0" w:color="auto"/>
              </w:divBdr>
            </w:div>
          </w:divsChild>
        </w:div>
        <w:div w:id="393354772">
          <w:marLeft w:val="0"/>
          <w:marRight w:val="0"/>
          <w:marTop w:val="0"/>
          <w:marBottom w:val="0"/>
          <w:divBdr>
            <w:top w:val="none" w:sz="0" w:space="0" w:color="auto"/>
            <w:left w:val="none" w:sz="0" w:space="0" w:color="auto"/>
            <w:bottom w:val="none" w:sz="0" w:space="0" w:color="auto"/>
            <w:right w:val="none" w:sz="0" w:space="0" w:color="auto"/>
          </w:divBdr>
          <w:divsChild>
            <w:div w:id="319236093">
              <w:marLeft w:val="0"/>
              <w:marRight w:val="0"/>
              <w:marTop w:val="0"/>
              <w:marBottom w:val="0"/>
              <w:divBdr>
                <w:top w:val="none" w:sz="0" w:space="0" w:color="auto"/>
                <w:left w:val="none" w:sz="0" w:space="0" w:color="auto"/>
                <w:bottom w:val="none" w:sz="0" w:space="0" w:color="auto"/>
                <w:right w:val="none" w:sz="0" w:space="0" w:color="auto"/>
              </w:divBdr>
            </w:div>
          </w:divsChild>
        </w:div>
        <w:div w:id="402333214">
          <w:marLeft w:val="0"/>
          <w:marRight w:val="0"/>
          <w:marTop w:val="0"/>
          <w:marBottom w:val="0"/>
          <w:divBdr>
            <w:top w:val="none" w:sz="0" w:space="0" w:color="auto"/>
            <w:left w:val="none" w:sz="0" w:space="0" w:color="auto"/>
            <w:bottom w:val="none" w:sz="0" w:space="0" w:color="auto"/>
            <w:right w:val="none" w:sz="0" w:space="0" w:color="auto"/>
          </w:divBdr>
          <w:divsChild>
            <w:div w:id="744567368">
              <w:marLeft w:val="0"/>
              <w:marRight w:val="0"/>
              <w:marTop w:val="0"/>
              <w:marBottom w:val="0"/>
              <w:divBdr>
                <w:top w:val="none" w:sz="0" w:space="0" w:color="auto"/>
                <w:left w:val="none" w:sz="0" w:space="0" w:color="auto"/>
                <w:bottom w:val="none" w:sz="0" w:space="0" w:color="auto"/>
                <w:right w:val="none" w:sz="0" w:space="0" w:color="auto"/>
              </w:divBdr>
            </w:div>
          </w:divsChild>
        </w:div>
        <w:div w:id="413355613">
          <w:marLeft w:val="0"/>
          <w:marRight w:val="0"/>
          <w:marTop w:val="0"/>
          <w:marBottom w:val="0"/>
          <w:divBdr>
            <w:top w:val="none" w:sz="0" w:space="0" w:color="auto"/>
            <w:left w:val="none" w:sz="0" w:space="0" w:color="auto"/>
            <w:bottom w:val="none" w:sz="0" w:space="0" w:color="auto"/>
            <w:right w:val="none" w:sz="0" w:space="0" w:color="auto"/>
          </w:divBdr>
          <w:divsChild>
            <w:div w:id="171183502">
              <w:marLeft w:val="0"/>
              <w:marRight w:val="0"/>
              <w:marTop w:val="0"/>
              <w:marBottom w:val="0"/>
              <w:divBdr>
                <w:top w:val="none" w:sz="0" w:space="0" w:color="auto"/>
                <w:left w:val="none" w:sz="0" w:space="0" w:color="auto"/>
                <w:bottom w:val="none" w:sz="0" w:space="0" w:color="auto"/>
                <w:right w:val="none" w:sz="0" w:space="0" w:color="auto"/>
              </w:divBdr>
            </w:div>
          </w:divsChild>
        </w:div>
        <w:div w:id="414086494">
          <w:marLeft w:val="0"/>
          <w:marRight w:val="0"/>
          <w:marTop w:val="0"/>
          <w:marBottom w:val="0"/>
          <w:divBdr>
            <w:top w:val="none" w:sz="0" w:space="0" w:color="auto"/>
            <w:left w:val="none" w:sz="0" w:space="0" w:color="auto"/>
            <w:bottom w:val="none" w:sz="0" w:space="0" w:color="auto"/>
            <w:right w:val="none" w:sz="0" w:space="0" w:color="auto"/>
          </w:divBdr>
          <w:divsChild>
            <w:div w:id="1793594934">
              <w:marLeft w:val="0"/>
              <w:marRight w:val="0"/>
              <w:marTop w:val="0"/>
              <w:marBottom w:val="0"/>
              <w:divBdr>
                <w:top w:val="none" w:sz="0" w:space="0" w:color="auto"/>
                <w:left w:val="none" w:sz="0" w:space="0" w:color="auto"/>
                <w:bottom w:val="none" w:sz="0" w:space="0" w:color="auto"/>
                <w:right w:val="none" w:sz="0" w:space="0" w:color="auto"/>
              </w:divBdr>
            </w:div>
          </w:divsChild>
        </w:div>
        <w:div w:id="437867719">
          <w:marLeft w:val="0"/>
          <w:marRight w:val="0"/>
          <w:marTop w:val="0"/>
          <w:marBottom w:val="0"/>
          <w:divBdr>
            <w:top w:val="none" w:sz="0" w:space="0" w:color="auto"/>
            <w:left w:val="none" w:sz="0" w:space="0" w:color="auto"/>
            <w:bottom w:val="none" w:sz="0" w:space="0" w:color="auto"/>
            <w:right w:val="none" w:sz="0" w:space="0" w:color="auto"/>
          </w:divBdr>
          <w:divsChild>
            <w:div w:id="1974017243">
              <w:marLeft w:val="0"/>
              <w:marRight w:val="0"/>
              <w:marTop w:val="0"/>
              <w:marBottom w:val="0"/>
              <w:divBdr>
                <w:top w:val="none" w:sz="0" w:space="0" w:color="auto"/>
                <w:left w:val="none" w:sz="0" w:space="0" w:color="auto"/>
                <w:bottom w:val="none" w:sz="0" w:space="0" w:color="auto"/>
                <w:right w:val="none" w:sz="0" w:space="0" w:color="auto"/>
              </w:divBdr>
            </w:div>
          </w:divsChild>
        </w:div>
        <w:div w:id="457726527">
          <w:marLeft w:val="0"/>
          <w:marRight w:val="0"/>
          <w:marTop w:val="0"/>
          <w:marBottom w:val="0"/>
          <w:divBdr>
            <w:top w:val="none" w:sz="0" w:space="0" w:color="auto"/>
            <w:left w:val="none" w:sz="0" w:space="0" w:color="auto"/>
            <w:bottom w:val="none" w:sz="0" w:space="0" w:color="auto"/>
            <w:right w:val="none" w:sz="0" w:space="0" w:color="auto"/>
          </w:divBdr>
          <w:divsChild>
            <w:div w:id="66463000">
              <w:marLeft w:val="0"/>
              <w:marRight w:val="0"/>
              <w:marTop w:val="0"/>
              <w:marBottom w:val="0"/>
              <w:divBdr>
                <w:top w:val="none" w:sz="0" w:space="0" w:color="auto"/>
                <w:left w:val="none" w:sz="0" w:space="0" w:color="auto"/>
                <w:bottom w:val="none" w:sz="0" w:space="0" w:color="auto"/>
                <w:right w:val="none" w:sz="0" w:space="0" w:color="auto"/>
              </w:divBdr>
            </w:div>
          </w:divsChild>
        </w:div>
        <w:div w:id="459417435">
          <w:marLeft w:val="0"/>
          <w:marRight w:val="0"/>
          <w:marTop w:val="0"/>
          <w:marBottom w:val="0"/>
          <w:divBdr>
            <w:top w:val="none" w:sz="0" w:space="0" w:color="auto"/>
            <w:left w:val="none" w:sz="0" w:space="0" w:color="auto"/>
            <w:bottom w:val="none" w:sz="0" w:space="0" w:color="auto"/>
            <w:right w:val="none" w:sz="0" w:space="0" w:color="auto"/>
          </w:divBdr>
          <w:divsChild>
            <w:div w:id="1695576580">
              <w:marLeft w:val="0"/>
              <w:marRight w:val="0"/>
              <w:marTop w:val="0"/>
              <w:marBottom w:val="0"/>
              <w:divBdr>
                <w:top w:val="none" w:sz="0" w:space="0" w:color="auto"/>
                <w:left w:val="none" w:sz="0" w:space="0" w:color="auto"/>
                <w:bottom w:val="none" w:sz="0" w:space="0" w:color="auto"/>
                <w:right w:val="none" w:sz="0" w:space="0" w:color="auto"/>
              </w:divBdr>
            </w:div>
          </w:divsChild>
        </w:div>
        <w:div w:id="460802361">
          <w:marLeft w:val="0"/>
          <w:marRight w:val="0"/>
          <w:marTop w:val="0"/>
          <w:marBottom w:val="0"/>
          <w:divBdr>
            <w:top w:val="none" w:sz="0" w:space="0" w:color="auto"/>
            <w:left w:val="none" w:sz="0" w:space="0" w:color="auto"/>
            <w:bottom w:val="none" w:sz="0" w:space="0" w:color="auto"/>
            <w:right w:val="none" w:sz="0" w:space="0" w:color="auto"/>
          </w:divBdr>
          <w:divsChild>
            <w:div w:id="739790514">
              <w:marLeft w:val="0"/>
              <w:marRight w:val="0"/>
              <w:marTop w:val="0"/>
              <w:marBottom w:val="0"/>
              <w:divBdr>
                <w:top w:val="none" w:sz="0" w:space="0" w:color="auto"/>
                <w:left w:val="none" w:sz="0" w:space="0" w:color="auto"/>
                <w:bottom w:val="none" w:sz="0" w:space="0" w:color="auto"/>
                <w:right w:val="none" w:sz="0" w:space="0" w:color="auto"/>
              </w:divBdr>
            </w:div>
          </w:divsChild>
        </w:div>
        <w:div w:id="472529103">
          <w:marLeft w:val="0"/>
          <w:marRight w:val="0"/>
          <w:marTop w:val="0"/>
          <w:marBottom w:val="0"/>
          <w:divBdr>
            <w:top w:val="none" w:sz="0" w:space="0" w:color="auto"/>
            <w:left w:val="none" w:sz="0" w:space="0" w:color="auto"/>
            <w:bottom w:val="none" w:sz="0" w:space="0" w:color="auto"/>
            <w:right w:val="none" w:sz="0" w:space="0" w:color="auto"/>
          </w:divBdr>
          <w:divsChild>
            <w:div w:id="1742410791">
              <w:marLeft w:val="0"/>
              <w:marRight w:val="0"/>
              <w:marTop w:val="0"/>
              <w:marBottom w:val="0"/>
              <w:divBdr>
                <w:top w:val="none" w:sz="0" w:space="0" w:color="auto"/>
                <w:left w:val="none" w:sz="0" w:space="0" w:color="auto"/>
                <w:bottom w:val="none" w:sz="0" w:space="0" w:color="auto"/>
                <w:right w:val="none" w:sz="0" w:space="0" w:color="auto"/>
              </w:divBdr>
            </w:div>
          </w:divsChild>
        </w:div>
        <w:div w:id="486213648">
          <w:marLeft w:val="0"/>
          <w:marRight w:val="0"/>
          <w:marTop w:val="0"/>
          <w:marBottom w:val="0"/>
          <w:divBdr>
            <w:top w:val="none" w:sz="0" w:space="0" w:color="auto"/>
            <w:left w:val="none" w:sz="0" w:space="0" w:color="auto"/>
            <w:bottom w:val="none" w:sz="0" w:space="0" w:color="auto"/>
            <w:right w:val="none" w:sz="0" w:space="0" w:color="auto"/>
          </w:divBdr>
          <w:divsChild>
            <w:div w:id="880551749">
              <w:marLeft w:val="0"/>
              <w:marRight w:val="0"/>
              <w:marTop w:val="0"/>
              <w:marBottom w:val="0"/>
              <w:divBdr>
                <w:top w:val="none" w:sz="0" w:space="0" w:color="auto"/>
                <w:left w:val="none" w:sz="0" w:space="0" w:color="auto"/>
                <w:bottom w:val="none" w:sz="0" w:space="0" w:color="auto"/>
                <w:right w:val="none" w:sz="0" w:space="0" w:color="auto"/>
              </w:divBdr>
            </w:div>
          </w:divsChild>
        </w:div>
        <w:div w:id="498083364">
          <w:marLeft w:val="0"/>
          <w:marRight w:val="0"/>
          <w:marTop w:val="0"/>
          <w:marBottom w:val="0"/>
          <w:divBdr>
            <w:top w:val="none" w:sz="0" w:space="0" w:color="auto"/>
            <w:left w:val="none" w:sz="0" w:space="0" w:color="auto"/>
            <w:bottom w:val="none" w:sz="0" w:space="0" w:color="auto"/>
            <w:right w:val="none" w:sz="0" w:space="0" w:color="auto"/>
          </w:divBdr>
          <w:divsChild>
            <w:div w:id="752817725">
              <w:marLeft w:val="0"/>
              <w:marRight w:val="0"/>
              <w:marTop w:val="0"/>
              <w:marBottom w:val="0"/>
              <w:divBdr>
                <w:top w:val="none" w:sz="0" w:space="0" w:color="auto"/>
                <w:left w:val="none" w:sz="0" w:space="0" w:color="auto"/>
                <w:bottom w:val="none" w:sz="0" w:space="0" w:color="auto"/>
                <w:right w:val="none" w:sz="0" w:space="0" w:color="auto"/>
              </w:divBdr>
            </w:div>
          </w:divsChild>
        </w:div>
        <w:div w:id="501548968">
          <w:marLeft w:val="0"/>
          <w:marRight w:val="0"/>
          <w:marTop w:val="0"/>
          <w:marBottom w:val="0"/>
          <w:divBdr>
            <w:top w:val="none" w:sz="0" w:space="0" w:color="auto"/>
            <w:left w:val="none" w:sz="0" w:space="0" w:color="auto"/>
            <w:bottom w:val="none" w:sz="0" w:space="0" w:color="auto"/>
            <w:right w:val="none" w:sz="0" w:space="0" w:color="auto"/>
          </w:divBdr>
          <w:divsChild>
            <w:div w:id="1635479550">
              <w:marLeft w:val="0"/>
              <w:marRight w:val="0"/>
              <w:marTop w:val="0"/>
              <w:marBottom w:val="0"/>
              <w:divBdr>
                <w:top w:val="none" w:sz="0" w:space="0" w:color="auto"/>
                <w:left w:val="none" w:sz="0" w:space="0" w:color="auto"/>
                <w:bottom w:val="none" w:sz="0" w:space="0" w:color="auto"/>
                <w:right w:val="none" w:sz="0" w:space="0" w:color="auto"/>
              </w:divBdr>
            </w:div>
          </w:divsChild>
        </w:div>
        <w:div w:id="505747506">
          <w:marLeft w:val="0"/>
          <w:marRight w:val="0"/>
          <w:marTop w:val="0"/>
          <w:marBottom w:val="0"/>
          <w:divBdr>
            <w:top w:val="none" w:sz="0" w:space="0" w:color="auto"/>
            <w:left w:val="none" w:sz="0" w:space="0" w:color="auto"/>
            <w:bottom w:val="none" w:sz="0" w:space="0" w:color="auto"/>
            <w:right w:val="none" w:sz="0" w:space="0" w:color="auto"/>
          </w:divBdr>
          <w:divsChild>
            <w:div w:id="366880641">
              <w:marLeft w:val="0"/>
              <w:marRight w:val="0"/>
              <w:marTop w:val="0"/>
              <w:marBottom w:val="0"/>
              <w:divBdr>
                <w:top w:val="none" w:sz="0" w:space="0" w:color="auto"/>
                <w:left w:val="none" w:sz="0" w:space="0" w:color="auto"/>
                <w:bottom w:val="none" w:sz="0" w:space="0" w:color="auto"/>
                <w:right w:val="none" w:sz="0" w:space="0" w:color="auto"/>
              </w:divBdr>
            </w:div>
          </w:divsChild>
        </w:div>
        <w:div w:id="554196957">
          <w:marLeft w:val="0"/>
          <w:marRight w:val="0"/>
          <w:marTop w:val="0"/>
          <w:marBottom w:val="0"/>
          <w:divBdr>
            <w:top w:val="none" w:sz="0" w:space="0" w:color="auto"/>
            <w:left w:val="none" w:sz="0" w:space="0" w:color="auto"/>
            <w:bottom w:val="none" w:sz="0" w:space="0" w:color="auto"/>
            <w:right w:val="none" w:sz="0" w:space="0" w:color="auto"/>
          </w:divBdr>
          <w:divsChild>
            <w:div w:id="194202063">
              <w:marLeft w:val="0"/>
              <w:marRight w:val="0"/>
              <w:marTop w:val="0"/>
              <w:marBottom w:val="0"/>
              <w:divBdr>
                <w:top w:val="none" w:sz="0" w:space="0" w:color="auto"/>
                <w:left w:val="none" w:sz="0" w:space="0" w:color="auto"/>
                <w:bottom w:val="none" w:sz="0" w:space="0" w:color="auto"/>
                <w:right w:val="none" w:sz="0" w:space="0" w:color="auto"/>
              </w:divBdr>
            </w:div>
          </w:divsChild>
        </w:div>
        <w:div w:id="560798279">
          <w:marLeft w:val="0"/>
          <w:marRight w:val="0"/>
          <w:marTop w:val="0"/>
          <w:marBottom w:val="0"/>
          <w:divBdr>
            <w:top w:val="none" w:sz="0" w:space="0" w:color="auto"/>
            <w:left w:val="none" w:sz="0" w:space="0" w:color="auto"/>
            <w:bottom w:val="none" w:sz="0" w:space="0" w:color="auto"/>
            <w:right w:val="none" w:sz="0" w:space="0" w:color="auto"/>
          </w:divBdr>
          <w:divsChild>
            <w:div w:id="1785924186">
              <w:marLeft w:val="0"/>
              <w:marRight w:val="0"/>
              <w:marTop w:val="0"/>
              <w:marBottom w:val="0"/>
              <w:divBdr>
                <w:top w:val="none" w:sz="0" w:space="0" w:color="auto"/>
                <w:left w:val="none" w:sz="0" w:space="0" w:color="auto"/>
                <w:bottom w:val="none" w:sz="0" w:space="0" w:color="auto"/>
                <w:right w:val="none" w:sz="0" w:space="0" w:color="auto"/>
              </w:divBdr>
            </w:div>
          </w:divsChild>
        </w:div>
        <w:div w:id="566889418">
          <w:marLeft w:val="0"/>
          <w:marRight w:val="0"/>
          <w:marTop w:val="0"/>
          <w:marBottom w:val="0"/>
          <w:divBdr>
            <w:top w:val="none" w:sz="0" w:space="0" w:color="auto"/>
            <w:left w:val="none" w:sz="0" w:space="0" w:color="auto"/>
            <w:bottom w:val="none" w:sz="0" w:space="0" w:color="auto"/>
            <w:right w:val="none" w:sz="0" w:space="0" w:color="auto"/>
          </w:divBdr>
          <w:divsChild>
            <w:div w:id="1006326217">
              <w:marLeft w:val="0"/>
              <w:marRight w:val="0"/>
              <w:marTop w:val="0"/>
              <w:marBottom w:val="0"/>
              <w:divBdr>
                <w:top w:val="none" w:sz="0" w:space="0" w:color="auto"/>
                <w:left w:val="none" w:sz="0" w:space="0" w:color="auto"/>
                <w:bottom w:val="none" w:sz="0" w:space="0" w:color="auto"/>
                <w:right w:val="none" w:sz="0" w:space="0" w:color="auto"/>
              </w:divBdr>
            </w:div>
          </w:divsChild>
        </w:div>
        <w:div w:id="575823444">
          <w:marLeft w:val="0"/>
          <w:marRight w:val="0"/>
          <w:marTop w:val="0"/>
          <w:marBottom w:val="0"/>
          <w:divBdr>
            <w:top w:val="none" w:sz="0" w:space="0" w:color="auto"/>
            <w:left w:val="none" w:sz="0" w:space="0" w:color="auto"/>
            <w:bottom w:val="none" w:sz="0" w:space="0" w:color="auto"/>
            <w:right w:val="none" w:sz="0" w:space="0" w:color="auto"/>
          </w:divBdr>
          <w:divsChild>
            <w:div w:id="311718771">
              <w:marLeft w:val="0"/>
              <w:marRight w:val="0"/>
              <w:marTop w:val="0"/>
              <w:marBottom w:val="0"/>
              <w:divBdr>
                <w:top w:val="none" w:sz="0" w:space="0" w:color="auto"/>
                <w:left w:val="none" w:sz="0" w:space="0" w:color="auto"/>
                <w:bottom w:val="none" w:sz="0" w:space="0" w:color="auto"/>
                <w:right w:val="none" w:sz="0" w:space="0" w:color="auto"/>
              </w:divBdr>
            </w:div>
          </w:divsChild>
        </w:div>
        <w:div w:id="589461701">
          <w:marLeft w:val="0"/>
          <w:marRight w:val="0"/>
          <w:marTop w:val="0"/>
          <w:marBottom w:val="0"/>
          <w:divBdr>
            <w:top w:val="none" w:sz="0" w:space="0" w:color="auto"/>
            <w:left w:val="none" w:sz="0" w:space="0" w:color="auto"/>
            <w:bottom w:val="none" w:sz="0" w:space="0" w:color="auto"/>
            <w:right w:val="none" w:sz="0" w:space="0" w:color="auto"/>
          </w:divBdr>
          <w:divsChild>
            <w:div w:id="1530143917">
              <w:marLeft w:val="0"/>
              <w:marRight w:val="0"/>
              <w:marTop w:val="0"/>
              <w:marBottom w:val="0"/>
              <w:divBdr>
                <w:top w:val="none" w:sz="0" w:space="0" w:color="auto"/>
                <w:left w:val="none" w:sz="0" w:space="0" w:color="auto"/>
                <w:bottom w:val="none" w:sz="0" w:space="0" w:color="auto"/>
                <w:right w:val="none" w:sz="0" w:space="0" w:color="auto"/>
              </w:divBdr>
            </w:div>
          </w:divsChild>
        </w:div>
        <w:div w:id="593711581">
          <w:marLeft w:val="0"/>
          <w:marRight w:val="0"/>
          <w:marTop w:val="0"/>
          <w:marBottom w:val="0"/>
          <w:divBdr>
            <w:top w:val="none" w:sz="0" w:space="0" w:color="auto"/>
            <w:left w:val="none" w:sz="0" w:space="0" w:color="auto"/>
            <w:bottom w:val="none" w:sz="0" w:space="0" w:color="auto"/>
            <w:right w:val="none" w:sz="0" w:space="0" w:color="auto"/>
          </w:divBdr>
          <w:divsChild>
            <w:div w:id="284192483">
              <w:marLeft w:val="0"/>
              <w:marRight w:val="0"/>
              <w:marTop w:val="0"/>
              <w:marBottom w:val="0"/>
              <w:divBdr>
                <w:top w:val="none" w:sz="0" w:space="0" w:color="auto"/>
                <w:left w:val="none" w:sz="0" w:space="0" w:color="auto"/>
                <w:bottom w:val="none" w:sz="0" w:space="0" w:color="auto"/>
                <w:right w:val="none" w:sz="0" w:space="0" w:color="auto"/>
              </w:divBdr>
            </w:div>
          </w:divsChild>
        </w:div>
        <w:div w:id="604193327">
          <w:marLeft w:val="0"/>
          <w:marRight w:val="0"/>
          <w:marTop w:val="0"/>
          <w:marBottom w:val="0"/>
          <w:divBdr>
            <w:top w:val="none" w:sz="0" w:space="0" w:color="auto"/>
            <w:left w:val="none" w:sz="0" w:space="0" w:color="auto"/>
            <w:bottom w:val="none" w:sz="0" w:space="0" w:color="auto"/>
            <w:right w:val="none" w:sz="0" w:space="0" w:color="auto"/>
          </w:divBdr>
          <w:divsChild>
            <w:div w:id="1325351254">
              <w:marLeft w:val="0"/>
              <w:marRight w:val="0"/>
              <w:marTop w:val="0"/>
              <w:marBottom w:val="0"/>
              <w:divBdr>
                <w:top w:val="none" w:sz="0" w:space="0" w:color="auto"/>
                <w:left w:val="none" w:sz="0" w:space="0" w:color="auto"/>
                <w:bottom w:val="none" w:sz="0" w:space="0" w:color="auto"/>
                <w:right w:val="none" w:sz="0" w:space="0" w:color="auto"/>
              </w:divBdr>
            </w:div>
          </w:divsChild>
        </w:div>
        <w:div w:id="631322711">
          <w:marLeft w:val="0"/>
          <w:marRight w:val="0"/>
          <w:marTop w:val="0"/>
          <w:marBottom w:val="0"/>
          <w:divBdr>
            <w:top w:val="none" w:sz="0" w:space="0" w:color="auto"/>
            <w:left w:val="none" w:sz="0" w:space="0" w:color="auto"/>
            <w:bottom w:val="none" w:sz="0" w:space="0" w:color="auto"/>
            <w:right w:val="none" w:sz="0" w:space="0" w:color="auto"/>
          </w:divBdr>
          <w:divsChild>
            <w:div w:id="1193811601">
              <w:marLeft w:val="0"/>
              <w:marRight w:val="0"/>
              <w:marTop w:val="0"/>
              <w:marBottom w:val="0"/>
              <w:divBdr>
                <w:top w:val="none" w:sz="0" w:space="0" w:color="auto"/>
                <w:left w:val="none" w:sz="0" w:space="0" w:color="auto"/>
                <w:bottom w:val="none" w:sz="0" w:space="0" w:color="auto"/>
                <w:right w:val="none" w:sz="0" w:space="0" w:color="auto"/>
              </w:divBdr>
            </w:div>
          </w:divsChild>
        </w:div>
        <w:div w:id="643506122">
          <w:marLeft w:val="0"/>
          <w:marRight w:val="0"/>
          <w:marTop w:val="0"/>
          <w:marBottom w:val="0"/>
          <w:divBdr>
            <w:top w:val="none" w:sz="0" w:space="0" w:color="auto"/>
            <w:left w:val="none" w:sz="0" w:space="0" w:color="auto"/>
            <w:bottom w:val="none" w:sz="0" w:space="0" w:color="auto"/>
            <w:right w:val="none" w:sz="0" w:space="0" w:color="auto"/>
          </w:divBdr>
          <w:divsChild>
            <w:div w:id="863252938">
              <w:marLeft w:val="0"/>
              <w:marRight w:val="0"/>
              <w:marTop w:val="0"/>
              <w:marBottom w:val="0"/>
              <w:divBdr>
                <w:top w:val="none" w:sz="0" w:space="0" w:color="auto"/>
                <w:left w:val="none" w:sz="0" w:space="0" w:color="auto"/>
                <w:bottom w:val="none" w:sz="0" w:space="0" w:color="auto"/>
                <w:right w:val="none" w:sz="0" w:space="0" w:color="auto"/>
              </w:divBdr>
            </w:div>
          </w:divsChild>
        </w:div>
        <w:div w:id="646056059">
          <w:marLeft w:val="0"/>
          <w:marRight w:val="0"/>
          <w:marTop w:val="0"/>
          <w:marBottom w:val="0"/>
          <w:divBdr>
            <w:top w:val="none" w:sz="0" w:space="0" w:color="auto"/>
            <w:left w:val="none" w:sz="0" w:space="0" w:color="auto"/>
            <w:bottom w:val="none" w:sz="0" w:space="0" w:color="auto"/>
            <w:right w:val="none" w:sz="0" w:space="0" w:color="auto"/>
          </w:divBdr>
          <w:divsChild>
            <w:div w:id="2011978519">
              <w:marLeft w:val="0"/>
              <w:marRight w:val="0"/>
              <w:marTop w:val="0"/>
              <w:marBottom w:val="0"/>
              <w:divBdr>
                <w:top w:val="none" w:sz="0" w:space="0" w:color="auto"/>
                <w:left w:val="none" w:sz="0" w:space="0" w:color="auto"/>
                <w:bottom w:val="none" w:sz="0" w:space="0" w:color="auto"/>
                <w:right w:val="none" w:sz="0" w:space="0" w:color="auto"/>
              </w:divBdr>
            </w:div>
          </w:divsChild>
        </w:div>
        <w:div w:id="646545388">
          <w:marLeft w:val="0"/>
          <w:marRight w:val="0"/>
          <w:marTop w:val="0"/>
          <w:marBottom w:val="0"/>
          <w:divBdr>
            <w:top w:val="none" w:sz="0" w:space="0" w:color="auto"/>
            <w:left w:val="none" w:sz="0" w:space="0" w:color="auto"/>
            <w:bottom w:val="none" w:sz="0" w:space="0" w:color="auto"/>
            <w:right w:val="none" w:sz="0" w:space="0" w:color="auto"/>
          </w:divBdr>
          <w:divsChild>
            <w:div w:id="1535194790">
              <w:marLeft w:val="0"/>
              <w:marRight w:val="0"/>
              <w:marTop w:val="0"/>
              <w:marBottom w:val="0"/>
              <w:divBdr>
                <w:top w:val="none" w:sz="0" w:space="0" w:color="auto"/>
                <w:left w:val="none" w:sz="0" w:space="0" w:color="auto"/>
                <w:bottom w:val="none" w:sz="0" w:space="0" w:color="auto"/>
                <w:right w:val="none" w:sz="0" w:space="0" w:color="auto"/>
              </w:divBdr>
            </w:div>
          </w:divsChild>
        </w:div>
        <w:div w:id="655039006">
          <w:marLeft w:val="0"/>
          <w:marRight w:val="0"/>
          <w:marTop w:val="0"/>
          <w:marBottom w:val="0"/>
          <w:divBdr>
            <w:top w:val="none" w:sz="0" w:space="0" w:color="auto"/>
            <w:left w:val="none" w:sz="0" w:space="0" w:color="auto"/>
            <w:bottom w:val="none" w:sz="0" w:space="0" w:color="auto"/>
            <w:right w:val="none" w:sz="0" w:space="0" w:color="auto"/>
          </w:divBdr>
          <w:divsChild>
            <w:div w:id="1463427485">
              <w:marLeft w:val="0"/>
              <w:marRight w:val="0"/>
              <w:marTop w:val="0"/>
              <w:marBottom w:val="0"/>
              <w:divBdr>
                <w:top w:val="none" w:sz="0" w:space="0" w:color="auto"/>
                <w:left w:val="none" w:sz="0" w:space="0" w:color="auto"/>
                <w:bottom w:val="none" w:sz="0" w:space="0" w:color="auto"/>
                <w:right w:val="none" w:sz="0" w:space="0" w:color="auto"/>
              </w:divBdr>
            </w:div>
          </w:divsChild>
        </w:div>
        <w:div w:id="655836561">
          <w:marLeft w:val="0"/>
          <w:marRight w:val="0"/>
          <w:marTop w:val="0"/>
          <w:marBottom w:val="0"/>
          <w:divBdr>
            <w:top w:val="none" w:sz="0" w:space="0" w:color="auto"/>
            <w:left w:val="none" w:sz="0" w:space="0" w:color="auto"/>
            <w:bottom w:val="none" w:sz="0" w:space="0" w:color="auto"/>
            <w:right w:val="none" w:sz="0" w:space="0" w:color="auto"/>
          </w:divBdr>
          <w:divsChild>
            <w:div w:id="1075709486">
              <w:marLeft w:val="0"/>
              <w:marRight w:val="0"/>
              <w:marTop w:val="0"/>
              <w:marBottom w:val="0"/>
              <w:divBdr>
                <w:top w:val="none" w:sz="0" w:space="0" w:color="auto"/>
                <w:left w:val="none" w:sz="0" w:space="0" w:color="auto"/>
                <w:bottom w:val="none" w:sz="0" w:space="0" w:color="auto"/>
                <w:right w:val="none" w:sz="0" w:space="0" w:color="auto"/>
              </w:divBdr>
            </w:div>
          </w:divsChild>
        </w:div>
        <w:div w:id="680740627">
          <w:marLeft w:val="0"/>
          <w:marRight w:val="0"/>
          <w:marTop w:val="0"/>
          <w:marBottom w:val="0"/>
          <w:divBdr>
            <w:top w:val="none" w:sz="0" w:space="0" w:color="auto"/>
            <w:left w:val="none" w:sz="0" w:space="0" w:color="auto"/>
            <w:bottom w:val="none" w:sz="0" w:space="0" w:color="auto"/>
            <w:right w:val="none" w:sz="0" w:space="0" w:color="auto"/>
          </w:divBdr>
          <w:divsChild>
            <w:div w:id="561870470">
              <w:marLeft w:val="0"/>
              <w:marRight w:val="0"/>
              <w:marTop w:val="0"/>
              <w:marBottom w:val="0"/>
              <w:divBdr>
                <w:top w:val="none" w:sz="0" w:space="0" w:color="auto"/>
                <w:left w:val="none" w:sz="0" w:space="0" w:color="auto"/>
                <w:bottom w:val="none" w:sz="0" w:space="0" w:color="auto"/>
                <w:right w:val="none" w:sz="0" w:space="0" w:color="auto"/>
              </w:divBdr>
            </w:div>
          </w:divsChild>
        </w:div>
        <w:div w:id="711154463">
          <w:marLeft w:val="0"/>
          <w:marRight w:val="0"/>
          <w:marTop w:val="0"/>
          <w:marBottom w:val="0"/>
          <w:divBdr>
            <w:top w:val="none" w:sz="0" w:space="0" w:color="auto"/>
            <w:left w:val="none" w:sz="0" w:space="0" w:color="auto"/>
            <w:bottom w:val="none" w:sz="0" w:space="0" w:color="auto"/>
            <w:right w:val="none" w:sz="0" w:space="0" w:color="auto"/>
          </w:divBdr>
          <w:divsChild>
            <w:div w:id="1567254950">
              <w:marLeft w:val="0"/>
              <w:marRight w:val="0"/>
              <w:marTop w:val="0"/>
              <w:marBottom w:val="0"/>
              <w:divBdr>
                <w:top w:val="none" w:sz="0" w:space="0" w:color="auto"/>
                <w:left w:val="none" w:sz="0" w:space="0" w:color="auto"/>
                <w:bottom w:val="none" w:sz="0" w:space="0" w:color="auto"/>
                <w:right w:val="none" w:sz="0" w:space="0" w:color="auto"/>
              </w:divBdr>
            </w:div>
          </w:divsChild>
        </w:div>
        <w:div w:id="719328456">
          <w:marLeft w:val="0"/>
          <w:marRight w:val="0"/>
          <w:marTop w:val="0"/>
          <w:marBottom w:val="0"/>
          <w:divBdr>
            <w:top w:val="none" w:sz="0" w:space="0" w:color="auto"/>
            <w:left w:val="none" w:sz="0" w:space="0" w:color="auto"/>
            <w:bottom w:val="none" w:sz="0" w:space="0" w:color="auto"/>
            <w:right w:val="none" w:sz="0" w:space="0" w:color="auto"/>
          </w:divBdr>
          <w:divsChild>
            <w:div w:id="1375815826">
              <w:marLeft w:val="0"/>
              <w:marRight w:val="0"/>
              <w:marTop w:val="0"/>
              <w:marBottom w:val="0"/>
              <w:divBdr>
                <w:top w:val="none" w:sz="0" w:space="0" w:color="auto"/>
                <w:left w:val="none" w:sz="0" w:space="0" w:color="auto"/>
                <w:bottom w:val="none" w:sz="0" w:space="0" w:color="auto"/>
                <w:right w:val="none" w:sz="0" w:space="0" w:color="auto"/>
              </w:divBdr>
            </w:div>
          </w:divsChild>
        </w:div>
        <w:div w:id="728454213">
          <w:marLeft w:val="0"/>
          <w:marRight w:val="0"/>
          <w:marTop w:val="0"/>
          <w:marBottom w:val="0"/>
          <w:divBdr>
            <w:top w:val="none" w:sz="0" w:space="0" w:color="auto"/>
            <w:left w:val="none" w:sz="0" w:space="0" w:color="auto"/>
            <w:bottom w:val="none" w:sz="0" w:space="0" w:color="auto"/>
            <w:right w:val="none" w:sz="0" w:space="0" w:color="auto"/>
          </w:divBdr>
          <w:divsChild>
            <w:div w:id="434518962">
              <w:marLeft w:val="0"/>
              <w:marRight w:val="0"/>
              <w:marTop w:val="0"/>
              <w:marBottom w:val="0"/>
              <w:divBdr>
                <w:top w:val="none" w:sz="0" w:space="0" w:color="auto"/>
                <w:left w:val="none" w:sz="0" w:space="0" w:color="auto"/>
                <w:bottom w:val="none" w:sz="0" w:space="0" w:color="auto"/>
                <w:right w:val="none" w:sz="0" w:space="0" w:color="auto"/>
              </w:divBdr>
            </w:div>
          </w:divsChild>
        </w:div>
        <w:div w:id="733895069">
          <w:marLeft w:val="0"/>
          <w:marRight w:val="0"/>
          <w:marTop w:val="0"/>
          <w:marBottom w:val="0"/>
          <w:divBdr>
            <w:top w:val="none" w:sz="0" w:space="0" w:color="auto"/>
            <w:left w:val="none" w:sz="0" w:space="0" w:color="auto"/>
            <w:bottom w:val="none" w:sz="0" w:space="0" w:color="auto"/>
            <w:right w:val="none" w:sz="0" w:space="0" w:color="auto"/>
          </w:divBdr>
          <w:divsChild>
            <w:div w:id="1243370606">
              <w:marLeft w:val="0"/>
              <w:marRight w:val="0"/>
              <w:marTop w:val="0"/>
              <w:marBottom w:val="0"/>
              <w:divBdr>
                <w:top w:val="none" w:sz="0" w:space="0" w:color="auto"/>
                <w:left w:val="none" w:sz="0" w:space="0" w:color="auto"/>
                <w:bottom w:val="none" w:sz="0" w:space="0" w:color="auto"/>
                <w:right w:val="none" w:sz="0" w:space="0" w:color="auto"/>
              </w:divBdr>
            </w:div>
          </w:divsChild>
        </w:div>
        <w:div w:id="739324817">
          <w:marLeft w:val="0"/>
          <w:marRight w:val="0"/>
          <w:marTop w:val="0"/>
          <w:marBottom w:val="0"/>
          <w:divBdr>
            <w:top w:val="none" w:sz="0" w:space="0" w:color="auto"/>
            <w:left w:val="none" w:sz="0" w:space="0" w:color="auto"/>
            <w:bottom w:val="none" w:sz="0" w:space="0" w:color="auto"/>
            <w:right w:val="none" w:sz="0" w:space="0" w:color="auto"/>
          </w:divBdr>
          <w:divsChild>
            <w:div w:id="12198195">
              <w:marLeft w:val="0"/>
              <w:marRight w:val="0"/>
              <w:marTop w:val="0"/>
              <w:marBottom w:val="0"/>
              <w:divBdr>
                <w:top w:val="none" w:sz="0" w:space="0" w:color="auto"/>
                <w:left w:val="none" w:sz="0" w:space="0" w:color="auto"/>
                <w:bottom w:val="none" w:sz="0" w:space="0" w:color="auto"/>
                <w:right w:val="none" w:sz="0" w:space="0" w:color="auto"/>
              </w:divBdr>
            </w:div>
          </w:divsChild>
        </w:div>
        <w:div w:id="741752807">
          <w:marLeft w:val="0"/>
          <w:marRight w:val="0"/>
          <w:marTop w:val="0"/>
          <w:marBottom w:val="0"/>
          <w:divBdr>
            <w:top w:val="none" w:sz="0" w:space="0" w:color="auto"/>
            <w:left w:val="none" w:sz="0" w:space="0" w:color="auto"/>
            <w:bottom w:val="none" w:sz="0" w:space="0" w:color="auto"/>
            <w:right w:val="none" w:sz="0" w:space="0" w:color="auto"/>
          </w:divBdr>
          <w:divsChild>
            <w:div w:id="769591111">
              <w:marLeft w:val="0"/>
              <w:marRight w:val="0"/>
              <w:marTop w:val="0"/>
              <w:marBottom w:val="0"/>
              <w:divBdr>
                <w:top w:val="none" w:sz="0" w:space="0" w:color="auto"/>
                <w:left w:val="none" w:sz="0" w:space="0" w:color="auto"/>
                <w:bottom w:val="none" w:sz="0" w:space="0" w:color="auto"/>
                <w:right w:val="none" w:sz="0" w:space="0" w:color="auto"/>
              </w:divBdr>
            </w:div>
          </w:divsChild>
        </w:div>
        <w:div w:id="757212040">
          <w:marLeft w:val="0"/>
          <w:marRight w:val="0"/>
          <w:marTop w:val="0"/>
          <w:marBottom w:val="0"/>
          <w:divBdr>
            <w:top w:val="none" w:sz="0" w:space="0" w:color="auto"/>
            <w:left w:val="none" w:sz="0" w:space="0" w:color="auto"/>
            <w:bottom w:val="none" w:sz="0" w:space="0" w:color="auto"/>
            <w:right w:val="none" w:sz="0" w:space="0" w:color="auto"/>
          </w:divBdr>
          <w:divsChild>
            <w:div w:id="1925871442">
              <w:marLeft w:val="0"/>
              <w:marRight w:val="0"/>
              <w:marTop w:val="0"/>
              <w:marBottom w:val="0"/>
              <w:divBdr>
                <w:top w:val="none" w:sz="0" w:space="0" w:color="auto"/>
                <w:left w:val="none" w:sz="0" w:space="0" w:color="auto"/>
                <w:bottom w:val="none" w:sz="0" w:space="0" w:color="auto"/>
                <w:right w:val="none" w:sz="0" w:space="0" w:color="auto"/>
              </w:divBdr>
            </w:div>
          </w:divsChild>
        </w:div>
        <w:div w:id="776633182">
          <w:marLeft w:val="0"/>
          <w:marRight w:val="0"/>
          <w:marTop w:val="0"/>
          <w:marBottom w:val="0"/>
          <w:divBdr>
            <w:top w:val="none" w:sz="0" w:space="0" w:color="auto"/>
            <w:left w:val="none" w:sz="0" w:space="0" w:color="auto"/>
            <w:bottom w:val="none" w:sz="0" w:space="0" w:color="auto"/>
            <w:right w:val="none" w:sz="0" w:space="0" w:color="auto"/>
          </w:divBdr>
          <w:divsChild>
            <w:div w:id="481964754">
              <w:marLeft w:val="0"/>
              <w:marRight w:val="0"/>
              <w:marTop w:val="0"/>
              <w:marBottom w:val="0"/>
              <w:divBdr>
                <w:top w:val="none" w:sz="0" w:space="0" w:color="auto"/>
                <w:left w:val="none" w:sz="0" w:space="0" w:color="auto"/>
                <w:bottom w:val="none" w:sz="0" w:space="0" w:color="auto"/>
                <w:right w:val="none" w:sz="0" w:space="0" w:color="auto"/>
              </w:divBdr>
            </w:div>
          </w:divsChild>
        </w:div>
        <w:div w:id="796945904">
          <w:marLeft w:val="0"/>
          <w:marRight w:val="0"/>
          <w:marTop w:val="0"/>
          <w:marBottom w:val="0"/>
          <w:divBdr>
            <w:top w:val="none" w:sz="0" w:space="0" w:color="auto"/>
            <w:left w:val="none" w:sz="0" w:space="0" w:color="auto"/>
            <w:bottom w:val="none" w:sz="0" w:space="0" w:color="auto"/>
            <w:right w:val="none" w:sz="0" w:space="0" w:color="auto"/>
          </w:divBdr>
          <w:divsChild>
            <w:div w:id="805660484">
              <w:marLeft w:val="0"/>
              <w:marRight w:val="0"/>
              <w:marTop w:val="0"/>
              <w:marBottom w:val="0"/>
              <w:divBdr>
                <w:top w:val="none" w:sz="0" w:space="0" w:color="auto"/>
                <w:left w:val="none" w:sz="0" w:space="0" w:color="auto"/>
                <w:bottom w:val="none" w:sz="0" w:space="0" w:color="auto"/>
                <w:right w:val="none" w:sz="0" w:space="0" w:color="auto"/>
              </w:divBdr>
            </w:div>
          </w:divsChild>
        </w:div>
        <w:div w:id="811286172">
          <w:marLeft w:val="0"/>
          <w:marRight w:val="0"/>
          <w:marTop w:val="0"/>
          <w:marBottom w:val="0"/>
          <w:divBdr>
            <w:top w:val="none" w:sz="0" w:space="0" w:color="auto"/>
            <w:left w:val="none" w:sz="0" w:space="0" w:color="auto"/>
            <w:bottom w:val="none" w:sz="0" w:space="0" w:color="auto"/>
            <w:right w:val="none" w:sz="0" w:space="0" w:color="auto"/>
          </w:divBdr>
          <w:divsChild>
            <w:div w:id="903561165">
              <w:marLeft w:val="0"/>
              <w:marRight w:val="0"/>
              <w:marTop w:val="0"/>
              <w:marBottom w:val="0"/>
              <w:divBdr>
                <w:top w:val="none" w:sz="0" w:space="0" w:color="auto"/>
                <w:left w:val="none" w:sz="0" w:space="0" w:color="auto"/>
                <w:bottom w:val="none" w:sz="0" w:space="0" w:color="auto"/>
                <w:right w:val="none" w:sz="0" w:space="0" w:color="auto"/>
              </w:divBdr>
            </w:div>
          </w:divsChild>
        </w:div>
        <w:div w:id="816653625">
          <w:marLeft w:val="0"/>
          <w:marRight w:val="0"/>
          <w:marTop w:val="0"/>
          <w:marBottom w:val="0"/>
          <w:divBdr>
            <w:top w:val="none" w:sz="0" w:space="0" w:color="auto"/>
            <w:left w:val="none" w:sz="0" w:space="0" w:color="auto"/>
            <w:bottom w:val="none" w:sz="0" w:space="0" w:color="auto"/>
            <w:right w:val="none" w:sz="0" w:space="0" w:color="auto"/>
          </w:divBdr>
          <w:divsChild>
            <w:div w:id="632950589">
              <w:marLeft w:val="0"/>
              <w:marRight w:val="0"/>
              <w:marTop w:val="0"/>
              <w:marBottom w:val="0"/>
              <w:divBdr>
                <w:top w:val="none" w:sz="0" w:space="0" w:color="auto"/>
                <w:left w:val="none" w:sz="0" w:space="0" w:color="auto"/>
                <w:bottom w:val="none" w:sz="0" w:space="0" w:color="auto"/>
                <w:right w:val="none" w:sz="0" w:space="0" w:color="auto"/>
              </w:divBdr>
            </w:div>
          </w:divsChild>
        </w:div>
        <w:div w:id="828639808">
          <w:marLeft w:val="0"/>
          <w:marRight w:val="0"/>
          <w:marTop w:val="0"/>
          <w:marBottom w:val="0"/>
          <w:divBdr>
            <w:top w:val="none" w:sz="0" w:space="0" w:color="auto"/>
            <w:left w:val="none" w:sz="0" w:space="0" w:color="auto"/>
            <w:bottom w:val="none" w:sz="0" w:space="0" w:color="auto"/>
            <w:right w:val="none" w:sz="0" w:space="0" w:color="auto"/>
          </w:divBdr>
          <w:divsChild>
            <w:div w:id="1318992851">
              <w:marLeft w:val="0"/>
              <w:marRight w:val="0"/>
              <w:marTop w:val="0"/>
              <w:marBottom w:val="0"/>
              <w:divBdr>
                <w:top w:val="none" w:sz="0" w:space="0" w:color="auto"/>
                <w:left w:val="none" w:sz="0" w:space="0" w:color="auto"/>
                <w:bottom w:val="none" w:sz="0" w:space="0" w:color="auto"/>
                <w:right w:val="none" w:sz="0" w:space="0" w:color="auto"/>
              </w:divBdr>
            </w:div>
          </w:divsChild>
        </w:div>
        <w:div w:id="835998657">
          <w:marLeft w:val="0"/>
          <w:marRight w:val="0"/>
          <w:marTop w:val="0"/>
          <w:marBottom w:val="0"/>
          <w:divBdr>
            <w:top w:val="none" w:sz="0" w:space="0" w:color="auto"/>
            <w:left w:val="none" w:sz="0" w:space="0" w:color="auto"/>
            <w:bottom w:val="none" w:sz="0" w:space="0" w:color="auto"/>
            <w:right w:val="none" w:sz="0" w:space="0" w:color="auto"/>
          </w:divBdr>
          <w:divsChild>
            <w:div w:id="2037386232">
              <w:marLeft w:val="0"/>
              <w:marRight w:val="0"/>
              <w:marTop w:val="0"/>
              <w:marBottom w:val="0"/>
              <w:divBdr>
                <w:top w:val="none" w:sz="0" w:space="0" w:color="auto"/>
                <w:left w:val="none" w:sz="0" w:space="0" w:color="auto"/>
                <w:bottom w:val="none" w:sz="0" w:space="0" w:color="auto"/>
                <w:right w:val="none" w:sz="0" w:space="0" w:color="auto"/>
              </w:divBdr>
            </w:div>
          </w:divsChild>
        </w:div>
        <w:div w:id="846285498">
          <w:marLeft w:val="0"/>
          <w:marRight w:val="0"/>
          <w:marTop w:val="0"/>
          <w:marBottom w:val="0"/>
          <w:divBdr>
            <w:top w:val="none" w:sz="0" w:space="0" w:color="auto"/>
            <w:left w:val="none" w:sz="0" w:space="0" w:color="auto"/>
            <w:bottom w:val="none" w:sz="0" w:space="0" w:color="auto"/>
            <w:right w:val="none" w:sz="0" w:space="0" w:color="auto"/>
          </w:divBdr>
          <w:divsChild>
            <w:div w:id="548302453">
              <w:marLeft w:val="0"/>
              <w:marRight w:val="0"/>
              <w:marTop w:val="0"/>
              <w:marBottom w:val="0"/>
              <w:divBdr>
                <w:top w:val="none" w:sz="0" w:space="0" w:color="auto"/>
                <w:left w:val="none" w:sz="0" w:space="0" w:color="auto"/>
                <w:bottom w:val="none" w:sz="0" w:space="0" w:color="auto"/>
                <w:right w:val="none" w:sz="0" w:space="0" w:color="auto"/>
              </w:divBdr>
            </w:div>
          </w:divsChild>
        </w:div>
        <w:div w:id="849032384">
          <w:marLeft w:val="0"/>
          <w:marRight w:val="0"/>
          <w:marTop w:val="0"/>
          <w:marBottom w:val="0"/>
          <w:divBdr>
            <w:top w:val="none" w:sz="0" w:space="0" w:color="auto"/>
            <w:left w:val="none" w:sz="0" w:space="0" w:color="auto"/>
            <w:bottom w:val="none" w:sz="0" w:space="0" w:color="auto"/>
            <w:right w:val="none" w:sz="0" w:space="0" w:color="auto"/>
          </w:divBdr>
          <w:divsChild>
            <w:div w:id="1399548693">
              <w:marLeft w:val="0"/>
              <w:marRight w:val="0"/>
              <w:marTop w:val="0"/>
              <w:marBottom w:val="0"/>
              <w:divBdr>
                <w:top w:val="none" w:sz="0" w:space="0" w:color="auto"/>
                <w:left w:val="none" w:sz="0" w:space="0" w:color="auto"/>
                <w:bottom w:val="none" w:sz="0" w:space="0" w:color="auto"/>
                <w:right w:val="none" w:sz="0" w:space="0" w:color="auto"/>
              </w:divBdr>
            </w:div>
          </w:divsChild>
        </w:div>
        <w:div w:id="862865750">
          <w:marLeft w:val="0"/>
          <w:marRight w:val="0"/>
          <w:marTop w:val="0"/>
          <w:marBottom w:val="0"/>
          <w:divBdr>
            <w:top w:val="none" w:sz="0" w:space="0" w:color="auto"/>
            <w:left w:val="none" w:sz="0" w:space="0" w:color="auto"/>
            <w:bottom w:val="none" w:sz="0" w:space="0" w:color="auto"/>
            <w:right w:val="none" w:sz="0" w:space="0" w:color="auto"/>
          </w:divBdr>
          <w:divsChild>
            <w:div w:id="1767920527">
              <w:marLeft w:val="0"/>
              <w:marRight w:val="0"/>
              <w:marTop w:val="0"/>
              <w:marBottom w:val="0"/>
              <w:divBdr>
                <w:top w:val="none" w:sz="0" w:space="0" w:color="auto"/>
                <w:left w:val="none" w:sz="0" w:space="0" w:color="auto"/>
                <w:bottom w:val="none" w:sz="0" w:space="0" w:color="auto"/>
                <w:right w:val="none" w:sz="0" w:space="0" w:color="auto"/>
              </w:divBdr>
            </w:div>
          </w:divsChild>
        </w:div>
        <w:div w:id="863054677">
          <w:marLeft w:val="0"/>
          <w:marRight w:val="0"/>
          <w:marTop w:val="0"/>
          <w:marBottom w:val="0"/>
          <w:divBdr>
            <w:top w:val="none" w:sz="0" w:space="0" w:color="auto"/>
            <w:left w:val="none" w:sz="0" w:space="0" w:color="auto"/>
            <w:bottom w:val="none" w:sz="0" w:space="0" w:color="auto"/>
            <w:right w:val="none" w:sz="0" w:space="0" w:color="auto"/>
          </w:divBdr>
          <w:divsChild>
            <w:div w:id="1137576622">
              <w:marLeft w:val="0"/>
              <w:marRight w:val="0"/>
              <w:marTop w:val="0"/>
              <w:marBottom w:val="0"/>
              <w:divBdr>
                <w:top w:val="none" w:sz="0" w:space="0" w:color="auto"/>
                <w:left w:val="none" w:sz="0" w:space="0" w:color="auto"/>
                <w:bottom w:val="none" w:sz="0" w:space="0" w:color="auto"/>
                <w:right w:val="none" w:sz="0" w:space="0" w:color="auto"/>
              </w:divBdr>
            </w:div>
          </w:divsChild>
        </w:div>
        <w:div w:id="867256598">
          <w:marLeft w:val="0"/>
          <w:marRight w:val="0"/>
          <w:marTop w:val="0"/>
          <w:marBottom w:val="0"/>
          <w:divBdr>
            <w:top w:val="none" w:sz="0" w:space="0" w:color="auto"/>
            <w:left w:val="none" w:sz="0" w:space="0" w:color="auto"/>
            <w:bottom w:val="none" w:sz="0" w:space="0" w:color="auto"/>
            <w:right w:val="none" w:sz="0" w:space="0" w:color="auto"/>
          </w:divBdr>
          <w:divsChild>
            <w:div w:id="708182788">
              <w:marLeft w:val="0"/>
              <w:marRight w:val="0"/>
              <w:marTop w:val="0"/>
              <w:marBottom w:val="0"/>
              <w:divBdr>
                <w:top w:val="none" w:sz="0" w:space="0" w:color="auto"/>
                <w:left w:val="none" w:sz="0" w:space="0" w:color="auto"/>
                <w:bottom w:val="none" w:sz="0" w:space="0" w:color="auto"/>
                <w:right w:val="none" w:sz="0" w:space="0" w:color="auto"/>
              </w:divBdr>
            </w:div>
          </w:divsChild>
        </w:div>
        <w:div w:id="877932248">
          <w:marLeft w:val="0"/>
          <w:marRight w:val="0"/>
          <w:marTop w:val="0"/>
          <w:marBottom w:val="0"/>
          <w:divBdr>
            <w:top w:val="none" w:sz="0" w:space="0" w:color="auto"/>
            <w:left w:val="none" w:sz="0" w:space="0" w:color="auto"/>
            <w:bottom w:val="none" w:sz="0" w:space="0" w:color="auto"/>
            <w:right w:val="none" w:sz="0" w:space="0" w:color="auto"/>
          </w:divBdr>
          <w:divsChild>
            <w:div w:id="949630564">
              <w:marLeft w:val="0"/>
              <w:marRight w:val="0"/>
              <w:marTop w:val="0"/>
              <w:marBottom w:val="0"/>
              <w:divBdr>
                <w:top w:val="none" w:sz="0" w:space="0" w:color="auto"/>
                <w:left w:val="none" w:sz="0" w:space="0" w:color="auto"/>
                <w:bottom w:val="none" w:sz="0" w:space="0" w:color="auto"/>
                <w:right w:val="none" w:sz="0" w:space="0" w:color="auto"/>
              </w:divBdr>
            </w:div>
          </w:divsChild>
        </w:div>
        <w:div w:id="899168437">
          <w:marLeft w:val="0"/>
          <w:marRight w:val="0"/>
          <w:marTop w:val="0"/>
          <w:marBottom w:val="0"/>
          <w:divBdr>
            <w:top w:val="none" w:sz="0" w:space="0" w:color="auto"/>
            <w:left w:val="none" w:sz="0" w:space="0" w:color="auto"/>
            <w:bottom w:val="none" w:sz="0" w:space="0" w:color="auto"/>
            <w:right w:val="none" w:sz="0" w:space="0" w:color="auto"/>
          </w:divBdr>
          <w:divsChild>
            <w:div w:id="162938305">
              <w:marLeft w:val="0"/>
              <w:marRight w:val="0"/>
              <w:marTop w:val="0"/>
              <w:marBottom w:val="0"/>
              <w:divBdr>
                <w:top w:val="none" w:sz="0" w:space="0" w:color="auto"/>
                <w:left w:val="none" w:sz="0" w:space="0" w:color="auto"/>
                <w:bottom w:val="none" w:sz="0" w:space="0" w:color="auto"/>
                <w:right w:val="none" w:sz="0" w:space="0" w:color="auto"/>
              </w:divBdr>
            </w:div>
          </w:divsChild>
        </w:div>
        <w:div w:id="901715602">
          <w:marLeft w:val="0"/>
          <w:marRight w:val="0"/>
          <w:marTop w:val="0"/>
          <w:marBottom w:val="0"/>
          <w:divBdr>
            <w:top w:val="none" w:sz="0" w:space="0" w:color="auto"/>
            <w:left w:val="none" w:sz="0" w:space="0" w:color="auto"/>
            <w:bottom w:val="none" w:sz="0" w:space="0" w:color="auto"/>
            <w:right w:val="none" w:sz="0" w:space="0" w:color="auto"/>
          </w:divBdr>
          <w:divsChild>
            <w:div w:id="1501119868">
              <w:marLeft w:val="0"/>
              <w:marRight w:val="0"/>
              <w:marTop w:val="0"/>
              <w:marBottom w:val="0"/>
              <w:divBdr>
                <w:top w:val="none" w:sz="0" w:space="0" w:color="auto"/>
                <w:left w:val="none" w:sz="0" w:space="0" w:color="auto"/>
                <w:bottom w:val="none" w:sz="0" w:space="0" w:color="auto"/>
                <w:right w:val="none" w:sz="0" w:space="0" w:color="auto"/>
              </w:divBdr>
            </w:div>
          </w:divsChild>
        </w:div>
        <w:div w:id="933054805">
          <w:marLeft w:val="0"/>
          <w:marRight w:val="0"/>
          <w:marTop w:val="0"/>
          <w:marBottom w:val="0"/>
          <w:divBdr>
            <w:top w:val="none" w:sz="0" w:space="0" w:color="auto"/>
            <w:left w:val="none" w:sz="0" w:space="0" w:color="auto"/>
            <w:bottom w:val="none" w:sz="0" w:space="0" w:color="auto"/>
            <w:right w:val="none" w:sz="0" w:space="0" w:color="auto"/>
          </w:divBdr>
          <w:divsChild>
            <w:div w:id="570433223">
              <w:marLeft w:val="0"/>
              <w:marRight w:val="0"/>
              <w:marTop w:val="0"/>
              <w:marBottom w:val="0"/>
              <w:divBdr>
                <w:top w:val="none" w:sz="0" w:space="0" w:color="auto"/>
                <w:left w:val="none" w:sz="0" w:space="0" w:color="auto"/>
                <w:bottom w:val="none" w:sz="0" w:space="0" w:color="auto"/>
                <w:right w:val="none" w:sz="0" w:space="0" w:color="auto"/>
              </w:divBdr>
            </w:div>
          </w:divsChild>
        </w:div>
        <w:div w:id="933322668">
          <w:marLeft w:val="0"/>
          <w:marRight w:val="0"/>
          <w:marTop w:val="0"/>
          <w:marBottom w:val="0"/>
          <w:divBdr>
            <w:top w:val="none" w:sz="0" w:space="0" w:color="auto"/>
            <w:left w:val="none" w:sz="0" w:space="0" w:color="auto"/>
            <w:bottom w:val="none" w:sz="0" w:space="0" w:color="auto"/>
            <w:right w:val="none" w:sz="0" w:space="0" w:color="auto"/>
          </w:divBdr>
          <w:divsChild>
            <w:div w:id="1602031949">
              <w:marLeft w:val="0"/>
              <w:marRight w:val="0"/>
              <w:marTop w:val="0"/>
              <w:marBottom w:val="0"/>
              <w:divBdr>
                <w:top w:val="none" w:sz="0" w:space="0" w:color="auto"/>
                <w:left w:val="none" w:sz="0" w:space="0" w:color="auto"/>
                <w:bottom w:val="none" w:sz="0" w:space="0" w:color="auto"/>
                <w:right w:val="none" w:sz="0" w:space="0" w:color="auto"/>
              </w:divBdr>
            </w:div>
          </w:divsChild>
        </w:div>
        <w:div w:id="955939719">
          <w:marLeft w:val="0"/>
          <w:marRight w:val="0"/>
          <w:marTop w:val="0"/>
          <w:marBottom w:val="0"/>
          <w:divBdr>
            <w:top w:val="none" w:sz="0" w:space="0" w:color="auto"/>
            <w:left w:val="none" w:sz="0" w:space="0" w:color="auto"/>
            <w:bottom w:val="none" w:sz="0" w:space="0" w:color="auto"/>
            <w:right w:val="none" w:sz="0" w:space="0" w:color="auto"/>
          </w:divBdr>
          <w:divsChild>
            <w:div w:id="1927492136">
              <w:marLeft w:val="0"/>
              <w:marRight w:val="0"/>
              <w:marTop w:val="0"/>
              <w:marBottom w:val="0"/>
              <w:divBdr>
                <w:top w:val="none" w:sz="0" w:space="0" w:color="auto"/>
                <w:left w:val="none" w:sz="0" w:space="0" w:color="auto"/>
                <w:bottom w:val="none" w:sz="0" w:space="0" w:color="auto"/>
                <w:right w:val="none" w:sz="0" w:space="0" w:color="auto"/>
              </w:divBdr>
            </w:div>
          </w:divsChild>
        </w:div>
        <w:div w:id="965114231">
          <w:marLeft w:val="0"/>
          <w:marRight w:val="0"/>
          <w:marTop w:val="0"/>
          <w:marBottom w:val="0"/>
          <w:divBdr>
            <w:top w:val="none" w:sz="0" w:space="0" w:color="auto"/>
            <w:left w:val="none" w:sz="0" w:space="0" w:color="auto"/>
            <w:bottom w:val="none" w:sz="0" w:space="0" w:color="auto"/>
            <w:right w:val="none" w:sz="0" w:space="0" w:color="auto"/>
          </w:divBdr>
          <w:divsChild>
            <w:div w:id="1449088264">
              <w:marLeft w:val="0"/>
              <w:marRight w:val="0"/>
              <w:marTop w:val="0"/>
              <w:marBottom w:val="0"/>
              <w:divBdr>
                <w:top w:val="none" w:sz="0" w:space="0" w:color="auto"/>
                <w:left w:val="none" w:sz="0" w:space="0" w:color="auto"/>
                <w:bottom w:val="none" w:sz="0" w:space="0" w:color="auto"/>
                <w:right w:val="none" w:sz="0" w:space="0" w:color="auto"/>
              </w:divBdr>
            </w:div>
          </w:divsChild>
        </w:div>
        <w:div w:id="968439548">
          <w:marLeft w:val="0"/>
          <w:marRight w:val="0"/>
          <w:marTop w:val="0"/>
          <w:marBottom w:val="0"/>
          <w:divBdr>
            <w:top w:val="none" w:sz="0" w:space="0" w:color="auto"/>
            <w:left w:val="none" w:sz="0" w:space="0" w:color="auto"/>
            <w:bottom w:val="none" w:sz="0" w:space="0" w:color="auto"/>
            <w:right w:val="none" w:sz="0" w:space="0" w:color="auto"/>
          </w:divBdr>
          <w:divsChild>
            <w:div w:id="1516069032">
              <w:marLeft w:val="0"/>
              <w:marRight w:val="0"/>
              <w:marTop w:val="0"/>
              <w:marBottom w:val="0"/>
              <w:divBdr>
                <w:top w:val="none" w:sz="0" w:space="0" w:color="auto"/>
                <w:left w:val="none" w:sz="0" w:space="0" w:color="auto"/>
                <w:bottom w:val="none" w:sz="0" w:space="0" w:color="auto"/>
                <w:right w:val="none" w:sz="0" w:space="0" w:color="auto"/>
              </w:divBdr>
            </w:div>
          </w:divsChild>
        </w:div>
        <w:div w:id="997155881">
          <w:marLeft w:val="0"/>
          <w:marRight w:val="0"/>
          <w:marTop w:val="0"/>
          <w:marBottom w:val="0"/>
          <w:divBdr>
            <w:top w:val="none" w:sz="0" w:space="0" w:color="auto"/>
            <w:left w:val="none" w:sz="0" w:space="0" w:color="auto"/>
            <w:bottom w:val="none" w:sz="0" w:space="0" w:color="auto"/>
            <w:right w:val="none" w:sz="0" w:space="0" w:color="auto"/>
          </w:divBdr>
          <w:divsChild>
            <w:div w:id="1668240091">
              <w:marLeft w:val="0"/>
              <w:marRight w:val="0"/>
              <w:marTop w:val="0"/>
              <w:marBottom w:val="0"/>
              <w:divBdr>
                <w:top w:val="none" w:sz="0" w:space="0" w:color="auto"/>
                <w:left w:val="none" w:sz="0" w:space="0" w:color="auto"/>
                <w:bottom w:val="none" w:sz="0" w:space="0" w:color="auto"/>
                <w:right w:val="none" w:sz="0" w:space="0" w:color="auto"/>
              </w:divBdr>
            </w:div>
          </w:divsChild>
        </w:div>
        <w:div w:id="1009723787">
          <w:marLeft w:val="0"/>
          <w:marRight w:val="0"/>
          <w:marTop w:val="0"/>
          <w:marBottom w:val="0"/>
          <w:divBdr>
            <w:top w:val="none" w:sz="0" w:space="0" w:color="auto"/>
            <w:left w:val="none" w:sz="0" w:space="0" w:color="auto"/>
            <w:bottom w:val="none" w:sz="0" w:space="0" w:color="auto"/>
            <w:right w:val="none" w:sz="0" w:space="0" w:color="auto"/>
          </w:divBdr>
          <w:divsChild>
            <w:div w:id="1861891347">
              <w:marLeft w:val="0"/>
              <w:marRight w:val="0"/>
              <w:marTop w:val="0"/>
              <w:marBottom w:val="0"/>
              <w:divBdr>
                <w:top w:val="none" w:sz="0" w:space="0" w:color="auto"/>
                <w:left w:val="none" w:sz="0" w:space="0" w:color="auto"/>
                <w:bottom w:val="none" w:sz="0" w:space="0" w:color="auto"/>
                <w:right w:val="none" w:sz="0" w:space="0" w:color="auto"/>
              </w:divBdr>
            </w:div>
          </w:divsChild>
        </w:div>
        <w:div w:id="1017732852">
          <w:marLeft w:val="0"/>
          <w:marRight w:val="0"/>
          <w:marTop w:val="0"/>
          <w:marBottom w:val="0"/>
          <w:divBdr>
            <w:top w:val="none" w:sz="0" w:space="0" w:color="auto"/>
            <w:left w:val="none" w:sz="0" w:space="0" w:color="auto"/>
            <w:bottom w:val="none" w:sz="0" w:space="0" w:color="auto"/>
            <w:right w:val="none" w:sz="0" w:space="0" w:color="auto"/>
          </w:divBdr>
          <w:divsChild>
            <w:div w:id="962275152">
              <w:marLeft w:val="0"/>
              <w:marRight w:val="0"/>
              <w:marTop w:val="0"/>
              <w:marBottom w:val="0"/>
              <w:divBdr>
                <w:top w:val="none" w:sz="0" w:space="0" w:color="auto"/>
                <w:left w:val="none" w:sz="0" w:space="0" w:color="auto"/>
                <w:bottom w:val="none" w:sz="0" w:space="0" w:color="auto"/>
                <w:right w:val="none" w:sz="0" w:space="0" w:color="auto"/>
              </w:divBdr>
            </w:div>
          </w:divsChild>
        </w:div>
        <w:div w:id="1038554846">
          <w:marLeft w:val="0"/>
          <w:marRight w:val="0"/>
          <w:marTop w:val="0"/>
          <w:marBottom w:val="0"/>
          <w:divBdr>
            <w:top w:val="none" w:sz="0" w:space="0" w:color="auto"/>
            <w:left w:val="none" w:sz="0" w:space="0" w:color="auto"/>
            <w:bottom w:val="none" w:sz="0" w:space="0" w:color="auto"/>
            <w:right w:val="none" w:sz="0" w:space="0" w:color="auto"/>
          </w:divBdr>
          <w:divsChild>
            <w:div w:id="461464091">
              <w:marLeft w:val="0"/>
              <w:marRight w:val="0"/>
              <w:marTop w:val="0"/>
              <w:marBottom w:val="0"/>
              <w:divBdr>
                <w:top w:val="none" w:sz="0" w:space="0" w:color="auto"/>
                <w:left w:val="none" w:sz="0" w:space="0" w:color="auto"/>
                <w:bottom w:val="none" w:sz="0" w:space="0" w:color="auto"/>
                <w:right w:val="none" w:sz="0" w:space="0" w:color="auto"/>
              </w:divBdr>
            </w:div>
          </w:divsChild>
        </w:div>
        <w:div w:id="1049722212">
          <w:marLeft w:val="0"/>
          <w:marRight w:val="0"/>
          <w:marTop w:val="0"/>
          <w:marBottom w:val="0"/>
          <w:divBdr>
            <w:top w:val="none" w:sz="0" w:space="0" w:color="auto"/>
            <w:left w:val="none" w:sz="0" w:space="0" w:color="auto"/>
            <w:bottom w:val="none" w:sz="0" w:space="0" w:color="auto"/>
            <w:right w:val="none" w:sz="0" w:space="0" w:color="auto"/>
          </w:divBdr>
          <w:divsChild>
            <w:div w:id="728578827">
              <w:marLeft w:val="0"/>
              <w:marRight w:val="0"/>
              <w:marTop w:val="0"/>
              <w:marBottom w:val="0"/>
              <w:divBdr>
                <w:top w:val="none" w:sz="0" w:space="0" w:color="auto"/>
                <w:left w:val="none" w:sz="0" w:space="0" w:color="auto"/>
                <w:bottom w:val="none" w:sz="0" w:space="0" w:color="auto"/>
                <w:right w:val="none" w:sz="0" w:space="0" w:color="auto"/>
              </w:divBdr>
            </w:div>
          </w:divsChild>
        </w:div>
        <w:div w:id="1091271403">
          <w:marLeft w:val="0"/>
          <w:marRight w:val="0"/>
          <w:marTop w:val="0"/>
          <w:marBottom w:val="0"/>
          <w:divBdr>
            <w:top w:val="none" w:sz="0" w:space="0" w:color="auto"/>
            <w:left w:val="none" w:sz="0" w:space="0" w:color="auto"/>
            <w:bottom w:val="none" w:sz="0" w:space="0" w:color="auto"/>
            <w:right w:val="none" w:sz="0" w:space="0" w:color="auto"/>
          </w:divBdr>
          <w:divsChild>
            <w:div w:id="1251740548">
              <w:marLeft w:val="0"/>
              <w:marRight w:val="0"/>
              <w:marTop w:val="0"/>
              <w:marBottom w:val="0"/>
              <w:divBdr>
                <w:top w:val="none" w:sz="0" w:space="0" w:color="auto"/>
                <w:left w:val="none" w:sz="0" w:space="0" w:color="auto"/>
                <w:bottom w:val="none" w:sz="0" w:space="0" w:color="auto"/>
                <w:right w:val="none" w:sz="0" w:space="0" w:color="auto"/>
              </w:divBdr>
            </w:div>
          </w:divsChild>
        </w:div>
        <w:div w:id="1091393199">
          <w:marLeft w:val="0"/>
          <w:marRight w:val="0"/>
          <w:marTop w:val="0"/>
          <w:marBottom w:val="0"/>
          <w:divBdr>
            <w:top w:val="none" w:sz="0" w:space="0" w:color="auto"/>
            <w:left w:val="none" w:sz="0" w:space="0" w:color="auto"/>
            <w:bottom w:val="none" w:sz="0" w:space="0" w:color="auto"/>
            <w:right w:val="none" w:sz="0" w:space="0" w:color="auto"/>
          </w:divBdr>
          <w:divsChild>
            <w:div w:id="1141582292">
              <w:marLeft w:val="0"/>
              <w:marRight w:val="0"/>
              <w:marTop w:val="0"/>
              <w:marBottom w:val="0"/>
              <w:divBdr>
                <w:top w:val="none" w:sz="0" w:space="0" w:color="auto"/>
                <w:left w:val="none" w:sz="0" w:space="0" w:color="auto"/>
                <w:bottom w:val="none" w:sz="0" w:space="0" w:color="auto"/>
                <w:right w:val="none" w:sz="0" w:space="0" w:color="auto"/>
              </w:divBdr>
            </w:div>
          </w:divsChild>
        </w:div>
        <w:div w:id="1104805906">
          <w:marLeft w:val="0"/>
          <w:marRight w:val="0"/>
          <w:marTop w:val="0"/>
          <w:marBottom w:val="0"/>
          <w:divBdr>
            <w:top w:val="none" w:sz="0" w:space="0" w:color="auto"/>
            <w:left w:val="none" w:sz="0" w:space="0" w:color="auto"/>
            <w:bottom w:val="none" w:sz="0" w:space="0" w:color="auto"/>
            <w:right w:val="none" w:sz="0" w:space="0" w:color="auto"/>
          </w:divBdr>
          <w:divsChild>
            <w:div w:id="1671711904">
              <w:marLeft w:val="0"/>
              <w:marRight w:val="0"/>
              <w:marTop w:val="0"/>
              <w:marBottom w:val="0"/>
              <w:divBdr>
                <w:top w:val="none" w:sz="0" w:space="0" w:color="auto"/>
                <w:left w:val="none" w:sz="0" w:space="0" w:color="auto"/>
                <w:bottom w:val="none" w:sz="0" w:space="0" w:color="auto"/>
                <w:right w:val="none" w:sz="0" w:space="0" w:color="auto"/>
              </w:divBdr>
            </w:div>
          </w:divsChild>
        </w:div>
        <w:div w:id="1119298910">
          <w:marLeft w:val="0"/>
          <w:marRight w:val="0"/>
          <w:marTop w:val="0"/>
          <w:marBottom w:val="0"/>
          <w:divBdr>
            <w:top w:val="none" w:sz="0" w:space="0" w:color="auto"/>
            <w:left w:val="none" w:sz="0" w:space="0" w:color="auto"/>
            <w:bottom w:val="none" w:sz="0" w:space="0" w:color="auto"/>
            <w:right w:val="none" w:sz="0" w:space="0" w:color="auto"/>
          </w:divBdr>
          <w:divsChild>
            <w:div w:id="1364208284">
              <w:marLeft w:val="0"/>
              <w:marRight w:val="0"/>
              <w:marTop w:val="0"/>
              <w:marBottom w:val="0"/>
              <w:divBdr>
                <w:top w:val="none" w:sz="0" w:space="0" w:color="auto"/>
                <w:left w:val="none" w:sz="0" w:space="0" w:color="auto"/>
                <w:bottom w:val="none" w:sz="0" w:space="0" w:color="auto"/>
                <w:right w:val="none" w:sz="0" w:space="0" w:color="auto"/>
              </w:divBdr>
            </w:div>
          </w:divsChild>
        </w:div>
        <w:div w:id="1122116162">
          <w:marLeft w:val="0"/>
          <w:marRight w:val="0"/>
          <w:marTop w:val="0"/>
          <w:marBottom w:val="0"/>
          <w:divBdr>
            <w:top w:val="none" w:sz="0" w:space="0" w:color="auto"/>
            <w:left w:val="none" w:sz="0" w:space="0" w:color="auto"/>
            <w:bottom w:val="none" w:sz="0" w:space="0" w:color="auto"/>
            <w:right w:val="none" w:sz="0" w:space="0" w:color="auto"/>
          </w:divBdr>
          <w:divsChild>
            <w:div w:id="1626038033">
              <w:marLeft w:val="0"/>
              <w:marRight w:val="0"/>
              <w:marTop w:val="0"/>
              <w:marBottom w:val="0"/>
              <w:divBdr>
                <w:top w:val="none" w:sz="0" w:space="0" w:color="auto"/>
                <w:left w:val="none" w:sz="0" w:space="0" w:color="auto"/>
                <w:bottom w:val="none" w:sz="0" w:space="0" w:color="auto"/>
                <w:right w:val="none" w:sz="0" w:space="0" w:color="auto"/>
              </w:divBdr>
            </w:div>
          </w:divsChild>
        </w:div>
        <w:div w:id="1123038559">
          <w:marLeft w:val="0"/>
          <w:marRight w:val="0"/>
          <w:marTop w:val="0"/>
          <w:marBottom w:val="0"/>
          <w:divBdr>
            <w:top w:val="none" w:sz="0" w:space="0" w:color="auto"/>
            <w:left w:val="none" w:sz="0" w:space="0" w:color="auto"/>
            <w:bottom w:val="none" w:sz="0" w:space="0" w:color="auto"/>
            <w:right w:val="none" w:sz="0" w:space="0" w:color="auto"/>
          </w:divBdr>
          <w:divsChild>
            <w:div w:id="448548598">
              <w:marLeft w:val="0"/>
              <w:marRight w:val="0"/>
              <w:marTop w:val="0"/>
              <w:marBottom w:val="0"/>
              <w:divBdr>
                <w:top w:val="none" w:sz="0" w:space="0" w:color="auto"/>
                <w:left w:val="none" w:sz="0" w:space="0" w:color="auto"/>
                <w:bottom w:val="none" w:sz="0" w:space="0" w:color="auto"/>
                <w:right w:val="none" w:sz="0" w:space="0" w:color="auto"/>
              </w:divBdr>
            </w:div>
          </w:divsChild>
        </w:div>
        <w:div w:id="1128474391">
          <w:marLeft w:val="0"/>
          <w:marRight w:val="0"/>
          <w:marTop w:val="0"/>
          <w:marBottom w:val="0"/>
          <w:divBdr>
            <w:top w:val="none" w:sz="0" w:space="0" w:color="auto"/>
            <w:left w:val="none" w:sz="0" w:space="0" w:color="auto"/>
            <w:bottom w:val="none" w:sz="0" w:space="0" w:color="auto"/>
            <w:right w:val="none" w:sz="0" w:space="0" w:color="auto"/>
          </w:divBdr>
          <w:divsChild>
            <w:div w:id="1179345872">
              <w:marLeft w:val="0"/>
              <w:marRight w:val="0"/>
              <w:marTop w:val="0"/>
              <w:marBottom w:val="0"/>
              <w:divBdr>
                <w:top w:val="none" w:sz="0" w:space="0" w:color="auto"/>
                <w:left w:val="none" w:sz="0" w:space="0" w:color="auto"/>
                <w:bottom w:val="none" w:sz="0" w:space="0" w:color="auto"/>
                <w:right w:val="none" w:sz="0" w:space="0" w:color="auto"/>
              </w:divBdr>
            </w:div>
          </w:divsChild>
        </w:div>
        <w:div w:id="1141536897">
          <w:marLeft w:val="0"/>
          <w:marRight w:val="0"/>
          <w:marTop w:val="0"/>
          <w:marBottom w:val="0"/>
          <w:divBdr>
            <w:top w:val="none" w:sz="0" w:space="0" w:color="auto"/>
            <w:left w:val="none" w:sz="0" w:space="0" w:color="auto"/>
            <w:bottom w:val="none" w:sz="0" w:space="0" w:color="auto"/>
            <w:right w:val="none" w:sz="0" w:space="0" w:color="auto"/>
          </w:divBdr>
          <w:divsChild>
            <w:div w:id="697509292">
              <w:marLeft w:val="0"/>
              <w:marRight w:val="0"/>
              <w:marTop w:val="0"/>
              <w:marBottom w:val="0"/>
              <w:divBdr>
                <w:top w:val="none" w:sz="0" w:space="0" w:color="auto"/>
                <w:left w:val="none" w:sz="0" w:space="0" w:color="auto"/>
                <w:bottom w:val="none" w:sz="0" w:space="0" w:color="auto"/>
                <w:right w:val="none" w:sz="0" w:space="0" w:color="auto"/>
              </w:divBdr>
            </w:div>
          </w:divsChild>
        </w:div>
        <w:div w:id="1157192023">
          <w:marLeft w:val="0"/>
          <w:marRight w:val="0"/>
          <w:marTop w:val="0"/>
          <w:marBottom w:val="0"/>
          <w:divBdr>
            <w:top w:val="none" w:sz="0" w:space="0" w:color="auto"/>
            <w:left w:val="none" w:sz="0" w:space="0" w:color="auto"/>
            <w:bottom w:val="none" w:sz="0" w:space="0" w:color="auto"/>
            <w:right w:val="none" w:sz="0" w:space="0" w:color="auto"/>
          </w:divBdr>
          <w:divsChild>
            <w:div w:id="1709992088">
              <w:marLeft w:val="0"/>
              <w:marRight w:val="0"/>
              <w:marTop w:val="0"/>
              <w:marBottom w:val="0"/>
              <w:divBdr>
                <w:top w:val="none" w:sz="0" w:space="0" w:color="auto"/>
                <w:left w:val="none" w:sz="0" w:space="0" w:color="auto"/>
                <w:bottom w:val="none" w:sz="0" w:space="0" w:color="auto"/>
                <w:right w:val="none" w:sz="0" w:space="0" w:color="auto"/>
              </w:divBdr>
            </w:div>
          </w:divsChild>
        </w:div>
        <w:div w:id="1166240898">
          <w:marLeft w:val="0"/>
          <w:marRight w:val="0"/>
          <w:marTop w:val="0"/>
          <w:marBottom w:val="0"/>
          <w:divBdr>
            <w:top w:val="none" w:sz="0" w:space="0" w:color="auto"/>
            <w:left w:val="none" w:sz="0" w:space="0" w:color="auto"/>
            <w:bottom w:val="none" w:sz="0" w:space="0" w:color="auto"/>
            <w:right w:val="none" w:sz="0" w:space="0" w:color="auto"/>
          </w:divBdr>
          <w:divsChild>
            <w:div w:id="1682656627">
              <w:marLeft w:val="0"/>
              <w:marRight w:val="0"/>
              <w:marTop w:val="0"/>
              <w:marBottom w:val="0"/>
              <w:divBdr>
                <w:top w:val="none" w:sz="0" w:space="0" w:color="auto"/>
                <w:left w:val="none" w:sz="0" w:space="0" w:color="auto"/>
                <w:bottom w:val="none" w:sz="0" w:space="0" w:color="auto"/>
                <w:right w:val="none" w:sz="0" w:space="0" w:color="auto"/>
              </w:divBdr>
            </w:div>
          </w:divsChild>
        </w:div>
        <w:div w:id="1176260777">
          <w:marLeft w:val="0"/>
          <w:marRight w:val="0"/>
          <w:marTop w:val="0"/>
          <w:marBottom w:val="0"/>
          <w:divBdr>
            <w:top w:val="none" w:sz="0" w:space="0" w:color="auto"/>
            <w:left w:val="none" w:sz="0" w:space="0" w:color="auto"/>
            <w:bottom w:val="none" w:sz="0" w:space="0" w:color="auto"/>
            <w:right w:val="none" w:sz="0" w:space="0" w:color="auto"/>
          </w:divBdr>
          <w:divsChild>
            <w:div w:id="1978535819">
              <w:marLeft w:val="0"/>
              <w:marRight w:val="0"/>
              <w:marTop w:val="0"/>
              <w:marBottom w:val="0"/>
              <w:divBdr>
                <w:top w:val="none" w:sz="0" w:space="0" w:color="auto"/>
                <w:left w:val="none" w:sz="0" w:space="0" w:color="auto"/>
                <w:bottom w:val="none" w:sz="0" w:space="0" w:color="auto"/>
                <w:right w:val="none" w:sz="0" w:space="0" w:color="auto"/>
              </w:divBdr>
            </w:div>
          </w:divsChild>
        </w:div>
        <w:div w:id="1176580559">
          <w:marLeft w:val="0"/>
          <w:marRight w:val="0"/>
          <w:marTop w:val="0"/>
          <w:marBottom w:val="0"/>
          <w:divBdr>
            <w:top w:val="none" w:sz="0" w:space="0" w:color="auto"/>
            <w:left w:val="none" w:sz="0" w:space="0" w:color="auto"/>
            <w:bottom w:val="none" w:sz="0" w:space="0" w:color="auto"/>
            <w:right w:val="none" w:sz="0" w:space="0" w:color="auto"/>
          </w:divBdr>
          <w:divsChild>
            <w:div w:id="507211649">
              <w:marLeft w:val="0"/>
              <w:marRight w:val="0"/>
              <w:marTop w:val="0"/>
              <w:marBottom w:val="0"/>
              <w:divBdr>
                <w:top w:val="none" w:sz="0" w:space="0" w:color="auto"/>
                <w:left w:val="none" w:sz="0" w:space="0" w:color="auto"/>
                <w:bottom w:val="none" w:sz="0" w:space="0" w:color="auto"/>
                <w:right w:val="none" w:sz="0" w:space="0" w:color="auto"/>
              </w:divBdr>
            </w:div>
          </w:divsChild>
        </w:div>
        <w:div w:id="1179613303">
          <w:marLeft w:val="0"/>
          <w:marRight w:val="0"/>
          <w:marTop w:val="0"/>
          <w:marBottom w:val="0"/>
          <w:divBdr>
            <w:top w:val="none" w:sz="0" w:space="0" w:color="auto"/>
            <w:left w:val="none" w:sz="0" w:space="0" w:color="auto"/>
            <w:bottom w:val="none" w:sz="0" w:space="0" w:color="auto"/>
            <w:right w:val="none" w:sz="0" w:space="0" w:color="auto"/>
          </w:divBdr>
          <w:divsChild>
            <w:div w:id="1058824594">
              <w:marLeft w:val="0"/>
              <w:marRight w:val="0"/>
              <w:marTop w:val="0"/>
              <w:marBottom w:val="0"/>
              <w:divBdr>
                <w:top w:val="none" w:sz="0" w:space="0" w:color="auto"/>
                <w:left w:val="none" w:sz="0" w:space="0" w:color="auto"/>
                <w:bottom w:val="none" w:sz="0" w:space="0" w:color="auto"/>
                <w:right w:val="none" w:sz="0" w:space="0" w:color="auto"/>
              </w:divBdr>
            </w:div>
          </w:divsChild>
        </w:div>
        <w:div w:id="1189954351">
          <w:marLeft w:val="0"/>
          <w:marRight w:val="0"/>
          <w:marTop w:val="0"/>
          <w:marBottom w:val="0"/>
          <w:divBdr>
            <w:top w:val="none" w:sz="0" w:space="0" w:color="auto"/>
            <w:left w:val="none" w:sz="0" w:space="0" w:color="auto"/>
            <w:bottom w:val="none" w:sz="0" w:space="0" w:color="auto"/>
            <w:right w:val="none" w:sz="0" w:space="0" w:color="auto"/>
          </w:divBdr>
          <w:divsChild>
            <w:div w:id="402266409">
              <w:marLeft w:val="0"/>
              <w:marRight w:val="0"/>
              <w:marTop w:val="0"/>
              <w:marBottom w:val="0"/>
              <w:divBdr>
                <w:top w:val="none" w:sz="0" w:space="0" w:color="auto"/>
                <w:left w:val="none" w:sz="0" w:space="0" w:color="auto"/>
                <w:bottom w:val="none" w:sz="0" w:space="0" w:color="auto"/>
                <w:right w:val="none" w:sz="0" w:space="0" w:color="auto"/>
              </w:divBdr>
            </w:div>
          </w:divsChild>
        </w:div>
        <w:div w:id="1200437001">
          <w:marLeft w:val="0"/>
          <w:marRight w:val="0"/>
          <w:marTop w:val="0"/>
          <w:marBottom w:val="0"/>
          <w:divBdr>
            <w:top w:val="none" w:sz="0" w:space="0" w:color="auto"/>
            <w:left w:val="none" w:sz="0" w:space="0" w:color="auto"/>
            <w:bottom w:val="none" w:sz="0" w:space="0" w:color="auto"/>
            <w:right w:val="none" w:sz="0" w:space="0" w:color="auto"/>
          </w:divBdr>
          <w:divsChild>
            <w:div w:id="340160975">
              <w:marLeft w:val="0"/>
              <w:marRight w:val="0"/>
              <w:marTop w:val="0"/>
              <w:marBottom w:val="0"/>
              <w:divBdr>
                <w:top w:val="none" w:sz="0" w:space="0" w:color="auto"/>
                <w:left w:val="none" w:sz="0" w:space="0" w:color="auto"/>
                <w:bottom w:val="none" w:sz="0" w:space="0" w:color="auto"/>
                <w:right w:val="none" w:sz="0" w:space="0" w:color="auto"/>
              </w:divBdr>
            </w:div>
          </w:divsChild>
        </w:div>
        <w:div w:id="1209102062">
          <w:marLeft w:val="0"/>
          <w:marRight w:val="0"/>
          <w:marTop w:val="0"/>
          <w:marBottom w:val="0"/>
          <w:divBdr>
            <w:top w:val="none" w:sz="0" w:space="0" w:color="auto"/>
            <w:left w:val="none" w:sz="0" w:space="0" w:color="auto"/>
            <w:bottom w:val="none" w:sz="0" w:space="0" w:color="auto"/>
            <w:right w:val="none" w:sz="0" w:space="0" w:color="auto"/>
          </w:divBdr>
          <w:divsChild>
            <w:div w:id="1838154027">
              <w:marLeft w:val="0"/>
              <w:marRight w:val="0"/>
              <w:marTop w:val="0"/>
              <w:marBottom w:val="0"/>
              <w:divBdr>
                <w:top w:val="none" w:sz="0" w:space="0" w:color="auto"/>
                <w:left w:val="none" w:sz="0" w:space="0" w:color="auto"/>
                <w:bottom w:val="none" w:sz="0" w:space="0" w:color="auto"/>
                <w:right w:val="none" w:sz="0" w:space="0" w:color="auto"/>
              </w:divBdr>
            </w:div>
          </w:divsChild>
        </w:div>
        <w:div w:id="1223440815">
          <w:marLeft w:val="0"/>
          <w:marRight w:val="0"/>
          <w:marTop w:val="0"/>
          <w:marBottom w:val="0"/>
          <w:divBdr>
            <w:top w:val="none" w:sz="0" w:space="0" w:color="auto"/>
            <w:left w:val="none" w:sz="0" w:space="0" w:color="auto"/>
            <w:bottom w:val="none" w:sz="0" w:space="0" w:color="auto"/>
            <w:right w:val="none" w:sz="0" w:space="0" w:color="auto"/>
          </w:divBdr>
          <w:divsChild>
            <w:div w:id="1949465040">
              <w:marLeft w:val="0"/>
              <w:marRight w:val="0"/>
              <w:marTop w:val="0"/>
              <w:marBottom w:val="0"/>
              <w:divBdr>
                <w:top w:val="none" w:sz="0" w:space="0" w:color="auto"/>
                <w:left w:val="none" w:sz="0" w:space="0" w:color="auto"/>
                <w:bottom w:val="none" w:sz="0" w:space="0" w:color="auto"/>
                <w:right w:val="none" w:sz="0" w:space="0" w:color="auto"/>
              </w:divBdr>
            </w:div>
          </w:divsChild>
        </w:div>
        <w:div w:id="1239708888">
          <w:marLeft w:val="0"/>
          <w:marRight w:val="0"/>
          <w:marTop w:val="0"/>
          <w:marBottom w:val="0"/>
          <w:divBdr>
            <w:top w:val="none" w:sz="0" w:space="0" w:color="auto"/>
            <w:left w:val="none" w:sz="0" w:space="0" w:color="auto"/>
            <w:bottom w:val="none" w:sz="0" w:space="0" w:color="auto"/>
            <w:right w:val="none" w:sz="0" w:space="0" w:color="auto"/>
          </w:divBdr>
          <w:divsChild>
            <w:div w:id="1932545572">
              <w:marLeft w:val="0"/>
              <w:marRight w:val="0"/>
              <w:marTop w:val="0"/>
              <w:marBottom w:val="0"/>
              <w:divBdr>
                <w:top w:val="none" w:sz="0" w:space="0" w:color="auto"/>
                <w:left w:val="none" w:sz="0" w:space="0" w:color="auto"/>
                <w:bottom w:val="none" w:sz="0" w:space="0" w:color="auto"/>
                <w:right w:val="none" w:sz="0" w:space="0" w:color="auto"/>
              </w:divBdr>
            </w:div>
          </w:divsChild>
        </w:div>
        <w:div w:id="1240796327">
          <w:marLeft w:val="0"/>
          <w:marRight w:val="0"/>
          <w:marTop w:val="0"/>
          <w:marBottom w:val="0"/>
          <w:divBdr>
            <w:top w:val="none" w:sz="0" w:space="0" w:color="auto"/>
            <w:left w:val="none" w:sz="0" w:space="0" w:color="auto"/>
            <w:bottom w:val="none" w:sz="0" w:space="0" w:color="auto"/>
            <w:right w:val="none" w:sz="0" w:space="0" w:color="auto"/>
          </w:divBdr>
          <w:divsChild>
            <w:div w:id="1710181880">
              <w:marLeft w:val="0"/>
              <w:marRight w:val="0"/>
              <w:marTop w:val="0"/>
              <w:marBottom w:val="0"/>
              <w:divBdr>
                <w:top w:val="none" w:sz="0" w:space="0" w:color="auto"/>
                <w:left w:val="none" w:sz="0" w:space="0" w:color="auto"/>
                <w:bottom w:val="none" w:sz="0" w:space="0" w:color="auto"/>
                <w:right w:val="none" w:sz="0" w:space="0" w:color="auto"/>
              </w:divBdr>
            </w:div>
          </w:divsChild>
        </w:div>
        <w:div w:id="1241939071">
          <w:marLeft w:val="0"/>
          <w:marRight w:val="0"/>
          <w:marTop w:val="0"/>
          <w:marBottom w:val="0"/>
          <w:divBdr>
            <w:top w:val="none" w:sz="0" w:space="0" w:color="auto"/>
            <w:left w:val="none" w:sz="0" w:space="0" w:color="auto"/>
            <w:bottom w:val="none" w:sz="0" w:space="0" w:color="auto"/>
            <w:right w:val="none" w:sz="0" w:space="0" w:color="auto"/>
          </w:divBdr>
          <w:divsChild>
            <w:div w:id="1153596770">
              <w:marLeft w:val="0"/>
              <w:marRight w:val="0"/>
              <w:marTop w:val="0"/>
              <w:marBottom w:val="0"/>
              <w:divBdr>
                <w:top w:val="none" w:sz="0" w:space="0" w:color="auto"/>
                <w:left w:val="none" w:sz="0" w:space="0" w:color="auto"/>
                <w:bottom w:val="none" w:sz="0" w:space="0" w:color="auto"/>
                <w:right w:val="none" w:sz="0" w:space="0" w:color="auto"/>
              </w:divBdr>
            </w:div>
          </w:divsChild>
        </w:div>
        <w:div w:id="1247812466">
          <w:marLeft w:val="0"/>
          <w:marRight w:val="0"/>
          <w:marTop w:val="0"/>
          <w:marBottom w:val="0"/>
          <w:divBdr>
            <w:top w:val="none" w:sz="0" w:space="0" w:color="auto"/>
            <w:left w:val="none" w:sz="0" w:space="0" w:color="auto"/>
            <w:bottom w:val="none" w:sz="0" w:space="0" w:color="auto"/>
            <w:right w:val="none" w:sz="0" w:space="0" w:color="auto"/>
          </w:divBdr>
          <w:divsChild>
            <w:div w:id="1556698910">
              <w:marLeft w:val="0"/>
              <w:marRight w:val="0"/>
              <w:marTop w:val="0"/>
              <w:marBottom w:val="0"/>
              <w:divBdr>
                <w:top w:val="none" w:sz="0" w:space="0" w:color="auto"/>
                <w:left w:val="none" w:sz="0" w:space="0" w:color="auto"/>
                <w:bottom w:val="none" w:sz="0" w:space="0" w:color="auto"/>
                <w:right w:val="none" w:sz="0" w:space="0" w:color="auto"/>
              </w:divBdr>
            </w:div>
          </w:divsChild>
        </w:div>
        <w:div w:id="1256355366">
          <w:marLeft w:val="0"/>
          <w:marRight w:val="0"/>
          <w:marTop w:val="0"/>
          <w:marBottom w:val="0"/>
          <w:divBdr>
            <w:top w:val="none" w:sz="0" w:space="0" w:color="auto"/>
            <w:left w:val="none" w:sz="0" w:space="0" w:color="auto"/>
            <w:bottom w:val="none" w:sz="0" w:space="0" w:color="auto"/>
            <w:right w:val="none" w:sz="0" w:space="0" w:color="auto"/>
          </w:divBdr>
          <w:divsChild>
            <w:div w:id="414320582">
              <w:marLeft w:val="0"/>
              <w:marRight w:val="0"/>
              <w:marTop w:val="0"/>
              <w:marBottom w:val="0"/>
              <w:divBdr>
                <w:top w:val="none" w:sz="0" w:space="0" w:color="auto"/>
                <w:left w:val="none" w:sz="0" w:space="0" w:color="auto"/>
                <w:bottom w:val="none" w:sz="0" w:space="0" w:color="auto"/>
                <w:right w:val="none" w:sz="0" w:space="0" w:color="auto"/>
              </w:divBdr>
            </w:div>
          </w:divsChild>
        </w:div>
        <w:div w:id="1274442069">
          <w:marLeft w:val="0"/>
          <w:marRight w:val="0"/>
          <w:marTop w:val="0"/>
          <w:marBottom w:val="0"/>
          <w:divBdr>
            <w:top w:val="none" w:sz="0" w:space="0" w:color="auto"/>
            <w:left w:val="none" w:sz="0" w:space="0" w:color="auto"/>
            <w:bottom w:val="none" w:sz="0" w:space="0" w:color="auto"/>
            <w:right w:val="none" w:sz="0" w:space="0" w:color="auto"/>
          </w:divBdr>
          <w:divsChild>
            <w:div w:id="828642154">
              <w:marLeft w:val="0"/>
              <w:marRight w:val="0"/>
              <w:marTop w:val="0"/>
              <w:marBottom w:val="0"/>
              <w:divBdr>
                <w:top w:val="none" w:sz="0" w:space="0" w:color="auto"/>
                <w:left w:val="none" w:sz="0" w:space="0" w:color="auto"/>
                <w:bottom w:val="none" w:sz="0" w:space="0" w:color="auto"/>
                <w:right w:val="none" w:sz="0" w:space="0" w:color="auto"/>
              </w:divBdr>
            </w:div>
          </w:divsChild>
        </w:div>
        <w:div w:id="1319269158">
          <w:marLeft w:val="0"/>
          <w:marRight w:val="0"/>
          <w:marTop w:val="0"/>
          <w:marBottom w:val="0"/>
          <w:divBdr>
            <w:top w:val="none" w:sz="0" w:space="0" w:color="auto"/>
            <w:left w:val="none" w:sz="0" w:space="0" w:color="auto"/>
            <w:bottom w:val="none" w:sz="0" w:space="0" w:color="auto"/>
            <w:right w:val="none" w:sz="0" w:space="0" w:color="auto"/>
          </w:divBdr>
          <w:divsChild>
            <w:div w:id="1793669563">
              <w:marLeft w:val="0"/>
              <w:marRight w:val="0"/>
              <w:marTop w:val="0"/>
              <w:marBottom w:val="0"/>
              <w:divBdr>
                <w:top w:val="none" w:sz="0" w:space="0" w:color="auto"/>
                <w:left w:val="none" w:sz="0" w:space="0" w:color="auto"/>
                <w:bottom w:val="none" w:sz="0" w:space="0" w:color="auto"/>
                <w:right w:val="none" w:sz="0" w:space="0" w:color="auto"/>
              </w:divBdr>
            </w:div>
          </w:divsChild>
        </w:div>
        <w:div w:id="1345398403">
          <w:marLeft w:val="0"/>
          <w:marRight w:val="0"/>
          <w:marTop w:val="0"/>
          <w:marBottom w:val="0"/>
          <w:divBdr>
            <w:top w:val="none" w:sz="0" w:space="0" w:color="auto"/>
            <w:left w:val="none" w:sz="0" w:space="0" w:color="auto"/>
            <w:bottom w:val="none" w:sz="0" w:space="0" w:color="auto"/>
            <w:right w:val="none" w:sz="0" w:space="0" w:color="auto"/>
          </w:divBdr>
          <w:divsChild>
            <w:div w:id="1891719960">
              <w:marLeft w:val="0"/>
              <w:marRight w:val="0"/>
              <w:marTop w:val="0"/>
              <w:marBottom w:val="0"/>
              <w:divBdr>
                <w:top w:val="none" w:sz="0" w:space="0" w:color="auto"/>
                <w:left w:val="none" w:sz="0" w:space="0" w:color="auto"/>
                <w:bottom w:val="none" w:sz="0" w:space="0" w:color="auto"/>
                <w:right w:val="none" w:sz="0" w:space="0" w:color="auto"/>
              </w:divBdr>
            </w:div>
          </w:divsChild>
        </w:div>
        <w:div w:id="1347749974">
          <w:marLeft w:val="0"/>
          <w:marRight w:val="0"/>
          <w:marTop w:val="0"/>
          <w:marBottom w:val="0"/>
          <w:divBdr>
            <w:top w:val="none" w:sz="0" w:space="0" w:color="auto"/>
            <w:left w:val="none" w:sz="0" w:space="0" w:color="auto"/>
            <w:bottom w:val="none" w:sz="0" w:space="0" w:color="auto"/>
            <w:right w:val="none" w:sz="0" w:space="0" w:color="auto"/>
          </w:divBdr>
          <w:divsChild>
            <w:div w:id="856695592">
              <w:marLeft w:val="0"/>
              <w:marRight w:val="0"/>
              <w:marTop w:val="0"/>
              <w:marBottom w:val="0"/>
              <w:divBdr>
                <w:top w:val="none" w:sz="0" w:space="0" w:color="auto"/>
                <w:left w:val="none" w:sz="0" w:space="0" w:color="auto"/>
                <w:bottom w:val="none" w:sz="0" w:space="0" w:color="auto"/>
                <w:right w:val="none" w:sz="0" w:space="0" w:color="auto"/>
              </w:divBdr>
            </w:div>
          </w:divsChild>
        </w:div>
        <w:div w:id="1351681200">
          <w:marLeft w:val="0"/>
          <w:marRight w:val="0"/>
          <w:marTop w:val="0"/>
          <w:marBottom w:val="0"/>
          <w:divBdr>
            <w:top w:val="none" w:sz="0" w:space="0" w:color="auto"/>
            <w:left w:val="none" w:sz="0" w:space="0" w:color="auto"/>
            <w:bottom w:val="none" w:sz="0" w:space="0" w:color="auto"/>
            <w:right w:val="none" w:sz="0" w:space="0" w:color="auto"/>
          </w:divBdr>
          <w:divsChild>
            <w:div w:id="2053336944">
              <w:marLeft w:val="0"/>
              <w:marRight w:val="0"/>
              <w:marTop w:val="0"/>
              <w:marBottom w:val="0"/>
              <w:divBdr>
                <w:top w:val="none" w:sz="0" w:space="0" w:color="auto"/>
                <w:left w:val="none" w:sz="0" w:space="0" w:color="auto"/>
                <w:bottom w:val="none" w:sz="0" w:space="0" w:color="auto"/>
                <w:right w:val="none" w:sz="0" w:space="0" w:color="auto"/>
              </w:divBdr>
            </w:div>
          </w:divsChild>
        </w:div>
        <w:div w:id="1352410708">
          <w:marLeft w:val="0"/>
          <w:marRight w:val="0"/>
          <w:marTop w:val="0"/>
          <w:marBottom w:val="0"/>
          <w:divBdr>
            <w:top w:val="none" w:sz="0" w:space="0" w:color="auto"/>
            <w:left w:val="none" w:sz="0" w:space="0" w:color="auto"/>
            <w:bottom w:val="none" w:sz="0" w:space="0" w:color="auto"/>
            <w:right w:val="none" w:sz="0" w:space="0" w:color="auto"/>
          </w:divBdr>
          <w:divsChild>
            <w:div w:id="1566066448">
              <w:marLeft w:val="0"/>
              <w:marRight w:val="0"/>
              <w:marTop w:val="0"/>
              <w:marBottom w:val="0"/>
              <w:divBdr>
                <w:top w:val="none" w:sz="0" w:space="0" w:color="auto"/>
                <w:left w:val="none" w:sz="0" w:space="0" w:color="auto"/>
                <w:bottom w:val="none" w:sz="0" w:space="0" w:color="auto"/>
                <w:right w:val="none" w:sz="0" w:space="0" w:color="auto"/>
              </w:divBdr>
            </w:div>
          </w:divsChild>
        </w:div>
        <w:div w:id="1359622198">
          <w:marLeft w:val="0"/>
          <w:marRight w:val="0"/>
          <w:marTop w:val="0"/>
          <w:marBottom w:val="0"/>
          <w:divBdr>
            <w:top w:val="none" w:sz="0" w:space="0" w:color="auto"/>
            <w:left w:val="none" w:sz="0" w:space="0" w:color="auto"/>
            <w:bottom w:val="none" w:sz="0" w:space="0" w:color="auto"/>
            <w:right w:val="none" w:sz="0" w:space="0" w:color="auto"/>
          </w:divBdr>
          <w:divsChild>
            <w:div w:id="1883400134">
              <w:marLeft w:val="0"/>
              <w:marRight w:val="0"/>
              <w:marTop w:val="0"/>
              <w:marBottom w:val="0"/>
              <w:divBdr>
                <w:top w:val="none" w:sz="0" w:space="0" w:color="auto"/>
                <w:left w:val="none" w:sz="0" w:space="0" w:color="auto"/>
                <w:bottom w:val="none" w:sz="0" w:space="0" w:color="auto"/>
                <w:right w:val="none" w:sz="0" w:space="0" w:color="auto"/>
              </w:divBdr>
            </w:div>
          </w:divsChild>
        </w:div>
        <w:div w:id="1362779940">
          <w:marLeft w:val="0"/>
          <w:marRight w:val="0"/>
          <w:marTop w:val="0"/>
          <w:marBottom w:val="0"/>
          <w:divBdr>
            <w:top w:val="none" w:sz="0" w:space="0" w:color="auto"/>
            <w:left w:val="none" w:sz="0" w:space="0" w:color="auto"/>
            <w:bottom w:val="none" w:sz="0" w:space="0" w:color="auto"/>
            <w:right w:val="none" w:sz="0" w:space="0" w:color="auto"/>
          </w:divBdr>
          <w:divsChild>
            <w:div w:id="53818000">
              <w:marLeft w:val="0"/>
              <w:marRight w:val="0"/>
              <w:marTop w:val="0"/>
              <w:marBottom w:val="0"/>
              <w:divBdr>
                <w:top w:val="none" w:sz="0" w:space="0" w:color="auto"/>
                <w:left w:val="none" w:sz="0" w:space="0" w:color="auto"/>
                <w:bottom w:val="none" w:sz="0" w:space="0" w:color="auto"/>
                <w:right w:val="none" w:sz="0" w:space="0" w:color="auto"/>
              </w:divBdr>
            </w:div>
          </w:divsChild>
        </w:div>
        <w:div w:id="1363946015">
          <w:marLeft w:val="0"/>
          <w:marRight w:val="0"/>
          <w:marTop w:val="0"/>
          <w:marBottom w:val="0"/>
          <w:divBdr>
            <w:top w:val="none" w:sz="0" w:space="0" w:color="auto"/>
            <w:left w:val="none" w:sz="0" w:space="0" w:color="auto"/>
            <w:bottom w:val="none" w:sz="0" w:space="0" w:color="auto"/>
            <w:right w:val="none" w:sz="0" w:space="0" w:color="auto"/>
          </w:divBdr>
          <w:divsChild>
            <w:div w:id="326788782">
              <w:marLeft w:val="0"/>
              <w:marRight w:val="0"/>
              <w:marTop w:val="0"/>
              <w:marBottom w:val="0"/>
              <w:divBdr>
                <w:top w:val="none" w:sz="0" w:space="0" w:color="auto"/>
                <w:left w:val="none" w:sz="0" w:space="0" w:color="auto"/>
                <w:bottom w:val="none" w:sz="0" w:space="0" w:color="auto"/>
                <w:right w:val="none" w:sz="0" w:space="0" w:color="auto"/>
              </w:divBdr>
            </w:div>
          </w:divsChild>
        </w:div>
        <w:div w:id="1364479184">
          <w:marLeft w:val="0"/>
          <w:marRight w:val="0"/>
          <w:marTop w:val="0"/>
          <w:marBottom w:val="0"/>
          <w:divBdr>
            <w:top w:val="none" w:sz="0" w:space="0" w:color="auto"/>
            <w:left w:val="none" w:sz="0" w:space="0" w:color="auto"/>
            <w:bottom w:val="none" w:sz="0" w:space="0" w:color="auto"/>
            <w:right w:val="none" w:sz="0" w:space="0" w:color="auto"/>
          </w:divBdr>
          <w:divsChild>
            <w:div w:id="1487161708">
              <w:marLeft w:val="0"/>
              <w:marRight w:val="0"/>
              <w:marTop w:val="0"/>
              <w:marBottom w:val="0"/>
              <w:divBdr>
                <w:top w:val="none" w:sz="0" w:space="0" w:color="auto"/>
                <w:left w:val="none" w:sz="0" w:space="0" w:color="auto"/>
                <w:bottom w:val="none" w:sz="0" w:space="0" w:color="auto"/>
                <w:right w:val="none" w:sz="0" w:space="0" w:color="auto"/>
              </w:divBdr>
            </w:div>
          </w:divsChild>
        </w:div>
        <w:div w:id="1367020278">
          <w:marLeft w:val="0"/>
          <w:marRight w:val="0"/>
          <w:marTop w:val="0"/>
          <w:marBottom w:val="0"/>
          <w:divBdr>
            <w:top w:val="none" w:sz="0" w:space="0" w:color="auto"/>
            <w:left w:val="none" w:sz="0" w:space="0" w:color="auto"/>
            <w:bottom w:val="none" w:sz="0" w:space="0" w:color="auto"/>
            <w:right w:val="none" w:sz="0" w:space="0" w:color="auto"/>
          </w:divBdr>
          <w:divsChild>
            <w:div w:id="1702241294">
              <w:marLeft w:val="0"/>
              <w:marRight w:val="0"/>
              <w:marTop w:val="0"/>
              <w:marBottom w:val="0"/>
              <w:divBdr>
                <w:top w:val="none" w:sz="0" w:space="0" w:color="auto"/>
                <w:left w:val="none" w:sz="0" w:space="0" w:color="auto"/>
                <w:bottom w:val="none" w:sz="0" w:space="0" w:color="auto"/>
                <w:right w:val="none" w:sz="0" w:space="0" w:color="auto"/>
              </w:divBdr>
            </w:div>
          </w:divsChild>
        </w:div>
        <w:div w:id="1386754637">
          <w:marLeft w:val="0"/>
          <w:marRight w:val="0"/>
          <w:marTop w:val="0"/>
          <w:marBottom w:val="0"/>
          <w:divBdr>
            <w:top w:val="none" w:sz="0" w:space="0" w:color="auto"/>
            <w:left w:val="none" w:sz="0" w:space="0" w:color="auto"/>
            <w:bottom w:val="none" w:sz="0" w:space="0" w:color="auto"/>
            <w:right w:val="none" w:sz="0" w:space="0" w:color="auto"/>
          </w:divBdr>
          <w:divsChild>
            <w:div w:id="1771317176">
              <w:marLeft w:val="0"/>
              <w:marRight w:val="0"/>
              <w:marTop w:val="0"/>
              <w:marBottom w:val="0"/>
              <w:divBdr>
                <w:top w:val="none" w:sz="0" w:space="0" w:color="auto"/>
                <w:left w:val="none" w:sz="0" w:space="0" w:color="auto"/>
                <w:bottom w:val="none" w:sz="0" w:space="0" w:color="auto"/>
                <w:right w:val="none" w:sz="0" w:space="0" w:color="auto"/>
              </w:divBdr>
            </w:div>
          </w:divsChild>
        </w:div>
        <w:div w:id="1410034708">
          <w:marLeft w:val="0"/>
          <w:marRight w:val="0"/>
          <w:marTop w:val="0"/>
          <w:marBottom w:val="0"/>
          <w:divBdr>
            <w:top w:val="none" w:sz="0" w:space="0" w:color="auto"/>
            <w:left w:val="none" w:sz="0" w:space="0" w:color="auto"/>
            <w:bottom w:val="none" w:sz="0" w:space="0" w:color="auto"/>
            <w:right w:val="none" w:sz="0" w:space="0" w:color="auto"/>
          </w:divBdr>
          <w:divsChild>
            <w:div w:id="1341615330">
              <w:marLeft w:val="0"/>
              <w:marRight w:val="0"/>
              <w:marTop w:val="0"/>
              <w:marBottom w:val="0"/>
              <w:divBdr>
                <w:top w:val="none" w:sz="0" w:space="0" w:color="auto"/>
                <w:left w:val="none" w:sz="0" w:space="0" w:color="auto"/>
                <w:bottom w:val="none" w:sz="0" w:space="0" w:color="auto"/>
                <w:right w:val="none" w:sz="0" w:space="0" w:color="auto"/>
              </w:divBdr>
            </w:div>
          </w:divsChild>
        </w:div>
        <w:div w:id="1413963277">
          <w:marLeft w:val="0"/>
          <w:marRight w:val="0"/>
          <w:marTop w:val="0"/>
          <w:marBottom w:val="0"/>
          <w:divBdr>
            <w:top w:val="none" w:sz="0" w:space="0" w:color="auto"/>
            <w:left w:val="none" w:sz="0" w:space="0" w:color="auto"/>
            <w:bottom w:val="none" w:sz="0" w:space="0" w:color="auto"/>
            <w:right w:val="none" w:sz="0" w:space="0" w:color="auto"/>
          </w:divBdr>
          <w:divsChild>
            <w:div w:id="1604680097">
              <w:marLeft w:val="0"/>
              <w:marRight w:val="0"/>
              <w:marTop w:val="0"/>
              <w:marBottom w:val="0"/>
              <w:divBdr>
                <w:top w:val="none" w:sz="0" w:space="0" w:color="auto"/>
                <w:left w:val="none" w:sz="0" w:space="0" w:color="auto"/>
                <w:bottom w:val="none" w:sz="0" w:space="0" w:color="auto"/>
                <w:right w:val="none" w:sz="0" w:space="0" w:color="auto"/>
              </w:divBdr>
            </w:div>
          </w:divsChild>
        </w:div>
        <w:div w:id="1414861725">
          <w:marLeft w:val="0"/>
          <w:marRight w:val="0"/>
          <w:marTop w:val="0"/>
          <w:marBottom w:val="0"/>
          <w:divBdr>
            <w:top w:val="none" w:sz="0" w:space="0" w:color="auto"/>
            <w:left w:val="none" w:sz="0" w:space="0" w:color="auto"/>
            <w:bottom w:val="none" w:sz="0" w:space="0" w:color="auto"/>
            <w:right w:val="none" w:sz="0" w:space="0" w:color="auto"/>
          </w:divBdr>
          <w:divsChild>
            <w:div w:id="104620728">
              <w:marLeft w:val="0"/>
              <w:marRight w:val="0"/>
              <w:marTop w:val="0"/>
              <w:marBottom w:val="0"/>
              <w:divBdr>
                <w:top w:val="none" w:sz="0" w:space="0" w:color="auto"/>
                <w:left w:val="none" w:sz="0" w:space="0" w:color="auto"/>
                <w:bottom w:val="none" w:sz="0" w:space="0" w:color="auto"/>
                <w:right w:val="none" w:sz="0" w:space="0" w:color="auto"/>
              </w:divBdr>
            </w:div>
          </w:divsChild>
        </w:div>
        <w:div w:id="1416784349">
          <w:marLeft w:val="0"/>
          <w:marRight w:val="0"/>
          <w:marTop w:val="0"/>
          <w:marBottom w:val="0"/>
          <w:divBdr>
            <w:top w:val="none" w:sz="0" w:space="0" w:color="auto"/>
            <w:left w:val="none" w:sz="0" w:space="0" w:color="auto"/>
            <w:bottom w:val="none" w:sz="0" w:space="0" w:color="auto"/>
            <w:right w:val="none" w:sz="0" w:space="0" w:color="auto"/>
          </w:divBdr>
          <w:divsChild>
            <w:div w:id="471793759">
              <w:marLeft w:val="0"/>
              <w:marRight w:val="0"/>
              <w:marTop w:val="0"/>
              <w:marBottom w:val="0"/>
              <w:divBdr>
                <w:top w:val="none" w:sz="0" w:space="0" w:color="auto"/>
                <w:left w:val="none" w:sz="0" w:space="0" w:color="auto"/>
                <w:bottom w:val="none" w:sz="0" w:space="0" w:color="auto"/>
                <w:right w:val="none" w:sz="0" w:space="0" w:color="auto"/>
              </w:divBdr>
            </w:div>
          </w:divsChild>
        </w:div>
        <w:div w:id="1419135651">
          <w:marLeft w:val="0"/>
          <w:marRight w:val="0"/>
          <w:marTop w:val="0"/>
          <w:marBottom w:val="0"/>
          <w:divBdr>
            <w:top w:val="none" w:sz="0" w:space="0" w:color="auto"/>
            <w:left w:val="none" w:sz="0" w:space="0" w:color="auto"/>
            <w:bottom w:val="none" w:sz="0" w:space="0" w:color="auto"/>
            <w:right w:val="none" w:sz="0" w:space="0" w:color="auto"/>
          </w:divBdr>
          <w:divsChild>
            <w:div w:id="267352952">
              <w:marLeft w:val="0"/>
              <w:marRight w:val="0"/>
              <w:marTop w:val="0"/>
              <w:marBottom w:val="0"/>
              <w:divBdr>
                <w:top w:val="none" w:sz="0" w:space="0" w:color="auto"/>
                <w:left w:val="none" w:sz="0" w:space="0" w:color="auto"/>
                <w:bottom w:val="none" w:sz="0" w:space="0" w:color="auto"/>
                <w:right w:val="none" w:sz="0" w:space="0" w:color="auto"/>
              </w:divBdr>
            </w:div>
          </w:divsChild>
        </w:div>
        <w:div w:id="1447502579">
          <w:marLeft w:val="0"/>
          <w:marRight w:val="0"/>
          <w:marTop w:val="0"/>
          <w:marBottom w:val="0"/>
          <w:divBdr>
            <w:top w:val="none" w:sz="0" w:space="0" w:color="auto"/>
            <w:left w:val="none" w:sz="0" w:space="0" w:color="auto"/>
            <w:bottom w:val="none" w:sz="0" w:space="0" w:color="auto"/>
            <w:right w:val="none" w:sz="0" w:space="0" w:color="auto"/>
          </w:divBdr>
          <w:divsChild>
            <w:div w:id="421462265">
              <w:marLeft w:val="0"/>
              <w:marRight w:val="0"/>
              <w:marTop w:val="0"/>
              <w:marBottom w:val="0"/>
              <w:divBdr>
                <w:top w:val="none" w:sz="0" w:space="0" w:color="auto"/>
                <w:left w:val="none" w:sz="0" w:space="0" w:color="auto"/>
                <w:bottom w:val="none" w:sz="0" w:space="0" w:color="auto"/>
                <w:right w:val="none" w:sz="0" w:space="0" w:color="auto"/>
              </w:divBdr>
            </w:div>
          </w:divsChild>
        </w:div>
        <w:div w:id="1463617332">
          <w:marLeft w:val="0"/>
          <w:marRight w:val="0"/>
          <w:marTop w:val="0"/>
          <w:marBottom w:val="0"/>
          <w:divBdr>
            <w:top w:val="none" w:sz="0" w:space="0" w:color="auto"/>
            <w:left w:val="none" w:sz="0" w:space="0" w:color="auto"/>
            <w:bottom w:val="none" w:sz="0" w:space="0" w:color="auto"/>
            <w:right w:val="none" w:sz="0" w:space="0" w:color="auto"/>
          </w:divBdr>
          <w:divsChild>
            <w:div w:id="955479931">
              <w:marLeft w:val="0"/>
              <w:marRight w:val="0"/>
              <w:marTop w:val="0"/>
              <w:marBottom w:val="0"/>
              <w:divBdr>
                <w:top w:val="none" w:sz="0" w:space="0" w:color="auto"/>
                <w:left w:val="none" w:sz="0" w:space="0" w:color="auto"/>
                <w:bottom w:val="none" w:sz="0" w:space="0" w:color="auto"/>
                <w:right w:val="none" w:sz="0" w:space="0" w:color="auto"/>
              </w:divBdr>
            </w:div>
          </w:divsChild>
        </w:div>
        <w:div w:id="1496264337">
          <w:marLeft w:val="0"/>
          <w:marRight w:val="0"/>
          <w:marTop w:val="0"/>
          <w:marBottom w:val="0"/>
          <w:divBdr>
            <w:top w:val="none" w:sz="0" w:space="0" w:color="auto"/>
            <w:left w:val="none" w:sz="0" w:space="0" w:color="auto"/>
            <w:bottom w:val="none" w:sz="0" w:space="0" w:color="auto"/>
            <w:right w:val="none" w:sz="0" w:space="0" w:color="auto"/>
          </w:divBdr>
          <w:divsChild>
            <w:div w:id="238709196">
              <w:marLeft w:val="0"/>
              <w:marRight w:val="0"/>
              <w:marTop w:val="0"/>
              <w:marBottom w:val="0"/>
              <w:divBdr>
                <w:top w:val="none" w:sz="0" w:space="0" w:color="auto"/>
                <w:left w:val="none" w:sz="0" w:space="0" w:color="auto"/>
                <w:bottom w:val="none" w:sz="0" w:space="0" w:color="auto"/>
                <w:right w:val="none" w:sz="0" w:space="0" w:color="auto"/>
              </w:divBdr>
            </w:div>
          </w:divsChild>
        </w:div>
        <w:div w:id="1514539895">
          <w:marLeft w:val="0"/>
          <w:marRight w:val="0"/>
          <w:marTop w:val="0"/>
          <w:marBottom w:val="0"/>
          <w:divBdr>
            <w:top w:val="none" w:sz="0" w:space="0" w:color="auto"/>
            <w:left w:val="none" w:sz="0" w:space="0" w:color="auto"/>
            <w:bottom w:val="none" w:sz="0" w:space="0" w:color="auto"/>
            <w:right w:val="none" w:sz="0" w:space="0" w:color="auto"/>
          </w:divBdr>
          <w:divsChild>
            <w:div w:id="1460563754">
              <w:marLeft w:val="0"/>
              <w:marRight w:val="0"/>
              <w:marTop w:val="0"/>
              <w:marBottom w:val="0"/>
              <w:divBdr>
                <w:top w:val="none" w:sz="0" w:space="0" w:color="auto"/>
                <w:left w:val="none" w:sz="0" w:space="0" w:color="auto"/>
                <w:bottom w:val="none" w:sz="0" w:space="0" w:color="auto"/>
                <w:right w:val="none" w:sz="0" w:space="0" w:color="auto"/>
              </w:divBdr>
            </w:div>
          </w:divsChild>
        </w:div>
        <w:div w:id="1514803664">
          <w:marLeft w:val="0"/>
          <w:marRight w:val="0"/>
          <w:marTop w:val="0"/>
          <w:marBottom w:val="0"/>
          <w:divBdr>
            <w:top w:val="none" w:sz="0" w:space="0" w:color="auto"/>
            <w:left w:val="none" w:sz="0" w:space="0" w:color="auto"/>
            <w:bottom w:val="none" w:sz="0" w:space="0" w:color="auto"/>
            <w:right w:val="none" w:sz="0" w:space="0" w:color="auto"/>
          </w:divBdr>
          <w:divsChild>
            <w:div w:id="1264846444">
              <w:marLeft w:val="0"/>
              <w:marRight w:val="0"/>
              <w:marTop w:val="0"/>
              <w:marBottom w:val="0"/>
              <w:divBdr>
                <w:top w:val="none" w:sz="0" w:space="0" w:color="auto"/>
                <w:left w:val="none" w:sz="0" w:space="0" w:color="auto"/>
                <w:bottom w:val="none" w:sz="0" w:space="0" w:color="auto"/>
                <w:right w:val="none" w:sz="0" w:space="0" w:color="auto"/>
              </w:divBdr>
            </w:div>
          </w:divsChild>
        </w:div>
        <w:div w:id="1523128079">
          <w:marLeft w:val="0"/>
          <w:marRight w:val="0"/>
          <w:marTop w:val="0"/>
          <w:marBottom w:val="0"/>
          <w:divBdr>
            <w:top w:val="none" w:sz="0" w:space="0" w:color="auto"/>
            <w:left w:val="none" w:sz="0" w:space="0" w:color="auto"/>
            <w:bottom w:val="none" w:sz="0" w:space="0" w:color="auto"/>
            <w:right w:val="none" w:sz="0" w:space="0" w:color="auto"/>
          </w:divBdr>
          <w:divsChild>
            <w:div w:id="1395347524">
              <w:marLeft w:val="0"/>
              <w:marRight w:val="0"/>
              <w:marTop w:val="0"/>
              <w:marBottom w:val="0"/>
              <w:divBdr>
                <w:top w:val="none" w:sz="0" w:space="0" w:color="auto"/>
                <w:left w:val="none" w:sz="0" w:space="0" w:color="auto"/>
                <w:bottom w:val="none" w:sz="0" w:space="0" w:color="auto"/>
                <w:right w:val="none" w:sz="0" w:space="0" w:color="auto"/>
              </w:divBdr>
            </w:div>
          </w:divsChild>
        </w:div>
        <w:div w:id="1525169034">
          <w:marLeft w:val="0"/>
          <w:marRight w:val="0"/>
          <w:marTop w:val="0"/>
          <w:marBottom w:val="0"/>
          <w:divBdr>
            <w:top w:val="none" w:sz="0" w:space="0" w:color="auto"/>
            <w:left w:val="none" w:sz="0" w:space="0" w:color="auto"/>
            <w:bottom w:val="none" w:sz="0" w:space="0" w:color="auto"/>
            <w:right w:val="none" w:sz="0" w:space="0" w:color="auto"/>
          </w:divBdr>
          <w:divsChild>
            <w:div w:id="567038527">
              <w:marLeft w:val="0"/>
              <w:marRight w:val="0"/>
              <w:marTop w:val="0"/>
              <w:marBottom w:val="0"/>
              <w:divBdr>
                <w:top w:val="none" w:sz="0" w:space="0" w:color="auto"/>
                <w:left w:val="none" w:sz="0" w:space="0" w:color="auto"/>
                <w:bottom w:val="none" w:sz="0" w:space="0" w:color="auto"/>
                <w:right w:val="none" w:sz="0" w:space="0" w:color="auto"/>
              </w:divBdr>
            </w:div>
          </w:divsChild>
        </w:div>
        <w:div w:id="1528105504">
          <w:marLeft w:val="0"/>
          <w:marRight w:val="0"/>
          <w:marTop w:val="0"/>
          <w:marBottom w:val="0"/>
          <w:divBdr>
            <w:top w:val="none" w:sz="0" w:space="0" w:color="auto"/>
            <w:left w:val="none" w:sz="0" w:space="0" w:color="auto"/>
            <w:bottom w:val="none" w:sz="0" w:space="0" w:color="auto"/>
            <w:right w:val="none" w:sz="0" w:space="0" w:color="auto"/>
          </w:divBdr>
          <w:divsChild>
            <w:div w:id="207912954">
              <w:marLeft w:val="0"/>
              <w:marRight w:val="0"/>
              <w:marTop w:val="0"/>
              <w:marBottom w:val="0"/>
              <w:divBdr>
                <w:top w:val="none" w:sz="0" w:space="0" w:color="auto"/>
                <w:left w:val="none" w:sz="0" w:space="0" w:color="auto"/>
                <w:bottom w:val="none" w:sz="0" w:space="0" w:color="auto"/>
                <w:right w:val="none" w:sz="0" w:space="0" w:color="auto"/>
              </w:divBdr>
            </w:div>
          </w:divsChild>
        </w:div>
        <w:div w:id="1531914967">
          <w:marLeft w:val="0"/>
          <w:marRight w:val="0"/>
          <w:marTop w:val="0"/>
          <w:marBottom w:val="0"/>
          <w:divBdr>
            <w:top w:val="none" w:sz="0" w:space="0" w:color="auto"/>
            <w:left w:val="none" w:sz="0" w:space="0" w:color="auto"/>
            <w:bottom w:val="none" w:sz="0" w:space="0" w:color="auto"/>
            <w:right w:val="none" w:sz="0" w:space="0" w:color="auto"/>
          </w:divBdr>
          <w:divsChild>
            <w:div w:id="1778714997">
              <w:marLeft w:val="0"/>
              <w:marRight w:val="0"/>
              <w:marTop w:val="0"/>
              <w:marBottom w:val="0"/>
              <w:divBdr>
                <w:top w:val="none" w:sz="0" w:space="0" w:color="auto"/>
                <w:left w:val="none" w:sz="0" w:space="0" w:color="auto"/>
                <w:bottom w:val="none" w:sz="0" w:space="0" w:color="auto"/>
                <w:right w:val="none" w:sz="0" w:space="0" w:color="auto"/>
              </w:divBdr>
            </w:div>
          </w:divsChild>
        </w:div>
        <w:div w:id="1534539718">
          <w:marLeft w:val="0"/>
          <w:marRight w:val="0"/>
          <w:marTop w:val="0"/>
          <w:marBottom w:val="0"/>
          <w:divBdr>
            <w:top w:val="none" w:sz="0" w:space="0" w:color="auto"/>
            <w:left w:val="none" w:sz="0" w:space="0" w:color="auto"/>
            <w:bottom w:val="none" w:sz="0" w:space="0" w:color="auto"/>
            <w:right w:val="none" w:sz="0" w:space="0" w:color="auto"/>
          </w:divBdr>
          <w:divsChild>
            <w:div w:id="1441142704">
              <w:marLeft w:val="0"/>
              <w:marRight w:val="0"/>
              <w:marTop w:val="0"/>
              <w:marBottom w:val="0"/>
              <w:divBdr>
                <w:top w:val="none" w:sz="0" w:space="0" w:color="auto"/>
                <w:left w:val="none" w:sz="0" w:space="0" w:color="auto"/>
                <w:bottom w:val="none" w:sz="0" w:space="0" w:color="auto"/>
                <w:right w:val="none" w:sz="0" w:space="0" w:color="auto"/>
              </w:divBdr>
            </w:div>
          </w:divsChild>
        </w:div>
        <w:div w:id="1541287353">
          <w:marLeft w:val="0"/>
          <w:marRight w:val="0"/>
          <w:marTop w:val="0"/>
          <w:marBottom w:val="0"/>
          <w:divBdr>
            <w:top w:val="none" w:sz="0" w:space="0" w:color="auto"/>
            <w:left w:val="none" w:sz="0" w:space="0" w:color="auto"/>
            <w:bottom w:val="none" w:sz="0" w:space="0" w:color="auto"/>
            <w:right w:val="none" w:sz="0" w:space="0" w:color="auto"/>
          </w:divBdr>
          <w:divsChild>
            <w:div w:id="2116095062">
              <w:marLeft w:val="0"/>
              <w:marRight w:val="0"/>
              <w:marTop w:val="0"/>
              <w:marBottom w:val="0"/>
              <w:divBdr>
                <w:top w:val="none" w:sz="0" w:space="0" w:color="auto"/>
                <w:left w:val="none" w:sz="0" w:space="0" w:color="auto"/>
                <w:bottom w:val="none" w:sz="0" w:space="0" w:color="auto"/>
                <w:right w:val="none" w:sz="0" w:space="0" w:color="auto"/>
              </w:divBdr>
            </w:div>
          </w:divsChild>
        </w:div>
        <w:div w:id="1557548985">
          <w:marLeft w:val="0"/>
          <w:marRight w:val="0"/>
          <w:marTop w:val="0"/>
          <w:marBottom w:val="0"/>
          <w:divBdr>
            <w:top w:val="none" w:sz="0" w:space="0" w:color="auto"/>
            <w:left w:val="none" w:sz="0" w:space="0" w:color="auto"/>
            <w:bottom w:val="none" w:sz="0" w:space="0" w:color="auto"/>
            <w:right w:val="none" w:sz="0" w:space="0" w:color="auto"/>
          </w:divBdr>
          <w:divsChild>
            <w:div w:id="783425197">
              <w:marLeft w:val="0"/>
              <w:marRight w:val="0"/>
              <w:marTop w:val="0"/>
              <w:marBottom w:val="0"/>
              <w:divBdr>
                <w:top w:val="none" w:sz="0" w:space="0" w:color="auto"/>
                <w:left w:val="none" w:sz="0" w:space="0" w:color="auto"/>
                <w:bottom w:val="none" w:sz="0" w:space="0" w:color="auto"/>
                <w:right w:val="none" w:sz="0" w:space="0" w:color="auto"/>
              </w:divBdr>
            </w:div>
          </w:divsChild>
        </w:div>
        <w:div w:id="1567106672">
          <w:marLeft w:val="0"/>
          <w:marRight w:val="0"/>
          <w:marTop w:val="0"/>
          <w:marBottom w:val="0"/>
          <w:divBdr>
            <w:top w:val="none" w:sz="0" w:space="0" w:color="auto"/>
            <w:left w:val="none" w:sz="0" w:space="0" w:color="auto"/>
            <w:bottom w:val="none" w:sz="0" w:space="0" w:color="auto"/>
            <w:right w:val="none" w:sz="0" w:space="0" w:color="auto"/>
          </w:divBdr>
          <w:divsChild>
            <w:div w:id="227889016">
              <w:marLeft w:val="0"/>
              <w:marRight w:val="0"/>
              <w:marTop w:val="0"/>
              <w:marBottom w:val="0"/>
              <w:divBdr>
                <w:top w:val="none" w:sz="0" w:space="0" w:color="auto"/>
                <w:left w:val="none" w:sz="0" w:space="0" w:color="auto"/>
                <w:bottom w:val="none" w:sz="0" w:space="0" w:color="auto"/>
                <w:right w:val="none" w:sz="0" w:space="0" w:color="auto"/>
              </w:divBdr>
            </w:div>
          </w:divsChild>
        </w:div>
        <w:div w:id="1587886911">
          <w:marLeft w:val="0"/>
          <w:marRight w:val="0"/>
          <w:marTop w:val="0"/>
          <w:marBottom w:val="0"/>
          <w:divBdr>
            <w:top w:val="none" w:sz="0" w:space="0" w:color="auto"/>
            <w:left w:val="none" w:sz="0" w:space="0" w:color="auto"/>
            <w:bottom w:val="none" w:sz="0" w:space="0" w:color="auto"/>
            <w:right w:val="none" w:sz="0" w:space="0" w:color="auto"/>
          </w:divBdr>
          <w:divsChild>
            <w:div w:id="1654481889">
              <w:marLeft w:val="0"/>
              <w:marRight w:val="0"/>
              <w:marTop w:val="0"/>
              <w:marBottom w:val="0"/>
              <w:divBdr>
                <w:top w:val="none" w:sz="0" w:space="0" w:color="auto"/>
                <w:left w:val="none" w:sz="0" w:space="0" w:color="auto"/>
                <w:bottom w:val="none" w:sz="0" w:space="0" w:color="auto"/>
                <w:right w:val="none" w:sz="0" w:space="0" w:color="auto"/>
              </w:divBdr>
            </w:div>
          </w:divsChild>
        </w:div>
        <w:div w:id="1610622418">
          <w:marLeft w:val="0"/>
          <w:marRight w:val="0"/>
          <w:marTop w:val="0"/>
          <w:marBottom w:val="0"/>
          <w:divBdr>
            <w:top w:val="none" w:sz="0" w:space="0" w:color="auto"/>
            <w:left w:val="none" w:sz="0" w:space="0" w:color="auto"/>
            <w:bottom w:val="none" w:sz="0" w:space="0" w:color="auto"/>
            <w:right w:val="none" w:sz="0" w:space="0" w:color="auto"/>
          </w:divBdr>
          <w:divsChild>
            <w:div w:id="1693409139">
              <w:marLeft w:val="0"/>
              <w:marRight w:val="0"/>
              <w:marTop w:val="0"/>
              <w:marBottom w:val="0"/>
              <w:divBdr>
                <w:top w:val="none" w:sz="0" w:space="0" w:color="auto"/>
                <w:left w:val="none" w:sz="0" w:space="0" w:color="auto"/>
                <w:bottom w:val="none" w:sz="0" w:space="0" w:color="auto"/>
                <w:right w:val="none" w:sz="0" w:space="0" w:color="auto"/>
              </w:divBdr>
            </w:div>
          </w:divsChild>
        </w:div>
        <w:div w:id="1614894817">
          <w:marLeft w:val="0"/>
          <w:marRight w:val="0"/>
          <w:marTop w:val="0"/>
          <w:marBottom w:val="0"/>
          <w:divBdr>
            <w:top w:val="none" w:sz="0" w:space="0" w:color="auto"/>
            <w:left w:val="none" w:sz="0" w:space="0" w:color="auto"/>
            <w:bottom w:val="none" w:sz="0" w:space="0" w:color="auto"/>
            <w:right w:val="none" w:sz="0" w:space="0" w:color="auto"/>
          </w:divBdr>
          <w:divsChild>
            <w:div w:id="689256071">
              <w:marLeft w:val="0"/>
              <w:marRight w:val="0"/>
              <w:marTop w:val="0"/>
              <w:marBottom w:val="0"/>
              <w:divBdr>
                <w:top w:val="none" w:sz="0" w:space="0" w:color="auto"/>
                <w:left w:val="none" w:sz="0" w:space="0" w:color="auto"/>
                <w:bottom w:val="none" w:sz="0" w:space="0" w:color="auto"/>
                <w:right w:val="none" w:sz="0" w:space="0" w:color="auto"/>
              </w:divBdr>
            </w:div>
          </w:divsChild>
        </w:div>
        <w:div w:id="1616987833">
          <w:marLeft w:val="0"/>
          <w:marRight w:val="0"/>
          <w:marTop w:val="0"/>
          <w:marBottom w:val="0"/>
          <w:divBdr>
            <w:top w:val="none" w:sz="0" w:space="0" w:color="auto"/>
            <w:left w:val="none" w:sz="0" w:space="0" w:color="auto"/>
            <w:bottom w:val="none" w:sz="0" w:space="0" w:color="auto"/>
            <w:right w:val="none" w:sz="0" w:space="0" w:color="auto"/>
          </w:divBdr>
          <w:divsChild>
            <w:div w:id="463624067">
              <w:marLeft w:val="0"/>
              <w:marRight w:val="0"/>
              <w:marTop w:val="0"/>
              <w:marBottom w:val="0"/>
              <w:divBdr>
                <w:top w:val="none" w:sz="0" w:space="0" w:color="auto"/>
                <w:left w:val="none" w:sz="0" w:space="0" w:color="auto"/>
                <w:bottom w:val="none" w:sz="0" w:space="0" w:color="auto"/>
                <w:right w:val="none" w:sz="0" w:space="0" w:color="auto"/>
              </w:divBdr>
            </w:div>
          </w:divsChild>
        </w:div>
        <w:div w:id="1632785005">
          <w:marLeft w:val="0"/>
          <w:marRight w:val="0"/>
          <w:marTop w:val="0"/>
          <w:marBottom w:val="0"/>
          <w:divBdr>
            <w:top w:val="none" w:sz="0" w:space="0" w:color="auto"/>
            <w:left w:val="none" w:sz="0" w:space="0" w:color="auto"/>
            <w:bottom w:val="none" w:sz="0" w:space="0" w:color="auto"/>
            <w:right w:val="none" w:sz="0" w:space="0" w:color="auto"/>
          </w:divBdr>
          <w:divsChild>
            <w:div w:id="1165172761">
              <w:marLeft w:val="0"/>
              <w:marRight w:val="0"/>
              <w:marTop w:val="0"/>
              <w:marBottom w:val="0"/>
              <w:divBdr>
                <w:top w:val="none" w:sz="0" w:space="0" w:color="auto"/>
                <w:left w:val="none" w:sz="0" w:space="0" w:color="auto"/>
                <w:bottom w:val="none" w:sz="0" w:space="0" w:color="auto"/>
                <w:right w:val="none" w:sz="0" w:space="0" w:color="auto"/>
              </w:divBdr>
            </w:div>
          </w:divsChild>
        </w:div>
        <w:div w:id="1633288293">
          <w:marLeft w:val="0"/>
          <w:marRight w:val="0"/>
          <w:marTop w:val="0"/>
          <w:marBottom w:val="0"/>
          <w:divBdr>
            <w:top w:val="none" w:sz="0" w:space="0" w:color="auto"/>
            <w:left w:val="none" w:sz="0" w:space="0" w:color="auto"/>
            <w:bottom w:val="none" w:sz="0" w:space="0" w:color="auto"/>
            <w:right w:val="none" w:sz="0" w:space="0" w:color="auto"/>
          </w:divBdr>
          <w:divsChild>
            <w:div w:id="1858805414">
              <w:marLeft w:val="0"/>
              <w:marRight w:val="0"/>
              <w:marTop w:val="0"/>
              <w:marBottom w:val="0"/>
              <w:divBdr>
                <w:top w:val="none" w:sz="0" w:space="0" w:color="auto"/>
                <w:left w:val="none" w:sz="0" w:space="0" w:color="auto"/>
                <w:bottom w:val="none" w:sz="0" w:space="0" w:color="auto"/>
                <w:right w:val="none" w:sz="0" w:space="0" w:color="auto"/>
              </w:divBdr>
            </w:div>
          </w:divsChild>
        </w:div>
        <w:div w:id="1659074914">
          <w:marLeft w:val="0"/>
          <w:marRight w:val="0"/>
          <w:marTop w:val="0"/>
          <w:marBottom w:val="0"/>
          <w:divBdr>
            <w:top w:val="none" w:sz="0" w:space="0" w:color="auto"/>
            <w:left w:val="none" w:sz="0" w:space="0" w:color="auto"/>
            <w:bottom w:val="none" w:sz="0" w:space="0" w:color="auto"/>
            <w:right w:val="none" w:sz="0" w:space="0" w:color="auto"/>
          </w:divBdr>
          <w:divsChild>
            <w:div w:id="779186827">
              <w:marLeft w:val="0"/>
              <w:marRight w:val="0"/>
              <w:marTop w:val="0"/>
              <w:marBottom w:val="0"/>
              <w:divBdr>
                <w:top w:val="none" w:sz="0" w:space="0" w:color="auto"/>
                <w:left w:val="none" w:sz="0" w:space="0" w:color="auto"/>
                <w:bottom w:val="none" w:sz="0" w:space="0" w:color="auto"/>
                <w:right w:val="none" w:sz="0" w:space="0" w:color="auto"/>
              </w:divBdr>
            </w:div>
          </w:divsChild>
        </w:div>
        <w:div w:id="1670670328">
          <w:marLeft w:val="0"/>
          <w:marRight w:val="0"/>
          <w:marTop w:val="0"/>
          <w:marBottom w:val="0"/>
          <w:divBdr>
            <w:top w:val="none" w:sz="0" w:space="0" w:color="auto"/>
            <w:left w:val="none" w:sz="0" w:space="0" w:color="auto"/>
            <w:bottom w:val="none" w:sz="0" w:space="0" w:color="auto"/>
            <w:right w:val="none" w:sz="0" w:space="0" w:color="auto"/>
          </w:divBdr>
          <w:divsChild>
            <w:div w:id="1016232901">
              <w:marLeft w:val="0"/>
              <w:marRight w:val="0"/>
              <w:marTop w:val="0"/>
              <w:marBottom w:val="0"/>
              <w:divBdr>
                <w:top w:val="none" w:sz="0" w:space="0" w:color="auto"/>
                <w:left w:val="none" w:sz="0" w:space="0" w:color="auto"/>
                <w:bottom w:val="none" w:sz="0" w:space="0" w:color="auto"/>
                <w:right w:val="none" w:sz="0" w:space="0" w:color="auto"/>
              </w:divBdr>
            </w:div>
          </w:divsChild>
        </w:div>
        <w:div w:id="1671330948">
          <w:marLeft w:val="0"/>
          <w:marRight w:val="0"/>
          <w:marTop w:val="0"/>
          <w:marBottom w:val="0"/>
          <w:divBdr>
            <w:top w:val="none" w:sz="0" w:space="0" w:color="auto"/>
            <w:left w:val="none" w:sz="0" w:space="0" w:color="auto"/>
            <w:bottom w:val="none" w:sz="0" w:space="0" w:color="auto"/>
            <w:right w:val="none" w:sz="0" w:space="0" w:color="auto"/>
          </w:divBdr>
          <w:divsChild>
            <w:div w:id="158935452">
              <w:marLeft w:val="0"/>
              <w:marRight w:val="0"/>
              <w:marTop w:val="0"/>
              <w:marBottom w:val="0"/>
              <w:divBdr>
                <w:top w:val="none" w:sz="0" w:space="0" w:color="auto"/>
                <w:left w:val="none" w:sz="0" w:space="0" w:color="auto"/>
                <w:bottom w:val="none" w:sz="0" w:space="0" w:color="auto"/>
                <w:right w:val="none" w:sz="0" w:space="0" w:color="auto"/>
              </w:divBdr>
            </w:div>
          </w:divsChild>
        </w:div>
        <w:div w:id="1676423385">
          <w:marLeft w:val="0"/>
          <w:marRight w:val="0"/>
          <w:marTop w:val="0"/>
          <w:marBottom w:val="0"/>
          <w:divBdr>
            <w:top w:val="none" w:sz="0" w:space="0" w:color="auto"/>
            <w:left w:val="none" w:sz="0" w:space="0" w:color="auto"/>
            <w:bottom w:val="none" w:sz="0" w:space="0" w:color="auto"/>
            <w:right w:val="none" w:sz="0" w:space="0" w:color="auto"/>
          </w:divBdr>
          <w:divsChild>
            <w:div w:id="2067989286">
              <w:marLeft w:val="0"/>
              <w:marRight w:val="0"/>
              <w:marTop w:val="0"/>
              <w:marBottom w:val="0"/>
              <w:divBdr>
                <w:top w:val="none" w:sz="0" w:space="0" w:color="auto"/>
                <w:left w:val="none" w:sz="0" w:space="0" w:color="auto"/>
                <w:bottom w:val="none" w:sz="0" w:space="0" w:color="auto"/>
                <w:right w:val="none" w:sz="0" w:space="0" w:color="auto"/>
              </w:divBdr>
            </w:div>
          </w:divsChild>
        </w:div>
        <w:div w:id="1678651803">
          <w:marLeft w:val="0"/>
          <w:marRight w:val="0"/>
          <w:marTop w:val="0"/>
          <w:marBottom w:val="0"/>
          <w:divBdr>
            <w:top w:val="none" w:sz="0" w:space="0" w:color="auto"/>
            <w:left w:val="none" w:sz="0" w:space="0" w:color="auto"/>
            <w:bottom w:val="none" w:sz="0" w:space="0" w:color="auto"/>
            <w:right w:val="none" w:sz="0" w:space="0" w:color="auto"/>
          </w:divBdr>
          <w:divsChild>
            <w:div w:id="2121992405">
              <w:marLeft w:val="0"/>
              <w:marRight w:val="0"/>
              <w:marTop w:val="0"/>
              <w:marBottom w:val="0"/>
              <w:divBdr>
                <w:top w:val="none" w:sz="0" w:space="0" w:color="auto"/>
                <w:left w:val="none" w:sz="0" w:space="0" w:color="auto"/>
                <w:bottom w:val="none" w:sz="0" w:space="0" w:color="auto"/>
                <w:right w:val="none" w:sz="0" w:space="0" w:color="auto"/>
              </w:divBdr>
            </w:div>
          </w:divsChild>
        </w:div>
        <w:div w:id="1707288064">
          <w:marLeft w:val="0"/>
          <w:marRight w:val="0"/>
          <w:marTop w:val="0"/>
          <w:marBottom w:val="0"/>
          <w:divBdr>
            <w:top w:val="none" w:sz="0" w:space="0" w:color="auto"/>
            <w:left w:val="none" w:sz="0" w:space="0" w:color="auto"/>
            <w:bottom w:val="none" w:sz="0" w:space="0" w:color="auto"/>
            <w:right w:val="none" w:sz="0" w:space="0" w:color="auto"/>
          </w:divBdr>
          <w:divsChild>
            <w:div w:id="860322337">
              <w:marLeft w:val="0"/>
              <w:marRight w:val="0"/>
              <w:marTop w:val="0"/>
              <w:marBottom w:val="0"/>
              <w:divBdr>
                <w:top w:val="none" w:sz="0" w:space="0" w:color="auto"/>
                <w:left w:val="none" w:sz="0" w:space="0" w:color="auto"/>
                <w:bottom w:val="none" w:sz="0" w:space="0" w:color="auto"/>
                <w:right w:val="none" w:sz="0" w:space="0" w:color="auto"/>
              </w:divBdr>
            </w:div>
          </w:divsChild>
        </w:div>
        <w:div w:id="1710377180">
          <w:marLeft w:val="0"/>
          <w:marRight w:val="0"/>
          <w:marTop w:val="0"/>
          <w:marBottom w:val="0"/>
          <w:divBdr>
            <w:top w:val="none" w:sz="0" w:space="0" w:color="auto"/>
            <w:left w:val="none" w:sz="0" w:space="0" w:color="auto"/>
            <w:bottom w:val="none" w:sz="0" w:space="0" w:color="auto"/>
            <w:right w:val="none" w:sz="0" w:space="0" w:color="auto"/>
          </w:divBdr>
          <w:divsChild>
            <w:div w:id="953944751">
              <w:marLeft w:val="0"/>
              <w:marRight w:val="0"/>
              <w:marTop w:val="0"/>
              <w:marBottom w:val="0"/>
              <w:divBdr>
                <w:top w:val="none" w:sz="0" w:space="0" w:color="auto"/>
                <w:left w:val="none" w:sz="0" w:space="0" w:color="auto"/>
                <w:bottom w:val="none" w:sz="0" w:space="0" w:color="auto"/>
                <w:right w:val="none" w:sz="0" w:space="0" w:color="auto"/>
              </w:divBdr>
            </w:div>
          </w:divsChild>
        </w:div>
        <w:div w:id="1732656646">
          <w:marLeft w:val="0"/>
          <w:marRight w:val="0"/>
          <w:marTop w:val="0"/>
          <w:marBottom w:val="0"/>
          <w:divBdr>
            <w:top w:val="none" w:sz="0" w:space="0" w:color="auto"/>
            <w:left w:val="none" w:sz="0" w:space="0" w:color="auto"/>
            <w:bottom w:val="none" w:sz="0" w:space="0" w:color="auto"/>
            <w:right w:val="none" w:sz="0" w:space="0" w:color="auto"/>
          </w:divBdr>
          <w:divsChild>
            <w:div w:id="1085570113">
              <w:marLeft w:val="0"/>
              <w:marRight w:val="0"/>
              <w:marTop w:val="0"/>
              <w:marBottom w:val="0"/>
              <w:divBdr>
                <w:top w:val="none" w:sz="0" w:space="0" w:color="auto"/>
                <w:left w:val="none" w:sz="0" w:space="0" w:color="auto"/>
                <w:bottom w:val="none" w:sz="0" w:space="0" w:color="auto"/>
                <w:right w:val="none" w:sz="0" w:space="0" w:color="auto"/>
              </w:divBdr>
            </w:div>
          </w:divsChild>
        </w:div>
        <w:div w:id="1742095801">
          <w:marLeft w:val="0"/>
          <w:marRight w:val="0"/>
          <w:marTop w:val="0"/>
          <w:marBottom w:val="0"/>
          <w:divBdr>
            <w:top w:val="none" w:sz="0" w:space="0" w:color="auto"/>
            <w:left w:val="none" w:sz="0" w:space="0" w:color="auto"/>
            <w:bottom w:val="none" w:sz="0" w:space="0" w:color="auto"/>
            <w:right w:val="none" w:sz="0" w:space="0" w:color="auto"/>
          </w:divBdr>
          <w:divsChild>
            <w:div w:id="702484073">
              <w:marLeft w:val="0"/>
              <w:marRight w:val="0"/>
              <w:marTop w:val="0"/>
              <w:marBottom w:val="0"/>
              <w:divBdr>
                <w:top w:val="none" w:sz="0" w:space="0" w:color="auto"/>
                <w:left w:val="none" w:sz="0" w:space="0" w:color="auto"/>
                <w:bottom w:val="none" w:sz="0" w:space="0" w:color="auto"/>
                <w:right w:val="none" w:sz="0" w:space="0" w:color="auto"/>
              </w:divBdr>
            </w:div>
          </w:divsChild>
        </w:div>
        <w:div w:id="1753549790">
          <w:marLeft w:val="0"/>
          <w:marRight w:val="0"/>
          <w:marTop w:val="0"/>
          <w:marBottom w:val="0"/>
          <w:divBdr>
            <w:top w:val="none" w:sz="0" w:space="0" w:color="auto"/>
            <w:left w:val="none" w:sz="0" w:space="0" w:color="auto"/>
            <w:bottom w:val="none" w:sz="0" w:space="0" w:color="auto"/>
            <w:right w:val="none" w:sz="0" w:space="0" w:color="auto"/>
          </w:divBdr>
          <w:divsChild>
            <w:div w:id="488599129">
              <w:marLeft w:val="0"/>
              <w:marRight w:val="0"/>
              <w:marTop w:val="0"/>
              <w:marBottom w:val="0"/>
              <w:divBdr>
                <w:top w:val="none" w:sz="0" w:space="0" w:color="auto"/>
                <w:left w:val="none" w:sz="0" w:space="0" w:color="auto"/>
                <w:bottom w:val="none" w:sz="0" w:space="0" w:color="auto"/>
                <w:right w:val="none" w:sz="0" w:space="0" w:color="auto"/>
              </w:divBdr>
            </w:div>
          </w:divsChild>
        </w:div>
        <w:div w:id="1753966112">
          <w:marLeft w:val="0"/>
          <w:marRight w:val="0"/>
          <w:marTop w:val="0"/>
          <w:marBottom w:val="0"/>
          <w:divBdr>
            <w:top w:val="none" w:sz="0" w:space="0" w:color="auto"/>
            <w:left w:val="none" w:sz="0" w:space="0" w:color="auto"/>
            <w:bottom w:val="none" w:sz="0" w:space="0" w:color="auto"/>
            <w:right w:val="none" w:sz="0" w:space="0" w:color="auto"/>
          </w:divBdr>
          <w:divsChild>
            <w:div w:id="524906663">
              <w:marLeft w:val="0"/>
              <w:marRight w:val="0"/>
              <w:marTop w:val="0"/>
              <w:marBottom w:val="0"/>
              <w:divBdr>
                <w:top w:val="none" w:sz="0" w:space="0" w:color="auto"/>
                <w:left w:val="none" w:sz="0" w:space="0" w:color="auto"/>
                <w:bottom w:val="none" w:sz="0" w:space="0" w:color="auto"/>
                <w:right w:val="none" w:sz="0" w:space="0" w:color="auto"/>
              </w:divBdr>
            </w:div>
          </w:divsChild>
        </w:div>
        <w:div w:id="1769034698">
          <w:marLeft w:val="0"/>
          <w:marRight w:val="0"/>
          <w:marTop w:val="0"/>
          <w:marBottom w:val="0"/>
          <w:divBdr>
            <w:top w:val="none" w:sz="0" w:space="0" w:color="auto"/>
            <w:left w:val="none" w:sz="0" w:space="0" w:color="auto"/>
            <w:bottom w:val="none" w:sz="0" w:space="0" w:color="auto"/>
            <w:right w:val="none" w:sz="0" w:space="0" w:color="auto"/>
          </w:divBdr>
          <w:divsChild>
            <w:div w:id="1492524006">
              <w:marLeft w:val="0"/>
              <w:marRight w:val="0"/>
              <w:marTop w:val="0"/>
              <w:marBottom w:val="0"/>
              <w:divBdr>
                <w:top w:val="none" w:sz="0" w:space="0" w:color="auto"/>
                <w:left w:val="none" w:sz="0" w:space="0" w:color="auto"/>
                <w:bottom w:val="none" w:sz="0" w:space="0" w:color="auto"/>
                <w:right w:val="none" w:sz="0" w:space="0" w:color="auto"/>
              </w:divBdr>
            </w:div>
          </w:divsChild>
        </w:div>
        <w:div w:id="1771388165">
          <w:marLeft w:val="0"/>
          <w:marRight w:val="0"/>
          <w:marTop w:val="0"/>
          <w:marBottom w:val="0"/>
          <w:divBdr>
            <w:top w:val="none" w:sz="0" w:space="0" w:color="auto"/>
            <w:left w:val="none" w:sz="0" w:space="0" w:color="auto"/>
            <w:bottom w:val="none" w:sz="0" w:space="0" w:color="auto"/>
            <w:right w:val="none" w:sz="0" w:space="0" w:color="auto"/>
          </w:divBdr>
          <w:divsChild>
            <w:div w:id="854997219">
              <w:marLeft w:val="0"/>
              <w:marRight w:val="0"/>
              <w:marTop w:val="0"/>
              <w:marBottom w:val="0"/>
              <w:divBdr>
                <w:top w:val="none" w:sz="0" w:space="0" w:color="auto"/>
                <w:left w:val="none" w:sz="0" w:space="0" w:color="auto"/>
                <w:bottom w:val="none" w:sz="0" w:space="0" w:color="auto"/>
                <w:right w:val="none" w:sz="0" w:space="0" w:color="auto"/>
              </w:divBdr>
            </w:div>
          </w:divsChild>
        </w:div>
        <w:div w:id="1821649672">
          <w:marLeft w:val="0"/>
          <w:marRight w:val="0"/>
          <w:marTop w:val="0"/>
          <w:marBottom w:val="0"/>
          <w:divBdr>
            <w:top w:val="none" w:sz="0" w:space="0" w:color="auto"/>
            <w:left w:val="none" w:sz="0" w:space="0" w:color="auto"/>
            <w:bottom w:val="none" w:sz="0" w:space="0" w:color="auto"/>
            <w:right w:val="none" w:sz="0" w:space="0" w:color="auto"/>
          </w:divBdr>
          <w:divsChild>
            <w:div w:id="66193061">
              <w:marLeft w:val="0"/>
              <w:marRight w:val="0"/>
              <w:marTop w:val="0"/>
              <w:marBottom w:val="0"/>
              <w:divBdr>
                <w:top w:val="none" w:sz="0" w:space="0" w:color="auto"/>
                <w:left w:val="none" w:sz="0" w:space="0" w:color="auto"/>
                <w:bottom w:val="none" w:sz="0" w:space="0" w:color="auto"/>
                <w:right w:val="none" w:sz="0" w:space="0" w:color="auto"/>
              </w:divBdr>
            </w:div>
          </w:divsChild>
        </w:div>
        <w:div w:id="1821772967">
          <w:marLeft w:val="0"/>
          <w:marRight w:val="0"/>
          <w:marTop w:val="0"/>
          <w:marBottom w:val="0"/>
          <w:divBdr>
            <w:top w:val="none" w:sz="0" w:space="0" w:color="auto"/>
            <w:left w:val="none" w:sz="0" w:space="0" w:color="auto"/>
            <w:bottom w:val="none" w:sz="0" w:space="0" w:color="auto"/>
            <w:right w:val="none" w:sz="0" w:space="0" w:color="auto"/>
          </w:divBdr>
          <w:divsChild>
            <w:div w:id="28534831">
              <w:marLeft w:val="0"/>
              <w:marRight w:val="0"/>
              <w:marTop w:val="0"/>
              <w:marBottom w:val="0"/>
              <w:divBdr>
                <w:top w:val="none" w:sz="0" w:space="0" w:color="auto"/>
                <w:left w:val="none" w:sz="0" w:space="0" w:color="auto"/>
                <w:bottom w:val="none" w:sz="0" w:space="0" w:color="auto"/>
                <w:right w:val="none" w:sz="0" w:space="0" w:color="auto"/>
              </w:divBdr>
            </w:div>
          </w:divsChild>
        </w:div>
        <w:div w:id="1833838947">
          <w:marLeft w:val="0"/>
          <w:marRight w:val="0"/>
          <w:marTop w:val="0"/>
          <w:marBottom w:val="0"/>
          <w:divBdr>
            <w:top w:val="none" w:sz="0" w:space="0" w:color="auto"/>
            <w:left w:val="none" w:sz="0" w:space="0" w:color="auto"/>
            <w:bottom w:val="none" w:sz="0" w:space="0" w:color="auto"/>
            <w:right w:val="none" w:sz="0" w:space="0" w:color="auto"/>
          </w:divBdr>
          <w:divsChild>
            <w:div w:id="215436620">
              <w:marLeft w:val="0"/>
              <w:marRight w:val="0"/>
              <w:marTop w:val="0"/>
              <w:marBottom w:val="0"/>
              <w:divBdr>
                <w:top w:val="none" w:sz="0" w:space="0" w:color="auto"/>
                <w:left w:val="none" w:sz="0" w:space="0" w:color="auto"/>
                <w:bottom w:val="none" w:sz="0" w:space="0" w:color="auto"/>
                <w:right w:val="none" w:sz="0" w:space="0" w:color="auto"/>
              </w:divBdr>
            </w:div>
          </w:divsChild>
        </w:div>
        <w:div w:id="1838960383">
          <w:marLeft w:val="0"/>
          <w:marRight w:val="0"/>
          <w:marTop w:val="0"/>
          <w:marBottom w:val="0"/>
          <w:divBdr>
            <w:top w:val="none" w:sz="0" w:space="0" w:color="auto"/>
            <w:left w:val="none" w:sz="0" w:space="0" w:color="auto"/>
            <w:bottom w:val="none" w:sz="0" w:space="0" w:color="auto"/>
            <w:right w:val="none" w:sz="0" w:space="0" w:color="auto"/>
          </w:divBdr>
          <w:divsChild>
            <w:div w:id="1291133730">
              <w:marLeft w:val="0"/>
              <w:marRight w:val="0"/>
              <w:marTop w:val="0"/>
              <w:marBottom w:val="0"/>
              <w:divBdr>
                <w:top w:val="none" w:sz="0" w:space="0" w:color="auto"/>
                <w:left w:val="none" w:sz="0" w:space="0" w:color="auto"/>
                <w:bottom w:val="none" w:sz="0" w:space="0" w:color="auto"/>
                <w:right w:val="none" w:sz="0" w:space="0" w:color="auto"/>
              </w:divBdr>
            </w:div>
          </w:divsChild>
        </w:div>
        <w:div w:id="1866166590">
          <w:marLeft w:val="0"/>
          <w:marRight w:val="0"/>
          <w:marTop w:val="0"/>
          <w:marBottom w:val="0"/>
          <w:divBdr>
            <w:top w:val="none" w:sz="0" w:space="0" w:color="auto"/>
            <w:left w:val="none" w:sz="0" w:space="0" w:color="auto"/>
            <w:bottom w:val="none" w:sz="0" w:space="0" w:color="auto"/>
            <w:right w:val="none" w:sz="0" w:space="0" w:color="auto"/>
          </w:divBdr>
          <w:divsChild>
            <w:div w:id="765660817">
              <w:marLeft w:val="0"/>
              <w:marRight w:val="0"/>
              <w:marTop w:val="0"/>
              <w:marBottom w:val="0"/>
              <w:divBdr>
                <w:top w:val="none" w:sz="0" w:space="0" w:color="auto"/>
                <w:left w:val="none" w:sz="0" w:space="0" w:color="auto"/>
                <w:bottom w:val="none" w:sz="0" w:space="0" w:color="auto"/>
                <w:right w:val="none" w:sz="0" w:space="0" w:color="auto"/>
              </w:divBdr>
            </w:div>
          </w:divsChild>
        </w:div>
        <w:div w:id="1875464218">
          <w:marLeft w:val="0"/>
          <w:marRight w:val="0"/>
          <w:marTop w:val="0"/>
          <w:marBottom w:val="0"/>
          <w:divBdr>
            <w:top w:val="none" w:sz="0" w:space="0" w:color="auto"/>
            <w:left w:val="none" w:sz="0" w:space="0" w:color="auto"/>
            <w:bottom w:val="none" w:sz="0" w:space="0" w:color="auto"/>
            <w:right w:val="none" w:sz="0" w:space="0" w:color="auto"/>
          </w:divBdr>
          <w:divsChild>
            <w:div w:id="127893346">
              <w:marLeft w:val="0"/>
              <w:marRight w:val="0"/>
              <w:marTop w:val="0"/>
              <w:marBottom w:val="0"/>
              <w:divBdr>
                <w:top w:val="none" w:sz="0" w:space="0" w:color="auto"/>
                <w:left w:val="none" w:sz="0" w:space="0" w:color="auto"/>
                <w:bottom w:val="none" w:sz="0" w:space="0" w:color="auto"/>
                <w:right w:val="none" w:sz="0" w:space="0" w:color="auto"/>
              </w:divBdr>
            </w:div>
          </w:divsChild>
        </w:div>
        <w:div w:id="1884830207">
          <w:marLeft w:val="0"/>
          <w:marRight w:val="0"/>
          <w:marTop w:val="0"/>
          <w:marBottom w:val="0"/>
          <w:divBdr>
            <w:top w:val="none" w:sz="0" w:space="0" w:color="auto"/>
            <w:left w:val="none" w:sz="0" w:space="0" w:color="auto"/>
            <w:bottom w:val="none" w:sz="0" w:space="0" w:color="auto"/>
            <w:right w:val="none" w:sz="0" w:space="0" w:color="auto"/>
          </w:divBdr>
          <w:divsChild>
            <w:div w:id="880476590">
              <w:marLeft w:val="0"/>
              <w:marRight w:val="0"/>
              <w:marTop w:val="0"/>
              <w:marBottom w:val="0"/>
              <w:divBdr>
                <w:top w:val="none" w:sz="0" w:space="0" w:color="auto"/>
                <w:left w:val="none" w:sz="0" w:space="0" w:color="auto"/>
                <w:bottom w:val="none" w:sz="0" w:space="0" w:color="auto"/>
                <w:right w:val="none" w:sz="0" w:space="0" w:color="auto"/>
              </w:divBdr>
            </w:div>
          </w:divsChild>
        </w:div>
        <w:div w:id="1895045622">
          <w:marLeft w:val="0"/>
          <w:marRight w:val="0"/>
          <w:marTop w:val="0"/>
          <w:marBottom w:val="0"/>
          <w:divBdr>
            <w:top w:val="none" w:sz="0" w:space="0" w:color="auto"/>
            <w:left w:val="none" w:sz="0" w:space="0" w:color="auto"/>
            <w:bottom w:val="none" w:sz="0" w:space="0" w:color="auto"/>
            <w:right w:val="none" w:sz="0" w:space="0" w:color="auto"/>
          </w:divBdr>
          <w:divsChild>
            <w:div w:id="2122802566">
              <w:marLeft w:val="0"/>
              <w:marRight w:val="0"/>
              <w:marTop w:val="0"/>
              <w:marBottom w:val="0"/>
              <w:divBdr>
                <w:top w:val="none" w:sz="0" w:space="0" w:color="auto"/>
                <w:left w:val="none" w:sz="0" w:space="0" w:color="auto"/>
                <w:bottom w:val="none" w:sz="0" w:space="0" w:color="auto"/>
                <w:right w:val="none" w:sz="0" w:space="0" w:color="auto"/>
              </w:divBdr>
            </w:div>
          </w:divsChild>
        </w:div>
        <w:div w:id="1896508699">
          <w:marLeft w:val="0"/>
          <w:marRight w:val="0"/>
          <w:marTop w:val="0"/>
          <w:marBottom w:val="0"/>
          <w:divBdr>
            <w:top w:val="none" w:sz="0" w:space="0" w:color="auto"/>
            <w:left w:val="none" w:sz="0" w:space="0" w:color="auto"/>
            <w:bottom w:val="none" w:sz="0" w:space="0" w:color="auto"/>
            <w:right w:val="none" w:sz="0" w:space="0" w:color="auto"/>
          </w:divBdr>
          <w:divsChild>
            <w:div w:id="1102073567">
              <w:marLeft w:val="0"/>
              <w:marRight w:val="0"/>
              <w:marTop w:val="0"/>
              <w:marBottom w:val="0"/>
              <w:divBdr>
                <w:top w:val="none" w:sz="0" w:space="0" w:color="auto"/>
                <w:left w:val="none" w:sz="0" w:space="0" w:color="auto"/>
                <w:bottom w:val="none" w:sz="0" w:space="0" w:color="auto"/>
                <w:right w:val="none" w:sz="0" w:space="0" w:color="auto"/>
              </w:divBdr>
            </w:div>
          </w:divsChild>
        </w:div>
        <w:div w:id="1898280565">
          <w:marLeft w:val="0"/>
          <w:marRight w:val="0"/>
          <w:marTop w:val="0"/>
          <w:marBottom w:val="0"/>
          <w:divBdr>
            <w:top w:val="none" w:sz="0" w:space="0" w:color="auto"/>
            <w:left w:val="none" w:sz="0" w:space="0" w:color="auto"/>
            <w:bottom w:val="none" w:sz="0" w:space="0" w:color="auto"/>
            <w:right w:val="none" w:sz="0" w:space="0" w:color="auto"/>
          </w:divBdr>
          <w:divsChild>
            <w:div w:id="1775662912">
              <w:marLeft w:val="0"/>
              <w:marRight w:val="0"/>
              <w:marTop w:val="0"/>
              <w:marBottom w:val="0"/>
              <w:divBdr>
                <w:top w:val="none" w:sz="0" w:space="0" w:color="auto"/>
                <w:left w:val="none" w:sz="0" w:space="0" w:color="auto"/>
                <w:bottom w:val="none" w:sz="0" w:space="0" w:color="auto"/>
                <w:right w:val="none" w:sz="0" w:space="0" w:color="auto"/>
              </w:divBdr>
            </w:div>
          </w:divsChild>
        </w:div>
        <w:div w:id="1920946218">
          <w:marLeft w:val="0"/>
          <w:marRight w:val="0"/>
          <w:marTop w:val="0"/>
          <w:marBottom w:val="0"/>
          <w:divBdr>
            <w:top w:val="none" w:sz="0" w:space="0" w:color="auto"/>
            <w:left w:val="none" w:sz="0" w:space="0" w:color="auto"/>
            <w:bottom w:val="none" w:sz="0" w:space="0" w:color="auto"/>
            <w:right w:val="none" w:sz="0" w:space="0" w:color="auto"/>
          </w:divBdr>
          <w:divsChild>
            <w:div w:id="86732837">
              <w:marLeft w:val="0"/>
              <w:marRight w:val="0"/>
              <w:marTop w:val="0"/>
              <w:marBottom w:val="0"/>
              <w:divBdr>
                <w:top w:val="none" w:sz="0" w:space="0" w:color="auto"/>
                <w:left w:val="none" w:sz="0" w:space="0" w:color="auto"/>
                <w:bottom w:val="none" w:sz="0" w:space="0" w:color="auto"/>
                <w:right w:val="none" w:sz="0" w:space="0" w:color="auto"/>
              </w:divBdr>
            </w:div>
          </w:divsChild>
        </w:div>
        <w:div w:id="1940987362">
          <w:marLeft w:val="0"/>
          <w:marRight w:val="0"/>
          <w:marTop w:val="0"/>
          <w:marBottom w:val="0"/>
          <w:divBdr>
            <w:top w:val="none" w:sz="0" w:space="0" w:color="auto"/>
            <w:left w:val="none" w:sz="0" w:space="0" w:color="auto"/>
            <w:bottom w:val="none" w:sz="0" w:space="0" w:color="auto"/>
            <w:right w:val="none" w:sz="0" w:space="0" w:color="auto"/>
          </w:divBdr>
          <w:divsChild>
            <w:div w:id="249047336">
              <w:marLeft w:val="0"/>
              <w:marRight w:val="0"/>
              <w:marTop w:val="0"/>
              <w:marBottom w:val="0"/>
              <w:divBdr>
                <w:top w:val="none" w:sz="0" w:space="0" w:color="auto"/>
                <w:left w:val="none" w:sz="0" w:space="0" w:color="auto"/>
                <w:bottom w:val="none" w:sz="0" w:space="0" w:color="auto"/>
                <w:right w:val="none" w:sz="0" w:space="0" w:color="auto"/>
              </w:divBdr>
            </w:div>
          </w:divsChild>
        </w:div>
        <w:div w:id="1952931262">
          <w:marLeft w:val="0"/>
          <w:marRight w:val="0"/>
          <w:marTop w:val="0"/>
          <w:marBottom w:val="0"/>
          <w:divBdr>
            <w:top w:val="none" w:sz="0" w:space="0" w:color="auto"/>
            <w:left w:val="none" w:sz="0" w:space="0" w:color="auto"/>
            <w:bottom w:val="none" w:sz="0" w:space="0" w:color="auto"/>
            <w:right w:val="none" w:sz="0" w:space="0" w:color="auto"/>
          </w:divBdr>
          <w:divsChild>
            <w:div w:id="1693266900">
              <w:marLeft w:val="0"/>
              <w:marRight w:val="0"/>
              <w:marTop w:val="0"/>
              <w:marBottom w:val="0"/>
              <w:divBdr>
                <w:top w:val="none" w:sz="0" w:space="0" w:color="auto"/>
                <w:left w:val="none" w:sz="0" w:space="0" w:color="auto"/>
                <w:bottom w:val="none" w:sz="0" w:space="0" w:color="auto"/>
                <w:right w:val="none" w:sz="0" w:space="0" w:color="auto"/>
              </w:divBdr>
            </w:div>
          </w:divsChild>
        </w:div>
        <w:div w:id="1953123762">
          <w:marLeft w:val="0"/>
          <w:marRight w:val="0"/>
          <w:marTop w:val="0"/>
          <w:marBottom w:val="0"/>
          <w:divBdr>
            <w:top w:val="none" w:sz="0" w:space="0" w:color="auto"/>
            <w:left w:val="none" w:sz="0" w:space="0" w:color="auto"/>
            <w:bottom w:val="none" w:sz="0" w:space="0" w:color="auto"/>
            <w:right w:val="none" w:sz="0" w:space="0" w:color="auto"/>
          </w:divBdr>
          <w:divsChild>
            <w:div w:id="118691134">
              <w:marLeft w:val="0"/>
              <w:marRight w:val="0"/>
              <w:marTop w:val="0"/>
              <w:marBottom w:val="0"/>
              <w:divBdr>
                <w:top w:val="none" w:sz="0" w:space="0" w:color="auto"/>
                <w:left w:val="none" w:sz="0" w:space="0" w:color="auto"/>
                <w:bottom w:val="none" w:sz="0" w:space="0" w:color="auto"/>
                <w:right w:val="none" w:sz="0" w:space="0" w:color="auto"/>
              </w:divBdr>
            </w:div>
          </w:divsChild>
        </w:div>
        <w:div w:id="1959602365">
          <w:marLeft w:val="0"/>
          <w:marRight w:val="0"/>
          <w:marTop w:val="0"/>
          <w:marBottom w:val="0"/>
          <w:divBdr>
            <w:top w:val="none" w:sz="0" w:space="0" w:color="auto"/>
            <w:left w:val="none" w:sz="0" w:space="0" w:color="auto"/>
            <w:bottom w:val="none" w:sz="0" w:space="0" w:color="auto"/>
            <w:right w:val="none" w:sz="0" w:space="0" w:color="auto"/>
          </w:divBdr>
          <w:divsChild>
            <w:div w:id="1784959562">
              <w:marLeft w:val="0"/>
              <w:marRight w:val="0"/>
              <w:marTop w:val="0"/>
              <w:marBottom w:val="0"/>
              <w:divBdr>
                <w:top w:val="none" w:sz="0" w:space="0" w:color="auto"/>
                <w:left w:val="none" w:sz="0" w:space="0" w:color="auto"/>
                <w:bottom w:val="none" w:sz="0" w:space="0" w:color="auto"/>
                <w:right w:val="none" w:sz="0" w:space="0" w:color="auto"/>
              </w:divBdr>
            </w:div>
          </w:divsChild>
        </w:div>
        <w:div w:id="1960791589">
          <w:marLeft w:val="0"/>
          <w:marRight w:val="0"/>
          <w:marTop w:val="0"/>
          <w:marBottom w:val="0"/>
          <w:divBdr>
            <w:top w:val="none" w:sz="0" w:space="0" w:color="auto"/>
            <w:left w:val="none" w:sz="0" w:space="0" w:color="auto"/>
            <w:bottom w:val="none" w:sz="0" w:space="0" w:color="auto"/>
            <w:right w:val="none" w:sz="0" w:space="0" w:color="auto"/>
          </w:divBdr>
          <w:divsChild>
            <w:div w:id="1926986543">
              <w:marLeft w:val="0"/>
              <w:marRight w:val="0"/>
              <w:marTop w:val="0"/>
              <w:marBottom w:val="0"/>
              <w:divBdr>
                <w:top w:val="none" w:sz="0" w:space="0" w:color="auto"/>
                <w:left w:val="none" w:sz="0" w:space="0" w:color="auto"/>
                <w:bottom w:val="none" w:sz="0" w:space="0" w:color="auto"/>
                <w:right w:val="none" w:sz="0" w:space="0" w:color="auto"/>
              </w:divBdr>
            </w:div>
          </w:divsChild>
        </w:div>
        <w:div w:id="1980183761">
          <w:marLeft w:val="0"/>
          <w:marRight w:val="0"/>
          <w:marTop w:val="0"/>
          <w:marBottom w:val="0"/>
          <w:divBdr>
            <w:top w:val="none" w:sz="0" w:space="0" w:color="auto"/>
            <w:left w:val="none" w:sz="0" w:space="0" w:color="auto"/>
            <w:bottom w:val="none" w:sz="0" w:space="0" w:color="auto"/>
            <w:right w:val="none" w:sz="0" w:space="0" w:color="auto"/>
          </w:divBdr>
          <w:divsChild>
            <w:div w:id="103887478">
              <w:marLeft w:val="0"/>
              <w:marRight w:val="0"/>
              <w:marTop w:val="0"/>
              <w:marBottom w:val="0"/>
              <w:divBdr>
                <w:top w:val="none" w:sz="0" w:space="0" w:color="auto"/>
                <w:left w:val="none" w:sz="0" w:space="0" w:color="auto"/>
                <w:bottom w:val="none" w:sz="0" w:space="0" w:color="auto"/>
                <w:right w:val="none" w:sz="0" w:space="0" w:color="auto"/>
              </w:divBdr>
            </w:div>
          </w:divsChild>
        </w:div>
        <w:div w:id="1985500307">
          <w:marLeft w:val="0"/>
          <w:marRight w:val="0"/>
          <w:marTop w:val="0"/>
          <w:marBottom w:val="0"/>
          <w:divBdr>
            <w:top w:val="none" w:sz="0" w:space="0" w:color="auto"/>
            <w:left w:val="none" w:sz="0" w:space="0" w:color="auto"/>
            <w:bottom w:val="none" w:sz="0" w:space="0" w:color="auto"/>
            <w:right w:val="none" w:sz="0" w:space="0" w:color="auto"/>
          </w:divBdr>
          <w:divsChild>
            <w:div w:id="1331131456">
              <w:marLeft w:val="0"/>
              <w:marRight w:val="0"/>
              <w:marTop w:val="0"/>
              <w:marBottom w:val="0"/>
              <w:divBdr>
                <w:top w:val="none" w:sz="0" w:space="0" w:color="auto"/>
                <w:left w:val="none" w:sz="0" w:space="0" w:color="auto"/>
                <w:bottom w:val="none" w:sz="0" w:space="0" w:color="auto"/>
                <w:right w:val="none" w:sz="0" w:space="0" w:color="auto"/>
              </w:divBdr>
            </w:div>
          </w:divsChild>
        </w:div>
        <w:div w:id="1985545762">
          <w:marLeft w:val="0"/>
          <w:marRight w:val="0"/>
          <w:marTop w:val="0"/>
          <w:marBottom w:val="0"/>
          <w:divBdr>
            <w:top w:val="none" w:sz="0" w:space="0" w:color="auto"/>
            <w:left w:val="none" w:sz="0" w:space="0" w:color="auto"/>
            <w:bottom w:val="none" w:sz="0" w:space="0" w:color="auto"/>
            <w:right w:val="none" w:sz="0" w:space="0" w:color="auto"/>
          </w:divBdr>
          <w:divsChild>
            <w:div w:id="2067677872">
              <w:marLeft w:val="0"/>
              <w:marRight w:val="0"/>
              <w:marTop w:val="0"/>
              <w:marBottom w:val="0"/>
              <w:divBdr>
                <w:top w:val="none" w:sz="0" w:space="0" w:color="auto"/>
                <w:left w:val="none" w:sz="0" w:space="0" w:color="auto"/>
                <w:bottom w:val="none" w:sz="0" w:space="0" w:color="auto"/>
                <w:right w:val="none" w:sz="0" w:space="0" w:color="auto"/>
              </w:divBdr>
            </w:div>
          </w:divsChild>
        </w:div>
        <w:div w:id="1988393767">
          <w:marLeft w:val="0"/>
          <w:marRight w:val="0"/>
          <w:marTop w:val="0"/>
          <w:marBottom w:val="0"/>
          <w:divBdr>
            <w:top w:val="none" w:sz="0" w:space="0" w:color="auto"/>
            <w:left w:val="none" w:sz="0" w:space="0" w:color="auto"/>
            <w:bottom w:val="none" w:sz="0" w:space="0" w:color="auto"/>
            <w:right w:val="none" w:sz="0" w:space="0" w:color="auto"/>
          </w:divBdr>
          <w:divsChild>
            <w:div w:id="2004501055">
              <w:marLeft w:val="0"/>
              <w:marRight w:val="0"/>
              <w:marTop w:val="0"/>
              <w:marBottom w:val="0"/>
              <w:divBdr>
                <w:top w:val="none" w:sz="0" w:space="0" w:color="auto"/>
                <w:left w:val="none" w:sz="0" w:space="0" w:color="auto"/>
                <w:bottom w:val="none" w:sz="0" w:space="0" w:color="auto"/>
                <w:right w:val="none" w:sz="0" w:space="0" w:color="auto"/>
              </w:divBdr>
            </w:div>
          </w:divsChild>
        </w:div>
        <w:div w:id="1991665405">
          <w:marLeft w:val="0"/>
          <w:marRight w:val="0"/>
          <w:marTop w:val="0"/>
          <w:marBottom w:val="0"/>
          <w:divBdr>
            <w:top w:val="none" w:sz="0" w:space="0" w:color="auto"/>
            <w:left w:val="none" w:sz="0" w:space="0" w:color="auto"/>
            <w:bottom w:val="none" w:sz="0" w:space="0" w:color="auto"/>
            <w:right w:val="none" w:sz="0" w:space="0" w:color="auto"/>
          </w:divBdr>
          <w:divsChild>
            <w:div w:id="541210150">
              <w:marLeft w:val="0"/>
              <w:marRight w:val="0"/>
              <w:marTop w:val="0"/>
              <w:marBottom w:val="0"/>
              <w:divBdr>
                <w:top w:val="none" w:sz="0" w:space="0" w:color="auto"/>
                <w:left w:val="none" w:sz="0" w:space="0" w:color="auto"/>
                <w:bottom w:val="none" w:sz="0" w:space="0" w:color="auto"/>
                <w:right w:val="none" w:sz="0" w:space="0" w:color="auto"/>
              </w:divBdr>
            </w:div>
          </w:divsChild>
        </w:div>
        <w:div w:id="2016566867">
          <w:marLeft w:val="0"/>
          <w:marRight w:val="0"/>
          <w:marTop w:val="0"/>
          <w:marBottom w:val="0"/>
          <w:divBdr>
            <w:top w:val="none" w:sz="0" w:space="0" w:color="auto"/>
            <w:left w:val="none" w:sz="0" w:space="0" w:color="auto"/>
            <w:bottom w:val="none" w:sz="0" w:space="0" w:color="auto"/>
            <w:right w:val="none" w:sz="0" w:space="0" w:color="auto"/>
          </w:divBdr>
          <w:divsChild>
            <w:div w:id="177236145">
              <w:marLeft w:val="0"/>
              <w:marRight w:val="0"/>
              <w:marTop w:val="0"/>
              <w:marBottom w:val="0"/>
              <w:divBdr>
                <w:top w:val="none" w:sz="0" w:space="0" w:color="auto"/>
                <w:left w:val="none" w:sz="0" w:space="0" w:color="auto"/>
                <w:bottom w:val="none" w:sz="0" w:space="0" w:color="auto"/>
                <w:right w:val="none" w:sz="0" w:space="0" w:color="auto"/>
              </w:divBdr>
            </w:div>
          </w:divsChild>
        </w:div>
        <w:div w:id="2017271686">
          <w:marLeft w:val="0"/>
          <w:marRight w:val="0"/>
          <w:marTop w:val="0"/>
          <w:marBottom w:val="0"/>
          <w:divBdr>
            <w:top w:val="none" w:sz="0" w:space="0" w:color="auto"/>
            <w:left w:val="none" w:sz="0" w:space="0" w:color="auto"/>
            <w:bottom w:val="none" w:sz="0" w:space="0" w:color="auto"/>
            <w:right w:val="none" w:sz="0" w:space="0" w:color="auto"/>
          </w:divBdr>
          <w:divsChild>
            <w:div w:id="1611469401">
              <w:marLeft w:val="0"/>
              <w:marRight w:val="0"/>
              <w:marTop w:val="0"/>
              <w:marBottom w:val="0"/>
              <w:divBdr>
                <w:top w:val="none" w:sz="0" w:space="0" w:color="auto"/>
                <w:left w:val="none" w:sz="0" w:space="0" w:color="auto"/>
                <w:bottom w:val="none" w:sz="0" w:space="0" w:color="auto"/>
                <w:right w:val="none" w:sz="0" w:space="0" w:color="auto"/>
              </w:divBdr>
            </w:div>
          </w:divsChild>
        </w:div>
        <w:div w:id="2022780943">
          <w:marLeft w:val="0"/>
          <w:marRight w:val="0"/>
          <w:marTop w:val="0"/>
          <w:marBottom w:val="0"/>
          <w:divBdr>
            <w:top w:val="none" w:sz="0" w:space="0" w:color="auto"/>
            <w:left w:val="none" w:sz="0" w:space="0" w:color="auto"/>
            <w:bottom w:val="none" w:sz="0" w:space="0" w:color="auto"/>
            <w:right w:val="none" w:sz="0" w:space="0" w:color="auto"/>
          </w:divBdr>
          <w:divsChild>
            <w:div w:id="1712029605">
              <w:marLeft w:val="0"/>
              <w:marRight w:val="0"/>
              <w:marTop w:val="0"/>
              <w:marBottom w:val="0"/>
              <w:divBdr>
                <w:top w:val="none" w:sz="0" w:space="0" w:color="auto"/>
                <w:left w:val="none" w:sz="0" w:space="0" w:color="auto"/>
                <w:bottom w:val="none" w:sz="0" w:space="0" w:color="auto"/>
                <w:right w:val="none" w:sz="0" w:space="0" w:color="auto"/>
              </w:divBdr>
            </w:div>
          </w:divsChild>
        </w:div>
        <w:div w:id="2038964925">
          <w:marLeft w:val="0"/>
          <w:marRight w:val="0"/>
          <w:marTop w:val="0"/>
          <w:marBottom w:val="0"/>
          <w:divBdr>
            <w:top w:val="none" w:sz="0" w:space="0" w:color="auto"/>
            <w:left w:val="none" w:sz="0" w:space="0" w:color="auto"/>
            <w:bottom w:val="none" w:sz="0" w:space="0" w:color="auto"/>
            <w:right w:val="none" w:sz="0" w:space="0" w:color="auto"/>
          </w:divBdr>
          <w:divsChild>
            <w:div w:id="803275709">
              <w:marLeft w:val="0"/>
              <w:marRight w:val="0"/>
              <w:marTop w:val="0"/>
              <w:marBottom w:val="0"/>
              <w:divBdr>
                <w:top w:val="none" w:sz="0" w:space="0" w:color="auto"/>
                <w:left w:val="none" w:sz="0" w:space="0" w:color="auto"/>
                <w:bottom w:val="none" w:sz="0" w:space="0" w:color="auto"/>
                <w:right w:val="none" w:sz="0" w:space="0" w:color="auto"/>
              </w:divBdr>
            </w:div>
          </w:divsChild>
        </w:div>
        <w:div w:id="2048066840">
          <w:marLeft w:val="0"/>
          <w:marRight w:val="0"/>
          <w:marTop w:val="0"/>
          <w:marBottom w:val="0"/>
          <w:divBdr>
            <w:top w:val="none" w:sz="0" w:space="0" w:color="auto"/>
            <w:left w:val="none" w:sz="0" w:space="0" w:color="auto"/>
            <w:bottom w:val="none" w:sz="0" w:space="0" w:color="auto"/>
            <w:right w:val="none" w:sz="0" w:space="0" w:color="auto"/>
          </w:divBdr>
          <w:divsChild>
            <w:div w:id="1109737877">
              <w:marLeft w:val="0"/>
              <w:marRight w:val="0"/>
              <w:marTop w:val="0"/>
              <w:marBottom w:val="0"/>
              <w:divBdr>
                <w:top w:val="none" w:sz="0" w:space="0" w:color="auto"/>
                <w:left w:val="none" w:sz="0" w:space="0" w:color="auto"/>
                <w:bottom w:val="none" w:sz="0" w:space="0" w:color="auto"/>
                <w:right w:val="none" w:sz="0" w:space="0" w:color="auto"/>
              </w:divBdr>
            </w:div>
          </w:divsChild>
        </w:div>
        <w:div w:id="2059010888">
          <w:marLeft w:val="0"/>
          <w:marRight w:val="0"/>
          <w:marTop w:val="0"/>
          <w:marBottom w:val="0"/>
          <w:divBdr>
            <w:top w:val="none" w:sz="0" w:space="0" w:color="auto"/>
            <w:left w:val="none" w:sz="0" w:space="0" w:color="auto"/>
            <w:bottom w:val="none" w:sz="0" w:space="0" w:color="auto"/>
            <w:right w:val="none" w:sz="0" w:space="0" w:color="auto"/>
          </w:divBdr>
          <w:divsChild>
            <w:div w:id="390471882">
              <w:marLeft w:val="0"/>
              <w:marRight w:val="0"/>
              <w:marTop w:val="0"/>
              <w:marBottom w:val="0"/>
              <w:divBdr>
                <w:top w:val="none" w:sz="0" w:space="0" w:color="auto"/>
                <w:left w:val="none" w:sz="0" w:space="0" w:color="auto"/>
                <w:bottom w:val="none" w:sz="0" w:space="0" w:color="auto"/>
                <w:right w:val="none" w:sz="0" w:space="0" w:color="auto"/>
              </w:divBdr>
            </w:div>
            <w:div w:id="1312178224">
              <w:marLeft w:val="0"/>
              <w:marRight w:val="0"/>
              <w:marTop w:val="0"/>
              <w:marBottom w:val="0"/>
              <w:divBdr>
                <w:top w:val="none" w:sz="0" w:space="0" w:color="auto"/>
                <w:left w:val="none" w:sz="0" w:space="0" w:color="auto"/>
                <w:bottom w:val="none" w:sz="0" w:space="0" w:color="auto"/>
                <w:right w:val="none" w:sz="0" w:space="0" w:color="auto"/>
              </w:divBdr>
            </w:div>
          </w:divsChild>
        </w:div>
        <w:div w:id="2075271598">
          <w:marLeft w:val="0"/>
          <w:marRight w:val="0"/>
          <w:marTop w:val="0"/>
          <w:marBottom w:val="0"/>
          <w:divBdr>
            <w:top w:val="none" w:sz="0" w:space="0" w:color="auto"/>
            <w:left w:val="none" w:sz="0" w:space="0" w:color="auto"/>
            <w:bottom w:val="none" w:sz="0" w:space="0" w:color="auto"/>
            <w:right w:val="none" w:sz="0" w:space="0" w:color="auto"/>
          </w:divBdr>
          <w:divsChild>
            <w:div w:id="1983653817">
              <w:marLeft w:val="0"/>
              <w:marRight w:val="0"/>
              <w:marTop w:val="0"/>
              <w:marBottom w:val="0"/>
              <w:divBdr>
                <w:top w:val="none" w:sz="0" w:space="0" w:color="auto"/>
                <w:left w:val="none" w:sz="0" w:space="0" w:color="auto"/>
                <w:bottom w:val="none" w:sz="0" w:space="0" w:color="auto"/>
                <w:right w:val="none" w:sz="0" w:space="0" w:color="auto"/>
              </w:divBdr>
            </w:div>
          </w:divsChild>
        </w:div>
        <w:div w:id="2082293747">
          <w:marLeft w:val="0"/>
          <w:marRight w:val="0"/>
          <w:marTop w:val="0"/>
          <w:marBottom w:val="0"/>
          <w:divBdr>
            <w:top w:val="none" w:sz="0" w:space="0" w:color="auto"/>
            <w:left w:val="none" w:sz="0" w:space="0" w:color="auto"/>
            <w:bottom w:val="none" w:sz="0" w:space="0" w:color="auto"/>
            <w:right w:val="none" w:sz="0" w:space="0" w:color="auto"/>
          </w:divBdr>
          <w:divsChild>
            <w:div w:id="229271949">
              <w:marLeft w:val="0"/>
              <w:marRight w:val="0"/>
              <w:marTop w:val="0"/>
              <w:marBottom w:val="0"/>
              <w:divBdr>
                <w:top w:val="none" w:sz="0" w:space="0" w:color="auto"/>
                <w:left w:val="none" w:sz="0" w:space="0" w:color="auto"/>
                <w:bottom w:val="none" w:sz="0" w:space="0" w:color="auto"/>
                <w:right w:val="none" w:sz="0" w:space="0" w:color="auto"/>
              </w:divBdr>
            </w:div>
          </w:divsChild>
        </w:div>
        <w:div w:id="2083217337">
          <w:marLeft w:val="0"/>
          <w:marRight w:val="0"/>
          <w:marTop w:val="0"/>
          <w:marBottom w:val="0"/>
          <w:divBdr>
            <w:top w:val="none" w:sz="0" w:space="0" w:color="auto"/>
            <w:left w:val="none" w:sz="0" w:space="0" w:color="auto"/>
            <w:bottom w:val="none" w:sz="0" w:space="0" w:color="auto"/>
            <w:right w:val="none" w:sz="0" w:space="0" w:color="auto"/>
          </w:divBdr>
          <w:divsChild>
            <w:div w:id="168259515">
              <w:marLeft w:val="0"/>
              <w:marRight w:val="0"/>
              <w:marTop w:val="0"/>
              <w:marBottom w:val="0"/>
              <w:divBdr>
                <w:top w:val="none" w:sz="0" w:space="0" w:color="auto"/>
                <w:left w:val="none" w:sz="0" w:space="0" w:color="auto"/>
                <w:bottom w:val="none" w:sz="0" w:space="0" w:color="auto"/>
                <w:right w:val="none" w:sz="0" w:space="0" w:color="auto"/>
              </w:divBdr>
            </w:div>
          </w:divsChild>
        </w:div>
        <w:div w:id="2099017779">
          <w:marLeft w:val="0"/>
          <w:marRight w:val="0"/>
          <w:marTop w:val="0"/>
          <w:marBottom w:val="0"/>
          <w:divBdr>
            <w:top w:val="none" w:sz="0" w:space="0" w:color="auto"/>
            <w:left w:val="none" w:sz="0" w:space="0" w:color="auto"/>
            <w:bottom w:val="none" w:sz="0" w:space="0" w:color="auto"/>
            <w:right w:val="none" w:sz="0" w:space="0" w:color="auto"/>
          </w:divBdr>
          <w:divsChild>
            <w:div w:id="1661616643">
              <w:marLeft w:val="0"/>
              <w:marRight w:val="0"/>
              <w:marTop w:val="0"/>
              <w:marBottom w:val="0"/>
              <w:divBdr>
                <w:top w:val="none" w:sz="0" w:space="0" w:color="auto"/>
                <w:left w:val="none" w:sz="0" w:space="0" w:color="auto"/>
                <w:bottom w:val="none" w:sz="0" w:space="0" w:color="auto"/>
                <w:right w:val="none" w:sz="0" w:space="0" w:color="auto"/>
              </w:divBdr>
            </w:div>
          </w:divsChild>
        </w:div>
        <w:div w:id="2119762371">
          <w:marLeft w:val="0"/>
          <w:marRight w:val="0"/>
          <w:marTop w:val="0"/>
          <w:marBottom w:val="0"/>
          <w:divBdr>
            <w:top w:val="none" w:sz="0" w:space="0" w:color="auto"/>
            <w:left w:val="none" w:sz="0" w:space="0" w:color="auto"/>
            <w:bottom w:val="none" w:sz="0" w:space="0" w:color="auto"/>
            <w:right w:val="none" w:sz="0" w:space="0" w:color="auto"/>
          </w:divBdr>
          <w:divsChild>
            <w:div w:id="94179703">
              <w:marLeft w:val="0"/>
              <w:marRight w:val="0"/>
              <w:marTop w:val="0"/>
              <w:marBottom w:val="0"/>
              <w:divBdr>
                <w:top w:val="none" w:sz="0" w:space="0" w:color="auto"/>
                <w:left w:val="none" w:sz="0" w:space="0" w:color="auto"/>
                <w:bottom w:val="none" w:sz="0" w:space="0" w:color="auto"/>
                <w:right w:val="none" w:sz="0" w:space="0" w:color="auto"/>
              </w:divBdr>
            </w:div>
          </w:divsChild>
        </w:div>
        <w:div w:id="2126342451">
          <w:marLeft w:val="0"/>
          <w:marRight w:val="0"/>
          <w:marTop w:val="0"/>
          <w:marBottom w:val="0"/>
          <w:divBdr>
            <w:top w:val="none" w:sz="0" w:space="0" w:color="auto"/>
            <w:left w:val="none" w:sz="0" w:space="0" w:color="auto"/>
            <w:bottom w:val="none" w:sz="0" w:space="0" w:color="auto"/>
            <w:right w:val="none" w:sz="0" w:space="0" w:color="auto"/>
          </w:divBdr>
          <w:divsChild>
            <w:div w:id="134093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4324">
      <w:bodyDiv w:val="1"/>
      <w:marLeft w:val="0"/>
      <w:marRight w:val="0"/>
      <w:marTop w:val="0"/>
      <w:marBottom w:val="0"/>
      <w:divBdr>
        <w:top w:val="none" w:sz="0" w:space="0" w:color="auto"/>
        <w:left w:val="none" w:sz="0" w:space="0" w:color="auto"/>
        <w:bottom w:val="none" w:sz="0" w:space="0" w:color="auto"/>
        <w:right w:val="none" w:sz="0" w:space="0" w:color="auto"/>
      </w:divBdr>
      <w:divsChild>
        <w:div w:id="636767147">
          <w:marLeft w:val="0"/>
          <w:marRight w:val="0"/>
          <w:marTop w:val="0"/>
          <w:marBottom w:val="0"/>
          <w:divBdr>
            <w:top w:val="none" w:sz="0" w:space="0" w:color="auto"/>
            <w:left w:val="none" w:sz="0" w:space="0" w:color="auto"/>
            <w:bottom w:val="none" w:sz="0" w:space="0" w:color="auto"/>
            <w:right w:val="none" w:sz="0" w:space="0" w:color="auto"/>
          </w:divBdr>
        </w:div>
        <w:div w:id="1807577309">
          <w:marLeft w:val="0"/>
          <w:marRight w:val="0"/>
          <w:marTop w:val="0"/>
          <w:marBottom w:val="0"/>
          <w:divBdr>
            <w:top w:val="none" w:sz="0" w:space="0" w:color="auto"/>
            <w:left w:val="none" w:sz="0" w:space="0" w:color="auto"/>
            <w:bottom w:val="none" w:sz="0" w:space="0" w:color="auto"/>
            <w:right w:val="none" w:sz="0" w:space="0" w:color="auto"/>
          </w:divBdr>
        </w:div>
      </w:divsChild>
    </w:div>
    <w:div w:id="62336466">
      <w:bodyDiv w:val="1"/>
      <w:marLeft w:val="0"/>
      <w:marRight w:val="0"/>
      <w:marTop w:val="0"/>
      <w:marBottom w:val="0"/>
      <w:divBdr>
        <w:top w:val="none" w:sz="0" w:space="0" w:color="auto"/>
        <w:left w:val="none" w:sz="0" w:space="0" w:color="auto"/>
        <w:bottom w:val="none" w:sz="0" w:space="0" w:color="auto"/>
        <w:right w:val="none" w:sz="0" w:space="0" w:color="auto"/>
      </w:divBdr>
      <w:divsChild>
        <w:div w:id="359858476">
          <w:marLeft w:val="0"/>
          <w:marRight w:val="0"/>
          <w:marTop w:val="0"/>
          <w:marBottom w:val="0"/>
          <w:divBdr>
            <w:top w:val="none" w:sz="0" w:space="0" w:color="auto"/>
            <w:left w:val="none" w:sz="0" w:space="0" w:color="auto"/>
            <w:bottom w:val="none" w:sz="0" w:space="0" w:color="auto"/>
            <w:right w:val="none" w:sz="0" w:space="0" w:color="auto"/>
          </w:divBdr>
          <w:divsChild>
            <w:div w:id="867068576">
              <w:marLeft w:val="0"/>
              <w:marRight w:val="0"/>
              <w:marTop w:val="0"/>
              <w:marBottom w:val="0"/>
              <w:divBdr>
                <w:top w:val="none" w:sz="0" w:space="0" w:color="auto"/>
                <w:left w:val="none" w:sz="0" w:space="0" w:color="auto"/>
                <w:bottom w:val="none" w:sz="0" w:space="0" w:color="auto"/>
                <w:right w:val="none" w:sz="0" w:space="0" w:color="auto"/>
              </w:divBdr>
              <w:divsChild>
                <w:div w:id="69095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08436">
          <w:marLeft w:val="0"/>
          <w:marRight w:val="0"/>
          <w:marTop w:val="0"/>
          <w:marBottom w:val="0"/>
          <w:divBdr>
            <w:top w:val="none" w:sz="0" w:space="0" w:color="auto"/>
            <w:left w:val="none" w:sz="0" w:space="0" w:color="auto"/>
            <w:bottom w:val="none" w:sz="0" w:space="0" w:color="auto"/>
            <w:right w:val="none" w:sz="0" w:space="0" w:color="auto"/>
          </w:divBdr>
          <w:divsChild>
            <w:div w:id="284204">
              <w:marLeft w:val="0"/>
              <w:marRight w:val="0"/>
              <w:marTop w:val="0"/>
              <w:marBottom w:val="0"/>
              <w:divBdr>
                <w:top w:val="none" w:sz="0" w:space="0" w:color="auto"/>
                <w:left w:val="none" w:sz="0" w:space="0" w:color="auto"/>
                <w:bottom w:val="none" w:sz="0" w:space="0" w:color="auto"/>
                <w:right w:val="none" w:sz="0" w:space="0" w:color="auto"/>
              </w:divBdr>
            </w:div>
            <w:div w:id="314915136">
              <w:marLeft w:val="0"/>
              <w:marRight w:val="0"/>
              <w:marTop w:val="0"/>
              <w:marBottom w:val="0"/>
              <w:divBdr>
                <w:top w:val="none" w:sz="0" w:space="0" w:color="auto"/>
                <w:left w:val="none" w:sz="0" w:space="0" w:color="auto"/>
                <w:bottom w:val="none" w:sz="0" w:space="0" w:color="auto"/>
                <w:right w:val="none" w:sz="0" w:space="0" w:color="auto"/>
              </w:divBdr>
              <w:divsChild>
                <w:div w:id="170343798">
                  <w:marLeft w:val="0"/>
                  <w:marRight w:val="0"/>
                  <w:marTop w:val="0"/>
                  <w:marBottom w:val="0"/>
                  <w:divBdr>
                    <w:top w:val="none" w:sz="0" w:space="0" w:color="auto"/>
                    <w:left w:val="none" w:sz="0" w:space="0" w:color="auto"/>
                    <w:bottom w:val="none" w:sz="0" w:space="0" w:color="auto"/>
                    <w:right w:val="none" w:sz="0" w:space="0" w:color="auto"/>
                  </w:divBdr>
                </w:div>
                <w:div w:id="1888224443">
                  <w:marLeft w:val="0"/>
                  <w:marRight w:val="0"/>
                  <w:marTop w:val="0"/>
                  <w:marBottom w:val="0"/>
                  <w:divBdr>
                    <w:top w:val="none" w:sz="0" w:space="0" w:color="auto"/>
                    <w:left w:val="none" w:sz="0" w:space="0" w:color="auto"/>
                    <w:bottom w:val="none" w:sz="0" w:space="0" w:color="auto"/>
                    <w:right w:val="none" w:sz="0" w:space="0" w:color="auto"/>
                  </w:divBdr>
                  <w:divsChild>
                    <w:div w:id="185349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71789">
      <w:bodyDiv w:val="1"/>
      <w:marLeft w:val="0"/>
      <w:marRight w:val="0"/>
      <w:marTop w:val="0"/>
      <w:marBottom w:val="0"/>
      <w:divBdr>
        <w:top w:val="none" w:sz="0" w:space="0" w:color="auto"/>
        <w:left w:val="none" w:sz="0" w:space="0" w:color="auto"/>
        <w:bottom w:val="none" w:sz="0" w:space="0" w:color="auto"/>
        <w:right w:val="none" w:sz="0" w:space="0" w:color="auto"/>
      </w:divBdr>
      <w:divsChild>
        <w:div w:id="75829795">
          <w:marLeft w:val="0"/>
          <w:marRight w:val="0"/>
          <w:marTop w:val="0"/>
          <w:marBottom w:val="0"/>
          <w:divBdr>
            <w:top w:val="none" w:sz="0" w:space="0" w:color="auto"/>
            <w:left w:val="none" w:sz="0" w:space="0" w:color="auto"/>
            <w:bottom w:val="none" w:sz="0" w:space="0" w:color="auto"/>
            <w:right w:val="none" w:sz="0" w:space="0" w:color="auto"/>
          </w:divBdr>
        </w:div>
        <w:div w:id="351880055">
          <w:marLeft w:val="0"/>
          <w:marRight w:val="0"/>
          <w:marTop w:val="0"/>
          <w:marBottom w:val="0"/>
          <w:divBdr>
            <w:top w:val="none" w:sz="0" w:space="0" w:color="auto"/>
            <w:left w:val="none" w:sz="0" w:space="0" w:color="auto"/>
            <w:bottom w:val="none" w:sz="0" w:space="0" w:color="auto"/>
            <w:right w:val="none" w:sz="0" w:space="0" w:color="auto"/>
          </w:divBdr>
        </w:div>
        <w:div w:id="686368287">
          <w:marLeft w:val="0"/>
          <w:marRight w:val="0"/>
          <w:marTop w:val="0"/>
          <w:marBottom w:val="0"/>
          <w:divBdr>
            <w:top w:val="none" w:sz="0" w:space="0" w:color="auto"/>
            <w:left w:val="none" w:sz="0" w:space="0" w:color="auto"/>
            <w:bottom w:val="none" w:sz="0" w:space="0" w:color="auto"/>
            <w:right w:val="none" w:sz="0" w:space="0" w:color="auto"/>
          </w:divBdr>
        </w:div>
        <w:div w:id="1073774317">
          <w:marLeft w:val="0"/>
          <w:marRight w:val="0"/>
          <w:marTop w:val="0"/>
          <w:marBottom w:val="0"/>
          <w:divBdr>
            <w:top w:val="none" w:sz="0" w:space="0" w:color="auto"/>
            <w:left w:val="none" w:sz="0" w:space="0" w:color="auto"/>
            <w:bottom w:val="none" w:sz="0" w:space="0" w:color="auto"/>
            <w:right w:val="none" w:sz="0" w:space="0" w:color="auto"/>
          </w:divBdr>
        </w:div>
        <w:div w:id="1487742237">
          <w:marLeft w:val="0"/>
          <w:marRight w:val="0"/>
          <w:marTop w:val="0"/>
          <w:marBottom w:val="0"/>
          <w:divBdr>
            <w:top w:val="none" w:sz="0" w:space="0" w:color="auto"/>
            <w:left w:val="none" w:sz="0" w:space="0" w:color="auto"/>
            <w:bottom w:val="none" w:sz="0" w:space="0" w:color="auto"/>
            <w:right w:val="none" w:sz="0" w:space="0" w:color="auto"/>
          </w:divBdr>
        </w:div>
        <w:div w:id="1655598843">
          <w:marLeft w:val="0"/>
          <w:marRight w:val="0"/>
          <w:marTop w:val="0"/>
          <w:marBottom w:val="0"/>
          <w:divBdr>
            <w:top w:val="none" w:sz="0" w:space="0" w:color="auto"/>
            <w:left w:val="none" w:sz="0" w:space="0" w:color="auto"/>
            <w:bottom w:val="none" w:sz="0" w:space="0" w:color="auto"/>
            <w:right w:val="none" w:sz="0" w:space="0" w:color="auto"/>
          </w:divBdr>
        </w:div>
        <w:div w:id="1659456275">
          <w:marLeft w:val="0"/>
          <w:marRight w:val="0"/>
          <w:marTop w:val="0"/>
          <w:marBottom w:val="0"/>
          <w:divBdr>
            <w:top w:val="none" w:sz="0" w:space="0" w:color="auto"/>
            <w:left w:val="none" w:sz="0" w:space="0" w:color="auto"/>
            <w:bottom w:val="none" w:sz="0" w:space="0" w:color="auto"/>
            <w:right w:val="none" w:sz="0" w:space="0" w:color="auto"/>
          </w:divBdr>
        </w:div>
        <w:div w:id="1701976730">
          <w:marLeft w:val="0"/>
          <w:marRight w:val="0"/>
          <w:marTop w:val="0"/>
          <w:marBottom w:val="0"/>
          <w:divBdr>
            <w:top w:val="none" w:sz="0" w:space="0" w:color="auto"/>
            <w:left w:val="none" w:sz="0" w:space="0" w:color="auto"/>
            <w:bottom w:val="none" w:sz="0" w:space="0" w:color="auto"/>
            <w:right w:val="none" w:sz="0" w:space="0" w:color="auto"/>
          </w:divBdr>
        </w:div>
        <w:div w:id="2016150285">
          <w:marLeft w:val="0"/>
          <w:marRight w:val="0"/>
          <w:marTop w:val="0"/>
          <w:marBottom w:val="0"/>
          <w:divBdr>
            <w:top w:val="none" w:sz="0" w:space="0" w:color="auto"/>
            <w:left w:val="none" w:sz="0" w:space="0" w:color="auto"/>
            <w:bottom w:val="none" w:sz="0" w:space="0" w:color="auto"/>
            <w:right w:val="none" w:sz="0" w:space="0" w:color="auto"/>
          </w:divBdr>
        </w:div>
      </w:divsChild>
    </w:div>
    <w:div w:id="67506910">
      <w:bodyDiv w:val="1"/>
      <w:marLeft w:val="0"/>
      <w:marRight w:val="0"/>
      <w:marTop w:val="0"/>
      <w:marBottom w:val="0"/>
      <w:divBdr>
        <w:top w:val="none" w:sz="0" w:space="0" w:color="auto"/>
        <w:left w:val="none" w:sz="0" w:space="0" w:color="auto"/>
        <w:bottom w:val="none" w:sz="0" w:space="0" w:color="auto"/>
        <w:right w:val="none" w:sz="0" w:space="0" w:color="auto"/>
      </w:divBdr>
    </w:div>
    <w:div w:id="73473343">
      <w:bodyDiv w:val="1"/>
      <w:marLeft w:val="0"/>
      <w:marRight w:val="0"/>
      <w:marTop w:val="0"/>
      <w:marBottom w:val="0"/>
      <w:divBdr>
        <w:top w:val="none" w:sz="0" w:space="0" w:color="auto"/>
        <w:left w:val="none" w:sz="0" w:space="0" w:color="auto"/>
        <w:bottom w:val="none" w:sz="0" w:space="0" w:color="auto"/>
        <w:right w:val="none" w:sz="0" w:space="0" w:color="auto"/>
      </w:divBdr>
    </w:div>
    <w:div w:id="78186770">
      <w:bodyDiv w:val="1"/>
      <w:marLeft w:val="0"/>
      <w:marRight w:val="0"/>
      <w:marTop w:val="0"/>
      <w:marBottom w:val="0"/>
      <w:divBdr>
        <w:top w:val="none" w:sz="0" w:space="0" w:color="auto"/>
        <w:left w:val="none" w:sz="0" w:space="0" w:color="auto"/>
        <w:bottom w:val="none" w:sz="0" w:space="0" w:color="auto"/>
        <w:right w:val="none" w:sz="0" w:space="0" w:color="auto"/>
      </w:divBdr>
    </w:div>
    <w:div w:id="81680063">
      <w:bodyDiv w:val="1"/>
      <w:marLeft w:val="0"/>
      <w:marRight w:val="0"/>
      <w:marTop w:val="0"/>
      <w:marBottom w:val="0"/>
      <w:divBdr>
        <w:top w:val="none" w:sz="0" w:space="0" w:color="auto"/>
        <w:left w:val="none" w:sz="0" w:space="0" w:color="auto"/>
        <w:bottom w:val="none" w:sz="0" w:space="0" w:color="auto"/>
        <w:right w:val="none" w:sz="0" w:space="0" w:color="auto"/>
      </w:divBdr>
    </w:div>
    <w:div w:id="119883668">
      <w:bodyDiv w:val="1"/>
      <w:marLeft w:val="0"/>
      <w:marRight w:val="0"/>
      <w:marTop w:val="0"/>
      <w:marBottom w:val="0"/>
      <w:divBdr>
        <w:top w:val="none" w:sz="0" w:space="0" w:color="auto"/>
        <w:left w:val="none" w:sz="0" w:space="0" w:color="auto"/>
        <w:bottom w:val="none" w:sz="0" w:space="0" w:color="auto"/>
        <w:right w:val="none" w:sz="0" w:space="0" w:color="auto"/>
      </w:divBdr>
      <w:divsChild>
        <w:div w:id="14158526">
          <w:marLeft w:val="0"/>
          <w:marRight w:val="0"/>
          <w:marTop w:val="0"/>
          <w:marBottom w:val="0"/>
          <w:divBdr>
            <w:top w:val="none" w:sz="0" w:space="0" w:color="auto"/>
            <w:left w:val="none" w:sz="0" w:space="0" w:color="auto"/>
            <w:bottom w:val="none" w:sz="0" w:space="0" w:color="auto"/>
            <w:right w:val="none" w:sz="0" w:space="0" w:color="auto"/>
          </w:divBdr>
          <w:divsChild>
            <w:div w:id="1119643025">
              <w:marLeft w:val="0"/>
              <w:marRight w:val="0"/>
              <w:marTop w:val="0"/>
              <w:marBottom w:val="0"/>
              <w:divBdr>
                <w:top w:val="none" w:sz="0" w:space="0" w:color="auto"/>
                <w:left w:val="none" w:sz="0" w:space="0" w:color="auto"/>
                <w:bottom w:val="none" w:sz="0" w:space="0" w:color="auto"/>
                <w:right w:val="none" w:sz="0" w:space="0" w:color="auto"/>
              </w:divBdr>
            </w:div>
          </w:divsChild>
        </w:div>
        <w:div w:id="19278914">
          <w:marLeft w:val="0"/>
          <w:marRight w:val="0"/>
          <w:marTop w:val="0"/>
          <w:marBottom w:val="0"/>
          <w:divBdr>
            <w:top w:val="none" w:sz="0" w:space="0" w:color="auto"/>
            <w:left w:val="none" w:sz="0" w:space="0" w:color="auto"/>
            <w:bottom w:val="none" w:sz="0" w:space="0" w:color="auto"/>
            <w:right w:val="none" w:sz="0" w:space="0" w:color="auto"/>
          </w:divBdr>
          <w:divsChild>
            <w:div w:id="48237378">
              <w:marLeft w:val="0"/>
              <w:marRight w:val="0"/>
              <w:marTop w:val="0"/>
              <w:marBottom w:val="0"/>
              <w:divBdr>
                <w:top w:val="none" w:sz="0" w:space="0" w:color="auto"/>
                <w:left w:val="none" w:sz="0" w:space="0" w:color="auto"/>
                <w:bottom w:val="none" w:sz="0" w:space="0" w:color="auto"/>
                <w:right w:val="none" w:sz="0" w:space="0" w:color="auto"/>
              </w:divBdr>
            </w:div>
          </w:divsChild>
        </w:div>
        <w:div w:id="49575732">
          <w:marLeft w:val="0"/>
          <w:marRight w:val="0"/>
          <w:marTop w:val="0"/>
          <w:marBottom w:val="0"/>
          <w:divBdr>
            <w:top w:val="none" w:sz="0" w:space="0" w:color="auto"/>
            <w:left w:val="none" w:sz="0" w:space="0" w:color="auto"/>
            <w:bottom w:val="none" w:sz="0" w:space="0" w:color="auto"/>
            <w:right w:val="none" w:sz="0" w:space="0" w:color="auto"/>
          </w:divBdr>
          <w:divsChild>
            <w:div w:id="1806853544">
              <w:marLeft w:val="0"/>
              <w:marRight w:val="0"/>
              <w:marTop w:val="0"/>
              <w:marBottom w:val="0"/>
              <w:divBdr>
                <w:top w:val="none" w:sz="0" w:space="0" w:color="auto"/>
                <w:left w:val="none" w:sz="0" w:space="0" w:color="auto"/>
                <w:bottom w:val="none" w:sz="0" w:space="0" w:color="auto"/>
                <w:right w:val="none" w:sz="0" w:space="0" w:color="auto"/>
              </w:divBdr>
            </w:div>
          </w:divsChild>
        </w:div>
        <w:div w:id="55325061">
          <w:marLeft w:val="0"/>
          <w:marRight w:val="0"/>
          <w:marTop w:val="0"/>
          <w:marBottom w:val="0"/>
          <w:divBdr>
            <w:top w:val="none" w:sz="0" w:space="0" w:color="auto"/>
            <w:left w:val="none" w:sz="0" w:space="0" w:color="auto"/>
            <w:bottom w:val="none" w:sz="0" w:space="0" w:color="auto"/>
            <w:right w:val="none" w:sz="0" w:space="0" w:color="auto"/>
          </w:divBdr>
          <w:divsChild>
            <w:div w:id="435757876">
              <w:marLeft w:val="0"/>
              <w:marRight w:val="0"/>
              <w:marTop w:val="0"/>
              <w:marBottom w:val="0"/>
              <w:divBdr>
                <w:top w:val="none" w:sz="0" w:space="0" w:color="auto"/>
                <w:left w:val="none" w:sz="0" w:space="0" w:color="auto"/>
                <w:bottom w:val="none" w:sz="0" w:space="0" w:color="auto"/>
                <w:right w:val="none" w:sz="0" w:space="0" w:color="auto"/>
              </w:divBdr>
            </w:div>
          </w:divsChild>
        </w:div>
        <w:div w:id="69886300">
          <w:marLeft w:val="0"/>
          <w:marRight w:val="0"/>
          <w:marTop w:val="0"/>
          <w:marBottom w:val="0"/>
          <w:divBdr>
            <w:top w:val="none" w:sz="0" w:space="0" w:color="auto"/>
            <w:left w:val="none" w:sz="0" w:space="0" w:color="auto"/>
            <w:bottom w:val="none" w:sz="0" w:space="0" w:color="auto"/>
            <w:right w:val="none" w:sz="0" w:space="0" w:color="auto"/>
          </w:divBdr>
          <w:divsChild>
            <w:div w:id="1466318752">
              <w:marLeft w:val="0"/>
              <w:marRight w:val="0"/>
              <w:marTop w:val="0"/>
              <w:marBottom w:val="0"/>
              <w:divBdr>
                <w:top w:val="none" w:sz="0" w:space="0" w:color="auto"/>
                <w:left w:val="none" w:sz="0" w:space="0" w:color="auto"/>
                <w:bottom w:val="none" w:sz="0" w:space="0" w:color="auto"/>
                <w:right w:val="none" w:sz="0" w:space="0" w:color="auto"/>
              </w:divBdr>
            </w:div>
          </w:divsChild>
        </w:div>
        <w:div w:id="83504213">
          <w:marLeft w:val="0"/>
          <w:marRight w:val="0"/>
          <w:marTop w:val="0"/>
          <w:marBottom w:val="0"/>
          <w:divBdr>
            <w:top w:val="none" w:sz="0" w:space="0" w:color="auto"/>
            <w:left w:val="none" w:sz="0" w:space="0" w:color="auto"/>
            <w:bottom w:val="none" w:sz="0" w:space="0" w:color="auto"/>
            <w:right w:val="none" w:sz="0" w:space="0" w:color="auto"/>
          </w:divBdr>
          <w:divsChild>
            <w:div w:id="563873662">
              <w:marLeft w:val="0"/>
              <w:marRight w:val="0"/>
              <w:marTop w:val="0"/>
              <w:marBottom w:val="0"/>
              <w:divBdr>
                <w:top w:val="none" w:sz="0" w:space="0" w:color="auto"/>
                <w:left w:val="none" w:sz="0" w:space="0" w:color="auto"/>
                <w:bottom w:val="none" w:sz="0" w:space="0" w:color="auto"/>
                <w:right w:val="none" w:sz="0" w:space="0" w:color="auto"/>
              </w:divBdr>
            </w:div>
          </w:divsChild>
        </w:div>
        <w:div w:id="84806049">
          <w:marLeft w:val="0"/>
          <w:marRight w:val="0"/>
          <w:marTop w:val="0"/>
          <w:marBottom w:val="0"/>
          <w:divBdr>
            <w:top w:val="none" w:sz="0" w:space="0" w:color="auto"/>
            <w:left w:val="none" w:sz="0" w:space="0" w:color="auto"/>
            <w:bottom w:val="none" w:sz="0" w:space="0" w:color="auto"/>
            <w:right w:val="none" w:sz="0" w:space="0" w:color="auto"/>
          </w:divBdr>
          <w:divsChild>
            <w:div w:id="939532153">
              <w:marLeft w:val="0"/>
              <w:marRight w:val="0"/>
              <w:marTop w:val="0"/>
              <w:marBottom w:val="0"/>
              <w:divBdr>
                <w:top w:val="none" w:sz="0" w:space="0" w:color="auto"/>
                <w:left w:val="none" w:sz="0" w:space="0" w:color="auto"/>
                <w:bottom w:val="none" w:sz="0" w:space="0" w:color="auto"/>
                <w:right w:val="none" w:sz="0" w:space="0" w:color="auto"/>
              </w:divBdr>
            </w:div>
          </w:divsChild>
        </w:div>
        <w:div w:id="88745935">
          <w:marLeft w:val="0"/>
          <w:marRight w:val="0"/>
          <w:marTop w:val="0"/>
          <w:marBottom w:val="0"/>
          <w:divBdr>
            <w:top w:val="none" w:sz="0" w:space="0" w:color="auto"/>
            <w:left w:val="none" w:sz="0" w:space="0" w:color="auto"/>
            <w:bottom w:val="none" w:sz="0" w:space="0" w:color="auto"/>
            <w:right w:val="none" w:sz="0" w:space="0" w:color="auto"/>
          </w:divBdr>
          <w:divsChild>
            <w:div w:id="1035231586">
              <w:marLeft w:val="0"/>
              <w:marRight w:val="0"/>
              <w:marTop w:val="0"/>
              <w:marBottom w:val="0"/>
              <w:divBdr>
                <w:top w:val="none" w:sz="0" w:space="0" w:color="auto"/>
                <w:left w:val="none" w:sz="0" w:space="0" w:color="auto"/>
                <w:bottom w:val="none" w:sz="0" w:space="0" w:color="auto"/>
                <w:right w:val="none" w:sz="0" w:space="0" w:color="auto"/>
              </w:divBdr>
            </w:div>
          </w:divsChild>
        </w:div>
        <w:div w:id="90274717">
          <w:marLeft w:val="0"/>
          <w:marRight w:val="0"/>
          <w:marTop w:val="0"/>
          <w:marBottom w:val="0"/>
          <w:divBdr>
            <w:top w:val="none" w:sz="0" w:space="0" w:color="auto"/>
            <w:left w:val="none" w:sz="0" w:space="0" w:color="auto"/>
            <w:bottom w:val="none" w:sz="0" w:space="0" w:color="auto"/>
            <w:right w:val="none" w:sz="0" w:space="0" w:color="auto"/>
          </w:divBdr>
          <w:divsChild>
            <w:div w:id="1827891881">
              <w:marLeft w:val="0"/>
              <w:marRight w:val="0"/>
              <w:marTop w:val="0"/>
              <w:marBottom w:val="0"/>
              <w:divBdr>
                <w:top w:val="none" w:sz="0" w:space="0" w:color="auto"/>
                <w:left w:val="none" w:sz="0" w:space="0" w:color="auto"/>
                <w:bottom w:val="none" w:sz="0" w:space="0" w:color="auto"/>
                <w:right w:val="none" w:sz="0" w:space="0" w:color="auto"/>
              </w:divBdr>
            </w:div>
          </w:divsChild>
        </w:div>
        <w:div w:id="93792764">
          <w:marLeft w:val="0"/>
          <w:marRight w:val="0"/>
          <w:marTop w:val="0"/>
          <w:marBottom w:val="0"/>
          <w:divBdr>
            <w:top w:val="none" w:sz="0" w:space="0" w:color="auto"/>
            <w:left w:val="none" w:sz="0" w:space="0" w:color="auto"/>
            <w:bottom w:val="none" w:sz="0" w:space="0" w:color="auto"/>
            <w:right w:val="none" w:sz="0" w:space="0" w:color="auto"/>
          </w:divBdr>
          <w:divsChild>
            <w:div w:id="325742179">
              <w:marLeft w:val="0"/>
              <w:marRight w:val="0"/>
              <w:marTop w:val="0"/>
              <w:marBottom w:val="0"/>
              <w:divBdr>
                <w:top w:val="none" w:sz="0" w:space="0" w:color="auto"/>
                <w:left w:val="none" w:sz="0" w:space="0" w:color="auto"/>
                <w:bottom w:val="none" w:sz="0" w:space="0" w:color="auto"/>
                <w:right w:val="none" w:sz="0" w:space="0" w:color="auto"/>
              </w:divBdr>
            </w:div>
          </w:divsChild>
        </w:div>
        <w:div w:id="94251657">
          <w:marLeft w:val="0"/>
          <w:marRight w:val="0"/>
          <w:marTop w:val="0"/>
          <w:marBottom w:val="0"/>
          <w:divBdr>
            <w:top w:val="none" w:sz="0" w:space="0" w:color="auto"/>
            <w:left w:val="none" w:sz="0" w:space="0" w:color="auto"/>
            <w:bottom w:val="none" w:sz="0" w:space="0" w:color="auto"/>
            <w:right w:val="none" w:sz="0" w:space="0" w:color="auto"/>
          </w:divBdr>
          <w:divsChild>
            <w:div w:id="123475286">
              <w:marLeft w:val="0"/>
              <w:marRight w:val="0"/>
              <w:marTop w:val="0"/>
              <w:marBottom w:val="0"/>
              <w:divBdr>
                <w:top w:val="none" w:sz="0" w:space="0" w:color="auto"/>
                <w:left w:val="none" w:sz="0" w:space="0" w:color="auto"/>
                <w:bottom w:val="none" w:sz="0" w:space="0" w:color="auto"/>
                <w:right w:val="none" w:sz="0" w:space="0" w:color="auto"/>
              </w:divBdr>
            </w:div>
          </w:divsChild>
        </w:div>
        <w:div w:id="99686266">
          <w:marLeft w:val="0"/>
          <w:marRight w:val="0"/>
          <w:marTop w:val="0"/>
          <w:marBottom w:val="0"/>
          <w:divBdr>
            <w:top w:val="none" w:sz="0" w:space="0" w:color="auto"/>
            <w:left w:val="none" w:sz="0" w:space="0" w:color="auto"/>
            <w:bottom w:val="none" w:sz="0" w:space="0" w:color="auto"/>
            <w:right w:val="none" w:sz="0" w:space="0" w:color="auto"/>
          </w:divBdr>
          <w:divsChild>
            <w:div w:id="512299826">
              <w:marLeft w:val="0"/>
              <w:marRight w:val="0"/>
              <w:marTop w:val="0"/>
              <w:marBottom w:val="0"/>
              <w:divBdr>
                <w:top w:val="none" w:sz="0" w:space="0" w:color="auto"/>
                <w:left w:val="none" w:sz="0" w:space="0" w:color="auto"/>
                <w:bottom w:val="none" w:sz="0" w:space="0" w:color="auto"/>
                <w:right w:val="none" w:sz="0" w:space="0" w:color="auto"/>
              </w:divBdr>
            </w:div>
          </w:divsChild>
        </w:div>
        <w:div w:id="110712705">
          <w:marLeft w:val="0"/>
          <w:marRight w:val="0"/>
          <w:marTop w:val="0"/>
          <w:marBottom w:val="0"/>
          <w:divBdr>
            <w:top w:val="none" w:sz="0" w:space="0" w:color="auto"/>
            <w:left w:val="none" w:sz="0" w:space="0" w:color="auto"/>
            <w:bottom w:val="none" w:sz="0" w:space="0" w:color="auto"/>
            <w:right w:val="none" w:sz="0" w:space="0" w:color="auto"/>
          </w:divBdr>
          <w:divsChild>
            <w:div w:id="178783055">
              <w:marLeft w:val="0"/>
              <w:marRight w:val="0"/>
              <w:marTop w:val="0"/>
              <w:marBottom w:val="0"/>
              <w:divBdr>
                <w:top w:val="none" w:sz="0" w:space="0" w:color="auto"/>
                <w:left w:val="none" w:sz="0" w:space="0" w:color="auto"/>
                <w:bottom w:val="none" w:sz="0" w:space="0" w:color="auto"/>
                <w:right w:val="none" w:sz="0" w:space="0" w:color="auto"/>
              </w:divBdr>
            </w:div>
          </w:divsChild>
        </w:div>
        <w:div w:id="124127825">
          <w:marLeft w:val="0"/>
          <w:marRight w:val="0"/>
          <w:marTop w:val="0"/>
          <w:marBottom w:val="0"/>
          <w:divBdr>
            <w:top w:val="none" w:sz="0" w:space="0" w:color="auto"/>
            <w:left w:val="none" w:sz="0" w:space="0" w:color="auto"/>
            <w:bottom w:val="none" w:sz="0" w:space="0" w:color="auto"/>
            <w:right w:val="none" w:sz="0" w:space="0" w:color="auto"/>
          </w:divBdr>
          <w:divsChild>
            <w:div w:id="739406005">
              <w:marLeft w:val="0"/>
              <w:marRight w:val="0"/>
              <w:marTop w:val="0"/>
              <w:marBottom w:val="0"/>
              <w:divBdr>
                <w:top w:val="none" w:sz="0" w:space="0" w:color="auto"/>
                <w:left w:val="none" w:sz="0" w:space="0" w:color="auto"/>
                <w:bottom w:val="none" w:sz="0" w:space="0" w:color="auto"/>
                <w:right w:val="none" w:sz="0" w:space="0" w:color="auto"/>
              </w:divBdr>
            </w:div>
          </w:divsChild>
        </w:div>
        <w:div w:id="134953565">
          <w:marLeft w:val="0"/>
          <w:marRight w:val="0"/>
          <w:marTop w:val="0"/>
          <w:marBottom w:val="0"/>
          <w:divBdr>
            <w:top w:val="none" w:sz="0" w:space="0" w:color="auto"/>
            <w:left w:val="none" w:sz="0" w:space="0" w:color="auto"/>
            <w:bottom w:val="none" w:sz="0" w:space="0" w:color="auto"/>
            <w:right w:val="none" w:sz="0" w:space="0" w:color="auto"/>
          </w:divBdr>
          <w:divsChild>
            <w:div w:id="1394309519">
              <w:marLeft w:val="0"/>
              <w:marRight w:val="0"/>
              <w:marTop w:val="0"/>
              <w:marBottom w:val="0"/>
              <w:divBdr>
                <w:top w:val="none" w:sz="0" w:space="0" w:color="auto"/>
                <w:left w:val="none" w:sz="0" w:space="0" w:color="auto"/>
                <w:bottom w:val="none" w:sz="0" w:space="0" w:color="auto"/>
                <w:right w:val="none" w:sz="0" w:space="0" w:color="auto"/>
              </w:divBdr>
            </w:div>
          </w:divsChild>
        </w:div>
        <w:div w:id="139344823">
          <w:marLeft w:val="0"/>
          <w:marRight w:val="0"/>
          <w:marTop w:val="0"/>
          <w:marBottom w:val="0"/>
          <w:divBdr>
            <w:top w:val="none" w:sz="0" w:space="0" w:color="auto"/>
            <w:left w:val="none" w:sz="0" w:space="0" w:color="auto"/>
            <w:bottom w:val="none" w:sz="0" w:space="0" w:color="auto"/>
            <w:right w:val="none" w:sz="0" w:space="0" w:color="auto"/>
          </w:divBdr>
          <w:divsChild>
            <w:div w:id="1238400282">
              <w:marLeft w:val="0"/>
              <w:marRight w:val="0"/>
              <w:marTop w:val="0"/>
              <w:marBottom w:val="0"/>
              <w:divBdr>
                <w:top w:val="none" w:sz="0" w:space="0" w:color="auto"/>
                <w:left w:val="none" w:sz="0" w:space="0" w:color="auto"/>
                <w:bottom w:val="none" w:sz="0" w:space="0" w:color="auto"/>
                <w:right w:val="none" w:sz="0" w:space="0" w:color="auto"/>
              </w:divBdr>
            </w:div>
          </w:divsChild>
        </w:div>
        <w:div w:id="140122950">
          <w:marLeft w:val="0"/>
          <w:marRight w:val="0"/>
          <w:marTop w:val="0"/>
          <w:marBottom w:val="0"/>
          <w:divBdr>
            <w:top w:val="none" w:sz="0" w:space="0" w:color="auto"/>
            <w:left w:val="none" w:sz="0" w:space="0" w:color="auto"/>
            <w:bottom w:val="none" w:sz="0" w:space="0" w:color="auto"/>
            <w:right w:val="none" w:sz="0" w:space="0" w:color="auto"/>
          </w:divBdr>
          <w:divsChild>
            <w:div w:id="478158293">
              <w:marLeft w:val="0"/>
              <w:marRight w:val="0"/>
              <w:marTop w:val="0"/>
              <w:marBottom w:val="0"/>
              <w:divBdr>
                <w:top w:val="none" w:sz="0" w:space="0" w:color="auto"/>
                <w:left w:val="none" w:sz="0" w:space="0" w:color="auto"/>
                <w:bottom w:val="none" w:sz="0" w:space="0" w:color="auto"/>
                <w:right w:val="none" w:sz="0" w:space="0" w:color="auto"/>
              </w:divBdr>
            </w:div>
          </w:divsChild>
        </w:div>
        <w:div w:id="140467347">
          <w:marLeft w:val="0"/>
          <w:marRight w:val="0"/>
          <w:marTop w:val="0"/>
          <w:marBottom w:val="0"/>
          <w:divBdr>
            <w:top w:val="none" w:sz="0" w:space="0" w:color="auto"/>
            <w:left w:val="none" w:sz="0" w:space="0" w:color="auto"/>
            <w:bottom w:val="none" w:sz="0" w:space="0" w:color="auto"/>
            <w:right w:val="none" w:sz="0" w:space="0" w:color="auto"/>
          </w:divBdr>
          <w:divsChild>
            <w:div w:id="260185410">
              <w:marLeft w:val="0"/>
              <w:marRight w:val="0"/>
              <w:marTop w:val="0"/>
              <w:marBottom w:val="0"/>
              <w:divBdr>
                <w:top w:val="none" w:sz="0" w:space="0" w:color="auto"/>
                <w:left w:val="none" w:sz="0" w:space="0" w:color="auto"/>
                <w:bottom w:val="none" w:sz="0" w:space="0" w:color="auto"/>
                <w:right w:val="none" w:sz="0" w:space="0" w:color="auto"/>
              </w:divBdr>
            </w:div>
          </w:divsChild>
        </w:div>
        <w:div w:id="143203082">
          <w:marLeft w:val="0"/>
          <w:marRight w:val="0"/>
          <w:marTop w:val="0"/>
          <w:marBottom w:val="0"/>
          <w:divBdr>
            <w:top w:val="none" w:sz="0" w:space="0" w:color="auto"/>
            <w:left w:val="none" w:sz="0" w:space="0" w:color="auto"/>
            <w:bottom w:val="none" w:sz="0" w:space="0" w:color="auto"/>
            <w:right w:val="none" w:sz="0" w:space="0" w:color="auto"/>
          </w:divBdr>
          <w:divsChild>
            <w:div w:id="1858349369">
              <w:marLeft w:val="0"/>
              <w:marRight w:val="0"/>
              <w:marTop w:val="0"/>
              <w:marBottom w:val="0"/>
              <w:divBdr>
                <w:top w:val="none" w:sz="0" w:space="0" w:color="auto"/>
                <w:left w:val="none" w:sz="0" w:space="0" w:color="auto"/>
                <w:bottom w:val="none" w:sz="0" w:space="0" w:color="auto"/>
                <w:right w:val="none" w:sz="0" w:space="0" w:color="auto"/>
              </w:divBdr>
            </w:div>
          </w:divsChild>
        </w:div>
        <w:div w:id="151338645">
          <w:marLeft w:val="0"/>
          <w:marRight w:val="0"/>
          <w:marTop w:val="0"/>
          <w:marBottom w:val="0"/>
          <w:divBdr>
            <w:top w:val="none" w:sz="0" w:space="0" w:color="auto"/>
            <w:left w:val="none" w:sz="0" w:space="0" w:color="auto"/>
            <w:bottom w:val="none" w:sz="0" w:space="0" w:color="auto"/>
            <w:right w:val="none" w:sz="0" w:space="0" w:color="auto"/>
          </w:divBdr>
          <w:divsChild>
            <w:div w:id="87427513">
              <w:marLeft w:val="0"/>
              <w:marRight w:val="0"/>
              <w:marTop w:val="0"/>
              <w:marBottom w:val="0"/>
              <w:divBdr>
                <w:top w:val="none" w:sz="0" w:space="0" w:color="auto"/>
                <w:left w:val="none" w:sz="0" w:space="0" w:color="auto"/>
                <w:bottom w:val="none" w:sz="0" w:space="0" w:color="auto"/>
                <w:right w:val="none" w:sz="0" w:space="0" w:color="auto"/>
              </w:divBdr>
            </w:div>
          </w:divsChild>
        </w:div>
        <w:div w:id="154105257">
          <w:marLeft w:val="0"/>
          <w:marRight w:val="0"/>
          <w:marTop w:val="0"/>
          <w:marBottom w:val="0"/>
          <w:divBdr>
            <w:top w:val="none" w:sz="0" w:space="0" w:color="auto"/>
            <w:left w:val="none" w:sz="0" w:space="0" w:color="auto"/>
            <w:bottom w:val="none" w:sz="0" w:space="0" w:color="auto"/>
            <w:right w:val="none" w:sz="0" w:space="0" w:color="auto"/>
          </w:divBdr>
          <w:divsChild>
            <w:div w:id="536696064">
              <w:marLeft w:val="0"/>
              <w:marRight w:val="0"/>
              <w:marTop w:val="0"/>
              <w:marBottom w:val="0"/>
              <w:divBdr>
                <w:top w:val="none" w:sz="0" w:space="0" w:color="auto"/>
                <w:left w:val="none" w:sz="0" w:space="0" w:color="auto"/>
                <w:bottom w:val="none" w:sz="0" w:space="0" w:color="auto"/>
                <w:right w:val="none" w:sz="0" w:space="0" w:color="auto"/>
              </w:divBdr>
            </w:div>
          </w:divsChild>
        </w:div>
        <w:div w:id="157817082">
          <w:marLeft w:val="0"/>
          <w:marRight w:val="0"/>
          <w:marTop w:val="0"/>
          <w:marBottom w:val="0"/>
          <w:divBdr>
            <w:top w:val="none" w:sz="0" w:space="0" w:color="auto"/>
            <w:left w:val="none" w:sz="0" w:space="0" w:color="auto"/>
            <w:bottom w:val="none" w:sz="0" w:space="0" w:color="auto"/>
            <w:right w:val="none" w:sz="0" w:space="0" w:color="auto"/>
          </w:divBdr>
          <w:divsChild>
            <w:div w:id="1969119612">
              <w:marLeft w:val="0"/>
              <w:marRight w:val="0"/>
              <w:marTop w:val="0"/>
              <w:marBottom w:val="0"/>
              <w:divBdr>
                <w:top w:val="none" w:sz="0" w:space="0" w:color="auto"/>
                <w:left w:val="none" w:sz="0" w:space="0" w:color="auto"/>
                <w:bottom w:val="none" w:sz="0" w:space="0" w:color="auto"/>
                <w:right w:val="none" w:sz="0" w:space="0" w:color="auto"/>
              </w:divBdr>
            </w:div>
          </w:divsChild>
        </w:div>
        <w:div w:id="160851219">
          <w:marLeft w:val="0"/>
          <w:marRight w:val="0"/>
          <w:marTop w:val="0"/>
          <w:marBottom w:val="0"/>
          <w:divBdr>
            <w:top w:val="none" w:sz="0" w:space="0" w:color="auto"/>
            <w:left w:val="none" w:sz="0" w:space="0" w:color="auto"/>
            <w:bottom w:val="none" w:sz="0" w:space="0" w:color="auto"/>
            <w:right w:val="none" w:sz="0" w:space="0" w:color="auto"/>
          </w:divBdr>
          <w:divsChild>
            <w:div w:id="26611660">
              <w:marLeft w:val="0"/>
              <w:marRight w:val="0"/>
              <w:marTop w:val="0"/>
              <w:marBottom w:val="0"/>
              <w:divBdr>
                <w:top w:val="none" w:sz="0" w:space="0" w:color="auto"/>
                <w:left w:val="none" w:sz="0" w:space="0" w:color="auto"/>
                <w:bottom w:val="none" w:sz="0" w:space="0" w:color="auto"/>
                <w:right w:val="none" w:sz="0" w:space="0" w:color="auto"/>
              </w:divBdr>
            </w:div>
          </w:divsChild>
        </w:div>
        <w:div w:id="165173498">
          <w:marLeft w:val="0"/>
          <w:marRight w:val="0"/>
          <w:marTop w:val="0"/>
          <w:marBottom w:val="0"/>
          <w:divBdr>
            <w:top w:val="none" w:sz="0" w:space="0" w:color="auto"/>
            <w:left w:val="none" w:sz="0" w:space="0" w:color="auto"/>
            <w:bottom w:val="none" w:sz="0" w:space="0" w:color="auto"/>
            <w:right w:val="none" w:sz="0" w:space="0" w:color="auto"/>
          </w:divBdr>
          <w:divsChild>
            <w:div w:id="1843088249">
              <w:marLeft w:val="0"/>
              <w:marRight w:val="0"/>
              <w:marTop w:val="0"/>
              <w:marBottom w:val="0"/>
              <w:divBdr>
                <w:top w:val="none" w:sz="0" w:space="0" w:color="auto"/>
                <w:left w:val="none" w:sz="0" w:space="0" w:color="auto"/>
                <w:bottom w:val="none" w:sz="0" w:space="0" w:color="auto"/>
                <w:right w:val="none" w:sz="0" w:space="0" w:color="auto"/>
              </w:divBdr>
            </w:div>
          </w:divsChild>
        </w:div>
        <w:div w:id="179900064">
          <w:marLeft w:val="0"/>
          <w:marRight w:val="0"/>
          <w:marTop w:val="0"/>
          <w:marBottom w:val="0"/>
          <w:divBdr>
            <w:top w:val="none" w:sz="0" w:space="0" w:color="auto"/>
            <w:left w:val="none" w:sz="0" w:space="0" w:color="auto"/>
            <w:bottom w:val="none" w:sz="0" w:space="0" w:color="auto"/>
            <w:right w:val="none" w:sz="0" w:space="0" w:color="auto"/>
          </w:divBdr>
          <w:divsChild>
            <w:div w:id="671375891">
              <w:marLeft w:val="0"/>
              <w:marRight w:val="0"/>
              <w:marTop w:val="0"/>
              <w:marBottom w:val="0"/>
              <w:divBdr>
                <w:top w:val="none" w:sz="0" w:space="0" w:color="auto"/>
                <w:left w:val="none" w:sz="0" w:space="0" w:color="auto"/>
                <w:bottom w:val="none" w:sz="0" w:space="0" w:color="auto"/>
                <w:right w:val="none" w:sz="0" w:space="0" w:color="auto"/>
              </w:divBdr>
            </w:div>
          </w:divsChild>
        </w:div>
        <w:div w:id="182672874">
          <w:marLeft w:val="0"/>
          <w:marRight w:val="0"/>
          <w:marTop w:val="0"/>
          <w:marBottom w:val="0"/>
          <w:divBdr>
            <w:top w:val="none" w:sz="0" w:space="0" w:color="auto"/>
            <w:left w:val="none" w:sz="0" w:space="0" w:color="auto"/>
            <w:bottom w:val="none" w:sz="0" w:space="0" w:color="auto"/>
            <w:right w:val="none" w:sz="0" w:space="0" w:color="auto"/>
          </w:divBdr>
          <w:divsChild>
            <w:div w:id="169875044">
              <w:marLeft w:val="0"/>
              <w:marRight w:val="0"/>
              <w:marTop w:val="0"/>
              <w:marBottom w:val="0"/>
              <w:divBdr>
                <w:top w:val="none" w:sz="0" w:space="0" w:color="auto"/>
                <w:left w:val="none" w:sz="0" w:space="0" w:color="auto"/>
                <w:bottom w:val="none" w:sz="0" w:space="0" w:color="auto"/>
                <w:right w:val="none" w:sz="0" w:space="0" w:color="auto"/>
              </w:divBdr>
            </w:div>
          </w:divsChild>
        </w:div>
        <w:div w:id="261645556">
          <w:marLeft w:val="0"/>
          <w:marRight w:val="0"/>
          <w:marTop w:val="0"/>
          <w:marBottom w:val="0"/>
          <w:divBdr>
            <w:top w:val="none" w:sz="0" w:space="0" w:color="auto"/>
            <w:left w:val="none" w:sz="0" w:space="0" w:color="auto"/>
            <w:bottom w:val="none" w:sz="0" w:space="0" w:color="auto"/>
            <w:right w:val="none" w:sz="0" w:space="0" w:color="auto"/>
          </w:divBdr>
          <w:divsChild>
            <w:div w:id="730232324">
              <w:marLeft w:val="0"/>
              <w:marRight w:val="0"/>
              <w:marTop w:val="0"/>
              <w:marBottom w:val="0"/>
              <w:divBdr>
                <w:top w:val="none" w:sz="0" w:space="0" w:color="auto"/>
                <w:left w:val="none" w:sz="0" w:space="0" w:color="auto"/>
                <w:bottom w:val="none" w:sz="0" w:space="0" w:color="auto"/>
                <w:right w:val="none" w:sz="0" w:space="0" w:color="auto"/>
              </w:divBdr>
            </w:div>
          </w:divsChild>
        </w:div>
        <w:div w:id="266276083">
          <w:marLeft w:val="0"/>
          <w:marRight w:val="0"/>
          <w:marTop w:val="0"/>
          <w:marBottom w:val="0"/>
          <w:divBdr>
            <w:top w:val="none" w:sz="0" w:space="0" w:color="auto"/>
            <w:left w:val="none" w:sz="0" w:space="0" w:color="auto"/>
            <w:bottom w:val="none" w:sz="0" w:space="0" w:color="auto"/>
            <w:right w:val="none" w:sz="0" w:space="0" w:color="auto"/>
          </w:divBdr>
          <w:divsChild>
            <w:div w:id="1434862353">
              <w:marLeft w:val="0"/>
              <w:marRight w:val="0"/>
              <w:marTop w:val="0"/>
              <w:marBottom w:val="0"/>
              <w:divBdr>
                <w:top w:val="none" w:sz="0" w:space="0" w:color="auto"/>
                <w:left w:val="none" w:sz="0" w:space="0" w:color="auto"/>
                <w:bottom w:val="none" w:sz="0" w:space="0" w:color="auto"/>
                <w:right w:val="none" w:sz="0" w:space="0" w:color="auto"/>
              </w:divBdr>
            </w:div>
          </w:divsChild>
        </w:div>
        <w:div w:id="296374600">
          <w:marLeft w:val="0"/>
          <w:marRight w:val="0"/>
          <w:marTop w:val="0"/>
          <w:marBottom w:val="0"/>
          <w:divBdr>
            <w:top w:val="none" w:sz="0" w:space="0" w:color="auto"/>
            <w:left w:val="none" w:sz="0" w:space="0" w:color="auto"/>
            <w:bottom w:val="none" w:sz="0" w:space="0" w:color="auto"/>
            <w:right w:val="none" w:sz="0" w:space="0" w:color="auto"/>
          </w:divBdr>
          <w:divsChild>
            <w:div w:id="1531989678">
              <w:marLeft w:val="0"/>
              <w:marRight w:val="0"/>
              <w:marTop w:val="0"/>
              <w:marBottom w:val="0"/>
              <w:divBdr>
                <w:top w:val="none" w:sz="0" w:space="0" w:color="auto"/>
                <w:left w:val="none" w:sz="0" w:space="0" w:color="auto"/>
                <w:bottom w:val="none" w:sz="0" w:space="0" w:color="auto"/>
                <w:right w:val="none" w:sz="0" w:space="0" w:color="auto"/>
              </w:divBdr>
            </w:div>
          </w:divsChild>
        </w:div>
        <w:div w:id="296450590">
          <w:marLeft w:val="0"/>
          <w:marRight w:val="0"/>
          <w:marTop w:val="0"/>
          <w:marBottom w:val="0"/>
          <w:divBdr>
            <w:top w:val="none" w:sz="0" w:space="0" w:color="auto"/>
            <w:left w:val="none" w:sz="0" w:space="0" w:color="auto"/>
            <w:bottom w:val="none" w:sz="0" w:space="0" w:color="auto"/>
            <w:right w:val="none" w:sz="0" w:space="0" w:color="auto"/>
          </w:divBdr>
          <w:divsChild>
            <w:div w:id="1131172353">
              <w:marLeft w:val="0"/>
              <w:marRight w:val="0"/>
              <w:marTop w:val="0"/>
              <w:marBottom w:val="0"/>
              <w:divBdr>
                <w:top w:val="none" w:sz="0" w:space="0" w:color="auto"/>
                <w:left w:val="none" w:sz="0" w:space="0" w:color="auto"/>
                <w:bottom w:val="none" w:sz="0" w:space="0" w:color="auto"/>
                <w:right w:val="none" w:sz="0" w:space="0" w:color="auto"/>
              </w:divBdr>
            </w:div>
          </w:divsChild>
        </w:div>
        <w:div w:id="296955226">
          <w:marLeft w:val="0"/>
          <w:marRight w:val="0"/>
          <w:marTop w:val="0"/>
          <w:marBottom w:val="0"/>
          <w:divBdr>
            <w:top w:val="none" w:sz="0" w:space="0" w:color="auto"/>
            <w:left w:val="none" w:sz="0" w:space="0" w:color="auto"/>
            <w:bottom w:val="none" w:sz="0" w:space="0" w:color="auto"/>
            <w:right w:val="none" w:sz="0" w:space="0" w:color="auto"/>
          </w:divBdr>
          <w:divsChild>
            <w:div w:id="542905072">
              <w:marLeft w:val="0"/>
              <w:marRight w:val="0"/>
              <w:marTop w:val="0"/>
              <w:marBottom w:val="0"/>
              <w:divBdr>
                <w:top w:val="none" w:sz="0" w:space="0" w:color="auto"/>
                <w:left w:val="none" w:sz="0" w:space="0" w:color="auto"/>
                <w:bottom w:val="none" w:sz="0" w:space="0" w:color="auto"/>
                <w:right w:val="none" w:sz="0" w:space="0" w:color="auto"/>
              </w:divBdr>
            </w:div>
          </w:divsChild>
        </w:div>
        <w:div w:id="299306779">
          <w:marLeft w:val="0"/>
          <w:marRight w:val="0"/>
          <w:marTop w:val="0"/>
          <w:marBottom w:val="0"/>
          <w:divBdr>
            <w:top w:val="none" w:sz="0" w:space="0" w:color="auto"/>
            <w:left w:val="none" w:sz="0" w:space="0" w:color="auto"/>
            <w:bottom w:val="none" w:sz="0" w:space="0" w:color="auto"/>
            <w:right w:val="none" w:sz="0" w:space="0" w:color="auto"/>
          </w:divBdr>
          <w:divsChild>
            <w:div w:id="175467458">
              <w:marLeft w:val="0"/>
              <w:marRight w:val="0"/>
              <w:marTop w:val="0"/>
              <w:marBottom w:val="0"/>
              <w:divBdr>
                <w:top w:val="none" w:sz="0" w:space="0" w:color="auto"/>
                <w:left w:val="none" w:sz="0" w:space="0" w:color="auto"/>
                <w:bottom w:val="none" w:sz="0" w:space="0" w:color="auto"/>
                <w:right w:val="none" w:sz="0" w:space="0" w:color="auto"/>
              </w:divBdr>
            </w:div>
          </w:divsChild>
        </w:div>
        <w:div w:id="310602663">
          <w:marLeft w:val="0"/>
          <w:marRight w:val="0"/>
          <w:marTop w:val="0"/>
          <w:marBottom w:val="0"/>
          <w:divBdr>
            <w:top w:val="none" w:sz="0" w:space="0" w:color="auto"/>
            <w:left w:val="none" w:sz="0" w:space="0" w:color="auto"/>
            <w:bottom w:val="none" w:sz="0" w:space="0" w:color="auto"/>
            <w:right w:val="none" w:sz="0" w:space="0" w:color="auto"/>
          </w:divBdr>
          <w:divsChild>
            <w:div w:id="1721704998">
              <w:marLeft w:val="0"/>
              <w:marRight w:val="0"/>
              <w:marTop w:val="0"/>
              <w:marBottom w:val="0"/>
              <w:divBdr>
                <w:top w:val="none" w:sz="0" w:space="0" w:color="auto"/>
                <w:left w:val="none" w:sz="0" w:space="0" w:color="auto"/>
                <w:bottom w:val="none" w:sz="0" w:space="0" w:color="auto"/>
                <w:right w:val="none" w:sz="0" w:space="0" w:color="auto"/>
              </w:divBdr>
            </w:div>
          </w:divsChild>
        </w:div>
        <w:div w:id="316422227">
          <w:marLeft w:val="0"/>
          <w:marRight w:val="0"/>
          <w:marTop w:val="0"/>
          <w:marBottom w:val="0"/>
          <w:divBdr>
            <w:top w:val="none" w:sz="0" w:space="0" w:color="auto"/>
            <w:left w:val="none" w:sz="0" w:space="0" w:color="auto"/>
            <w:bottom w:val="none" w:sz="0" w:space="0" w:color="auto"/>
            <w:right w:val="none" w:sz="0" w:space="0" w:color="auto"/>
          </w:divBdr>
          <w:divsChild>
            <w:div w:id="124082713">
              <w:marLeft w:val="0"/>
              <w:marRight w:val="0"/>
              <w:marTop w:val="0"/>
              <w:marBottom w:val="0"/>
              <w:divBdr>
                <w:top w:val="none" w:sz="0" w:space="0" w:color="auto"/>
                <w:left w:val="none" w:sz="0" w:space="0" w:color="auto"/>
                <w:bottom w:val="none" w:sz="0" w:space="0" w:color="auto"/>
                <w:right w:val="none" w:sz="0" w:space="0" w:color="auto"/>
              </w:divBdr>
            </w:div>
          </w:divsChild>
        </w:div>
        <w:div w:id="319160824">
          <w:marLeft w:val="0"/>
          <w:marRight w:val="0"/>
          <w:marTop w:val="0"/>
          <w:marBottom w:val="0"/>
          <w:divBdr>
            <w:top w:val="none" w:sz="0" w:space="0" w:color="auto"/>
            <w:left w:val="none" w:sz="0" w:space="0" w:color="auto"/>
            <w:bottom w:val="none" w:sz="0" w:space="0" w:color="auto"/>
            <w:right w:val="none" w:sz="0" w:space="0" w:color="auto"/>
          </w:divBdr>
          <w:divsChild>
            <w:div w:id="157697463">
              <w:marLeft w:val="0"/>
              <w:marRight w:val="0"/>
              <w:marTop w:val="0"/>
              <w:marBottom w:val="0"/>
              <w:divBdr>
                <w:top w:val="none" w:sz="0" w:space="0" w:color="auto"/>
                <w:left w:val="none" w:sz="0" w:space="0" w:color="auto"/>
                <w:bottom w:val="none" w:sz="0" w:space="0" w:color="auto"/>
                <w:right w:val="none" w:sz="0" w:space="0" w:color="auto"/>
              </w:divBdr>
            </w:div>
          </w:divsChild>
        </w:div>
        <w:div w:id="339966353">
          <w:marLeft w:val="0"/>
          <w:marRight w:val="0"/>
          <w:marTop w:val="0"/>
          <w:marBottom w:val="0"/>
          <w:divBdr>
            <w:top w:val="none" w:sz="0" w:space="0" w:color="auto"/>
            <w:left w:val="none" w:sz="0" w:space="0" w:color="auto"/>
            <w:bottom w:val="none" w:sz="0" w:space="0" w:color="auto"/>
            <w:right w:val="none" w:sz="0" w:space="0" w:color="auto"/>
          </w:divBdr>
          <w:divsChild>
            <w:div w:id="1700545631">
              <w:marLeft w:val="0"/>
              <w:marRight w:val="0"/>
              <w:marTop w:val="0"/>
              <w:marBottom w:val="0"/>
              <w:divBdr>
                <w:top w:val="none" w:sz="0" w:space="0" w:color="auto"/>
                <w:left w:val="none" w:sz="0" w:space="0" w:color="auto"/>
                <w:bottom w:val="none" w:sz="0" w:space="0" w:color="auto"/>
                <w:right w:val="none" w:sz="0" w:space="0" w:color="auto"/>
              </w:divBdr>
            </w:div>
          </w:divsChild>
        </w:div>
        <w:div w:id="347830959">
          <w:marLeft w:val="0"/>
          <w:marRight w:val="0"/>
          <w:marTop w:val="0"/>
          <w:marBottom w:val="0"/>
          <w:divBdr>
            <w:top w:val="none" w:sz="0" w:space="0" w:color="auto"/>
            <w:left w:val="none" w:sz="0" w:space="0" w:color="auto"/>
            <w:bottom w:val="none" w:sz="0" w:space="0" w:color="auto"/>
            <w:right w:val="none" w:sz="0" w:space="0" w:color="auto"/>
          </w:divBdr>
          <w:divsChild>
            <w:div w:id="1608853591">
              <w:marLeft w:val="0"/>
              <w:marRight w:val="0"/>
              <w:marTop w:val="0"/>
              <w:marBottom w:val="0"/>
              <w:divBdr>
                <w:top w:val="none" w:sz="0" w:space="0" w:color="auto"/>
                <w:left w:val="none" w:sz="0" w:space="0" w:color="auto"/>
                <w:bottom w:val="none" w:sz="0" w:space="0" w:color="auto"/>
                <w:right w:val="none" w:sz="0" w:space="0" w:color="auto"/>
              </w:divBdr>
            </w:div>
          </w:divsChild>
        </w:div>
        <w:div w:id="357659981">
          <w:marLeft w:val="0"/>
          <w:marRight w:val="0"/>
          <w:marTop w:val="0"/>
          <w:marBottom w:val="0"/>
          <w:divBdr>
            <w:top w:val="none" w:sz="0" w:space="0" w:color="auto"/>
            <w:left w:val="none" w:sz="0" w:space="0" w:color="auto"/>
            <w:bottom w:val="none" w:sz="0" w:space="0" w:color="auto"/>
            <w:right w:val="none" w:sz="0" w:space="0" w:color="auto"/>
          </w:divBdr>
          <w:divsChild>
            <w:div w:id="314458644">
              <w:marLeft w:val="0"/>
              <w:marRight w:val="0"/>
              <w:marTop w:val="0"/>
              <w:marBottom w:val="0"/>
              <w:divBdr>
                <w:top w:val="none" w:sz="0" w:space="0" w:color="auto"/>
                <w:left w:val="none" w:sz="0" w:space="0" w:color="auto"/>
                <w:bottom w:val="none" w:sz="0" w:space="0" w:color="auto"/>
                <w:right w:val="none" w:sz="0" w:space="0" w:color="auto"/>
              </w:divBdr>
            </w:div>
          </w:divsChild>
        </w:div>
        <w:div w:id="361983956">
          <w:marLeft w:val="0"/>
          <w:marRight w:val="0"/>
          <w:marTop w:val="0"/>
          <w:marBottom w:val="0"/>
          <w:divBdr>
            <w:top w:val="none" w:sz="0" w:space="0" w:color="auto"/>
            <w:left w:val="none" w:sz="0" w:space="0" w:color="auto"/>
            <w:bottom w:val="none" w:sz="0" w:space="0" w:color="auto"/>
            <w:right w:val="none" w:sz="0" w:space="0" w:color="auto"/>
          </w:divBdr>
          <w:divsChild>
            <w:div w:id="340281383">
              <w:marLeft w:val="0"/>
              <w:marRight w:val="0"/>
              <w:marTop w:val="0"/>
              <w:marBottom w:val="0"/>
              <w:divBdr>
                <w:top w:val="none" w:sz="0" w:space="0" w:color="auto"/>
                <w:left w:val="none" w:sz="0" w:space="0" w:color="auto"/>
                <w:bottom w:val="none" w:sz="0" w:space="0" w:color="auto"/>
                <w:right w:val="none" w:sz="0" w:space="0" w:color="auto"/>
              </w:divBdr>
            </w:div>
          </w:divsChild>
        </w:div>
        <w:div w:id="367492016">
          <w:marLeft w:val="0"/>
          <w:marRight w:val="0"/>
          <w:marTop w:val="0"/>
          <w:marBottom w:val="0"/>
          <w:divBdr>
            <w:top w:val="none" w:sz="0" w:space="0" w:color="auto"/>
            <w:left w:val="none" w:sz="0" w:space="0" w:color="auto"/>
            <w:bottom w:val="none" w:sz="0" w:space="0" w:color="auto"/>
            <w:right w:val="none" w:sz="0" w:space="0" w:color="auto"/>
          </w:divBdr>
          <w:divsChild>
            <w:div w:id="1058820412">
              <w:marLeft w:val="0"/>
              <w:marRight w:val="0"/>
              <w:marTop w:val="0"/>
              <w:marBottom w:val="0"/>
              <w:divBdr>
                <w:top w:val="none" w:sz="0" w:space="0" w:color="auto"/>
                <w:left w:val="none" w:sz="0" w:space="0" w:color="auto"/>
                <w:bottom w:val="none" w:sz="0" w:space="0" w:color="auto"/>
                <w:right w:val="none" w:sz="0" w:space="0" w:color="auto"/>
              </w:divBdr>
            </w:div>
          </w:divsChild>
        </w:div>
        <w:div w:id="368915115">
          <w:marLeft w:val="0"/>
          <w:marRight w:val="0"/>
          <w:marTop w:val="0"/>
          <w:marBottom w:val="0"/>
          <w:divBdr>
            <w:top w:val="none" w:sz="0" w:space="0" w:color="auto"/>
            <w:left w:val="none" w:sz="0" w:space="0" w:color="auto"/>
            <w:bottom w:val="none" w:sz="0" w:space="0" w:color="auto"/>
            <w:right w:val="none" w:sz="0" w:space="0" w:color="auto"/>
          </w:divBdr>
          <w:divsChild>
            <w:div w:id="1727608403">
              <w:marLeft w:val="0"/>
              <w:marRight w:val="0"/>
              <w:marTop w:val="0"/>
              <w:marBottom w:val="0"/>
              <w:divBdr>
                <w:top w:val="none" w:sz="0" w:space="0" w:color="auto"/>
                <w:left w:val="none" w:sz="0" w:space="0" w:color="auto"/>
                <w:bottom w:val="none" w:sz="0" w:space="0" w:color="auto"/>
                <w:right w:val="none" w:sz="0" w:space="0" w:color="auto"/>
              </w:divBdr>
            </w:div>
          </w:divsChild>
        </w:div>
        <w:div w:id="391081426">
          <w:marLeft w:val="0"/>
          <w:marRight w:val="0"/>
          <w:marTop w:val="0"/>
          <w:marBottom w:val="0"/>
          <w:divBdr>
            <w:top w:val="none" w:sz="0" w:space="0" w:color="auto"/>
            <w:left w:val="none" w:sz="0" w:space="0" w:color="auto"/>
            <w:bottom w:val="none" w:sz="0" w:space="0" w:color="auto"/>
            <w:right w:val="none" w:sz="0" w:space="0" w:color="auto"/>
          </w:divBdr>
          <w:divsChild>
            <w:div w:id="1315453550">
              <w:marLeft w:val="0"/>
              <w:marRight w:val="0"/>
              <w:marTop w:val="0"/>
              <w:marBottom w:val="0"/>
              <w:divBdr>
                <w:top w:val="none" w:sz="0" w:space="0" w:color="auto"/>
                <w:left w:val="none" w:sz="0" w:space="0" w:color="auto"/>
                <w:bottom w:val="none" w:sz="0" w:space="0" w:color="auto"/>
                <w:right w:val="none" w:sz="0" w:space="0" w:color="auto"/>
              </w:divBdr>
            </w:div>
          </w:divsChild>
        </w:div>
        <w:div w:id="392580132">
          <w:marLeft w:val="0"/>
          <w:marRight w:val="0"/>
          <w:marTop w:val="0"/>
          <w:marBottom w:val="0"/>
          <w:divBdr>
            <w:top w:val="none" w:sz="0" w:space="0" w:color="auto"/>
            <w:left w:val="none" w:sz="0" w:space="0" w:color="auto"/>
            <w:bottom w:val="none" w:sz="0" w:space="0" w:color="auto"/>
            <w:right w:val="none" w:sz="0" w:space="0" w:color="auto"/>
          </w:divBdr>
          <w:divsChild>
            <w:div w:id="131599044">
              <w:marLeft w:val="0"/>
              <w:marRight w:val="0"/>
              <w:marTop w:val="0"/>
              <w:marBottom w:val="0"/>
              <w:divBdr>
                <w:top w:val="none" w:sz="0" w:space="0" w:color="auto"/>
                <w:left w:val="none" w:sz="0" w:space="0" w:color="auto"/>
                <w:bottom w:val="none" w:sz="0" w:space="0" w:color="auto"/>
                <w:right w:val="none" w:sz="0" w:space="0" w:color="auto"/>
              </w:divBdr>
            </w:div>
          </w:divsChild>
        </w:div>
        <w:div w:id="396435606">
          <w:marLeft w:val="0"/>
          <w:marRight w:val="0"/>
          <w:marTop w:val="0"/>
          <w:marBottom w:val="0"/>
          <w:divBdr>
            <w:top w:val="none" w:sz="0" w:space="0" w:color="auto"/>
            <w:left w:val="none" w:sz="0" w:space="0" w:color="auto"/>
            <w:bottom w:val="none" w:sz="0" w:space="0" w:color="auto"/>
            <w:right w:val="none" w:sz="0" w:space="0" w:color="auto"/>
          </w:divBdr>
          <w:divsChild>
            <w:div w:id="1151825068">
              <w:marLeft w:val="0"/>
              <w:marRight w:val="0"/>
              <w:marTop w:val="0"/>
              <w:marBottom w:val="0"/>
              <w:divBdr>
                <w:top w:val="none" w:sz="0" w:space="0" w:color="auto"/>
                <w:left w:val="none" w:sz="0" w:space="0" w:color="auto"/>
                <w:bottom w:val="none" w:sz="0" w:space="0" w:color="auto"/>
                <w:right w:val="none" w:sz="0" w:space="0" w:color="auto"/>
              </w:divBdr>
            </w:div>
          </w:divsChild>
        </w:div>
        <w:div w:id="403600457">
          <w:marLeft w:val="0"/>
          <w:marRight w:val="0"/>
          <w:marTop w:val="0"/>
          <w:marBottom w:val="0"/>
          <w:divBdr>
            <w:top w:val="none" w:sz="0" w:space="0" w:color="auto"/>
            <w:left w:val="none" w:sz="0" w:space="0" w:color="auto"/>
            <w:bottom w:val="none" w:sz="0" w:space="0" w:color="auto"/>
            <w:right w:val="none" w:sz="0" w:space="0" w:color="auto"/>
          </w:divBdr>
          <w:divsChild>
            <w:div w:id="114377196">
              <w:marLeft w:val="0"/>
              <w:marRight w:val="0"/>
              <w:marTop w:val="0"/>
              <w:marBottom w:val="0"/>
              <w:divBdr>
                <w:top w:val="none" w:sz="0" w:space="0" w:color="auto"/>
                <w:left w:val="none" w:sz="0" w:space="0" w:color="auto"/>
                <w:bottom w:val="none" w:sz="0" w:space="0" w:color="auto"/>
                <w:right w:val="none" w:sz="0" w:space="0" w:color="auto"/>
              </w:divBdr>
            </w:div>
          </w:divsChild>
        </w:div>
        <w:div w:id="419524196">
          <w:marLeft w:val="0"/>
          <w:marRight w:val="0"/>
          <w:marTop w:val="0"/>
          <w:marBottom w:val="0"/>
          <w:divBdr>
            <w:top w:val="none" w:sz="0" w:space="0" w:color="auto"/>
            <w:left w:val="none" w:sz="0" w:space="0" w:color="auto"/>
            <w:bottom w:val="none" w:sz="0" w:space="0" w:color="auto"/>
            <w:right w:val="none" w:sz="0" w:space="0" w:color="auto"/>
          </w:divBdr>
          <w:divsChild>
            <w:div w:id="1492256752">
              <w:marLeft w:val="0"/>
              <w:marRight w:val="0"/>
              <w:marTop w:val="0"/>
              <w:marBottom w:val="0"/>
              <w:divBdr>
                <w:top w:val="none" w:sz="0" w:space="0" w:color="auto"/>
                <w:left w:val="none" w:sz="0" w:space="0" w:color="auto"/>
                <w:bottom w:val="none" w:sz="0" w:space="0" w:color="auto"/>
                <w:right w:val="none" w:sz="0" w:space="0" w:color="auto"/>
              </w:divBdr>
            </w:div>
          </w:divsChild>
        </w:div>
        <w:div w:id="427627484">
          <w:marLeft w:val="0"/>
          <w:marRight w:val="0"/>
          <w:marTop w:val="0"/>
          <w:marBottom w:val="0"/>
          <w:divBdr>
            <w:top w:val="none" w:sz="0" w:space="0" w:color="auto"/>
            <w:left w:val="none" w:sz="0" w:space="0" w:color="auto"/>
            <w:bottom w:val="none" w:sz="0" w:space="0" w:color="auto"/>
            <w:right w:val="none" w:sz="0" w:space="0" w:color="auto"/>
          </w:divBdr>
          <w:divsChild>
            <w:div w:id="1956983709">
              <w:marLeft w:val="0"/>
              <w:marRight w:val="0"/>
              <w:marTop w:val="0"/>
              <w:marBottom w:val="0"/>
              <w:divBdr>
                <w:top w:val="none" w:sz="0" w:space="0" w:color="auto"/>
                <w:left w:val="none" w:sz="0" w:space="0" w:color="auto"/>
                <w:bottom w:val="none" w:sz="0" w:space="0" w:color="auto"/>
                <w:right w:val="none" w:sz="0" w:space="0" w:color="auto"/>
              </w:divBdr>
            </w:div>
          </w:divsChild>
        </w:div>
        <w:div w:id="433018799">
          <w:marLeft w:val="0"/>
          <w:marRight w:val="0"/>
          <w:marTop w:val="0"/>
          <w:marBottom w:val="0"/>
          <w:divBdr>
            <w:top w:val="none" w:sz="0" w:space="0" w:color="auto"/>
            <w:left w:val="none" w:sz="0" w:space="0" w:color="auto"/>
            <w:bottom w:val="none" w:sz="0" w:space="0" w:color="auto"/>
            <w:right w:val="none" w:sz="0" w:space="0" w:color="auto"/>
          </w:divBdr>
          <w:divsChild>
            <w:div w:id="1100638149">
              <w:marLeft w:val="0"/>
              <w:marRight w:val="0"/>
              <w:marTop w:val="0"/>
              <w:marBottom w:val="0"/>
              <w:divBdr>
                <w:top w:val="none" w:sz="0" w:space="0" w:color="auto"/>
                <w:left w:val="none" w:sz="0" w:space="0" w:color="auto"/>
                <w:bottom w:val="none" w:sz="0" w:space="0" w:color="auto"/>
                <w:right w:val="none" w:sz="0" w:space="0" w:color="auto"/>
              </w:divBdr>
            </w:div>
          </w:divsChild>
        </w:div>
        <w:div w:id="436877112">
          <w:marLeft w:val="0"/>
          <w:marRight w:val="0"/>
          <w:marTop w:val="0"/>
          <w:marBottom w:val="0"/>
          <w:divBdr>
            <w:top w:val="none" w:sz="0" w:space="0" w:color="auto"/>
            <w:left w:val="none" w:sz="0" w:space="0" w:color="auto"/>
            <w:bottom w:val="none" w:sz="0" w:space="0" w:color="auto"/>
            <w:right w:val="none" w:sz="0" w:space="0" w:color="auto"/>
          </w:divBdr>
          <w:divsChild>
            <w:div w:id="401215556">
              <w:marLeft w:val="0"/>
              <w:marRight w:val="0"/>
              <w:marTop w:val="0"/>
              <w:marBottom w:val="0"/>
              <w:divBdr>
                <w:top w:val="none" w:sz="0" w:space="0" w:color="auto"/>
                <w:left w:val="none" w:sz="0" w:space="0" w:color="auto"/>
                <w:bottom w:val="none" w:sz="0" w:space="0" w:color="auto"/>
                <w:right w:val="none" w:sz="0" w:space="0" w:color="auto"/>
              </w:divBdr>
            </w:div>
          </w:divsChild>
        </w:div>
        <w:div w:id="445928439">
          <w:marLeft w:val="0"/>
          <w:marRight w:val="0"/>
          <w:marTop w:val="0"/>
          <w:marBottom w:val="0"/>
          <w:divBdr>
            <w:top w:val="none" w:sz="0" w:space="0" w:color="auto"/>
            <w:left w:val="none" w:sz="0" w:space="0" w:color="auto"/>
            <w:bottom w:val="none" w:sz="0" w:space="0" w:color="auto"/>
            <w:right w:val="none" w:sz="0" w:space="0" w:color="auto"/>
          </w:divBdr>
          <w:divsChild>
            <w:div w:id="737245997">
              <w:marLeft w:val="0"/>
              <w:marRight w:val="0"/>
              <w:marTop w:val="0"/>
              <w:marBottom w:val="0"/>
              <w:divBdr>
                <w:top w:val="none" w:sz="0" w:space="0" w:color="auto"/>
                <w:left w:val="none" w:sz="0" w:space="0" w:color="auto"/>
                <w:bottom w:val="none" w:sz="0" w:space="0" w:color="auto"/>
                <w:right w:val="none" w:sz="0" w:space="0" w:color="auto"/>
              </w:divBdr>
            </w:div>
          </w:divsChild>
        </w:div>
        <w:div w:id="449974341">
          <w:marLeft w:val="0"/>
          <w:marRight w:val="0"/>
          <w:marTop w:val="0"/>
          <w:marBottom w:val="0"/>
          <w:divBdr>
            <w:top w:val="none" w:sz="0" w:space="0" w:color="auto"/>
            <w:left w:val="none" w:sz="0" w:space="0" w:color="auto"/>
            <w:bottom w:val="none" w:sz="0" w:space="0" w:color="auto"/>
            <w:right w:val="none" w:sz="0" w:space="0" w:color="auto"/>
          </w:divBdr>
          <w:divsChild>
            <w:div w:id="738137427">
              <w:marLeft w:val="0"/>
              <w:marRight w:val="0"/>
              <w:marTop w:val="0"/>
              <w:marBottom w:val="0"/>
              <w:divBdr>
                <w:top w:val="none" w:sz="0" w:space="0" w:color="auto"/>
                <w:left w:val="none" w:sz="0" w:space="0" w:color="auto"/>
                <w:bottom w:val="none" w:sz="0" w:space="0" w:color="auto"/>
                <w:right w:val="none" w:sz="0" w:space="0" w:color="auto"/>
              </w:divBdr>
            </w:div>
          </w:divsChild>
        </w:div>
        <w:div w:id="463692686">
          <w:marLeft w:val="0"/>
          <w:marRight w:val="0"/>
          <w:marTop w:val="0"/>
          <w:marBottom w:val="0"/>
          <w:divBdr>
            <w:top w:val="none" w:sz="0" w:space="0" w:color="auto"/>
            <w:left w:val="none" w:sz="0" w:space="0" w:color="auto"/>
            <w:bottom w:val="none" w:sz="0" w:space="0" w:color="auto"/>
            <w:right w:val="none" w:sz="0" w:space="0" w:color="auto"/>
          </w:divBdr>
          <w:divsChild>
            <w:div w:id="1688214837">
              <w:marLeft w:val="0"/>
              <w:marRight w:val="0"/>
              <w:marTop w:val="0"/>
              <w:marBottom w:val="0"/>
              <w:divBdr>
                <w:top w:val="none" w:sz="0" w:space="0" w:color="auto"/>
                <w:left w:val="none" w:sz="0" w:space="0" w:color="auto"/>
                <w:bottom w:val="none" w:sz="0" w:space="0" w:color="auto"/>
                <w:right w:val="none" w:sz="0" w:space="0" w:color="auto"/>
              </w:divBdr>
            </w:div>
          </w:divsChild>
        </w:div>
        <w:div w:id="476260315">
          <w:marLeft w:val="0"/>
          <w:marRight w:val="0"/>
          <w:marTop w:val="0"/>
          <w:marBottom w:val="0"/>
          <w:divBdr>
            <w:top w:val="none" w:sz="0" w:space="0" w:color="auto"/>
            <w:left w:val="none" w:sz="0" w:space="0" w:color="auto"/>
            <w:bottom w:val="none" w:sz="0" w:space="0" w:color="auto"/>
            <w:right w:val="none" w:sz="0" w:space="0" w:color="auto"/>
          </w:divBdr>
          <w:divsChild>
            <w:div w:id="278340648">
              <w:marLeft w:val="0"/>
              <w:marRight w:val="0"/>
              <w:marTop w:val="0"/>
              <w:marBottom w:val="0"/>
              <w:divBdr>
                <w:top w:val="none" w:sz="0" w:space="0" w:color="auto"/>
                <w:left w:val="none" w:sz="0" w:space="0" w:color="auto"/>
                <w:bottom w:val="none" w:sz="0" w:space="0" w:color="auto"/>
                <w:right w:val="none" w:sz="0" w:space="0" w:color="auto"/>
              </w:divBdr>
            </w:div>
          </w:divsChild>
        </w:div>
        <w:div w:id="478500406">
          <w:marLeft w:val="0"/>
          <w:marRight w:val="0"/>
          <w:marTop w:val="0"/>
          <w:marBottom w:val="0"/>
          <w:divBdr>
            <w:top w:val="none" w:sz="0" w:space="0" w:color="auto"/>
            <w:left w:val="none" w:sz="0" w:space="0" w:color="auto"/>
            <w:bottom w:val="none" w:sz="0" w:space="0" w:color="auto"/>
            <w:right w:val="none" w:sz="0" w:space="0" w:color="auto"/>
          </w:divBdr>
          <w:divsChild>
            <w:div w:id="144973149">
              <w:marLeft w:val="0"/>
              <w:marRight w:val="0"/>
              <w:marTop w:val="0"/>
              <w:marBottom w:val="0"/>
              <w:divBdr>
                <w:top w:val="none" w:sz="0" w:space="0" w:color="auto"/>
                <w:left w:val="none" w:sz="0" w:space="0" w:color="auto"/>
                <w:bottom w:val="none" w:sz="0" w:space="0" w:color="auto"/>
                <w:right w:val="none" w:sz="0" w:space="0" w:color="auto"/>
              </w:divBdr>
            </w:div>
          </w:divsChild>
        </w:div>
        <w:div w:id="489100365">
          <w:marLeft w:val="0"/>
          <w:marRight w:val="0"/>
          <w:marTop w:val="0"/>
          <w:marBottom w:val="0"/>
          <w:divBdr>
            <w:top w:val="none" w:sz="0" w:space="0" w:color="auto"/>
            <w:left w:val="none" w:sz="0" w:space="0" w:color="auto"/>
            <w:bottom w:val="none" w:sz="0" w:space="0" w:color="auto"/>
            <w:right w:val="none" w:sz="0" w:space="0" w:color="auto"/>
          </w:divBdr>
          <w:divsChild>
            <w:div w:id="2078747375">
              <w:marLeft w:val="0"/>
              <w:marRight w:val="0"/>
              <w:marTop w:val="0"/>
              <w:marBottom w:val="0"/>
              <w:divBdr>
                <w:top w:val="none" w:sz="0" w:space="0" w:color="auto"/>
                <w:left w:val="none" w:sz="0" w:space="0" w:color="auto"/>
                <w:bottom w:val="none" w:sz="0" w:space="0" w:color="auto"/>
                <w:right w:val="none" w:sz="0" w:space="0" w:color="auto"/>
              </w:divBdr>
            </w:div>
          </w:divsChild>
        </w:div>
        <w:div w:id="512383007">
          <w:marLeft w:val="0"/>
          <w:marRight w:val="0"/>
          <w:marTop w:val="0"/>
          <w:marBottom w:val="0"/>
          <w:divBdr>
            <w:top w:val="none" w:sz="0" w:space="0" w:color="auto"/>
            <w:left w:val="none" w:sz="0" w:space="0" w:color="auto"/>
            <w:bottom w:val="none" w:sz="0" w:space="0" w:color="auto"/>
            <w:right w:val="none" w:sz="0" w:space="0" w:color="auto"/>
          </w:divBdr>
          <w:divsChild>
            <w:div w:id="1022320981">
              <w:marLeft w:val="0"/>
              <w:marRight w:val="0"/>
              <w:marTop w:val="0"/>
              <w:marBottom w:val="0"/>
              <w:divBdr>
                <w:top w:val="none" w:sz="0" w:space="0" w:color="auto"/>
                <w:left w:val="none" w:sz="0" w:space="0" w:color="auto"/>
                <w:bottom w:val="none" w:sz="0" w:space="0" w:color="auto"/>
                <w:right w:val="none" w:sz="0" w:space="0" w:color="auto"/>
              </w:divBdr>
            </w:div>
          </w:divsChild>
        </w:div>
        <w:div w:id="527186857">
          <w:marLeft w:val="0"/>
          <w:marRight w:val="0"/>
          <w:marTop w:val="0"/>
          <w:marBottom w:val="0"/>
          <w:divBdr>
            <w:top w:val="none" w:sz="0" w:space="0" w:color="auto"/>
            <w:left w:val="none" w:sz="0" w:space="0" w:color="auto"/>
            <w:bottom w:val="none" w:sz="0" w:space="0" w:color="auto"/>
            <w:right w:val="none" w:sz="0" w:space="0" w:color="auto"/>
          </w:divBdr>
          <w:divsChild>
            <w:div w:id="2094741489">
              <w:marLeft w:val="0"/>
              <w:marRight w:val="0"/>
              <w:marTop w:val="0"/>
              <w:marBottom w:val="0"/>
              <w:divBdr>
                <w:top w:val="none" w:sz="0" w:space="0" w:color="auto"/>
                <w:left w:val="none" w:sz="0" w:space="0" w:color="auto"/>
                <w:bottom w:val="none" w:sz="0" w:space="0" w:color="auto"/>
                <w:right w:val="none" w:sz="0" w:space="0" w:color="auto"/>
              </w:divBdr>
            </w:div>
          </w:divsChild>
        </w:div>
        <w:div w:id="531967159">
          <w:marLeft w:val="0"/>
          <w:marRight w:val="0"/>
          <w:marTop w:val="0"/>
          <w:marBottom w:val="0"/>
          <w:divBdr>
            <w:top w:val="none" w:sz="0" w:space="0" w:color="auto"/>
            <w:left w:val="none" w:sz="0" w:space="0" w:color="auto"/>
            <w:bottom w:val="none" w:sz="0" w:space="0" w:color="auto"/>
            <w:right w:val="none" w:sz="0" w:space="0" w:color="auto"/>
          </w:divBdr>
          <w:divsChild>
            <w:div w:id="818764023">
              <w:marLeft w:val="0"/>
              <w:marRight w:val="0"/>
              <w:marTop w:val="0"/>
              <w:marBottom w:val="0"/>
              <w:divBdr>
                <w:top w:val="none" w:sz="0" w:space="0" w:color="auto"/>
                <w:left w:val="none" w:sz="0" w:space="0" w:color="auto"/>
                <w:bottom w:val="none" w:sz="0" w:space="0" w:color="auto"/>
                <w:right w:val="none" w:sz="0" w:space="0" w:color="auto"/>
              </w:divBdr>
            </w:div>
          </w:divsChild>
        </w:div>
        <w:div w:id="532040726">
          <w:marLeft w:val="0"/>
          <w:marRight w:val="0"/>
          <w:marTop w:val="0"/>
          <w:marBottom w:val="0"/>
          <w:divBdr>
            <w:top w:val="none" w:sz="0" w:space="0" w:color="auto"/>
            <w:left w:val="none" w:sz="0" w:space="0" w:color="auto"/>
            <w:bottom w:val="none" w:sz="0" w:space="0" w:color="auto"/>
            <w:right w:val="none" w:sz="0" w:space="0" w:color="auto"/>
          </w:divBdr>
          <w:divsChild>
            <w:div w:id="784231486">
              <w:marLeft w:val="0"/>
              <w:marRight w:val="0"/>
              <w:marTop w:val="0"/>
              <w:marBottom w:val="0"/>
              <w:divBdr>
                <w:top w:val="none" w:sz="0" w:space="0" w:color="auto"/>
                <w:left w:val="none" w:sz="0" w:space="0" w:color="auto"/>
                <w:bottom w:val="none" w:sz="0" w:space="0" w:color="auto"/>
                <w:right w:val="none" w:sz="0" w:space="0" w:color="auto"/>
              </w:divBdr>
            </w:div>
          </w:divsChild>
        </w:div>
        <w:div w:id="532815320">
          <w:marLeft w:val="0"/>
          <w:marRight w:val="0"/>
          <w:marTop w:val="0"/>
          <w:marBottom w:val="0"/>
          <w:divBdr>
            <w:top w:val="none" w:sz="0" w:space="0" w:color="auto"/>
            <w:left w:val="none" w:sz="0" w:space="0" w:color="auto"/>
            <w:bottom w:val="none" w:sz="0" w:space="0" w:color="auto"/>
            <w:right w:val="none" w:sz="0" w:space="0" w:color="auto"/>
          </w:divBdr>
          <w:divsChild>
            <w:div w:id="1204639674">
              <w:marLeft w:val="0"/>
              <w:marRight w:val="0"/>
              <w:marTop w:val="0"/>
              <w:marBottom w:val="0"/>
              <w:divBdr>
                <w:top w:val="none" w:sz="0" w:space="0" w:color="auto"/>
                <w:left w:val="none" w:sz="0" w:space="0" w:color="auto"/>
                <w:bottom w:val="none" w:sz="0" w:space="0" w:color="auto"/>
                <w:right w:val="none" w:sz="0" w:space="0" w:color="auto"/>
              </w:divBdr>
            </w:div>
          </w:divsChild>
        </w:div>
        <w:div w:id="543759726">
          <w:marLeft w:val="0"/>
          <w:marRight w:val="0"/>
          <w:marTop w:val="0"/>
          <w:marBottom w:val="0"/>
          <w:divBdr>
            <w:top w:val="none" w:sz="0" w:space="0" w:color="auto"/>
            <w:left w:val="none" w:sz="0" w:space="0" w:color="auto"/>
            <w:bottom w:val="none" w:sz="0" w:space="0" w:color="auto"/>
            <w:right w:val="none" w:sz="0" w:space="0" w:color="auto"/>
          </w:divBdr>
          <w:divsChild>
            <w:div w:id="1935046158">
              <w:marLeft w:val="0"/>
              <w:marRight w:val="0"/>
              <w:marTop w:val="0"/>
              <w:marBottom w:val="0"/>
              <w:divBdr>
                <w:top w:val="none" w:sz="0" w:space="0" w:color="auto"/>
                <w:left w:val="none" w:sz="0" w:space="0" w:color="auto"/>
                <w:bottom w:val="none" w:sz="0" w:space="0" w:color="auto"/>
                <w:right w:val="none" w:sz="0" w:space="0" w:color="auto"/>
              </w:divBdr>
            </w:div>
          </w:divsChild>
        </w:div>
        <w:div w:id="556553283">
          <w:marLeft w:val="0"/>
          <w:marRight w:val="0"/>
          <w:marTop w:val="0"/>
          <w:marBottom w:val="0"/>
          <w:divBdr>
            <w:top w:val="none" w:sz="0" w:space="0" w:color="auto"/>
            <w:left w:val="none" w:sz="0" w:space="0" w:color="auto"/>
            <w:bottom w:val="none" w:sz="0" w:space="0" w:color="auto"/>
            <w:right w:val="none" w:sz="0" w:space="0" w:color="auto"/>
          </w:divBdr>
          <w:divsChild>
            <w:div w:id="1833833157">
              <w:marLeft w:val="0"/>
              <w:marRight w:val="0"/>
              <w:marTop w:val="0"/>
              <w:marBottom w:val="0"/>
              <w:divBdr>
                <w:top w:val="none" w:sz="0" w:space="0" w:color="auto"/>
                <w:left w:val="none" w:sz="0" w:space="0" w:color="auto"/>
                <w:bottom w:val="none" w:sz="0" w:space="0" w:color="auto"/>
                <w:right w:val="none" w:sz="0" w:space="0" w:color="auto"/>
              </w:divBdr>
            </w:div>
          </w:divsChild>
        </w:div>
        <w:div w:id="568659356">
          <w:marLeft w:val="0"/>
          <w:marRight w:val="0"/>
          <w:marTop w:val="0"/>
          <w:marBottom w:val="0"/>
          <w:divBdr>
            <w:top w:val="none" w:sz="0" w:space="0" w:color="auto"/>
            <w:left w:val="none" w:sz="0" w:space="0" w:color="auto"/>
            <w:bottom w:val="none" w:sz="0" w:space="0" w:color="auto"/>
            <w:right w:val="none" w:sz="0" w:space="0" w:color="auto"/>
          </w:divBdr>
          <w:divsChild>
            <w:div w:id="2052802556">
              <w:marLeft w:val="0"/>
              <w:marRight w:val="0"/>
              <w:marTop w:val="0"/>
              <w:marBottom w:val="0"/>
              <w:divBdr>
                <w:top w:val="none" w:sz="0" w:space="0" w:color="auto"/>
                <w:left w:val="none" w:sz="0" w:space="0" w:color="auto"/>
                <w:bottom w:val="none" w:sz="0" w:space="0" w:color="auto"/>
                <w:right w:val="none" w:sz="0" w:space="0" w:color="auto"/>
              </w:divBdr>
            </w:div>
          </w:divsChild>
        </w:div>
        <w:div w:id="579415353">
          <w:marLeft w:val="0"/>
          <w:marRight w:val="0"/>
          <w:marTop w:val="0"/>
          <w:marBottom w:val="0"/>
          <w:divBdr>
            <w:top w:val="none" w:sz="0" w:space="0" w:color="auto"/>
            <w:left w:val="none" w:sz="0" w:space="0" w:color="auto"/>
            <w:bottom w:val="none" w:sz="0" w:space="0" w:color="auto"/>
            <w:right w:val="none" w:sz="0" w:space="0" w:color="auto"/>
          </w:divBdr>
          <w:divsChild>
            <w:div w:id="1981612123">
              <w:marLeft w:val="0"/>
              <w:marRight w:val="0"/>
              <w:marTop w:val="0"/>
              <w:marBottom w:val="0"/>
              <w:divBdr>
                <w:top w:val="none" w:sz="0" w:space="0" w:color="auto"/>
                <w:left w:val="none" w:sz="0" w:space="0" w:color="auto"/>
                <w:bottom w:val="none" w:sz="0" w:space="0" w:color="auto"/>
                <w:right w:val="none" w:sz="0" w:space="0" w:color="auto"/>
              </w:divBdr>
            </w:div>
          </w:divsChild>
        </w:div>
        <w:div w:id="597759489">
          <w:marLeft w:val="0"/>
          <w:marRight w:val="0"/>
          <w:marTop w:val="0"/>
          <w:marBottom w:val="0"/>
          <w:divBdr>
            <w:top w:val="none" w:sz="0" w:space="0" w:color="auto"/>
            <w:left w:val="none" w:sz="0" w:space="0" w:color="auto"/>
            <w:bottom w:val="none" w:sz="0" w:space="0" w:color="auto"/>
            <w:right w:val="none" w:sz="0" w:space="0" w:color="auto"/>
          </w:divBdr>
          <w:divsChild>
            <w:div w:id="469177616">
              <w:marLeft w:val="0"/>
              <w:marRight w:val="0"/>
              <w:marTop w:val="0"/>
              <w:marBottom w:val="0"/>
              <w:divBdr>
                <w:top w:val="none" w:sz="0" w:space="0" w:color="auto"/>
                <w:left w:val="none" w:sz="0" w:space="0" w:color="auto"/>
                <w:bottom w:val="none" w:sz="0" w:space="0" w:color="auto"/>
                <w:right w:val="none" w:sz="0" w:space="0" w:color="auto"/>
              </w:divBdr>
            </w:div>
          </w:divsChild>
        </w:div>
        <w:div w:id="614488038">
          <w:marLeft w:val="0"/>
          <w:marRight w:val="0"/>
          <w:marTop w:val="0"/>
          <w:marBottom w:val="0"/>
          <w:divBdr>
            <w:top w:val="none" w:sz="0" w:space="0" w:color="auto"/>
            <w:left w:val="none" w:sz="0" w:space="0" w:color="auto"/>
            <w:bottom w:val="none" w:sz="0" w:space="0" w:color="auto"/>
            <w:right w:val="none" w:sz="0" w:space="0" w:color="auto"/>
          </w:divBdr>
          <w:divsChild>
            <w:div w:id="368145287">
              <w:marLeft w:val="0"/>
              <w:marRight w:val="0"/>
              <w:marTop w:val="0"/>
              <w:marBottom w:val="0"/>
              <w:divBdr>
                <w:top w:val="none" w:sz="0" w:space="0" w:color="auto"/>
                <w:left w:val="none" w:sz="0" w:space="0" w:color="auto"/>
                <w:bottom w:val="none" w:sz="0" w:space="0" w:color="auto"/>
                <w:right w:val="none" w:sz="0" w:space="0" w:color="auto"/>
              </w:divBdr>
            </w:div>
          </w:divsChild>
        </w:div>
        <w:div w:id="617613104">
          <w:marLeft w:val="0"/>
          <w:marRight w:val="0"/>
          <w:marTop w:val="0"/>
          <w:marBottom w:val="0"/>
          <w:divBdr>
            <w:top w:val="none" w:sz="0" w:space="0" w:color="auto"/>
            <w:left w:val="none" w:sz="0" w:space="0" w:color="auto"/>
            <w:bottom w:val="none" w:sz="0" w:space="0" w:color="auto"/>
            <w:right w:val="none" w:sz="0" w:space="0" w:color="auto"/>
          </w:divBdr>
          <w:divsChild>
            <w:div w:id="1043406290">
              <w:marLeft w:val="0"/>
              <w:marRight w:val="0"/>
              <w:marTop w:val="0"/>
              <w:marBottom w:val="0"/>
              <w:divBdr>
                <w:top w:val="none" w:sz="0" w:space="0" w:color="auto"/>
                <w:left w:val="none" w:sz="0" w:space="0" w:color="auto"/>
                <w:bottom w:val="none" w:sz="0" w:space="0" w:color="auto"/>
                <w:right w:val="none" w:sz="0" w:space="0" w:color="auto"/>
              </w:divBdr>
            </w:div>
          </w:divsChild>
        </w:div>
        <w:div w:id="637418876">
          <w:marLeft w:val="0"/>
          <w:marRight w:val="0"/>
          <w:marTop w:val="0"/>
          <w:marBottom w:val="0"/>
          <w:divBdr>
            <w:top w:val="none" w:sz="0" w:space="0" w:color="auto"/>
            <w:left w:val="none" w:sz="0" w:space="0" w:color="auto"/>
            <w:bottom w:val="none" w:sz="0" w:space="0" w:color="auto"/>
            <w:right w:val="none" w:sz="0" w:space="0" w:color="auto"/>
          </w:divBdr>
          <w:divsChild>
            <w:div w:id="1190333442">
              <w:marLeft w:val="0"/>
              <w:marRight w:val="0"/>
              <w:marTop w:val="0"/>
              <w:marBottom w:val="0"/>
              <w:divBdr>
                <w:top w:val="none" w:sz="0" w:space="0" w:color="auto"/>
                <w:left w:val="none" w:sz="0" w:space="0" w:color="auto"/>
                <w:bottom w:val="none" w:sz="0" w:space="0" w:color="auto"/>
                <w:right w:val="none" w:sz="0" w:space="0" w:color="auto"/>
              </w:divBdr>
            </w:div>
          </w:divsChild>
        </w:div>
        <w:div w:id="642006238">
          <w:marLeft w:val="0"/>
          <w:marRight w:val="0"/>
          <w:marTop w:val="0"/>
          <w:marBottom w:val="0"/>
          <w:divBdr>
            <w:top w:val="none" w:sz="0" w:space="0" w:color="auto"/>
            <w:left w:val="none" w:sz="0" w:space="0" w:color="auto"/>
            <w:bottom w:val="none" w:sz="0" w:space="0" w:color="auto"/>
            <w:right w:val="none" w:sz="0" w:space="0" w:color="auto"/>
          </w:divBdr>
          <w:divsChild>
            <w:div w:id="93208781">
              <w:marLeft w:val="0"/>
              <w:marRight w:val="0"/>
              <w:marTop w:val="0"/>
              <w:marBottom w:val="0"/>
              <w:divBdr>
                <w:top w:val="none" w:sz="0" w:space="0" w:color="auto"/>
                <w:left w:val="none" w:sz="0" w:space="0" w:color="auto"/>
                <w:bottom w:val="none" w:sz="0" w:space="0" w:color="auto"/>
                <w:right w:val="none" w:sz="0" w:space="0" w:color="auto"/>
              </w:divBdr>
            </w:div>
          </w:divsChild>
        </w:div>
        <w:div w:id="657348195">
          <w:marLeft w:val="0"/>
          <w:marRight w:val="0"/>
          <w:marTop w:val="0"/>
          <w:marBottom w:val="0"/>
          <w:divBdr>
            <w:top w:val="none" w:sz="0" w:space="0" w:color="auto"/>
            <w:left w:val="none" w:sz="0" w:space="0" w:color="auto"/>
            <w:bottom w:val="none" w:sz="0" w:space="0" w:color="auto"/>
            <w:right w:val="none" w:sz="0" w:space="0" w:color="auto"/>
          </w:divBdr>
          <w:divsChild>
            <w:div w:id="1565949822">
              <w:marLeft w:val="0"/>
              <w:marRight w:val="0"/>
              <w:marTop w:val="0"/>
              <w:marBottom w:val="0"/>
              <w:divBdr>
                <w:top w:val="none" w:sz="0" w:space="0" w:color="auto"/>
                <w:left w:val="none" w:sz="0" w:space="0" w:color="auto"/>
                <w:bottom w:val="none" w:sz="0" w:space="0" w:color="auto"/>
                <w:right w:val="none" w:sz="0" w:space="0" w:color="auto"/>
              </w:divBdr>
            </w:div>
          </w:divsChild>
        </w:div>
        <w:div w:id="659039344">
          <w:marLeft w:val="0"/>
          <w:marRight w:val="0"/>
          <w:marTop w:val="0"/>
          <w:marBottom w:val="0"/>
          <w:divBdr>
            <w:top w:val="none" w:sz="0" w:space="0" w:color="auto"/>
            <w:left w:val="none" w:sz="0" w:space="0" w:color="auto"/>
            <w:bottom w:val="none" w:sz="0" w:space="0" w:color="auto"/>
            <w:right w:val="none" w:sz="0" w:space="0" w:color="auto"/>
          </w:divBdr>
          <w:divsChild>
            <w:div w:id="5209631">
              <w:marLeft w:val="0"/>
              <w:marRight w:val="0"/>
              <w:marTop w:val="0"/>
              <w:marBottom w:val="0"/>
              <w:divBdr>
                <w:top w:val="none" w:sz="0" w:space="0" w:color="auto"/>
                <w:left w:val="none" w:sz="0" w:space="0" w:color="auto"/>
                <w:bottom w:val="none" w:sz="0" w:space="0" w:color="auto"/>
                <w:right w:val="none" w:sz="0" w:space="0" w:color="auto"/>
              </w:divBdr>
            </w:div>
          </w:divsChild>
        </w:div>
        <w:div w:id="663123412">
          <w:marLeft w:val="0"/>
          <w:marRight w:val="0"/>
          <w:marTop w:val="0"/>
          <w:marBottom w:val="0"/>
          <w:divBdr>
            <w:top w:val="none" w:sz="0" w:space="0" w:color="auto"/>
            <w:left w:val="none" w:sz="0" w:space="0" w:color="auto"/>
            <w:bottom w:val="none" w:sz="0" w:space="0" w:color="auto"/>
            <w:right w:val="none" w:sz="0" w:space="0" w:color="auto"/>
          </w:divBdr>
          <w:divsChild>
            <w:div w:id="869682879">
              <w:marLeft w:val="0"/>
              <w:marRight w:val="0"/>
              <w:marTop w:val="0"/>
              <w:marBottom w:val="0"/>
              <w:divBdr>
                <w:top w:val="none" w:sz="0" w:space="0" w:color="auto"/>
                <w:left w:val="none" w:sz="0" w:space="0" w:color="auto"/>
                <w:bottom w:val="none" w:sz="0" w:space="0" w:color="auto"/>
                <w:right w:val="none" w:sz="0" w:space="0" w:color="auto"/>
              </w:divBdr>
            </w:div>
          </w:divsChild>
        </w:div>
        <w:div w:id="677656960">
          <w:marLeft w:val="0"/>
          <w:marRight w:val="0"/>
          <w:marTop w:val="0"/>
          <w:marBottom w:val="0"/>
          <w:divBdr>
            <w:top w:val="none" w:sz="0" w:space="0" w:color="auto"/>
            <w:left w:val="none" w:sz="0" w:space="0" w:color="auto"/>
            <w:bottom w:val="none" w:sz="0" w:space="0" w:color="auto"/>
            <w:right w:val="none" w:sz="0" w:space="0" w:color="auto"/>
          </w:divBdr>
          <w:divsChild>
            <w:div w:id="1091123098">
              <w:marLeft w:val="0"/>
              <w:marRight w:val="0"/>
              <w:marTop w:val="0"/>
              <w:marBottom w:val="0"/>
              <w:divBdr>
                <w:top w:val="none" w:sz="0" w:space="0" w:color="auto"/>
                <w:left w:val="none" w:sz="0" w:space="0" w:color="auto"/>
                <w:bottom w:val="none" w:sz="0" w:space="0" w:color="auto"/>
                <w:right w:val="none" w:sz="0" w:space="0" w:color="auto"/>
              </w:divBdr>
            </w:div>
          </w:divsChild>
        </w:div>
        <w:div w:id="682173541">
          <w:marLeft w:val="0"/>
          <w:marRight w:val="0"/>
          <w:marTop w:val="0"/>
          <w:marBottom w:val="0"/>
          <w:divBdr>
            <w:top w:val="none" w:sz="0" w:space="0" w:color="auto"/>
            <w:left w:val="none" w:sz="0" w:space="0" w:color="auto"/>
            <w:bottom w:val="none" w:sz="0" w:space="0" w:color="auto"/>
            <w:right w:val="none" w:sz="0" w:space="0" w:color="auto"/>
          </w:divBdr>
          <w:divsChild>
            <w:div w:id="218322584">
              <w:marLeft w:val="0"/>
              <w:marRight w:val="0"/>
              <w:marTop w:val="0"/>
              <w:marBottom w:val="0"/>
              <w:divBdr>
                <w:top w:val="none" w:sz="0" w:space="0" w:color="auto"/>
                <w:left w:val="none" w:sz="0" w:space="0" w:color="auto"/>
                <w:bottom w:val="none" w:sz="0" w:space="0" w:color="auto"/>
                <w:right w:val="none" w:sz="0" w:space="0" w:color="auto"/>
              </w:divBdr>
            </w:div>
          </w:divsChild>
        </w:div>
        <w:div w:id="694112884">
          <w:marLeft w:val="0"/>
          <w:marRight w:val="0"/>
          <w:marTop w:val="0"/>
          <w:marBottom w:val="0"/>
          <w:divBdr>
            <w:top w:val="none" w:sz="0" w:space="0" w:color="auto"/>
            <w:left w:val="none" w:sz="0" w:space="0" w:color="auto"/>
            <w:bottom w:val="none" w:sz="0" w:space="0" w:color="auto"/>
            <w:right w:val="none" w:sz="0" w:space="0" w:color="auto"/>
          </w:divBdr>
          <w:divsChild>
            <w:div w:id="2137407357">
              <w:marLeft w:val="0"/>
              <w:marRight w:val="0"/>
              <w:marTop w:val="0"/>
              <w:marBottom w:val="0"/>
              <w:divBdr>
                <w:top w:val="none" w:sz="0" w:space="0" w:color="auto"/>
                <w:left w:val="none" w:sz="0" w:space="0" w:color="auto"/>
                <w:bottom w:val="none" w:sz="0" w:space="0" w:color="auto"/>
                <w:right w:val="none" w:sz="0" w:space="0" w:color="auto"/>
              </w:divBdr>
            </w:div>
          </w:divsChild>
        </w:div>
        <w:div w:id="716005613">
          <w:marLeft w:val="0"/>
          <w:marRight w:val="0"/>
          <w:marTop w:val="0"/>
          <w:marBottom w:val="0"/>
          <w:divBdr>
            <w:top w:val="none" w:sz="0" w:space="0" w:color="auto"/>
            <w:left w:val="none" w:sz="0" w:space="0" w:color="auto"/>
            <w:bottom w:val="none" w:sz="0" w:space="0" w:color="auto"/>
            <w:right w:val="none" w:sz="0" w:space="0" w:color="auto"/>
          </w:divBdr>
          <w:divsChild>
            <w:div w:id="1630083765">
              <w:marLeft w:val="0"/>
              <w:marRight w:val="0"/>
              <w:marTop w:val="0"/>
              <w:marBottom w:val="0"/>
              <w:divBdr>
                <w:top w:val="none" w:sz="0" w:space="0" w:color="auto"/>
                <w:left w:val="none" w:sz="0" w:space="0" w:color="auto"/>
                <w:bottom w:val="none" w:sz="0" w:space="0" w:color="auto"/>
                <w:right w:val="none" w:sz="0" w:space="0" w:color="auto"/>
              </w:divBdr>
            </w:div>
          </w:divsChild>
        </w:div>
        <w:div w:id="736828255">
          <w:marLeft w:val="0"/>
          <w:marRight w:val="0"/>
          <w:marTop w:val="0"/>
          <w:marBottom w:val="0"/>
          <w:divBdr>
            <w:top w:val="none" w:sz="0" w:space="0" w:color="auto"/>
            <w:left w:val="none" w:sz="0" w:space="0" w:color="auto"/>
            <w:bottom w:val="none" w:sz="0" w:space="0" w:color="auto"/>
            <w:right w:val="none" w:sz="0" w:space="0" w:color="auto"/>
          </w:divBdr>
          <w:divsChild>
            <w:div w:id="896283773">
              <w:marLeft w:val="0"/>
              <w:marRight w:val="0"/>
              <w:marTop w:val="0"/>
              <w:marBottom w:val="0"/>
              <w:divBdr>
                <w:top w:val="none" w:sz="0" w:space="0" w:color="auto"/>
                <w:left w:val="none" w:sz="0" w:space="0" w:color="auto"/>
                <w:bottom w:val="none" w:sz="0" w:space="0" w:color="auto"/>
                <w:right w:val="none" w:sz="0" w:space="0" w:color="auto"/>
              </w:divBdr>
            </w:div>
          </w:divsChild>
        </w:div>
        <w:div w:id="738139144">
          <w:marLeft w:val="0"/>
          <w:marRight w:val="0"/>
          <w:marTop w:val="0"/>
          <w:marBottom w:val="0"/>
          <w:divBdr>
            <w:top w:val="none" w:sz="0" w:space="0" w:color="auto"/>
            <w:left w:val="none" w:sz="0" w:space="0" w:color="auto"/>
            <w:bottom w:val="none" w:sz="0" w:space="0" w:color="auto"/>
            <w:right w:val="none" w:sz="0" w:space="0" w:color="auto"/>
          </w:divBdr>
          <w:divsChild>
            <w:div w:id="59256513">
              <w:marLeft w:val="0"/>
              <w:marRight w:val="0"/>
              <w:marTop w:val="0"/>
              <w:marBottom w:val="0"/>
              <w:divBdr>
                <w:top w:val="none" w:sz="0" w:space="0" w:color="auto"/>
                <w:left w:val="none" w:sz="0" w:space="0" w:color="auto"/>
                <w:bottom w:val="none" w:sz="0" w:space="0" w:color="auto"/>
                <w:right w:val="none" w:sz="0" w:space="0" w:color="auto"/>
              </w:divBdr>
            </w:div>
          </w:divsChild>
        </w:div>
        <w:div w:id="738869959">
          <w:marLeft w:val="0"/>
          <w:marRight w:val="0"/>
          <w:marTop w:val="0"/>
          <w:marBottom w:val="0"/>
          <w:divBdr>
            <w:top w:val="none" w:sz="0" w:space="0" w:color="auto"/>
            <w:left w:val="none" w:sz="0" w:space="0" w:color="auto"/>
            <w:bottom w:val="none" w:sz="0" w:space="0" w:color="auto"/>
            <w:right w:val="none" w:sz="0" w:space="0" w:color="auto"/>
          </w:divBdr>
          <w:divsChild>
            <w:div w:id="1975138519">
              <w:marLeft w:val="0"/>
              <w:marRight w:val="0"/>
              <w:marTop w:val="0"/>
              <w:marBottom w:val="0"/>
              <w:divBdr>
                <w:top w:val="none" w:sz="0" w:space="0" w:color="auto"/>
                <w:left w:val="none" w:sz="0" w:space="0" w:color="auto"/>
                <w:bottom w:val="none" w:sz="0" w:space="0" w:color="auto"/>
                <w:right w:val="none" w:sz="0" w:space="0" w:color="auto"/>
              </w:divBdr>
            </w:div>
          </w:divsChild>
        </w:div>
        <w:div w:id="740060354">
          <w:marLeft w:val="0"/>
          <w:marRight w:val="0"/>
          <w:marTop w:val="0"/>
          <w:marBottom w:val="0"/>
          <w:divBdr>
            <w:top w:val="none" w:sz="0" w:space="0" w:color="auto"/>
            <w:left w:val="none" w:sz="0" w:space="0" w:color="auto"/>
            <w:bottom w:val="none" w:sz="0" w:space="0" w:color="auto"/>
            <w:right w:val="none" w:sz="0" w:space="0" w:color="auto"/>
          </w:divBdr>
          <w:divsChild>
            <w:div w:id="1411543089">
              <w:marLeft w:val="0"/>
              <w:marRight w:val="0"/>
              <w:marTop w:val="0"/>
              <w:marBottom w:val="0"/>
              <w:divBdr>
                <w:top w:val="none" w:sz="0" w:space="0" w:color="auto"/>
                <w:left w:val="none" w:sz="0" w:space="0" w:color="auto"/>
                <w:bottom w:val="none" w:sz="0" w:space="0" w:color="auto"/>
                <w:right w:val="none" w:sz="0" w:space="0" w:color="auto"/>
              </w:divBdr>
            </w:div>
          </w:divsChild>
        </w:div>
        <w:div w:id="745880858">
          <w:marLeft w:val="0"/>
          <w:marRight w:val="0"/>
          <w:marTop w:val="0"/>
          <w:marBottom w:val="0"/>
          <w:divBdr>
            <w:top w:val="none" w:sz="0" w:space="0" w:color="auto"/>
            <w:left w:val="none" w:sz="0" w:space="0" w:color="auto"/>
            <w:bottom w:val="none" w:sz="0" w:space="0" w:color="auto"/>
            <w:right w:val="none" w:sz="0" w:space="0" w:color="auto"/>
          </w:divBdr>
          <w:divsChild>
            <w:div w:id="1811361583">
              <w:marLeft w:val="0"/>
              <w:marRight w:val="0"/>
              <w:marTop w:val="0"/>
              <w:marBottom w:val="0"/>
              <w:divBdr>
                <w:top w:val="none" w:sz="0" w:space="0" w:color="auto"/>
                <w:left w:val="none" w:sz="0" w:space="0" w:color="auto"/>
                <w:bottom w:val="none" w:sz="0" w:space="0" w:color="auto"/>
                <w:right w:val="none" w:sz="0" w:space="0" w:color="auto"/>
              </w:divBdr>
            </w:div>
          </w:divsChild>
        </w:div>
        <w:div w:id="767578944">
          <w:marLeft w:val="0"/>
          <w:marRight w:val="0"/>
          <w:marTop w:val="0"/>
          <w:marBottom w:val="0"/>
          <w:divBdr>
            <w:top w:val="none" w:sz="0" w:space="0" w:color="auto"/>
            <w:left w:val="none" w:sz="0" w:space="0" w:color="auto"/>
            <w:bottom w:val="none" w:sz="0" w:space="0" w:color="auto"/>
            <w:right w:val="none" w:sz="0" w:space="0" w:color="auto"/>
          </w:divBdr>
          <w:divsChild>
            <w:div w:id="830564254">
              <w:marLeft w:val="0"/>
              <w:marRight w:val="0"/>
              <w:marTop w:val="0"/>
              <w:marBottom w:val="0"/>
              <w:divBdr>
                <w:top w:val="none" w:sz="0" w:space="0" w:color="auto"/>
                <w:left w:val="none" w:sz="0" w:space="0" w:color="auto"/>
                <w:bottom w:val="none" w:sz="0" w:space="0" w:color="auto"/>
                <w:right w:val="none" w:sz="0" w:space="0" w:color="auto"/>
              </w:divBdr>
            </w:div>
          </w:divsChild>
        </w:div>
        <w:div w:id="777068741">
          <w:marLeft w:val="0"/>
          <w:marRight w:val="0"/>
          <w:marTop w:val="0"/>
          <w:marBottom w:val="0"/>
          <w:divBdr>
            <w:top w:val="none" w:sz="0" w:space="0" w:color="auto"/>
            <w:left w:val="none" w:sz="0" w:space="0" w:color="auto"/>
            <w:bottom w:val="none" w:sz="0" w:space="0" w:color="auto"/>
            <w:right w:val="none" w:sz="0" w:space="0" w:color="auto"/>
          </w:divBdr>
          <w:divsChild>
            <w:div w:id="596523407">
              <w:marLeft w:val="0"/>
              <w:marRight w:val="0"/>
              <w:marTop w:val="0"/>
              <w:marBottom w:val="0"/>
              <w:divBdr>
                <w:top w:val="none" w:sz="0" w:space="0" w:color="auto"/>
                <w:left w:val="none" w:sz="0" w:space="0" w:color="auto"/>
                <w:bottom w:val="none" w:sz="0" w:space="0" w:color="auto"/>
                <w:right w:val="none" w:sz="0" w:space="0" w:color="auto"/>
              </w:divBdr>
            </w:div>
          </w:divsChild>
        </w:div>
        <w:div w:id="779374297">
          <w:marLeft w:val="0"/>
          <w:marRight w:val="0"/>
          <w:marTop w:val="0"/>
          <w:marBottom w:val="0"/>
          <w:divBdr>
            <w:top w:val="none" w:sz="0" w:space="0" w:color="auto"/>
            <w:left w:val="none" w:sz="0" w:space="0" w:color="auto"/>
            <w:bottom w:val="none" w:sz="0" w:space="0" w:color="auto"/>
            <w:right w:val="none" w:sz="0" w:space="0" w:color="auto"/>
          </w:divBdr>
          <w:divsChild>
            <w:div w:id="363797247">
              <w:marLeft w:val="0"/>
              <w:marRight w:val="0"/>
              <w:marTop w:val="0"/>
              <w:marBottom w:val="0"/>
              <w:divBdr>
                <w:top w:val="none" w:sz="0" w:space="0" w:color="auto"/>
                <w:left w:val="none" w:sz="0" w:space="0" w:color="auto"/>
                <w:bottom w:val="none" w:sz="0" w:space="0" w:color="auto"/>
                <w:right w:val="none" w:sz="0" w:space="0" w:color="auto"/>
              </w:divBdr>
            </w:div>
          </w:divsChild>
        </w:div>
        <w:div w:id="782187133">
          <w:marLeft w:val="0"/>
          <w:marRight w:val="0"/>
          <w:marTop w:val="0"/>
          <w:marBottom w:val="0"/>
          <w:divBdr>
            <w:top w:val="none" w:sz="0" w:space="0" w:color="auto"/>
            <w:left w:val="none" w:sz="0" w:space="0" w:color="auto"/>
            <w:bottom w:val="none" w:sz="0" w:space="0" w:color="auto"/>
            <w:right w:val="none" w:sz="0" w:space="0" w:color="auto"/>
          </w:divBdr>
          <w:divsChild>
            <w:div w:id="1173380694">
              <w:marLeft w:val="0"/>
              <w:marRight w:val="0"/>
              <w:marTop w:val="0"/>
              <w:marBottom w:val="0"/>
              <w:divBdr>
                <w:top w:val="none" w:sz="0" w:space="0" w:color="auto"/>
                <w:left w:val="none" w:sz="0" w:space="0" w:color="auto"/>
                <w:bottom w:val="none" w:sz="0" w:space="0" w:color="auto"/>
                <w:right w:val="none" w:sz="0" w:space="0" w:color="auto"/>
              </w:divBdr>
            </w:div>
          </w:divsChild>
        </w:div>
        <w:div w:id="785150453">
          <w:marLeft w:val="0"/>
          <w:marRight w:val="0"/>
          <w:marTop w:val="0"/>
          <w:marBottom w:val="0"/>
          <w:divBdr>
            <w:top w:val="none" w:sz="0" w:space="0" w:color="auto"/>
            <w:left w:val="none" w:sz="0" w:space="0" w:color="auto"/>
            <w:bottom w:val="none" w:sz="0" w:space="0" w:color="auto"/>
            <w:right w:val="none" w:sz="0" w:space="0" w:color="auto"/>
          </w:divBdr>
          <w:divsChild>
            <w:div w:id="796995795">
              <w:marLeft w:val="0"/>
              <w:marRight w:val="0"/>
              <w:marTop w:val="0"/>
              <w:marBottom w:val="0"/>
              <w:divBdr>
                <w:top w:val="none" w:sz="0" w:space="0" w:color="auto"/>
                <w:left w:val="none" w:sz="0" w:space="0" w:color="auto"/>
                <w:bottom w:val="none" w:sz="0" w:space="0" w:color="auto"/>
                <w:right w:val="none" w:sz="0" w:space="0" w:color="auto"/>
              </w:divBdr>
            </w:div>
          </w:divsChild>
        </w:div>
        <w:div w:id="793669503">
          <w:marLeft w:val="0"/>
          <w:marRight w:val="0"/>
          <w:marTop w:val="0"/>
          <w:marBottom w:val="0"/>
          <w:divBdr>
            <w:top w:val="none" w:sz="0" w:space="0" w:color="auto"/>
            <w:left w:val="none" w:sz="0" w:space="0" w:color="auto"/>
            <w:bottom w:val="none" w:sz="0" w:space="0" w:color="auto"/>
            <w:right w:val="none" w:sz="0" w:space="0" w:color="auto"/>
          </w:divBdr>
          <w:divsChild>
            <w:div w:id="672611267">
              <w:marLeft w:val="0"/>
              <w:marRight w:val="0"/>
              <w:marTop w:val="0"/>
              <w:marBottom w:val="0"/>
              <w:divBdr>
                <w:top w:val="none" w:sz="0" w:space="0" w:color="auto"/>
                <w:left w:val="none" w:sz="0" w:space="0" w:color="auto"/>
                <w:bottom w:val="none" w:sz="0" w:space="0" w:color="auto"/>
                <w:right w:val="none" w:sz="0" w:space="0" w:color="auto"/>
              </w:divBdr>
            </w:div>
          </w:divsChild>
        </w:div>
        <w:div w:id="794762061">
          <w:marLeft w:val="0"/>
          <w:marRight w:val="0"/>
          <w:marTop w:val="0"/>
          <w:marBottom w:val="0"/>
          <w:divBdr>
            <w:top w:val="none" w:sz="0" w:space="0" w:color="auto"/>
            <w:left w:val="none" w:sz="0" w:space="0" w:color="auto"/>
            <w:bottom w:val="none" w:sz="0" w:space="0" w:color="auto"/>
            <w:right w:val="none" w:sz="0" w:space="0" w:color="auto"/>
          </w:divBdr>
          <w:divsChild>
            <w:div w:id="906112288">
              <w:marLeft w:val="0"/>
              <w:marRight w:val="0"/>
              <w:marTop w:val="0"/>
              <w:marBottom w:val="0"/>
              <w:divBdr>
                <w:top w:val="none" w:sz="0" w:space="0" w:color="auto"/>
                <w:left w:val="none" w:sz="0" w:space="0" w:color="auto"/>
                <w:bottom w:val="none" w:sz="0" w:space="0" w:color="auto"/>
                <w:right w:val="none" w:sz="0" w:space="0" w:color="auto"/>
              </w:divBdr>
            </w:div>
          </w:divsChild>
        </w:div>
        <w:div w:id="795180182">
          <w:marLeft w:val="0"/>
          <w:marRight w:val="0"/>
          <w:marTop w:val="0"/>
          <w:marBottom w:val="0"/>
          <w:divBdr>
            <w:top w:val="none" w:sz="0" w:space="0" w:color="auto"/>
            <w:left w:val="none" w:sz="0" w:space="0" w:color="auto"/>
            <w:bottom w:val="none" w:sz="0" w:space="0" w:color="auto"/>
            <w:right w:val="none" w:sz="0" w:space="0" w:color="auto"/>
          </w:divBdr>
          <w:divsChild>
            <w:div w:id="1915820902">
              <w:marLeft w:val="0"/>
              <w:marRight w:val="0"/>
              <w:marTop w:val="0"/>
              <w:marBottom w:val="0"/>
              <w:divBdr>
                <w:top w:val="none" w:sz="0" w:space="0" w:color="auto"/>
                <w:left w:val="none" w:sz="0" w:space="0" w:color="auto"/>
                <w:bottom w:val="none" w:sz="0" w:space="0" w:color="auto"/>
                <w:right w:val="none" w:sz="0" w:space="0" w:color="auto"/>
              </w:divBdr>
            </w:div>
          </w:divsChild>
        </w:div>
        <w:div w:id="805243642">
          <w:marLeft w:val="0"/>
          <w:marRight w:val="0"/>
          <w:marTop w:val="0"/>
          <w:marBottom w:val="0"/>
          <w:divBdr>
            <w:top w:val="none" w:sz="0" w:space="0" w:color="auto"/>
            <w:left w:val="none" w:sz="0" w:space="0" w:color="auto"/>
            <w:bottom w:val="none" w:sz="0" w:space="0" w:color="auto"/>
            <w:right w:val="none" w:sz="0" w:space="0" w:color="auto"/>
          </w:divBdr>
          <w:divsChild>
            <w:div w:id="1518498712">
              <w:marLeft w:val="0"/>
              <w:marRight w:val="0"/>
              <w:marTop w:val="0"/>
              <w:marBottom w:val="0"/>
              <w:divBdr>
                <w:top w:val="none" w:sz="0" w:space="0" w:color="auto"/>
                <w:left w:val="none" w:sz="0" w:space="0" w:color="auto"/>
                <w:bottom w:val="none" w:sz="0" w:space="0" w:color="auto"/>
                <w:right w:val="none" w:sz="0" w:space="0" w:color="auto"/>
              </w:divBdr>
            </w:div>
          </w:divsChild>
        </w:div>
        <w:div w:id="816458020">
          <w:marLeft w:val="0"/>
          <w:marRight w:val="0"/>
          <w:marTop w:val="0"/>
          <w:marBottom w:val="0"/>
          <w:divBdr>
            <w:top w:val="none" w:sz="0" w:space="0" w:color="auto"/>
            <w:left w:val="none" w:sz="0" w:space="0" w:color="auto"/>
            <w:bottom w:val="none" w:sz="0" w:space="0" w:color="auto"/>
            <w:right w:val="none" w:sz="0" w:space="0" w:color="auto"/>
          </w:divBdr>
          <w:divsChild>
            <w:div w:id="1221092050">
              <w:marLeft w:val="0"/>
              <w:marRight w:val="0"/>
              <w:marTop w:val="0"/>
              <w:marBottom w:val="0"/>
              <w:divBdr>
                <w:top w:val="none" w:sz="0" w:space="0" w:color="auto"/>
                <w:left w:val="none" w:sz="0" w:space="0" w:color="auto"/>
                <w:bottom w:val="none" w:sz="0" w:space="0" w:color="auto"/>
                <w:right w:val="none" w:sz="0" w:space="0" w:color="auto"/>
              </w:divBdr>
            </w:div>
          </w:divsChild>
        </w:div>
        <w:div w:id="816844187">
          <w:marLeft w:val="0"/>
          <w:marRight w:val="0"/>
          <w:marTop w:val="0"/>
          <w:marBottom w:val="0"/>
          <w:divBdr>
            <w:top w:val="none" w:sz="0" w:space="0" w:color="auto"/>
            <w:left w:val="none" w:sz="0" w:space="0" w:color="auto"/>
            <w:bottom w:val="none" w:sz="0" w:space="0" w:color="auto"/>
            <w:right w:val="none" w:sz="0" w:space="0" w:color="auto"/>
          </w:divBdr>
          <w:divsChild>
            <w:div w:id="2120102246">
              <w:marLeft w:val="0"/>
              <w:marRight w:val="0"/>
              <w:marTop w:val="0"/>
              <w:marBottom w:val="0"/>
              <w:divBdr>
                <w:top w:val="none" w:sz="0" w:space="0" w:color="auto"/>
                <w:left w:val="none" w:sz="0" w:space="0" w:color="auto"/>
                <w:bottom w:val="none" w:sz="0" w:space="0" w:color="auto"/>
                <w:right w:val="none" w:sz="0" w:space="0" w:color="auto"/>
              </w:divBdr>
            </w:div>
          </w:divsChild>
        </w:div>
        <w:div w:id="824012159">
          <w:marLeft w:val="0"/>
          <w:marRight w:val="0"/>
          <w:marTop w:val="0"/>
          <w:marBottom w:val="0"/>
          <w:divBdr>
            <w:top w:val="none" w:sz="0" w:space="0" w:color="auto"/>
            <w:left w:val="none" w:sz="0" w:space="0" w:color="auto"/>
            <w:bottom w:val="none" w:sz="0" w:space="0" w:color="auto"/>
            <w:right w:val="none" w:sz="0" w:space="0" w:color="auto"/>
          </w:divBdr>
          <w:divsChild>
            <w:div w:id="2085688206">
              <w:marLeft w:val="0"/>
              <w:marRight w:val="0"/>
              <w:marTop w:val="0"/>
              <w:marBottom w:val="0"/>
              <w:divBdr>
                <w:top w:val="none" w:sz="0" w:space="0" w:color="auto"/>
                <w:left w:val="none" w:sz="0" w:space="0" w:color="auto"/>
                <w:bottom w:val="none" w:sz="0" w:space="0" w:color="auto"/>
                <w:right w:val="none" w:sz="0" w:space="0" w:color="auto"/>
              </w:divBdr>
            </w:div>
          </w:divsChild>
        </w:div>
        <w:div w:id="826895008">
          <w:marLeft w:val="0"/>
          <w:marRight w:val="0"/>
          <w:marTop w:val="0"/>
          <w:marBottom w:val="0"/>
          <w:divBdr>
            <w:top w:val="none" w:sz="0" w:space="0" w:color="auto"/>
            <w:left w:val="none" w:sz="0" w:space="0" w:color="auto"/>
            <w:bottom w:val="none" w:sz="0" w:space="0" w:color="auto"/>
            <w:right w:val="none" w:sz="0" w:space="0" w:color="auto"/>
          </w:divBdr>
          <w:divsChild>
            <w:div w:id="196049936">
              <w:marLeft w:val="0"/>
              <w:marRight w:val="0"/>
              <w:marTop w:val="0"/>
              <w:marBottom w:val="0"/>
              <w:divBdr>
                <w:top w:val="none" w:sz="0" w:space="0" w:color="auto"/>
                <w:left w:val="none" w:sz="0" w:space="0" w:color="auto"/>
                <w:bottom w:val="none" w:sz="0" w:space="0" w:color="auto"/>
                <w:right w:val="none" w:sz="0" w:space="0" w:color="auto"/>
              </w:divBdr>
            </w:div>
          </w:divsChild>
        </w:div>
        <w:div w:id="842084636">
          <w:marLeft w:val="0"/>
          <w:marRight w:val="0"/>
          <w:marTop w:val="0"/>
          <w:marBottom w:val="0"/>
          <w:divBdr>
            <w:top w:val="none" w:sz="0" w:space="0" w:color="auto"/>
            <w:left w:val="none" w:sz="0" w:space="0" w:color="auto"/>
            <w:bottom w:val="none" w:sz="0" w:space="0" w:color="auto"/>
            <w:right w:val="none" w:sz="0" w:space="0" w:color="auto"/>
          </w:divBdr>
          <w:divsChild>
            <w:div w:id="80106770">
              <w:marLeft w:val="0"/>
              <w:marRight w:val="0"/>
              <w:marTop w:val="0"/>
              <w:marBottom w:val="0"/>
              <w:divBdr>
                <w:top w:val="none" w:sz="0" w:space="0" w:color="auto"/>
                <w:left w:val="none" w:sz="0" w:space="0" w:color="auto"/>
                <w:bottom w:val="none" w:sz="0" w:space="0" w:color="auto"/>
                <w:right w:val="none" w:sz="0" w:space="0" w:color="auto"/>
              </w:divBdr>
            </w:div>
          </w:divsChild>
        </w:div>
        <w:div w:id="853572041">
          <w:marLeft w:val="0"/>
          <w:marRight w:val="0"/>
          <w:marTop w:val="0"/>
          <w:marBottom w:val="0"/>
          <w:divBdr>
            <w:top w:val="none" w:sz="0" w:space="0" w:color="auto"/>
            <w:left w:val="none" w:sz="0" w:space="0" w:color="auto"/>
            <w:bottom w:val="none" w:sz="0" w:space="0" w:color="auto"/>
            <w:right w:val="none" w:sz="0" w:space="0" w:color="auto"/>
          </w:divBdr>
          <w:divsChild>
            <w:div w:id="2052655373">
              <w:marLeft w:val="0"/>
              <w:marRight w:val="0"/>
              <w:marTop w:val="0"/>
              <w:marBottom w:val="0"/>
              <w:divBdr>
                <w:top w:val="none" w:sz="0" w:space="0" w:color="auto"/>
                <w:left w:val="none" w:sz="0" w:space="0" w:color="auto"/>
                <w:bottom w:val="none" w:sz="0" w:space="0" w:color="auto"/>
                <w:right w:val="none" w:sz="0" w:space="0" w:color="auto"/>
              </w:divBdr>
            </w:div>
          </w:divsChild>
        </w:div>
        <w:div w:id="865288983">
          <w:marLeft w:val="0"/>
          <w:marRight w:val="0"/>
          <w:marTop w:val="0"/>
          <w:marBottom w:val="0"/>
          <w:divBdr>
            <w:top w:val="none" w:sz="0" w:space="0" w:color="auto"/>
            <w:left w:val="none" w:sz="0" w:space="0" w:color="auto"/>
            <w:bottom w:val="none" w:sz="0" w:space="0" w:color="auto"/>
            <w:right w:val="none" w:sz="0" w:space="0" w:color="auto"/>
          </w:divBdr>
          <w:divsChild>
            <w:div w:id="1110509133">
              <w:marLeft w:val="0"/>
              <w:marRight w:val="0"/>
              <w:marTop w:val="0"/>
              <w:marBottom w:val="0"/>
              <w:divBdr>
                <w:top w:val="none" w:sz="0" w:space="0" w:color="auto"/>
                <w:left w:val="none" w:sz="0" w:space="0" w:color="auto"/>
                <w:bottom w:val="none" w:sz="0" w:space="0" w:color="auto"/>
                <w:right w:val="none" w:sz="0" w:space="0" w:color="auto"/>
              </w:divBdr>
            </w:div>
          </w:divsChild>
        </w:div>
        <w:div w:id="904684091">
          <w:marLeft w:val="0"/>
          <w:marRight w:val="0"/>
          <w:marTop w:val="0"/>
          <w:marBottom w:val="0"/>
          <w:divBdr>
            <w:top w:val="none" w:sz="0" w:space="0" w:color="auto"/>
            <w:left w:val="none" w:sz="0" w:space="0" w:color="auto"/>
            <w:bottom w:val="none" w:sz="0" w:space="0" w:color="auto"/>
            <w:right w:val="none" w:sz="0" w:space="0" w:color="auto"/>
          </w:divBdr>
          <w:divsChild>
            <w:div w:id="2143763708">
              <w:marLeft w:val="0"/>
              <w:marRight w:val="0"/>
              <w:marTop w:val="0"/>
              <w:marBottom w:val="0"/>
              <w:divBdr>
                <w:top w:val="none" w:sz="0" w:space="0" w:color="auto"/>
                <w:left w:val="none" w:sz="0" w:space="0" w:color="auto"/>
                <w:bottom w:val="none" w:sz="0" w:space="0" w:color="auto"/>
                <w:right w:val="none" w:sz="0" w:space="0" w:color="auto"/>
              </w:divBdr>
            </w:div>
          </w:divsChild>
        </w:div>
        <w:div w:id="915165718">
          <w:marLeft w:val="0"/>
          <w:marRight w:val="0"/>
          <w:marTop w:val="0"/>
          <w:marBottom w:val="0"/>
          <w:divBdr>
            <w:top w:val="none" w:sz="0" w:space="0" w:color="auto"/>
            <w:left w:val="none" w:sz="0" w:space="0" w:color="auto"/>
            <w:bottom w:val="none" w:sz="0" w:space="0" w:color="auto"/>
            <w:right w:val="none" w:sz="0" w:space="0" w:color="auto"/>
          </w:divBdr>
          <w:divsChild>
            <w:div w:id="172109118">
              <w:marLeft w:val="0"/>
              <w:marRight w:val="0"/>
              <w:marTop w:val="0"/>
              <w:marBottom w:val="0"/>
              <w:divBdr>
                <w:top w:val="none" w:sz="0" w:space="0" w:color="auto"/>
                <w:left w:val="none" w:sz="0" w:space="0" w:color="auto"/>
                <w:bottom w:val="none" w:sz="0" w:space="0" w:color="auto"/>
                <w:right w:val="none" w:sz="0" w:space="0" w:color="auto"/>
              </w:divBdr>
            </w:div>
          </w:divsChild>
        </w:div>
        <w:div w:id="930822368">
          <w:marLeft w:val="0"/>
          <w:marRight w:val="0"/>
          <w:marTop w:val="0"/>
          <w:marBottom w:val="0"/>
          <w:divBdr>
            <w:top w:val="none" w:sz="0" w:space="0" w:color="auto"/>
            <w:left w:val="none" w:sz="0" w:space="0" w:color="auto"/>
            <w:bottom w:val="none" w:sz="0" w:space="0" w:color="auto"/>
            <w:right w:val="none" w:sz="0" w:space="0" w:color="auto"/>
          </w:divBdr>
          <w:divsChild>
            <w:div w:id="1577084289">
              <w:marLeft w:val="0"/>
              <w:marRight w:val="0"/>
              <w:marTop w:val="0"/>
              <w:marBottom w:val="0"/>
              <w:divBdr>
                <w:top w:val="none" w:sz="0" w:space="0" w:color="auto"/>
                <w:left w:val="none" w:sz="0" w:space="0" w:color="auto"/>
                <w:bottom w:val="none" w:sz="0" w:space="0" w:color="auto"/>
                <w:right w:val="none" w:sz="0" w:space="0" w:color="auto"/>
              </w:divBdr>
            </w:div>
          </w:divsChild>
        </w:div>
        <w:div w:id="947279078">
          <w:marLeft w:val="0"/>
          <w:marRight w:val="0"/>
          <w:marTop w:val="0"/>
          <w:marBottom w:val="0"/>
          <w:divBdr>
            <w:top w:val="none" w:sz="0" w:space="0" w:color="auto"/>
            <w:left w:val="none" w:sz="0" w:space="0" w:color="auto"/>
            <w:bottom w:val="none" w:sz="0" w:space="0" w:color="auto"/>
            <w:right w:val="none" w:sz="0" w:space="0" w:color="auto"/>
          </w:divBdr>
          <w:divsChild>
            <w:div w:id="1616407684">
              <w:marLeft w:val="0"/>
              <w:marRight w:val="0"/>
              <w:marTop w:val="0"/>
              <w:marBottom w:val="0"/>
              <w:divBdr>
                <w:top w:val="none" w:sz="0" w:space="0" w:color="auto"/>
                <w:left w:val="none" w:sz="0" w:space="0" w:color="auto"/>
                <w:bottom w:val="none" w:sz="0" w:space="0" w:color="auto"/>
                <w:right w:val="none" w:sz="0" w:space="0" w:color="auto"/>
              </w:divBdr>
            </w:div>
          </w:divsChild>
        </w:div>
        <w:div w:id="957830062">
          <w:marLeft w:val="0"/>
          <w:marRight w:val="0"/>
          <w:marTop w:val="0"/>
          <w:marBottom w:val="0"/>
          <w:divBdr>
            <w:top w:val="none" w:sz="0" w:space="0" w:color="auto"/>
            <w:left w:val="none" w:sz="0" w:space="0" w:color="auto"/>
            <w:bottom w:val="none" w:sz="0" w:space="0" w:color="auto"/>
            <w:right w:val="none" w:sz="0" w:space="0" w:color="auto"/>
          </w:divBdr>
          <w:divsChild>
            <w:div w:id="1437630081">
              <w:marLeft w:val="0"/>
              <w:marRight w:val="0"/>
              <w:marTop w:val="0"/>
              <w:marBottom w:val="0"/>
              <w:divBdr>
                <w:top w:val="none" w:sz="0" w:space="0" w:color="auto"/>
                <w:left w:val="none" w:sz="0" w:space="0" w:color="auto"/>
                <w:bottom w:val="none" w:sz="0" w:space="0" w:color="auto"/>
                <w:right w:val="none" w:sz="0" w:space="0" w:color="auto"/>
              </w:divBdr>
            </w:div>
          </w:divsChild>
        </w:div>
        <w:div w:id="971906084">
          <w:marLeft w:val="0"/>
          <w:marRight w:val="0"/>
          <w:marTop w:val="0"/>
          <w:marBottom w:val="0"/>
          <w:divBdr>
            <w:top w:val="none" w:sz="0" w:space="0" w:color="auto"/>
            <w:left w:val="none" w:sz="0" w:space="0" w:color="auto"/>
            <w:bottom w:val="none" w:sz="0" w:space="0" w:color="auto"/>
            <w:right w:val="none" w:sz="0" w:space="0" w:color="auto"/>
          </w:divBdr>
          <w:divsChild>
            <w:div w:id="981815109">
              <w:marLeft w:val="0"/>
              <w:marRight w:val="0"/>
              <w:marTop w:val="0"/>
              <w:marBottom w:val="0"/>
              <w:divBdr>
                <w:top w:val="none" w:sz="0" w:space="0" w:color="auto"/>
                <w:left w:val="none" w:sz="0" w:space="0" w:color="auto"/>
                <w:bottom w:val="none" w:sz="0" w:space="0" w:color="auto"/>
                <w:right w:val="none" w:sz="0" w:space="0" w:color="auto"/>
              </w:divBdr>
            </w:div>
          </w:divsChild>
        </w:div>
        <w:div w:id="972444684">
          <w:marLeft w:val="0"/>
          <w:marRight w:val="0"/>
          <w:marTop w:val="0"/>
          <w:marBottom w:val="0"/>
          <w:divBdr>
            <w:top w:val="none" w:sz="0" w:space="0" w:color="auto"/>
            <w:left w:val="none" w:sz="0" w:space="0" w:color="auto"/>
            <w:bottom w:val="none" w:sz="0" w:space="0" w:color="auto"/>
            <w:right w:val="none" w:sz="0" w:space="0" w:color="auto"/>
          </w:divBdr>
          <w:divsChild>
            <w:div w:id="1929272088">
              <w:marLeft w:val="0"/>
              <w:marRight w:val="0"/>
              <w:marTop w:val="0"/>
              <w:marBottom w:val="0"/>
              <w:divBdr>
                <w:top w:val="none" w:sz="0" w:space="0" w:color="auto"/>
                <w:left w:val="none" w:sz="0" w:space="0" w:color="auto"/>
                <w:bottom w:val="none" w:sz="0" w:space="0" w:color="auto"/>
                <w:right w:val="none" w:sz="0" w:space="0" w:color="auto"/>
              </w:divBdr>
            </w:div>
          </w:divsChild>
        </w:div>
        <w:div w:id="976688264">
          <w:marLeft w:val="0"/>
          <w:marRight w:val="0"/>
          <w:marTop w:val="0"/>
          <w:marBottom w:val="0"/>
          <w:divBdr>
            <w:top w:val="none" w:sz="0" w:space="0" w:color="auto"/>
            <w:left w:val="none" w:sz="0" w:space="0" w:color="auto"/>
            <w:bottom w:val="none" w:sz="0" w:space="0" w:color="auto"/>
            <w:right w:val="none" w:sz="0" w:space="0" w:color="auto"/>
          </w:divBdr>
          <w:divsChild>
            <w:div w:id="786196138">
              <w:marLeft w:val="0"/>
              <w:marRight w:val="0"/>
              <w:marTop w:val="0"/>
              <w:marBottom w:val="0"/>
              <w:divBdr>
                <w:top w:val="none" w:sz="0" w:space="0" w:color="auto"/>
                <w:left w:val="none" w:sz="0" w:space="0" w:color="auto"/>
                <w:bottom w:val="none" w:sz="0" w:space="0" w:color="auto"/>
                <w:right w:val="none" w:sz="0" w:space="0" w:color="auto"/>
              </w:divBdr>
            </w:div>
          </w:divsChild>
        </w:div>
        <w:div w:id="984435649">
          <w:marLeft w:val="0"/>
          <w:marRight w:val="0"/>
          <w:marTop w:val="0"/>
          <w:marBottom w:val="0"/>
          <w:divBdr>
            <w:top w:val="none" w:sz="0" w:space="0" w:color="auto"/>
            <w:left w:val="none" w:sz="0" w:space="0" w:color="auto"/>
            <w:bottom w:val="none" w:sz="0" w:space="0" w:color="auto"/>
            <w:right w:val="none" w:sz="0" w:space="0" w:color="auto"/>
          </w:divBdr>
          <w:divsChild>
            <w:div w:id="1489978020">
              <w:marLeft w:val="0"/>
              <w:marRight w:val="0"/>
              <w:marTop w:val="0"/>
              <w:marBottom w:val="0"/>
              <w:divBdr>
                <w:top w:val="none" w:sz="0" w:space="0" w:color="auto"/>
                <w:left w:val="none" w:sz="0" w:space="0" w:color="auto"/>
                <w:bottom w:val="none" w:sz="0" w:space="0" w:color="auto"/>
                <w:right w:val="none" w:sz="0" w:space="0" w:color="auto"/>
              </w:divBdr>
            </w:div>
          </w:divsChild>
        </w:div>
        <w:div w:id="994378709">
          <w:marLeft w:val="0"/>
          <w:marRight w:val="0"/>
          <w:marTop w:val="0"/>
          <w:marBottom w:val="0"/>
          <w:divBdr>
            <w:top w:val="none" w:sz="0" w:space="0" w:color="auto"/>
            <w:left w:val="none" w:sz="0" w:space="0" w:color="auto"/>
            <w:bottom w:val="none" w:sz="0" w:space="0" w:color="auto"/>
            <w:right w:val="none" w:sz="0" w:space="0" w:color="auto"/>
          </w:divBdr>
          <w:divsChild>
            <w:div w:id="276378999">
              <w:marLeft w:val="0"/>
              <w:marRight w:val="0"/>
              <w:marTop w:val="0"/>
              <w:marBottom w:val="0"/>
              <w:divBdr>
                <w:top w:val="none" w:sz="0" w:space="0" w:color="auto"/>
                <w:left w:val="none" w:sz="0" w:space="0" w:color="auto"/>
                <w:bottom w:val="none" w:sz="0" w:space="0" w:color="auto"/>
                <w:right w:val="none" w:sz="0" w:space="0" w:color="auto"/>
              </w:divBdr>
            </w:div>
          </w:divsChild>
        </w:div>
        <w:div w:id="997000016">
          <w:marLeft w:val="0"/>
          <w:marRight w:val="0"/>
          <w:marTop w:val="0"/>
          <w:marBottom w:val="0"/>
          <w:divBdr>
            <w:top w:val="none" w:sz="0" w:space="0" w:color="auto"/>
            <w:left w:val="none" w:sz="0" w:space="0" w:color="auto"/>
            <w:bottom w:val="none" w:sz="0" w:space="0" w:color="auto"/>
            <w:right w:val="none" w:sz="0" w:space="0" w:color="auto"/>
          </w:divBdr>
          <w:divsChild>
            <w:div w:id="926887217">
              <w:marLeft w:val="0"/>
              <w:marRight w:val="0"/>
              <w:marTop w:val="0"/>
              <w:marBottom w:val="0"/>
              <w:divBdr>
                <w:top w:val="none" w:sz="0" w:space="0" w:color="auto"/>
                <w:left w:val="none" w:sz="0" w:space="0" w:color="auto"/>
                <w:bottom w:val="none" w:sz="0" w:space="0" w:color="auto"/>
                <w:right w:val="none" w:sz="0" w:space="0" w:color="auto"/>
              </w:divBdr>
            </w:div>
          </w:divsChild>
        </w:div>
        <w:div w:id="1011105895">
          <w:marLeft w:val="0"/>
          <w:marRight w:val="0"/>
          <w:marTop w:val="0"/>
          <w:marBottom w:val="0"/>
          <w:divBdr>
            <w:top w:val="none" w:sz="0" w:space="0" w:color="auto"/>
            <w:left w:val="none" w:sz="0" w:space="0" w:color="auto"/>
            <w:bottom w:val="none" w:sz="0" w:space="0" w:color="auto"/>
            <w:right w:val="none" w:sz="0" w:space="0" w:color="auto"/>
          </w:divBdr>
          <w:divsChild>
            <w:div w:id="1769233042">
              <w:marLeft w:val="0"/>
              <w:marRight w:val="0"/>
              <w:marTop w:val="0"/>
              <w:marBottom w:val="0"/>
              <w:divBdr>
                <w:top w:val="none" w:sz="0" w:space="0" w:color="auto"/>
                <w:left w:val="none" w:sz="0" w:space="0" w:color="auto"/>
                <w:bottom w:val="none" w:sz="0" w:space="0" w:color="auto"/>
                <w:right w:val="none" w:sz="0" w:space="0" w:color="auto"/>
              </w:divBdr>
            </w:div>
          </w:divsChild>
        </w:div>
        <w:div w:id="1019896326">
          <w:marLeft w:val="0"/>
          <w:marRight w:val="0"/>
          <w:marTop w:val="0"/>
          <w:marBottom w:val="0"/>
          <w:divBdr>
            <w:top w:val="none" w:sz="0" w:space="0" w:color="auto"/>
            <w:left w:val="none" w:sz="0" w:space="0" w:color="auto"/>
            <w:bottom w:val="none" w:sz="0" w:space="0" w:color="auto"/>
            <w:right w:val="none" w:sz="0" w:space="0" w:color="auto"/>
          </w:divBdr>
          <w:divsChild>
            <w:div w:id="2029335590">
              <w:marLeft w:val="0"/>
              <w:marRight w:val="0"/>
              <w:marTop w:val="0"/>
              <w:marBottom w:val="0"/>
              <w:divBdr>
                <w:top w:val="none" w:sz="0" w:space="0" w:color="auto"/>
                <w:left w:val="none" w:sz="0" w:space="0" w:color="auto"/>
                <w:bottom w:val="none" w:sz="0" w:space="0" w:color="auto"/>
                <w:right w:val="none" w:sz="0" w:space="0" w:color="auto"/>
              </w:divBdr>
            </w:div>
          </w:divsChild>
        </w:div>
        <w:div w:id="1022827641">
          <w:marLeft w:val="0"/>
          <w:marRight w:val="0"/>
          <w:marTop w:val="0"/>
          <w:marBottom w:val="0"/>
          <w:divBdr>
            <w:top w:val="none" w:sz="0" w:space="0" w:color="auto"/>
            <w:left w:val="none" w:sz="0" w:space="0" w:color="auto"/>
            <w:bottom w:val="none" w:sz="0" w:space="0" w:color="auto"/>
            <w:right w:val="none" w:sz="0" w:space="0" w:color="auto"/>
          </w:divBdr>
          <w:divsChild>
            <w:div w:id="393740293">
              <w:marLeft w:val="0"/>
              <w:marRight w:val="0"/>
              <w:marTop w:val="0"/>
              <w:marBottom w:val="0"/>
              <w:divBdr>
                <w:top w:val="none" w:sz="0" w:space="0" w:color="auto"/>
                <w:left w:val="none" w:sz="0" w:space="0" w:color="auto"/>
                <w:bottom w:val="none" w:sz="0" w:space="0" w:color="auto"/>
                <w:right w:val="none" w:sz="0" w:space="0" w:color="auto"/>
              </w:divBdr>
            </w:div>
          </w:divsChild>
        </w:div>
        <w:div w:id="1027869521">
          <w:marLeft w:val="0"/>
          <w:marRight w:val="0"/>
          <w:marTop w:val="0"/>
          <w:marBottom w:val="0"/>
          <w:divBdr>
            <w:top w:val="none" w:sz="0" w:space="0" w:color="auto"/>
            <w:left w:val="none" w:sz="0" w:space="0" w:color="auto"/>
            <w:bottom w:val="none" w:sz="0" w:space="0" w:color="auto"/>
            <w:right w:val="none" w:sz="0" w:space="0" w:color="auto"/>
          </w:divBdr>
          <w:divsChild>
            <w:div w:id="1418556642">
              <w:marLeft w:val="0"/>
              <w:marRight w:val="0"/>
              <w:marTop w:val="0"/>
              <w:marBottom w:val="0"/>
              <w:divBdr>
                <w:top w:val="none" w:sz="0" w:space="0" w:color="auto"/>
                <w:left w:val="none" w:sz="0" w:space="0" w:color="auto"/>
                <w:bottom w:val="none" w:sz="0" w:space="0" w:color="auto"/>
                <w:right w:val="none" w:sz="0" w:space="0" w:color="auto"/>
              </w:divBdr>
            </w:div>
          </w:divsChild>
        </w:div>
        <w:div w:id="1028289711">
          <w:marLeft w:val="0"/>
          <w:marRight w:val="0"/>
          <w:marTop w:val="0"/>
          <w:marBottom w:val="0"/>
          <w:divBdr>
            <w:top w:val="none" w:sz="0" w:space="0" w:color="auto"/>
            <w:left w:val="none" w:sz="0" w:space="0" w:color="auto"/>
            <w:bottom w:val="none" w:sz="0" w:space="0" w:color="auto"/>
            <w:right w:val="none" w:sz="0" w:space="0" w:color="auto"/>
          </w:divBdr>
          <w:divsChild>
            <w:div w:id="344988569">
              <w:marLeft w:val="0"/>
              <w:marRight w:val="0"/>
              <w:marTop w:val="0"/>
              <w:marBottom w:val="0"/>
              <w:divBdr>
                <w:top w:val="none" w:sz="0" w:space="0" w:color="auto"/>
                <w:left w:val="none" w:sz="0" w:space="0" w:color="auto"/>
                <w:bottom w:val="none" w:sz="0" w:space="0" w:color="auto"/>
                <w:right w:val="none" w:sz="0" w:space="0" w:color="auto"/>
              </w:divBdr>
            </w:div>
          </w:divsChild>
        </w:div>
        <w:div w:id="1029602666">
          <w:marLeft w:val="0"/>
          <w:marRight w:val="0"/>
          <w:marTop w:val="0"/>
          <w:marBottom w:val="0"/>
          <w:divBdr>
            <w:top w:val="none" w:sz="0" w:space="0" w:color="auto"/>
            <w:left w:val="none" w:sz="0" w:space="0" w:color="auto"/>
            <w:bottom w:val="none" w:sz="0" w:space="0" w:color="auto"/>
            <w:right w:val="none" w:sz="0" w:space="0" w:color="auto"/>
          </w:divBdr>
          <w:divsChild>
            <w:div w:id="1195003584">
              <w:marLeft w:val="0"/>
              <w:marRight w:val="0"/>
              <w:marTop w:val="0"/>
              <w:marBottom w:val="0"/>
              <w:divBdr>
                <w:top w:val="none" w:sz="0" w:space="0" w:color="auto"/>
                <w:left w:val="none" w:sz="0" w:space="0" w:color="auto"/>
                <w:bottom w:val="none" w:sz="0" w:space="0" w:color="auto"/>
                <w:right w:val="none" w:sz="0" w:space="0" w:color="auto"/>
              </w:divBdr>
            </w:div>
          </w:divsChild>
        </w:div>
        <w:div w:id="1030648417">
          <w:marLeft w:val="0"/>
          <w:marRight w:val="0"/>
          <w:marTop w:val="0"/>
          <w:marBottom w:val="0"/>
          <w:divBdr>
            <w:top w:val="none" w:sz="0" w:space="0" w:color="auto"/>
            <w:left w:val="none" w:sz="0" w:space="0" w:color="auto"/>
            <w:bottom w:val="none" w:sz="0" w:space="0" w:color="auto"/>
            <w:right w:val="none" w:sz="0" w:space="0" w:color="auto"/>
          </w:divBdr>
          <w:divsChild>
            <w:div w:id="1845246084">
              <w:marLeft w:val="0"/>
              <w:marRight w:val="0"/>
              <w:marTop w:val="0"/>
              <w:marBottom w:val="0"/>
              <w:divBdr>
                <w:top w:val="none" w:sz="0" w:space="0" w:color="auto"/>
                <w:left w:val="none" w:sz="0" w:space="0" w:color="auto"/>
                <w:bottom w:val="none" w:sz="0" w:space="0" w:color="auto"/>
                <w:right w:val="none" w:sz="0" w:space="0" w:color="auto"/>
              </w:divBdr>
            </w:div>
          </w:divsChild>
        </w:div>
        <w:div w:id="1040592299">
          <w:marLeft w:val="0"/>
          <w:marRight w:val="0"/>
          <w:marTop w:val="0"/>
          <w:marBottom w:val="0"/>
          <w:divBdr>
            <w:top w:val="none" w:sz="0" w:space="0" w:color="auto"/>
            <w:left w:val="none" w:sz="0" w:space="0" w:color="auto"/>
            <w:bottom w:val="none" w:sz="0" w:space="0" w:color="auto"/>
            <w:right w:val="none" w:sz="0" w:space="0" w:color="auto"/>
          </w:divBdr>
          <w:divsChild>
            <w:div w:id="319231332">
              <w:marLeft w:val="0"/>
              <w:marRight w:val="0"/>
              <w:marTop w:val="0"/>
              <w:marBottom w:val="0"/>
              <w:divBdr>
                <w:top w:val="none" w:sz="0" w:space="0" w:color="auto"/>
                <w:left w:val="none" w:sz="0" w:space="0" w:color="auto"/>
                <w:bottom w:val="none" w:sz="0" w:space="0" w:color="auto"/>
                <w:right w:val="none" w:sz="0" w:space="0" w:color="auto"/>
              </w:divBdr>
            </w:div>
          </w:divsChild>
        </w:div>
        <w:div w:id="1051074453">
          <w:marLeft w:val="0"/>
          <w:marRight w:val="0"/>
          <w:marTop w:val="0"/>
          <w:marBottom w:val="0"/>
          <w:divBdr>
            <w:top w:val="none" w:sz="0" w:space="0" w:color="auto"/>
            <w:left w:val="none" w:sz="0" w:space="0" w:color="auto"/>
            <w:bottom w:val="none" w:sz="0" w:space="0" w:color="auto"/>
            <w:right w:val="none" w:sz="0" w:space="0" w:color="auto"/>
          </w:divBdr>
          <w:divsChild>
            <w:div w:id="146820954">
              <w:marLeft w:val="0"/>
              <w:marRight w:val="0"/>
              <w:marTop w:val="0"/>
              <w:marBottom w:val="0"/>
              <w:divBdr>
                <w:top w:val="none" w:sz="0" w:space="0" w:color="auto"/>
                <w:left w:val="none" w:sz="0" w:space="0" w:color="auto"/>
                <w:bottom w:val="none" w:sz="0" w:space="0" w:color="auto"/>
                <w:right w:val="none" w:sz="0" w:space="0" w:color="auto"/>
              </w:divBdr>
            </w:div>
          </w:divsChild>
        </w:div>
        <w:div w:id="1052732380">
          <w:marLeft w:val="0"/>
          <w:marRight w:val="0"/>
          <w:marTop w:val="0"/>
          <w:marBottom w:val="0"/>
          <w:divBdr>
            <w:top w:val="none" w:sz="0" w:space="0" w:color="auto"/>
            <w:left w:val="none" w:sz="0" w:space="0" w:color="auto"/>
            <w:bottom w:val="none" w:sz="0" w:space="0" w:color="auto"/>
            <w:right w:val="none" w:sz="0" w:space="0" w:color="auto"/>
          </w:divBdr>
          <w:divsChild>
            <w:div w:id="616641958">
              <w:marLeft w:val="0"/>
              <w:marRight w:val="0"/>
              <w:marTop w:val="0"/>
              <w:marBottom w:val="0"/>
              <w:divBdr>
                <w:top w:val="none" w:sz="0" w:space="0" w:color="auto"/>
                <w:left w:val="none" w:sz="0" w:space="0" w:color="auto"/>
                <w:bottom w:val="none" w:sz="0" w:space="0" w:color="auto"/>
                <w:right w:val="none" w:sz="0" w:space="0" w:color="auto"/>
              </w:divBdr>
            </w:div>
          </w:divsChild>
        </w:div>
        <w:div w:id="1053190473">
          <w:marLeft w:val="0"/>
          <w:marRight w:val="0"/>
          <w:marTop w:val="0"/>
          <w:marBottom w:val="0"/>
          <w:divBdr>
            <w:top w:val="none" w:sz="0" w:space="0" w:color="auto"/>
            <w:left w:val="none" w:sz="0" w:space="0" w:color="auto"/>
            <w:bottom w:val="none" w:sz="0" w:space="0" w:color="auto"/>
            <w:right w:val="none" w:sz="0" w:space="0" w:color="auto"/>
          </w:divBdr>
          <w:divsChild>
            <w:div w:id="92753680">
              <w:marLeft w:val="0"/>
              <w:marRight w:val="0"/>
              <w:marTop w:val="0"/>
              <w:marBottom w:val="0"/>
              <w:divBdr>
                <w:top w:val="none" w:sz="0" w:space="0" w:color="auto"/>
                <w:left w:val="none" w:sz="0" w:space="0" w:color="auto"/>
                <w:bottom w:val="none" w:sz="0" w:space="0" w:color="auto"/>
                <w:right w:val="none" w:sz="0" w:space="0" w:color="auto"/>
              </w:divBdr>
            </w:div>
          </w:divsChild>
        </w:div>
        <w:div w:id="1075934208">
          <w:marLeft w:val="0"/>
          <w:marRight w:val="0"/>
          <w:marTop w:val="0"/>
          <w:marBottom w:val="0"/>
          <w:divBdr>
            <w:top w:val="none" w:sz="0" w:space="0" w:color="auto"/>
            <w:left w:val="none" w:sz="0" w:space="0" w:color="auto"/>
            <w:bottom w:val="none" w:sz="0" w:space="0" w:color="auto"/>
            <w:right w:val="none" w:sz="0" w:space="0" w:color="auto"/>
          </w:divBdr>
          <w:divsChild>
            <w:div w:id="9646018">
              <w:marLeft w:val="0"/>
              <w:marRight w:val="0"/>
              <w:marTop w:val="0"/>
              <w:marBottom w:val="0"/>
              <w:divBdr>
                <w:top w:val="none" w:sz="0" w:space="0" w:color="auto"/>
                <w:left w:val="none" w:sz="0" w:space="0" w:color="auto"/>
                <w:bottom w:val="none" w:sz="0" w:space="0" w:color="auto"/>
                <w:right w:val="none" w:sz="0" w:space="0" w:color="auto"/>
              </w:divBdr>
            </w:div>
          </w:divsChild>
        </w:div>
        <w:div w:id="1090855508">
          <w:marLeft w:val="0"/>
          <w:marRight w:val="0"/>
          <w:marTop w:val="0"/>
          <w:marBottom w:val="0"/>
          <w:divBdr>
            <w:top w:val="none" w:sz="0" w:space="0" w:color="auto"/>
            <w:left w:val="none" w:sz="0" w:space="0" w:color="auto"/>
            <w:bottom w:val="none" w:sz="0" w:space="0" w:color="auto"/>
            <w:right w:val="none" w:sz="0" w:space="0" w:color="auto"/>
          </w:divBdr>
          <w:divsChild>
            <w:div w:id="605621711">
              <w:marLeft w:val="0"/>
              <w:marRight w:val="0"/>
              <w:marTop w:val="0"/>
              <w:marBottom w:val="0"/>
              <w:divBdr>
                <w:top w:val="none" w:sz="0" w:space="0" w:color="auto"/>
                <w:left w:val="none" w:sz="0" w:space="0" w:color="auto"/>
                <w:bottom w:val="none" w:sz="0" w:space="0" w:color="auto"/>
                <w:right w:val="none" w:sz="0" w:space="0" w:color="auto"/>
              </w:divBdr>
            </w:div>
          </w:divsChild>
        </w:div>
        <w:div w:id="1100444145">
          <w:marLeft w:val="0"/>
          <w:marRight w:val="0"/>
          <w:marTop w:val="0"/>
          <w:marBottom w:val="0"/>
          <w:divBdr>
            <w:top w:val="none" w:sz="0" w:space="0" w:color="auto"/>
            <w:left w:val="none" w:sz="0" w:space="0" w:color="auto"/>
            <w:bottom w:val="none" w:sz="0" w:space="0" w:color="auto"/>
            <w:right w:val="none" w:sz="0" w:space="0" w:color="auto"/>
          </w:divBdr>
          <w:divsChild>
            <w:div w:id="1594238844">
              <w:marLeft w:val="0"/>
              <w:marRight w:val="0"/>
              <w:marTop w:val="0"/>
              <w:marBottom w:val="0"/>
              <w:divBdr>
                <w:top w:val="none" w:sz="0" w:space="0" w:color="auto"/>
                <w:left w:val="none" w:sz="0" w:space="0" w:color="auto"/>
                <w:bottom w:val="none" w:sz="0" w:space="0" w:color="auto"/>
                <w:right w:val="none" w:sz="0" w:space="0" w:color="auto"/>
              </w:divBdr>
            </w:div>
          </w:divsChild>
        </w:div>
        <w:div w:id="1113288254">
          <w:marLeft w:val="0"/>
          <w:marRight w:val="0"/>
          <w:marTop w:val="0"/>
          <w:marBottom w:val="0"/>
          <w:divBdr>
            <w:top w:val="none" w:sz="0" w:space="0" w:color="auto"/>
            <w:left w:val="none" w:sz="0" w:space="0" w:color="auto"/>
            <w:bottom w:val="none" w:sz="0" w:space="0" w:color="auto"/>
            <w:right w:val="none" w:sz="0" w:space="0" w:color="auto"/>
          </w:divBdr>
          <w:divsChild>
            <w:div w:id="891580415">
              <w:marLeft w:val="0"/>
              <w:marRight w:val="0"/>
              <w:marTop w:val="0"/>
              <w:marBottom w:val="0"/>
              <w:divBdr>
                <w:top w:val="none" w:sz="0" w:space="0" w:color="auto"/>
                <w:left w:val="none" w:sz="0" w:space="0" w:color="auto"/>
                <w:bottom w:val="none" w:sz="0" w:space="0" w:color="auto"/>
                <w:right w:val="none" w:sz="0" w:space="0" w:color="auto"/>
              </w:divBdr>
            </w:div>
          </w:divsChild>
        </w:div>
        <w:div w:id="1116221405">
          <w:marLeft w:val="0"/>
          <w:marRight w:val="0"/>
          <w:marTop w:val="0"/>
          <w:marBottom w:val="0"/>
          <w:divBdr>
            <w:top w:val="none" w:sz="0" w:space="0" w:color="auto"/>
            <w:left w:val="none" w:sz="0" w:space="0" w:color="auto"/>
            <w:bottom w:val="none" w:sz="0" w:space="0" w:color="auto"/>
            <w:right w:val="none" w:sz="0" w:space="0" w:color="auto"/>
          </w:divBdr>
          <w:divsChild>
            <w:div w:id="435684310">
              <w:marLeft w:val="0"/>
              <w:marRight w:val="0"/>
              <w:marTop w:val="0"/>
              <w:marBottom w:val="0"/>
              <w:divBdr>
                <w:top w:val="none" w:sz="0" w:space="0" w:color="auto"/>
                <w:left w:val="none" w:sz="0" w:space="0" w:color="auto"/>
                <w:bottom w:val="none" w:sz="0" w:space="0" w:color="auto"/>
                <w:right w:val="none" w:sz="0" w:space="0" w:color="auto"/>
              </w:divBdr>
            </w:div>
          </w:divsChild>
        </w:div>
        <w:div w:id="1129206716">
          <w:marLeft w:val="0"/>
          <w:marRight w:val="0"/>
          <w:marTop w:val="0"/>
          <w:marBottom w:val="0"/>
          <w:divBdr>
            <w:top w:val="none" w:sz="0" w:space="0" w:color="auto"/>
            <w:left w:val="none" w:sz="0" w:space="0" w:color="auto"/>
            <w:bottom w:val="none" w:sz="0" w:space="0" w:color="auto"/>
            <w:right w:val="none" w:sz="0" w:space="0" w:color="auto"/>
          </w:divBdr>
          <w:divsChild>
            <w:div w:id="615910479">
              <w:marLeft w:val="0"/>
              <w:marRight w:val="0"/>
              <w:marTop w:val="0"/>
              <w:marBottom w:val="0"/>
              <w:divBdr>
                <w:top w:val="none" w:sz="0" w:space="0" w:color="auto"/>
                <w:left w:val="none" w:sz="0" w:space="0" w:color="auto"/>
                <w:bottom w:val="none" w:sz="0" w:space="0" w:color="auto"/>
                <w:right w:val="none" w:sz="0" w:space="0" w:color="auto"/>
              </w:divBdr>
            </w:div>
          </w:divsChild>
        </w:div>
        <w:div w:id="1133252104">
          <w:marLeft w:val="0"/>
          <w:marRight w:val="0"/>
          <w:marTop w:val="0"/>
          <w:marBottom w:val="0"/>
          <w:divBdr>
            <w:top w:val="none" w:sz="0" w:space="0" w:color="auto"/>
            <w:left w:val="none" w:sz="0" w:space="0" w:color="auto"/>
            <w:bottom w:val="none" w:sz="0" w:space="0" w:color="auto"/>
            <w:right w:val="none" w:sz="0" w:space="0" w:color="auto"/>
          </w:divBdr>
          <w:divsChild>
            <w:div w:id="759715584">
              <w:marLeft w:val="0"/>
              <w:marRight w:val="0"/>
              <w:marTop w:val="0"/>
              <w:marBottom w:val="0"/>
              <w:divBdr>
                <w:top w:val="none" w:sz="0" w:space="0" w:color="auto"/>
                <w:left w:val="none" w:sz="0" w:space="0" w:color="auto"/>
                <w:bottom w:val="none" w:sz="0" w:space="0" w:color="auto"/>
                <w:right w:val="none" w:sz="0" w:space="0" w:color="auto"/>
              </w:divBdr>
            </w:div>
          </w:divsChild>
        </w:div>
        <w:div w:id="1142043572">
          <w:marLeft w:val="0"/>
          <w:marRight w:val="0"/>
          <w:marTop w:val="0"/>
          <w:marBottom w:val="0"/>
          <w:divBdr>
            <w:top w:val="none" w:sz="0" w:space="0" w:color="auto"/>
            <w:left w:val="none" w:sz="0" w:space="0" w:color="auto"/>
            <w:bottom w:val="none" w:sz="0" w:space="0" w:color="auto"/>
            <w:right w:val="none" w:sz="0" w:space="0" w:color="auto"/>
          </w:divBdr>
          <w:divsChild>
            <w:div w:id="385380405">
              <w:marLeft w:val="0"/>
              <w:marRight w:val="0"/>
              <w:marTop w:val="0"/>
              <w:marBottom w:val="0"/>
              <w:divBdr>
                <w:top w:val="none" w:sz="0" w:space="0" w:color="auto"/>
                <w:left w:val="none" w:sz="0" w:space="0" w:color="auto"/>
                <w:bottom w:val="none" w:sz="0" w:space="0" w:color="auto"/>
                <w:right w:val="none" w:sz="0" w:space="0" w:color="auto"/>
              </w:divBdr>
            </w:div>
          </w:divsChild>
        </w:div>
        <w:div w:id="1142849240">
          <w:marLeft w:val="0"/>
          <w:marRight w:val="0"/>
          <w:marTop w:val="0"/>
          <w:marBottom w:val="0"/>
          <w:divBdr>
            <w:top w:val="none" w:sz="0" w:space="0" w:color="auto"/>
            <w:left w:val="none" w:sz="0" w:space="0" w:color="auto"/>
            <w:bottom w:val="none" w:sz="0" w:space="0" w:color="auto"/>
            <w:right w:val="none" w:sz="0" w:space="0" w:color="auto"/>
          </w:divBdr>
          <w:divsChild>
            <w:div w:id="1701279100">
              <w:marLeft w:val="0"/>
              <w:marRight w:val="0"/>
              <w:marTop w:val="0"/>
              <w:marBottom w:val="0"/>
              <w:divBdr>
                <w:top w:val="none" w:sz="0" w:space="0" w:color="auto"/>
                <w:left w:val="none" w:sz="0" w:space="0" w:color="auto"/>
                <w:bottom w:val="none" w:sz="0" w:space="0" w:color="auto"/>
                <w:right w:val="none" w:sz="0" w:space="0" w:color="auto"/>
              </w:divBdr>
            </w:div>
          </w:divsChild>
        </w:div>
        <w:div w:id="1144155243">
          <w:marLeft w:val="0"/>
          <w:marRight w:val="0"/>
          <w:marTop w:val="0"/>
          <w:marBottom w:val="0"/>
          <w:divBdr>
            <w:top w:val="none" w:sz="0" w:space="0" w:color="auto"/>
            <w:left w:val="none" w:sz="0" w:space="0" w:color="auto"/>
            <w:bottom w:val="none" w:sz="0" w:space="0" w:color="auto"/>
            <w:right w:val="none" w:sz="0" w:space="0" w:color="auto"/>
          </w:divBdr>
          <w:divsChild>
            <w:div w:id="2002268098">
              <w:marLeft w:val="0"/>
              <w:marRight w:val="0"/>
              <w:marTop w:val="0"/>
              <w:marBottom w:val="0"/>
              <w:divBdr>
                <w:top w:val="none" w:sz="0" w:space="0" w:color="auto"/>
                <w:left w:val="none" w:sz="0" w:space="0" w:color="auto"/>
                <w:bottom w:val="none" w:sz="0" w:space="0" w:color="auto"/>
                <w:right w:val="none" w:sz="0" w:space="0" w:color="auto"/>
              </w:divBdr>
            </w:div>
          </w:divsChild>
        </w:div>
        <w:div w:id="1149445152">
          <w:marLeft w:val="0"/>
          <w:marRight w:val="0"/>
          <w:marTop w:val="0"/>
          <w:marBottom w:val="0"/>
          <w:divBdr>
            <w:top w:val="none" w:sz="0" w:space="0" w:color="auto"/>
            <w:left w:val="none" w:sz="0" w:space="0" w:color="auto"/>
            <w:bottom w:val="none" w:sz="0" w:space="0" w:color="auto"/>
            <w:right w:val="none" w:sz="0" w:space="0" w:color="auto"/>
          </w:divBdr>
          <w:divsChild>
            <w:div w:id="251817977">
              <w:marLeft w:val="0"/>
              <w:marRight w:val="0"/>
              <w:marTop w:val="0"/>
              <w:marBottom w:val="0"/>
              <w:divBdr>
                <w:top w:val="none" w:sz="0" w:space="0" w:color="auto"/>
                <w:left w:val="none" w:sz="0" w:space="0" w:color="auto"/>
                <w:bottom w:val="none" w:sz="0" w:space="0" w:color="auto"/>
                <w:right w:val="none" w:sz="0" w:space="0" w:color="auto"/>
              </w:divBdr>
            </w:div>
          </w:divsChild>
        </w:div>
        <w:div w:id="1155874967">
          <w:marLeft w:val="0"/>
          <w:marRight w:val="0"/>
          <w:marTop w:val="0"/>
          <w:marBottom w:val="0"/>
          <w:divBdr>
            <w:top w:val="none" w:sz="0" w:space="0" w:color="auto"/>
            <w:left w:val="none" w:sz="0" w:space="0" w:color="auto"/>
            <w:bottom w:val="none" w:sz="0" w:space="0" w:color="auto"/>
            <w:right w:val="none" w:sz="0" w:space="0" w:color="auto"/>
          </w:divBdr>
          <w:divsChild>
            <w:div w:id="176971658">
              <w:marLeft w:val="0"/>
              <w:marRight w:val="0"/>
              <w:marTop w:val="0"/>
              <w:marBottom w:val="0"/>
              <w:divBdr>
                <w:top w:val="none" w:sz="0" w:space="0" w:color="auto"/>
                <w:left w:val="none" w:sz="0" w:space="0" w:color="auto"/>
                <w:bottom w:val="none" w:sz="0" w:space="0" w:color="auto"/>
                <w:right w:val="none" w:sz="0" w:space="0" w:color="auto"/>
              </w:divBdr>
            </w:div>
          </w:divsChild>
        </w:div>
        <w:div w:id="1169953195">
          <w:marLeft w:val="0"/>
          <w:marRight w:val="0"/>
          <w:marTop w:val="0"/>
          <w:marBottom w:val="0"/>
          <w:divBdr>
            <w:top w:val="none" w:sz="0" w:space="0" w:color="auto"/>
            <w:left w:val="none" w:sz="0" w:space="0" w:color="auto"/>
            <w:bottom w:val="none" w:sz="0" w:space="0" w:color="auto"/>
            <w:right w:val="none" w:sz="0" w:space="0" w:color="auto"/>
          </w:divBdr>
          <w:divsChild>
            <w:div w:id="1943102686">
              <w:marLeft w:val="0"/>
              <w:marRight w:val="0"/>
              <w:marTop w:val="0"/>
              <w:marBottom w:val="0"/>
              <w:divBdr>
                <w:top w:val="none" w:sz="0" w:space="0" w:color="auto"/>
                <w:left w:val="none" w:sz="0" w:space="0" w:color="auto"/>
                <w:bottom w:val="none" w:sz="0" w:space="0" w:color="auto"/>
                <w:right w:val="none" w:sz="0" w:space="0" w:color="auto"/>
              </w:divBdr>
            </w:div>
          </w:divsChild>
        </w:div>
        <w:div w:id="1176504702">
          <w:marLeft w:val="0"/>
          <w:marRight w:val="0"/>
          <w:marTop w:val="0"/>
          <w:marBottom w:val="0"/>
          <w:divBdr>
            <w:top w:val="none" w:sz="0" w:space="0" w:color="auto"/>
            <w:left w:val="none" w:sz="0" w:space="0" w:color="auto"/>
            <w:bottom w:val="none" w:sz="0" w:space="0" w:color="auto"/>
            <w:right w:val="none" w:sz="0" w:space="0" w:color="auto"/>
          </w:divBdr>
          <w:divsChild>
            <w:div w:id="1217817216">
              <w:marLeft w:val="0"/>
              <w:marRight w:val="0"/>
              <w:marTop w:val="0"/>
              <w:marBottom w:val="0"/>
              <w:divBdr>
                <w:top w:val="none" w:sz="0" w:space="0" w:color="auto"/>
                <w:left w:val="none" w:sz="0" w:space="0" w:color="auto"/>
                <w:bottom w:val="none" w:sz="0" w:space="0" w:color="auto"/>
                <w:right w:val="none" w:sz="0" w:space="0" w:color="auto"/>
              </w:divBdr>
            </w:div>
          </w:divsChild>
        </w:div>
        <w:div w:id="1178540266">
          <w:marLeft w:val="0"/>
          <w:marRight w:val="0"/>
          <w:marTop w:val="0"/>
          <w:marBottom w:val="0"/>
          <w:divBdr>
            <w:top w:val="none" w:sz="0" w:space="0" w:color="auto"/>
            <w:left w:val="none" w:sz="0" w:space="0" w:color="auto"/>
            <w:bottom w:val="none" w:sz="0" w:space="0" w:color="auto"/>
            <w:right w:val="none" w:sz="0" w:space="0" w:color="auto"/>
          </w:divBdr>
          <w:divsChild>
            <w:div w:id="1662460612">
              <w:marLeft w:val="0"/>
              <w:marRight w:val="0"/>
              <w:marTop w:val="0"/>
              <w:marBottom w:val="0"/>
              <w:divBdr>
                <w:top w:val="none" w:sz="0" w:space="0" w:color="auto"/>
                <w:left w:val="none" w:sz="0" w:space="0" w:color="auto"/>
                <w:bottom w:val="none" w:sz="0" w:space="0" w:color="auto"/>
                <w:right w:val="none" w:sz="0" w:space="0" w:color="auto"/>
              </w:divBdr>
            </w:div>
          </w:divsChild>
        </w:div>
        <w:div w:id="1184631868">
          <w:marLeft w:val="0"/>
          <w:marRight w:val="0"/>
          <w:marTop w:val="0"/>
          <w:marBottom w:val="0"/>
          <w:divBdr>
            <w:top w:val="none" w:sz="0" w:space="0" w:color="auto"/>
            <w:left w:val="none" w:sz="0" w:space="0" w:color="auto"/>
            <w:bottom w:val="none" w:sz="0" w:space="0" w:color="auto"/>
            <w:right w:val="none" w:sz="0" w:space="0" w:color="auto"/>
          </w:divBdr>
          <w:divsChild>
            <w:div w:id="789517559">
              <w:marLeft w:val="0"/>
              <w:marRight w:val="0"/>
              <w:marTop w:val="0"/>
              <w:marBottom w:val="0"/>
              <w:divBdr>
                <w:top w:val="none" w:sz="0" w:space="0" w:color="auto"/>
                <w:left w:val="none" w:sz="0" w:space="0" w:color="auto"/>
                <w:bottom w:val="none" w:sz="0" w:space="0" w:color="auto"/>
                <w:right w:val="none" w:sz="0" w:space="0" w:color="auto"/>
              </w:divBdr>
            </w:div>
          </w:divsChild>
        </w:div>
        <w:div w:id="1193149188">
          <w:marLeft w:val="0"/>
          <w:marRight w:val="0"/>
          <w:marTop w:val="0"/>
          <w:marBottom w:val="0"/>
          <w:divBdr>
            <w:top w:val="none" w:sz="0" w:space="0" w:color="auto"/>
            <w:left w:val="none" w:sz="0" w:space="0" w:color="auto"/>
            <w:bottom w:val="none" w:sz="0" w:space="0" w:color="auto"/>
            <w:right w:val="none" w:sz="0" w:space="0" w:color="auto"/>
          </w:divBdr>
          <w:divsChild>
            <w:div w:id="479077340">
              <w:marLeft w:val="0"/>
              <w:marRight w:val="0"/>
              <w:marTop w:val="0"/>
              <w:marBottom w:val="0"/>
              <w:divBdr>
                <w:top w:val="none" w:sz="0" w:space="0" w:color="auto"/>
                <w:left w:val="none" w:sz="0" w:space="0" w:color="auto"/>
                <w:bottom w:val="none" w:sz="0" w:space="0" w:color="auto"/>
                <w:right w:val="none" w:sz="0" w:space="0" w:color="auto"/>
              </w:divBdr>
            </w:div>
          </w:divsChild>
        </w:div>
        <w:div w:id="1204369905">
          <w:marLeft w:val="0"/>
          <w:marRight w:val="0"/>
          <w:marTop w:val="0"/>
          <w:marBottom w:val="0"/>
          <w:divBdr>
            <w:top w:val="none" w:sz="0" w:space="0" w:color="auto"/>
            <w:left w:val="none" w:sz="0" w:space="0" w:color="auto"/>
            <w:bottom w:val="none" w:sz="0" w:space="0" w:color="auto"/>
            <w:right w:val="none" w:sz="0" w:space="0" w:color="auto"/>
          </w:divBdr>
          <w:divsChild>
            <w:div w:id="1083142444">
              <w:marLeft w:val="0"/>
              <w:marRight w:val="0"/>
              <w:marTop w:val="0"/>
              <w:marBottom w:val="0"/>
              <w:divBdr>
                <w:top w:val="none" w:sz="0" w:space="0" w:color="auto"/>
                <w:left w:val="none" w:sz="0" w:space="0" w:color="auto"/>
                <w:bottom w:val="none" w:sz="0" w:space="0" w:color="auto"/>
                <w:right w:val="none" w:sz="0" w:space="0" w:color="auto"/>
              </w:divBdr>
            </w:div>
          </w:divsChild>
        </w:div>
        <w:div w:id="121885570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0"/>
              <w:marRight w:val="0"/>
              <w:marTop w:val="0"/>
              <w:marBottom w:val="0"/>
              <w:divBdr>
                <w:top w:val="none" w:sz="0" w:space="0" w:color="auto"/>
                <w:left w:val="none" w:sz="0" w:space="0" w:color="auto"/>
                <w:bottom w:val="none" w:sz="0" w:space="0" w:color="auto"/>
                <w:right w:val="none" w:sz="0" w:space="0" w:color="auto"/>
              </w:divBdr>
            </w:div>
          </w:divsChild>
        </w:div>
        <w:div w:id="1226064489">
          <w:marLeft w:val="0"/>
          <w:marRight w:val="0"/>
          <w:marTop w:val="0"/>
          <w:marBottom w:val="0"/>
          <w:divBdr>
            <w:top w:val="none" w:sz="0" w:space="0" w:color="auto"/>
            <w:left w:val="none" w:sz="0" w:space="0" w:color="auto"/>
            <w:bottom w:val="none" w:sz="0" w:space="0" w:color="auto"/>
            <w:right w:val="none" w:sz="0" w:space="0" w:color="auto"/>
          </w:divBdr>
          <w:divsChild>
            <w:div w:id="413431508">
              <w:marLeft w:val="0"/>
              <w:marRight w:val="0"/>
              <w:marTop w:val="0"/>
              <w:marBottom w:val="0"/>
              <w:divBdr>
                <w:top w:val="none" w:sz="0" w:space="0" w:color="auto"/>
                <w:left w:val="none" w:sz="0" w:space="0" w:color="auto"/>
                <w:bottom w:val="none" w:sz="0" w:space="0" w:color="auto"/>
                <w:right w:val="none" w:sz="0" w:space="0" w:color="auto"/>
              </w:divBdr>
            </w:div>
          </w:divsChild>
        </w:div>
        <w:div w:id="1231498909">
          <w:marLeft w:val="0"/>
          <w:marRight w:val="0"/>
          <w:marTop w:val="0"/>
          <w:marBottom w:val="0"/>
          <w:divBdr>
            <w:top w:val="none" w:sz="0" w:space="0" w:color="auto"/>
            <w:left w:val="none" w:sz="0" w:space="0" w:color="auto"/>
            <w:bottom w:val="none" w:sz="0" w:space="0" w:color="auto"/>
            <w:right w:val="none" w:sz="0" w:space="0" w:color="auto"/>
          </w:divBdr>
          <w:divsChild>
            <w:div w:id="1613319622">
              <w:marLeft w:val="0"/>
              <w:marRight w:val="0"/>
              <w:marTop w:val="0"/>
              <w:marBottom w:val="0"/>
              <w:divBdr>
                <w:top w:val="none" w:sz="0" w:space="0" w:color="auto"/>
                <w:left w:val="none" w:sz="0" w:space="0" w:color="auto"/>
                <w:bottom w:val="none" w:sz="0" w:space="0" w:color="auto"/>
                <w:right w:val="none" w:sz="0" w:space="0" w:color="auto"/>
              </w:divBdr>
            </w:div>
          </w:divsChild>
        </w:div>
        <w:div w:id="1240409210">
          <w:marLeft w:val="0"/>
          <w:marRight w:val="0"/>
          <w:marTop w:val="0"/>
          <w:marBottom w:val="0"/>
          <w:divBdr>
            <w:top w:val="none" w:sz="0" w:space="0" w:color="auto"/>
            <w:left w:val="none" w:sz="0" w:space="0" w:color="auto"/>
            <w:bottom w:val="none" w:sz="0" w:space="0" w:color="auto"/>
            <w:right w:val="none" w:sz="0" w:space="0" w:color="auto"/>
          </w:divBdr>
          <w:divsChild>
            <w:div w:id="976954219">
              <w:marLeft w:val="0"/>
              <w:marRight w:val="0"/>
              <w:marTop w:val="0"/>
              <w:marBottom w:val="0"/>
              <w:divBdr>
                <w:top w:val="none" w:sz="0" w:space="0" w:color="auto"/>
                <w:left w:val="none" w:sz="0" w:space="0" w:color="auto"/>
                <w:bottom w:val="none" w:sz="0" w:space="0" w:color="auto"/>
                <w:right w:val="none" w:sz="0" w:space="0" w:color="auto"/>
              </w:divBdr>
            </w:div>
          </w:divsChild>
        </w:div>
        <w:div w:id="1252739786">
          <w:marLeft w:val="0"/>
          <w:marRight w:val="0"/>
          <w:marTop w:val="0"/>
          <w:marBottom w:val="0"/>
          <w:divBdr>
            <w:top w:val="none" w:sz="0" w:space="0" w:color="auto"/>
            <w:left w:val="none" w:sz="0" w:space="0" w:color="auto"/>
            <w:bottom w:val="none" w:sz="0" w:space="0" w:color="auto"/>
            <w:right w:val="none" w:sz="0" w:space="0" w:color="auto"/>
          </w:divBdr>
          <w:divsChild>
            <w:div w:id="883371613">
              <w:marLeft w:val="0"/>
              <w:marRight w:val="0"/>
              <w:marTop w:val="0"/>
              <w:marBottom w:val="0"/>
              <w:divBdr>
                <w:top w:val="none" w:sz="0" w:space="0" w:color="auto"/>
                <w:left w:val="none" w:sz="0" w:space="0" w:color="auto"/>
                <w:bottom w:val="none" w:sz="0" w:space="0" w:color="auto"/>
                <w:right w:val="none" w:sz="0" w:space="0" w:color="auto"/>
              </w:divBdr>
            </w:div>
          </w:divsChild>
        </w:div>
        <w:div w:id="1264722379">
          <w:marLeft w:val="0"/>
          <w:marRight w:val="0"/>
          <w:marTop w:val="0"/>
          <w:marBottom w:val="0"/>
          <w:divBdr>
            <w:top w:val="none" w:sz="0" w:space="0" w:color="auto"/>
            <w:left w:val="none" w:sz="0" w:space="0" w:color="auto"/>
            <w:bottom w:val="none" w:sz="0" w:space="0" w:color="auto"/>
            <w:right w:val="none" w:sz="0" w:space="0" w:color="auto"/>
          </w:divBdr>
          <w:divsChild>
            <w:div w:id="2027634841">
              <w:marLeft w:val="0"/>
              <w:marRight w:val="0"/>
              <w:marTop w:val="0"/>
              <w:marBottom w:val="0"/>
              <w:divBdr>
                <w:top w:val="none" w:sz="0" w:space="0" w:color="auto"/>
                <w:left w:val="none" w:sz="0" w:space="0" w:color="auto"/>
                <w:bottom w:val="none" w:sz="0" w:space="0" w:color="auto"/>
                <w:right w:val="none" w:sz="0" w:space="0" w:color="auto"/>
              </w:divBdr>
            </w:div>
          </w:divsChild>
        </w:div>
        <w:div w:id="1268194218">
          <w:marLeft w:val="0"/>
          <w:marRight w:val="0"/>
          <w:marTop w:val="0"/>
          <w:marBottom w:val="0"/>
          <w:divBdr>
            <w:top w:val="none" w:sz="0" w:space="0" w:color="auto"/>
            <w:left w:val="none" w:sz="0" w:space="0" w:color="auto"/>
            <w:bottom w:val="none" w:sz="0" w:space="0" w:color="auto"/>
            <w:right w:val="none" w:sz="0" w:space="0" w:color="auto"/>
          </w:divBdr>
          <w:divsChild>
            <w:div w:id="2033728001">
              <w:marLeft w:val="0"/>
              <w:marRight w:val="0"/>
              <w:marTop w:val="0"/>
              <w:marBottom w:val="0"/>
              <w:divBdr>
                <w:top w:val="none" w:sz="0" w:space="0" w:color="auto"/>
                <w:left w:val="none" w:sz="0" w:space="0" w:color="auto"/>
                <w:bottom w:val="none" w:sz="0" w:space="0" w:color="auto"/>
                <w:right w:val="none" w:sz="0" w:space="0" w:color="auto"/>
              </w:divBdr>
            </w:div>
          </w:divsChild>
        </w:div>
        <w:div w:id="1270352340">
          <w:marLeft w:val="0"/>
          <w:marRight w:val="0"/>
          <w:marTop w:val="0"/>
          <w:marBottom w:val="0"/>
          <w:divBdr>
            <w:top w:val="none" w:sz="0" w:space="0" w:color="auto"/>
            <w:left w:val="none" w:sz="0" w:space="0" w:color="auto"/>
            <w:bottom w:val="none" w:sz="0" w:space="0" w:color="auto"/>
            <w:right w:val="none" w:sz="0" w:space="0" w:color="auto"/>
          </w:divBdr>
          <w:divsChild>
            <w:div w:id="433403553">
              <w:marLeft w:val="0"/>
              <w:marRight w:val="0"/>
              <w:marTop w:val="0"/>
              <w:marBottom w:val="0"/>
              <w:divBdr>
                <w:top w:val="none" w:sz="0" w:space="0" w:color="auto"/>
                <w:left w:val="none" w:sz="0" w:space="0" w:color="auto"/>
                <w:bottom w:val="none" w:sz="0" w:space="0" w:color="auto"/>
                <w:right w:val="none" w:sz="0" w:space="0" w:color="auto"/>
              </w:divBdr>
            </w:div>
          </w:divsChild>
        </w:div>
        <w:div w:id="1277177292">
          <w:marLeft w:val="0"/>
          <w:marRight w:val="0"/>
          <w:marTop w:val="0"/>
          <w:marBottom w:val="0"/>
          <w:divBdr>
            <w:top w:val="none" w:sz="0" w:space="0" w:color="auto"/>
            <w:left w:val="none" w:sz="0" w:space="0" w:color="auto"/>
            <w:bottom w:val="none" w:sz="0" w:space="0" w:color="auto"/>
            <w:right w:val="none" w:sz="0" w:space="0" w:color="auto"/>
          </w:divBdr>
          <w:divsChild>
            <w:div w:id="1920207584">
              <w:marLeft w:val="0"/>
              <w:marRight w:val="0"/>
              <w:marTop w:val="0"/>
              <w:marBottom w:val="0"/>
              <w:divBdr>
                <w:top w:val="none" w:sz="0" w:space="0" w:color="auto"/>
                <w:left w:val="none" w:sz="0" w:space="0" w:color="auto"/>
                <w:bottom w:val="none" w:sz="0" w:space="0" w:color="auto"/>
                <w:right w:val="none" w:sz="0" w:space="0" w:color="auto"/>
              </w:divBdr>
            </w:div>
          </w:divsChild>
        </w:div>
        <w:div w:id="1283078646">
          <w:marLeft w:val="0"/>
          <w:marRight w:val="0"/>
          <w:marTop w:val="0"/>
          <w:marBottom w:val="0"/>
          <w:divBdr>
            <w:top w:val="none" w:sz="0" w:space="0" w:color="auto"/>
            <w:left w:val="none" w:sz="0" w:space="0" w:color="auto"/>
            <w:bottom w:val="none" w:sz="0" w:space="0" w:color="auto"/>
            <w:right w:val="none" w:sz="0" w:space="0" w:color="auto"/>
          </w:divBdr>
          <w:divsChild>
            <w:div w:id="1797140979">
              <w:marLeft w:val="0"/>
              <w:marRight w:val="0"/>
              <w:marTop w:val="0"/>
              <w:marBottom w:val="0"/>
              <w:divBdr>
                <w:top w:val="none" w:sz="0" w:space="0" w:color="auto"/>
                <w:left w:val="none" w:sz="0" w:space="0" w:color="auto"/>
                <w:bottom w:val="none" w:sz="0" w:space="0" w:color="auto"/>
                <w:right w:val="none" w:sz="0" w:space="0" w:color="auto"/>
              </w:divBdr>
            </w:div>
          </w:divsChild>
        </w:div>
        <w:div w:id="1291209592">
          <w:marLeft w:val="0"/>
          <w:marRight w:val="0"/>
          <w:marTop w:val="0"/>
          <w:marBottom w:val="0"/>
          <w:divBdr>
            <w:top w:val="none" w:sz="0" w:space="0" w:color="auto"/>
            <w:left w:val="none" w:sz="0" w:space="0" w:color="auto"/>
            <w:bottom w:val="none" w:sz="0" w:space="0" w:color="auto"/>
            <w:right w:val="none" w:sz="0" w:space="0" w:color="auto"/>
          </w:divBdr>
          <w:divsChild>
            <w:div w:id="1618443598">
              <w:marLeft w:val="0"/>
              <w:marRight w:val="0"/>
              <w:marTop w:val="0"/>
              <w:marBottom w:val="0"/>
              <w:divBdr>
                <w:top w:val="none" w:sz="0" w:space="0" w:color="auto"/>
                <w:left w:val="none" w:sz="0" w:space="0" w:color="auto"/>
                <w:bottom w:val="none" w:sz="0" w:space="0" w:color="auto"/>
                <w:right w:val="none" w:sz="0" w:space="0" w:color="auto"/>
              </w:divBdr>
            </w:div>
          </w:divsChild>
        </w:div>
        <w:div w:id="1309089084">
          <w:marLeft w:val="0"/>
          <w:marRight w:val="0"/>
          <w:marTop w:val="0"/>
          <w:marBottom w:val="0"/>
          <w:divBdr>
            <w:top w:val="none" w:sz="0" w:space="0" w:color="auto"/>
            <w:left w:val="none" w:sz="0" w:space="0" w:color="auto"/>
            <w:bottom w:val="none" w:sz="0" w:space="0" w:color="auto"/>
            <w:right w:val="none" w:sz="0" w:space="0" w:color="auto"/>
          </w:divBdr>
          <w:divsChild>
            <w:div w:id="786240932">
              <w:marLeft w:val="0"/>
              <w:marRight w:val="0"/>
              <w:marTop w:val="0"/>
              <w:marBottom w:val="0"/>
              <w:divBdr>
                <w:top w:val="none" w:sz="0" w:space="0" w:color="auto"/>
                <w:left w:val="none" w:sz="0" w:space="0" w:color="auto"/>
                <w:bottom w:val="none" w:sz="0" w:space="0" w:color="auto"/>
                <w:right w:val="none" w:sz="0" w:space="0" w:color="auto"/>
              </w:divBdr>
            </w:div>
          </w:divsChild>
        </w:div>
        <w:div w:id="1312709609">
          <w:marLeft w:val="0"/>
          <w:marRight w:val="0"/>
          <w:marTop w:val="0"/>
          <w:marBottom w:val="0"/>
          <w:divBdr>
            <w:top w:val="none" w:sz="0" w:space="0" w:color="auto"/>
            <w:left w:val="none" w:sz="0" w:space="0" w:color="auto"/>
            <w:bottom w:val="none" w:sz="0" w:space="0" w:color="auto"/>
            <w:right w:val="none" w:sz="0" w:space="0" w:color="auto"/>
          </w:divBdr>
          <w:divsChild>
            <w:div w:id="1255749768">
              <w:marLeft w:val="0"/>
              <w:marRight w:val="0"/>
              <w:marTop w:val="0"/>
              <w:marBottom w:val="0"/>
              <w:divBdr>
                <w:top w:val="none" w:sz="0" w:space="0" w:color="auto"/>
                <w:left w:val="none" w:sz="0" w:space="0" w:color="auto"/>
                <w:bottom w:val="none" w:sz="0" w:space="0" w:color="auto"/>
                <w:right w:val="none" w:sz="0" w:space="0" w:color="auto"/>
              </w:divBdr>
            </w:div>
          </w:divsChild>
        </w:div>
        <w:div w:id="1324965184">
          <w:marLeft w:val="0"/>
          <w:marRight w:val="0"/>
          <w:marTop w:val="0"/>
          <w:marBottom w:val="0"/>
          <w:divBdr>
            <w:top w:val="none" w:sz="0" w:space="0" w:color="auto"/>
            <w:left w:val="none" w:sz="0" w:space="0" w:color="auto"/>
            <w:bottom w:val="none" w:sz="0" w:space="0" w:color="auto"/>
            <w:right w:val="none" w:sz="0" w:space="0" w:color="auto"/>
          </w:divBdr>
          <w:divsChild>
            <w:div w:id="1253662629">
              <w:marLeft w:val="0"/>
              <w:marRight w:val="0"/>
              <w:marTop w:val="0"/>
              <w:marBottom w:val="0"/>
              <w:divBdr>
                <w:top w:val="none" w:sz="0" w:space="0" w:color="auto"/>
                <w:left w:val="none" w:sz="0" w:space="0" w:color="auto"/>
                <w:bottom w:val="none" w:sz="0" w:space="0" w:color="auto"/>
                <w:right w:val="none" w:sz="0" w:space="0" w:color="auto"/>
              </w:divBdr>
            </w:div>
          </w:divsChild>
        </w:div>
        <w:div w:id="1327857137">
          <w:marLeft w:val="0"/>
          <w:marRight w:val="0"/>
          <w:marTop w:val="0"/>
          <w:marBottom w:val="0"/>
          <w:divBdr>
            <w:top w:val="none" w:sz="0" w:space="0" w:color="auto"/>
            <w:left w:val="none" w:sz="0" w:space="0" w:color="auto"/>
            <w:bottom w:val="none" w:sz="0" w:space="0" w:color="auto"/>
            <w:right w:val="none" w:sz="0" w:space="0" w:color="auto"/>
          </w:divBdr>
          <w:divsChild>
            <w:div w:id="1659916639">
              <w:marLeft w:val="0"/>
              <w:marRight w:val="0"/>
              <w:marTop w:val="0"/>
              <w:marBottom w:val="0"/>
              <w:divBdr>
                <w:top w:val="none" w:sz="0" w:space="0" w:color="auto"/>
                <w:left w:val="none" w:sz="0" w:space="0" w:color="auto"/>
                <w:bottom w:val="none" w:sz="0" w:space="0" w:color="auto"/>
                <w:right w:val="none" w:sz="0" w:space="0" w:color="auto"/>
              </w:divBdr>
            </w:div>
          </w:divsChild>
        </w:div>
        <w:div w:id="1332678651">
          <w:marLeft w:val="0"/>
          <w:marRight w:val="0"/>
          <w:marTop w:val="0"/>
          <w:marBottom w:val="0"/>
          <w:divBdr>
            <w:top w:val="none" w:sz="0" w:space="0" w:color="auto"/>
            <w:left w:val="none" w:sz="0" w:space="0" w:color="auto"/>
            <w:bottom w:val="none" w:sz="0" w:space="0" w:color="auto"/>
            <w:right w:val="none" w:sz="0" w:space="0" w:color="auto"/>
          </w:divBdr>
          <w:divsChild>
            <w:div w:id="1307860126">
              <w:marLeft w:val="0"/>
              <w:marRight w:val="0"/>
              <w:marTop w:val="0"/>
              <w:marBottom w:val="0"/>
              <w:divBdr>
                <w:top w:val="none" w:sz="0" w:space="0" w:color="auto"/>
                <w:left w:val="none" w:sz="0" w:space="0" w:color="auto"/>
                <w:bottom w:val="none" w:sz="0" w:space="0" w:color="auto"/>
                <w:right w:val="none" w:sz="0" w:space="0" w:color="auto"/>
              </w:divBdr>
            </w:div>
          </w:divsChild>
        </w:div>
        <w:div w:id="1333679624">
          <w:marLeft w:val="0"/>
          <w:marRight w:val="0"/>
          <w:marTop w:val="0"/>
          <w:marBottom w:val="0"/>
          <w:divBdr>
            <w:top w:val="none" w:sz="0" w:space="0" w:color="auto"/>
            <w:left w:val="none" w:sz="0" w:space="0" w:color="auto"/>
            <w:bottom w:val="none" w:sz="0" w:space="0" w:color="auto"/>
            <w:right w:val="none" w:sz="0" w:space="0" w:color="auto"/>
          </w:divBdr>
          <w:divsChild>
            <w:div w:id="784732627">
              <w:marLeft w:val="0"/>
              <w:marRight w:val="0"/>
              <w:marTop w:val="0"/>
              <w:marBottom w:val="0"/>
              <w:divBdr>
                <w:top w:val="none" w:sz="0" w:space="0" w:color="auto"/>
                <w:left w:val="none" w:sz="0" w:space="0" w:color="auto"/>
                <w:bottom w:val="none" w:sz="0" w:space="0" w:color="auto"/>
                <w:right w:val="none" w:sz="0" w:space="0" w:color="auto"/>
              </w:divBdr>
            </w:div>
          </w:divsChild>
        </w:div>
        <w:div w:id="1340694702">
          <w:marLeft w:val="0"/>
          <w:marRight w:val="0"/>
          <w:marTop w:val="0"/>
          <w:marBottom w:val="0"/>
          <w:divBdr>
            <w:top w:val="none" w:sz="0" w:space="0" w:color="auto"/>
            <w:left w:val="none" w:sz="0" w:space="0" w:color="auto"/>
            <w:bottom w:val="none" w:sz="0" w:space="0" w:color="auto"/>
            <w:right w:val="none" w:sz="0" w:space="0" w:color="auto"/>
          </w:divBdr>
          <w:divsChild>
            <w:div w:id="1515614621">
              <w:marLeft w:val="0"/>
              <w:marRight w:val="0"/>
              <w:marTop w:val="0"/>
              <w:marBottom w:val="0"/>
              <w:divBdr>
                <w:top w:val="none" w:sz="0" w:space="0" w:color="auto"/>
                <w:left w:val="none" w:sz="0" w:space="0" w:color="auto"/>
                <w:bottom w:val="none" w:sz="0" w:space="0" w:color="auto"/>
                <w:right w:val="none" w:sz="0" w:space="0" w:color="auto"/>
              </w:divBdr>
            </w:div>
          </w:divsChild>
        </w:div>
        <w:div w:id="1345010340">
          <w:marLeft w:val="0"/>
          <w:marRight w:val="0"/>
          <w:marTop w:val="0"/>
          <w:marBottom w:val="0"/>
          <w:divBdr>
            <w:top w:val="none" w:sz="0" w:space="0" w:color="auto"/>
            <w:left w:val="none" w:sz="0" w:space="0" w:color="auto"/>
            <w:bottom w:val="none" w:sz="0" w:space="0" w:color="auto"/>
            <w:right w:val="none" w:sz="0" w:space="0" w:color="auto"/>
          </w:divBdr>
          <w:divsChild>
            <w:div w:id="1190609206">
              <w:marLeft w:val="0"/>
              <w:marRight w:val="0"/>
              <w:marTop w:val="0"/>
              <w:marBottom w:val="0"/>
              <w:divBdr>
                <w:top w:val="none" w:sz="0" w:space="0" w:color="auto"/>
                <w:left w:val="none" w:sz="0" w:space="0" w:color="auto"/>
                <w:bottom w:val="none" w:sz="0" w:space="0" w:color="auto"/>
                <w:right w:val="none" w:sz="0" w:space="0" w:color="auto"/>
              </w:divBdr>
            </w:div>
          </w:divsChild>
        </w:div>
        <w:div w:id="1347709413">
          <w:marLeft w:val="0"/>
          <w:marRight w:val="0"/>
          <w:marTop w:val="0"/>
          <w:marBottom w:val="0"/>
          <w:divBdr>
            <w:top w:val="none" w:sz="0" w:space="0" w:color="auto"/>
            <w:left w:val="none" w:sz="0" w:space="0" w:color="auto"/>
            <w:bottom w:val="none" w:sz="0" w:space="0" w:color="auto"/>
            <w:right w:val="none" w:sz="0" w:space="0" w:color="auto"/>
          </w:divBdr>
          <w:divsChild>
            <w:div w:id="1297762545">
              <w:marLeft w:val="0"/>
              <w:marRight w:val="0"/>
              <w:marTop w:val="0"/>
              <w:marBottom w:val="0"/>
              <w:divBdr>
                <w:top w:val="none" w:sz="0" w:space="0" w:color="auto"/>
                <w:left w:val="none" w:sz="0" w:space="0" w:color="auto"/>
                <w:bottom w:val="none" w:sz="0" w:space="0" w:color="auto"/>
                <w:right w:val="none" w:sz="0" w:space="0" w:color="auto"/>
              </w:divBdr>
            </w:div>
          </w:divsChild>
        </w:div>
        <w:div w:id="1358506975">
          <w:marLeft w:val="0"/>
          <w:marRight w:val="0"/>
          <w:marTop w:val="0"/>
          <w:marBottom w:val="0"/>
          <w:divBdr>
            <w:top w:val="none" w:sz="0" w:space="0" w:color="auto"/>
            <w:left w:val="none" w:sz="0" w:space="0" w:color="auto"/>
            <w:bottom w:val="none" w:sz="0" w:space="0" w:color="auto"/>
            <w:right w:val="none" w:sz="0" w:space="0" w:color="auto"/>
          </w:divBdr>
          <w:divsChild>
            <w:div w:id="1749962990">
              <w:marLeft w:val="0"/>
              <w:marRight w:val="0"/>
              <w:marTop w:val="0"/>
              <w:marBottom w:val="0"/>
              <w:divBdr>
                <w:top w:val="none" w:sz="0" w:space="0" w:color="auto"/>
                <w:left w:val="none" w:sz="0" w:space="0" w:color="auto"/>
                <w:bottom w:val="none" w:sz="0" w:space="0" w:color="auto"/>
                <w:right w:val="none" w:sz="0" w:space="0" w:color="auto"/>
              </w:divBdr>
            </w:div>
          </w:divsChild>
        </w:div>
        <w:div w:id="1360668341">
          <w:marLeft w:val="0"/>
          <w:marRight w:val="0"/>
          <w:marTop w:val="0"/>
          <w:marBottom w:val="0"/>
          <w:divBdr>
            <w:top w:val="none" w:sz="0" w:space="0" w:color="auto"/>
            <w:left w:val="none" w:sz="0" w:space="0" w:color="auto"/>
            <w:bottom w:val="none" w:sz="0" w:space="0" w:color="auto"/>
            <w:right w:val="none" w:sz="0" w:space="0" w:color="auto"/>
          </w:divBdr>
          <w:divsChild>
            <w:div w:id="283579028">
              <w:marLeft w:val="0"/>
              <w:marRight w:val="0"/>
              <w:marTop w:val="0"/>
              <w:marBottom w:val="0"/>
              <w:divBdr>
                <w:top w:val="none" w:sz="0" w:space="0" w:color="auto"/>
                <w:left w:val="none" w:sz="0" w:space="0" w:color="auto"/>
                <w:bottom w:val="none" w:sz="0" w:space="0" w:color="auto"/>
                <w:right w:val="none" w:sz="0" w:space="0" w:color="auto"/>
              </w:divBdr>
            </w:div>
          </w:divsChild>
        </w:div>
        <w:div w:id="1371342823">
          <w:marLeft w:val="0"/>
          <w:marRight w:val="0"/>
          <w:marTop w:val="0"/>
          <w:marBottom w:val="0"/>
          <w:divBdr>
            <w:top w:val="none" w:sz="0" w:space="0" w:color="auto"/>
            <w:left w:val="none" w:sz="0" w:space="0" w:color="auto"/>
            <w:bottom w:val="none" w:sz="0" w:space="0" w:color="auto"/>
            <w:right w:val="none" w:sz="0" w:space="0" w:color="auto"/>
          </w:divBdr>
          <w:divsChild>
            <w:div w:id="593246804">
              <w:marLeft w:val="0"/>
              <w:marRight w:val="0"/>
              <w:marTop w:val="0"/>
              <w:marBottom w:val="0"/>
              <w:divBdr>
                <w:top w:val="none" w:sz="0" w:space="0" w:color="auto"/>
                <w:left w:val="none" w:sz="0" w:space="0" w:color="auto"/>
                <w:bottom w:val="none" w:sz="0" w:space="0" w:color="auto"/>
                <w:right w:val="none" w:sz="0" w:space="0" w:color="auto"/>
              </w:divBdr>
            </w:div>
          </w:divsChild>
        </w:div>
        <w:div w:id="1376075549">
          <w:marLeft w:val="0"/>
          <w:marRight w:val="0"/>
          <w:marTop w:val="0"/>
          <w:marBottom w:val="0"/>
          <w:divBdr>
            <w:top w:val="none" w:sz="0" w:space="0" w:color="auto"/>
            <w:left w:val="none" w:sz="0" w:space="0" w:color="auto"/>
            <w:bottom w:val="none" w:sz="0" w:space="0" w:color="auto"/>
            <w:right w:val="none" w:sz="0" w:space="0" w:color="auto"/>
          </w:divBdr>
          <w:divsChild>
            <w:div w:id="1022241293">
              <w:marLeft w:val="0"/>
              <w:marRight w:val="0"/>
              <w:marTop w:val="0"/>
              <w:marBottom w:val="0"/>
              <w:divBdr>
                <w:top w:val="none" w:sz="0" w:space="0" w:color="auto"/>
                <w:left w:val="none" w:sz="0" w:space="0" w:color="auto"/>
                <w:bottom w:val="none" w:sz="0" w:space="0" w:color="auto"/>
                <w:right w:val="none" w:sz="0" w:space="0" w:color="auto"/>
              </w:divBdr>
            </w:div>
          </w:divsChild>
        </w:div>
        <w:div w:id="1405108613">
          <w:marLeft w:val="0"/>
          <w:marRight w:val="0"/>
          <w:marTop w:val="0"/>
          <w:marBottom w:val="0"/>
          <w:divBdr>
            <w:top w:val="none" w:sz="0" w:space="0" w:color="auto"/>
            <w:left w:val="none" w:sz="0" w:space="0" w:color="auto"/>
            <w:bottom w:val="none" w:sz="0" w:space="0" w:color="auto"/>
            <w:right w:val="none" w:sz="0" w:space="0" w:color="auto"/>
          </w:divBdr>
          <w:divsChild>
            <w:div w:id="345865647">
              <w:marLeft w:val="0"/>
              <w:marRight w:val="0"/>
              <w:marTop w:val="0"/>
              <w:marBottom w:val="0"/>
              <w:divBdr>
                <w:top w:val="none" w:sz="0" w:space="0" w:color="auto"/>
                <w:left w:val="none" w:sz="0" w:space="0" w:color="auto"/>
                <w:bottom w:val="none" w:sz="0" w:space="0" w:color="auto"/>
                <w:right w:val="none" w:sz="0" w:space="0" w:color="auto"/>
              </w:divBdr>
            </w:div>
          </w:divsChild>
        </w:div>
        <w:div w:id="1408115773">
          <w:marLeft w:val="0"/>
          <w:marRight w:val="0"/>
          <w:marTop w:val="0"/>
          <w:marBottom w:val="0"/>
          <w:divBdr>
            <w:top w:val="none" w:sz="0" w:space="0" w:color="auto"/>
            <w:left w:val="none" w:sz="0" w:space="0" w:color="auto"/>
            <w:bottom w:val="none" w:sz="0" w:space="0" w:color="auto"/>
            <w:right w:val="none" w:sz="0" w:space="0" w:color="auto"/>
          </w:divBdr>
          <w:divsChild>
            <w:div w:id="1563519596">
              <w:marLeft w:val="0"/>
              <w:marRight w:val="0"/>
              <w:marTop w:val="0"/>
              <w:marBottom w:val="0"/>
              <w:divBdr>
                <w:top w:val="none" w:sz="0" w:space="0" w:color="auto"/>
                <w:left w:val="none" w:sz="0" w:space="0" w:color="auto"/>
                <w:bottom w:val="none" w:sz="0" w:space="0" w:color="auto"/>
                <w:right w:val="none" w:sz="0" w:space="0" w:color="auto"/>
              </w:divBdr>
            </w:div>
          </w:divsChild>
        </w:div>
        <w:div w:id="1411388245">
          <w:marLeft w:val="0"/>
          <w:marRight w:val="0"/>
          <w:marTop w:val="0"/>
          <w:marBottom w:val="0"/>
          <w:divBdr>
            <w:top w:val="none" w:sz="0" w:space="0" w:color="auto"/>
            <w:left w:val="none" w:sz="0" w:space="0" w:color="auto"/>
            <w:bottom w:val="none" w:sz="0" w:space="0" w:color="auto"/>
            <w:right w:val="none" w:sz="0" w:space="0" w:color="auto"/>
          </w:divBdr>
          <w:divsChild>
            <w:div w:id="1047142478">
              <w:marLeft w:val="0"/>
              <w:marRight w:val="0"/>
              <w:marTop w:val="0"/>
              <w:marBottom w:val="0"/>
              <w:divBdr>
                <w:top w:val="none" w:sz="0" w:space="0" w:color="auto"/>
                <w:left w:val="none" w:sz="0" w:space="0" w:color="auto"/>
                <w:bottom w:val="none" w:sz="0" w:space="0" w:color="auto"/>
                <w:right w:val="none" w:sz="0" w:space="0" w:color="auto"/>
              </w:divBdr>
            </w:div>
          </w:divsChild>
        </w:div>
        <w:div w:id="1416784132">
          <w:marLeft w:val="0"/>
          <w:marRight w:val="0"/>
          <w:marTop w:val="0"/>
          <w:marBottom w:val="0"/>
          <w:divBdr>
            <w:top w:val="none" w:sz="0" w:space="0" w:color="auto"/>
            <w:left w:val="none" w:sz="0" w:space="0" w:color="auto"/>
            <w:bottom w:val="none" w:sz="0" w:space="0" w:color="auto"/>
            <w:right w:val="none" w:sz="0" w:space="0" w:color="auto"/>
          </w:divBdr>
          <w:divsChild>
            <w:div w:id="683241856">
              <w:marLeft w:val="0"/>
              <w:marRight w:val="0"/>
              <w:marTop w:val="0"/>
              <w:marBottom w:val="0"/>
              <w:divBdr>
                <w:top w:val="none" w:sz="0" w:space="0" w:color="auto"/>
                <w:left w:val="none" w:sz="0" w:space="0" w:color="auto"/>
                <w:bottom w:val="none" w:sz="0" w:space="0" w:color="auto"/>
                <w:right w:val="none" w:sz="0" w:space="0" w:color="auto"/>
              </w:divBdr>
            </w:div>
          </w:divsChild>
        </w:div>
        <w:div w:id="1423910649">
          <w:marLeft w:val="0"/>
          <w:marRight w:val="0"/>
          <w:marTop w:val="0"/>
          <w:marBottom w:val="0"/>
          <w:divBdr>
            <w:top w:val="none" w:sz="0" w:space="0" w:color="auto"/>
            <w:left w:val="none" w:sz="0" w:space="0" w:color="auto"/>
            <w:bottom w:val="none" w:sz="0" w:space="0" w:color="auto"/>
            <w:right w:val="none" w:sz="0" w:space="0" w:color="auto"/>
          </w:divBdr>
          <w:divsChild>
            <w:div w:id="1014070156">
              <w:marLeft w:val="0"/>
              <w:marRight w:val="0"/>
              <w:marTop w:val="0"/>
              <w:marBottom w:val="0"/>
              <w:divBdr>
                <w:top w:val="none" w:sz="0" w:space="0" w:color="auto"/>
                <w:left w:val="none" w:sz="0" w:space="0" w:color="auto"/>
                <w:bottom w:val="none" w:sz="0" w:space="0" w:color="auto"/>
                <w:right w:val="none" w:sz="0" w:space="0" w:color="auto"/>
              </w:divBdr>
            </w:div>
          </w:divsChild>
        </w:div>
        <w:div w:id="1426611875">
          <w:marLeft w:val="0"/>
          <w:marRight w:val="0"/>
          <w:marTop w:val="0"/>
          <w:marBottom w:val="0"/>
          <w:divBdr>
            <w:top w:val="none" w:sz="0" w:space="0" w:color="auto"/>
            <w:left w:val="none" w:sz="0" w:space="0" w:color="auto"/>
            <w:bottom w:val="none" w:sz="0" w:space="0" w:color="auto"/>
            <w:right w:val="none" w:sz="0" w:space="0" w:color="auto"/>
          </w:divBdr>
          <w:divsChild>
            <w:div w:id="1122110594">
              <w:marLeft w:val="0"/>
              <w:marRight w:val="0"/>
              <w:marTop w:val="0"/>
              <w:marBottom w:val="0"/>
              <w:divBdr>
                <w:top w:val="none" w:sz="0" w:space="0" w:color="auto"/>
                <w:left w:val="none" w:sz="0" w:space="0" w:color="auto"/>
                <w:bottom w:val="none" w:sz="0" w:space="0" w:color="auto"/>
                <w:right w:val="none" w:sz="0" w:space="0" w:color="auto"/>
              </w:divBdr>
            </w:div>
          </w:divsChild>
        </w:div>
        <w:div w:id="1434278538">
          <w:marLeft w:val="0"/>
          <w:marRight w:val="0"/>
          <w:marTop w:val="0"/>
          <w:marBottom w:val="0"/>
          <w:divBdr>
            <w:top w:val="none" w:sz="0" w:space="0" w:color="auto"/>
            <w:left w:val="none" w:sz="0" w:space="0" w:color="auto"/>
            <w:bottom w:val="none" w:sz="0" w:space="0" w:color="auto"/>
            <w:right w:val="none" w:sz="0" w:space="0" w:color="auto"/>
          </w:divBdr>
          <w:divsChild>
            <w:div w:id="447550144">
              <w:marLeft w:val="0"/>
              <w:marRight w:val="0"/>
              <w:marTop w:val="0"/>
              <w:marBottom w:val="0"/>
              <w:divBdr>
                <w:top w:val="none" w:sz="0" w:space="0" w:color="auto"/>
                <w:left w:val="none" w:sz="0" w:space="0" w:color="auto"/>
                <w:bottom w:val="none" w:sz="0" w:space="0" w:color="auto"/>
                <w:right w:val="none" w:sz="0" w:space="0" w:color="auto"/>
              </w:divBdr>
            </w:div>
          </w:divsChild>
        </w:div>
        <w:div w:id="1440098298">
          <w:marLeft w:val="0"/>
          <w:marRight w:val="0"/>
          <w:marTop w:val="0"/>
          <w:marBottom w:val="0"/>
          <w:divBdr>
            <w:top w:val="none" w:sz="0" w:space="0" w:color="auto"/>
            <w:left w:val="none" w:sz="0" w:space="0" w:color="auto"/>
            <w:bottom w:val="none" w:sz="0" w:space="0" w:color="auto"/>
            <w:right w:val="none" w:sz="0" w:space="0" w:color="auto"/>
          </w:divBdr>
          <w:divsChild>
            <w:div w:id="733310963">
              <w:marLeft w:val="0"/>
              <w:marRight w:val="0"/>
              <w:marTop w:val="0"/>
              <w:marBottom w:val="0"/>
              <w:divBdr>
                <w:top w:val="none" w:sz="0" w:space="0" w:color="auto"/>
                <w:left w:val="none" w:sz="0" w:space="0" w:color="auto"/>
                <w:bottom w:val="none" w:sz="0" w:space="0" w:color="auto"/>
                <w:right w:val="none" w:sz="0" w:space="0" w:color="auto"/>
              </w:divBdr>
            </w:div>
          </w:divsChild>
        </w:div>
        <w:div w:id="1464153706">
          <w:marLeft w:val="0"/>
          <w:marRight w:val="0"/>
          <w:marTop w:val="0"/>
          <w:marBottom w:val="0"/>
          <w:divBdr>
            <w:top w:val="none" w:sz="0" w:space="0" w:color="auto"/>
            <w:left w:val="none" w:sz="0" w:space="0" w:color="auto"/>
            <w:bottom w:val="none" w:sz="0" w:space="0" w:color="auto"/>
            <w:right w:val="none" w:sz="0" w:space="0" w:color="auto"/>
          </w:divBdr>
          <w:divsChild>
            <w:div w:id="1623656574">
              <w:marLeft w:val="0"/>
              <w:marRight w:val="0"/>
              <w:marTop w:val="0"/>
              <w:marBottom w:val="0"/>
              <w:divBdr>
                <w:top w:val="none" w:sz="0" w:space="0" w:color="auto"/>
                <w:left w:val="none" w:sz="0" w:space="0" w:color="auto"/>
                <w:bottom w:val="none" w:sz="0" w:space="0" w:color="auto"/>
                <w:right w:val="none" w:sz="0" w:space="0" w:color="auto"/>
              </w:divBdr>
            </w:div>
          </w:divsChild>
        </w:div>
        <w:div w:id="1467620753">
          <w:marLeft w:val="0"/>
          <w:marRight w:val="0"/>
          <w:marTop w:val="0"/>
          <w:marBottom w:val="0"/>
          <w:divBdr>
            <w:top w:val="none" w:sz="0" w:space="0" w:color="auto"/>
            <w:left w:val="none" w:sz="0" w:space="0" w:color="auto"/>
            <w:bottom w:val="none" w:sz="0" w:space="0" w:color="auto"/>
            <w:right w:val="none" w:sz="0" w:space="0" w:color="auto"/>
          </w:divBdr>
          <w:divsChild>
            <w:div w:id="1750425315">
              <w:marLeft w:val="0"/>
              <w:marRight w:val="0"/>
              <w:marTop w:val="0"/>
              <w:marBottom w:val="0"/>
              <w:divBdr>
                <w:top w:val="none" w:sz="0" w:space="0" w:color="auto"/>
                <w:left w:val="none" w:sz="0" w:space="0" w:color="auto"/>
                <w:bottom w:val="none" w:sz="0" w:space="0" w:color="auto"/>
                <w:right w:val="none" w:sz="0" w:space="0" w:color="auto"/>
              </w:divBdr>
            </w:div>
          </w:divsChild>
        </w:div>
        <w:div w:id="1492483265">
          <w:marLeft w:val="0"/>
          <w:marRight w:val="0"/>
          <w:marTop w:val="0"/>
          <w:marBottom w:val="0"/>
          <w:divBdr>
            <w:top w:val="none" w:sz="0" w:space="0" w:color="auto"/>
            <w:left w:val="none" w:sz="0" w:space="0" w:color="auto"/>
            <w:bottom w:val="none" w:sz="0" w:space="0" w:color="auto"/>
            <w:right w:val="none" w:sz="0" w:space="0" w:color="auto"/>
          </w:divBdr>
          <w:divsChild>
            <w:div w:id="1163164242">
              <w:marLeft w:val="0"/>
              <w:marRight w:val="0"/>
              <w:marTop w:val="0"/>
              <w:marBottom w:val="0"/>
              <w:divBdr>
                <w:top w:val="none" w:sz="0" w:space="0" w:color="auto"/>
                <w:left w:val="none" w:sz="0" w:space="0" w:color="auto"/>
                <w:bottom w:val="none" w:sz="0" w:space="0" w:color="auto"/>
                <w:right w:val="none" w:sz="0" w:space="0" w:color="auto"/>
              </w:divBdr>
            </w:div>
          </w:divsChild>
        </w:div>
        <w:div w:id="1581671670">
          <w:marLeft w:val="0"/>
          <w:marRight w:val="0"/>
          <w:marTop w:val="0"/>
          <w:marBottom w:val="0"/>
          <w:divBdr>
            <w:top w:val="none" w:sz="0" w:space="0" w:color="auto"/>
            <w:left w:val="none" w:sz="0" w:space="0" w:color="auto"/>
            <w:bottom w:val="none" w:sz="0" w:space="0" w:color="auto"/>
            <w:right w:val="none" w:sz="0" w:space="0" w:color="auto"/>
          </w:divBdr>
          <w:divsChild>
            <w:div w:id="1256086930">
              <w:marLeft w:val="0"/>
              <w:marRight w:val="0"/>
              <w:marTop w:val="0"/>
              <w:marBottom w:val="0"/>
              <w:divBdr>
                <w:top w:val="none" w:sz="0" w:space="0" w:color="auto"/>
                <w:left w:val="none" w:sz="0" w:space="0" w:color="auto"/>
                <w:bottom w:val="none" w:sz="0" w:space="0" w:color="auto"/>
                <w:right w:val="none" w:sz="0" w:space="0" w:color="auto"/>
              </w:divBdr>
            </w:div>
          </w:divsChild>
        </w:div>
        <w:div w:id="1598098923">
          <w:marLeft w:val="0"/>
          <w:marRight w:val="0"/>
          <w:marTop w:val="0"/>
          <w:marBottom w:val="0"/>
          <w:divBdr>
            <w:top w:val="none" w:sz="0" w:space="0" w:color="auto"/>
            <w:left w:val="none" w:sz="0" w:space="0" w:color="auto"/>
            <w:bottom w:val="none" w:sz="0" w:space="0" w:color="auto"/>
            <w:right w:val="none" w:sz="0" w:space="0" w:color="auto"/>
          </w:divBdr>
          <w:divsChild>
            <w:div w:id="1442800799">
              <w:marLeft w:val="0"/>
              <w:marRight w:val="0"/>
              <w:marTop w:val="0"/>
              <w:marBottom w:val="0"/>
              <w:divBdr>
                <w:top w:val="none" w:sz="0" w:space="0" w:color="auto"/>
                <w:left w:val="none" w:sz="0" w:space="0" w:color="auto"/>
                <w:bottom w:val="none" w:sz="0" w:space="0" w:color="auto"/>
                <w:right w:val="none" w:sz="0" w:space="0" w:color="auto"/>
              </w:divBdr>
            </w:div>
          </w:divsChild>
        </w:div>
        <w:div w:id="1601722471">
          <w:marLeft w:val="0"/>
          <w:marRight w:val="0"/>
          <w:marTop w:val="0"/>
          <w:marBottom w:val="0"/>
          <w:divBdr>
            <w:top w:val="none" w:sz="0" w:space="0" w:color="auto"/>
            <w:left w:val="none" w:sz="0" w:space="0" w:color="auto"/>
            <w:bottom w:val="none" w:sz="0" w:space="0" w:color="auto"/>
            <w:right w:val="none" w:sz="0" w:space="0" w:color="auto"/>
          </w:divBdr>
          <w:divsChild>
            <w:div w:id="205991348">
              <w:marLeft w:val="0"/>
              <w:marRight w:val="0"/>
              <w:marTop w:val="0"/>
              <w:marBottom w:val="0"/>
              <w:divBdr>
                <w:top w:val="none" w:sz="0" w:space="0" w:color="auto"/>
                <w:left w:val="none" w:sz="0" w:space="0" w:color="auto"/>
                <w:bottom w:val="none" w:sz="0" w:space="0" w:color="auto"/>
                <w:right w:val="none" w:sz="0" w:space="0" w:color="auto"/>
              </w:divBdr>
            </w:div>
          </w:divsChild>
        </w:div>
        <w:div w:id="1610816176">
          <w:marLeft w:val="0"/>
          <w:marRight w:val="0"/>
          <w:marTop w:val="0"/>
          <w:marBottom w:val="0"/>
          <w:divBdr>
            <w:top w:val="none" w:sz="0" w:space="0" w:color="auto"/>
            <w:left w:val="none" w:sz="0" w:space="0" w:color="auto"/>
            <w:bottom w:val="none" w:sz="0" w:space="0" w:color="auto"/>
            <w:right w:val="none" w:sz="0" w:space="0" w:color="auto"/>
          </w:divBdr>
          <w:divsChild>
            <w:div w:id="121966729">
              <w:marLeft w:val="0"/>
              <w:marRight w:val="0"/>
              <w:marTop w:val="0"/>
              <w:marBottom w:val="0"/>
              <w:divBdr>
                <w:top w:val="none" w:sz="0" w:space="0" w:color="auto"/>
                <w:left w:val="none" w:sz="0" w:space="0" w:color="auto"/>
                <w:bottom w:val="none" w:sz="0" w:space="0" w:color="auto"/>
                <w:right w:val="none" w:sz="0" w:space="0" w:color="auto"/>
              </w:divBdr>
            </w:div>
          </w:divsChild>
        </w:div>
        <w:div w:id="1613629847">
          <w:marLeft w:val="0"/>
          <w:marRight w:val="0"/>
          <w:marTop w:val="0"/>
          <w:marBottom w:val="0"/>
          <w:divBdr>
            <w:top w:val="none" w:sz="0" w:space="0" w:color="auto"/>
            <w:left w:val="none" w:sz="0" w:space="0" w:color="auto"/>
            <w:bottom w:val="none" w:sz="0" w:space="0" w:color="auto"/>
            <w:right w:val="none" w:sz="0" w:space="0" w:color="auto"/>
          </w:divBdr>
          <w:divsChild>
            <w:div w:id="1977491164">
              <w:marLeft w:val="0"/>
              <w:marRight w:val="0"/>
              <w:marTop w:val="0"/>
              <w:marBottom w:val="0"/>
              <w:divBdr>
                <w:top w:val="none" w:sz="0" w:space="0" w:color="auto"/>
                <w:left w:val="none" w:sz="0" w:space="0" w:color="auto"/>
                <w:bottom w:val="none" w:sz="0" w:space="0" w:color="auto"/>
                <w:right w:val="none" w:sz="0" w:space="0" w:color="auto"/>
              </w:divBdr>
            </w:div>
          </w:divsChild>
        </w:div>
        <w:div w:id="1613896594">
          <w:marLeft w:val="0"/>
          <w:marRight w:val="0"/>
          <w:marTop w:val="0"/>
          <w:marBottom w:val="0"/>
          <w:divBdr>
            <w:top w:val="none" w:sz="0" w:space="0" w:color="auto"/>
            <w:left w:val="none" w:sz="0" w:space="0" w:color="auto"/>
            <w:bottom w:val="none" w:sz="0" w:space="0" w:color="auto"/>
            <w:right w:val="none" w:sz="0" w:space="0" w:color="auto"/>
          </w:divBdr>
          <w:divsChild>
            <w:div w:id="886532946">
              <w:marLeft w:val="0"/>
              <w:marRight w:val="0"/>
              <w:marTop w:val="0"/>
              <w:marBottom w:val="0"/>
              <w:divBdr>
                <w:top w:val="none" w:sz="0" w:space="0" w:color="auto"/>
                <w:left w:val="none" w:sz="0" w:space="0" w:color="auto"/>
                <w:bottom w:val="none" w:sz="0" w:space="0" w:color="auto"/>
                <w:right w:val="none" w:sz="0" w:space="0" w:color="auto"/>
              </w:divBdr>
            </w:div>
          </w:divsChild>
        </w:div>
        <w:div w:id="1620378544">
          <w:marLeft w:val="0"/>
          <w:marRight w:val="0"/>
          <w:marTop w:val="0"/>
          <w:marBottom w:val="0"/>
          <w:divBdr>
            <w:top w:val="none" w:sz="0" w:space="0" w:color="auto"/>
            <w:left w:val="none" w:sz="0" w:space="0" w:color="auto"/>
            <w:bottom w:val="none" w:sz="0" w:space="0" w:color="auto"/>
            <w:right w:val="none" w:sz="0" w:space="0" w:color="auto"/>
          </w:divBdr>
          <w:divsChild>
            <w:div w:id="1338533584">
              <w:marLeft w:val="0"/>
              <w:marRight w:val="0"/>
              <w:marTop w:val="0"/>
              <w:marBottom w:val="0"/>
              <w:divBdr>
                <w:top w:val="none" w:sz="0" w:space="0" w:color="auto"/>
                <w:left w:val="none" w:sz="0" w:space="0" w:color="auto"/>
                <w:bottom w:val="none" w:sz="0" w:space="0" w:color="auto"/>
                <w:right w:val="none" w:sz="0" w:space="0" w:color="auto"/>
              </w:divBdr>
            </w:div>
          </w:divsChild>
        </w:div>
        <w:div w:id="1637292728">
          <w:marLeft w:val="0"/>
          <w:marRight w:val="0"/>
          <w:marTop w:val="0"/>
          <w:marBottom w:val="0"/>
          <w:divBdr>
            <w:top w:val="none" w:sz="0" w:space="0" w:color="auto"/>
            <w:left w:val="none" w:sz="0" w:space="0" w:color="auto"/>
            <w:bottom w:val="none" w:sz="0" w:space="0" w:color="auto"/>
            <w:right w:val="none" w:sz="0" w:space="0" w:color="auto"/>
          </w:divBdr>
          <w:divsChild>
            <w:div w:id="330790516">
              <w:marLeft w:val="0"/>
              <w:marRight w:val="0"/>
              <w:marTop w:val="0"/>
              <w:marBottom w:val="0"/>
              <w:divBdr>
                <w:top w:val="none" w:sz="0" w:space="0" w:color="auto"/>
                <w:left w:val="none" w:sz="0" w:space="0" w:color="auto"/>
                <w:bottom w:val="none" w:sz="0" w:space="0" w:color="auto"/>
                <w:right w:val="none" w:sz="0" w:space="0" w:color="auto"/>
              </w:divBdr>
            </w:div>
          </w:divsChild>
        </w:div>
        <w:div w:id="1645695953">
          <w:marLeft w:val="0"/>
          <w:marRight w:val="0"/>
          <w:marTop w:val="0"/>
          <w:marBottom w:val="0"/>
          <w:divBdr>
            <w:top w:val="none" w:sz="0" w:space="0" w:color="auto"/>
            <w:left w:val="none" w:sz="0" w:space="0" w:color="auto"/>
            <w:bottom w:val="none" w:sz="0" w:space="0" w:color="auto"/>
            <w:right w:val="none" w:sz="0" w:space="0" w:color="auto"/>
          </w:divBdr>
          <w:divsChild>
            <w:div w:id="12658960">
              <w:marLeft w:val="0"/>
              <w:marRight w:val="0"/>
              <w:marTop w:val="0"/>
              <w:marBottom w:val="0"/>
              <w:divBdr>
                <w:top w:val="none" w:sz="0" w:space="0" w:color="auto"/>
                <w:left w:val="none" w:sz="0" w:space="0" w:color="auto"/>
                <w:bottom w:val="none" w:sz="0" w:space="0" w:color="auto"/>
                <w:right w:val="none" w:sz="0" w:space="0" w:color="auto"/>
              </w:divBdr>
            </w:div>
          </w:divsChild>
        </w:div>
        <w:div w:id="1645892413">
          <w:marLeft w:val="0"/>
          <w:marRight w:val="0"/>
          <w:marTop w:val="0"/>
          <w:marBottom w:val="0"/>
          <w:divBdr>
            <w:top w:val="none" w:sz="0" w:space="0" w:color="auto"/>
            <w:left w:val="none" w:sz="0" w:space="0" w:color="auto"/>
            <w:bottom w:val="none" w:sz="0" w:space="0" w:color="auto"/>
            <w:right w:val="none" w:sz="0" w:space="0" w:color="auto"/>
          </w:divBdr>
          <w:divsChild>
            <w:div w:id="316150935">
              <w:marLeft w:val="0"/>
              <w:marRight w:val="0"/>
              <w:marTop w:val="0"/>
              <w:marBottom w:val="0"/>
              <w:divBdr>
                <w:top w:val="none" w:sz="0" w:space="0" w:color="auto"/>
                <w:left w:val="none" w:sz="0" w:space="0" w:color="auto"/>
                <w:bottom w:val="none" w:sz="0" w:space="0" w:color="auto"/>
                <w:right w:val="none" w:sz="0" w:space="0" w:color="auto"/>
              </w:divBdr>
            </w:div>
          </w:divsChild>
        </w:div>
        <w:div w:id="1653288170">
          <w:marLeft w:val="0"/>
          <w:marRight w:val="0"/>
          <w:marTop w:val="0"/>
          <w:marBottom w:val="0"/>
          <w:divBdr>
            <w:top w:val="none" w:sz="0" w:space="0" w:color="auto"/>
            <w:left w:val="none" w:sz="0" w:space="0" w:color="auto"/>
            <w:bottom w:val="none" w:sz="0" w:space="0" w:color="auto"/>
            <w:right w:val="none" w:sz="0" w:space="0" w:color="auto"/>
          </w:divBdr>
          <w:divsChild>
            <w:div w:id="2010671084">
              <w:marLeft w:val="0"/>
              <w:marRight w:val="0"/>
              <w:marTop w:val="0"/>
              <w:marBottom w:val="0"/>
              <w:divBdr>
                <w:top w:val="none" w:sz="0" w:space="0" w:color="auto"/>
                <w:left w:val="none" w:sz="0" w:space="0" w:color="auto"/>
                <w:bottom w:val="none" w:sz="0" w:space="0" w:color="auto"/>
                <w:right w:val="none" w:sz="0" w:space="0" w:color="auto"/>
              </w:divBdr>
            </w:div>
          </w:divsChild>
        </w:div>
        <w:div w:id="1671641698">
          <w:marLeft w:val="0"/>
          <w:marRight w:val="0"/>
          <w:marTop w:val="0"/>
          <w:marBottom w:val="0"/>
          <w:divBdr>
            <w:top w:val="none" w:sz="0" w:space="0" w:color="auto"/>
            <w:left w:val="none" w:sz="0" w:space="0" w:color="auto"/>
            <w:bottom w:val="none" w:sz="0" w:space="0" w:color="auto"/>
            <w:right w:val="none" w:sz="0" w:space="0" w:color="auto"/>
          </w:divBdr>
          <w:divsChild>
            <w:div w:id="2063091933">
              <w:marLeft w:val="0"/>
              <w:marRight w:val="0"/>
              <w:marTop w:val="0"/>
              <w:marBottom w:val="0"/>
              <w:divBdr>
                <w:top w:val="none" w:sz="0" w:space="0" w:color="auto"/>
                <w:left w:val="none" w:sz="0" w:space="0" w:color="auto"/>
                <w:bottom w:val="none" w:sz="0" w:space="0" w:color="auto"/>
                <w:right w:val="none" w:sz="0" w:space="0" w:color="auto"/>
              </w:divBdr>
            </w:div>
          </w:divsChild>
        </w:div>
        <w:div w:id="1672248706">
          <w:marLeft w:val="0"/>
          <w:marRight w:val="0"/>
          <w:marTop w:val="0"/>
          <w:marBottom w:val="0"/>
          <w:divBdr>
            <w:top w:val="none" w:sz="0" w:space="0" w:color="auto"/>
            <w:left w:val="none" w:sz="0" w:space="0" w:color="auto"/>
            <w:bottom w:val="none" w:sz="0" w:space="0" w:color="auto"/>
            <w:right w:val="none" w:sz="0" w:space="0" w:color="auto"/>
          </w:divBdr>
          <w:divsChild>
            <w:div w:id="2023193528">
              <w:marLeft w:val="0"/>
              <w:marRight w:val="0"/>
              <w:marTop w:val="0"/>
              <w:marBottom w:val="0"/>
              <w:divBdr>
                <w:top w:val="none" w:sz="0" w:space="0" w:color="auto"/>
                <w:left w:val="none" w:sz="0" w:space="0" w:color="auto"/>
                <w:bottom w:val="none" w:sz="0" w:space="0" w:color="auto"/>
                <w:right w:val="none" w:sz="0" w:space="0" w:color="auto"/>
              </w:divBdr>
            </w:div>
          </w:divsChild>
        </w:div>
        <w:div w:id="1682273617">
          <w:marLeft w:val="0"/>
          <w:marRight w:val="0"/>
          <w:marTop w:val="0"/>
          <w:marBottom w:val="0"/>
          <w:divBdr>
            <w:top w:val="none" w:sz="0" w:space="0" w:color="auto"/>
            <w:left w:val="none" w:sz="0" w:space="0" w:color="auto"/>
            <w:bottom w:val="none" w:sz="0" w:space="0" w:color="auto"/>
            <w:right w:val="none" w:sz="0" w:space="0" w:color="auto"/>
          </w:divBdr>
          <w:divsChild>
            <w:div w:id="858814338">
              <w:marLeft w:val="0"/>
              <w:marRight w:val="0"/>
              <w:marTop w:val="0"/>
              <w:marBottom w:val="0"/>
              <w:divBdr>
                <w:top w:val="none" w:sz="0" w:space="0" w:color="auto"/>
                <w:left w:val="none" w:sz="0" w:space="0" w:color="auto"/>
                <w:bottom w:val="none" w:sz="0" w:space="0" w:color="auto"/>
                <w:right w:val="none" w:sz="0" w:space="0" w:color="auto"/>
              </w:divBdr>
            </w:div>
          </w:divsChild>
        </w:div>
        <w:div w:id="1682586333">
          <w:marLeft w:val="0"/>
          <w:marRight w:val="0"/>
          <w:marTop w:val="0"/>
          <w:marBottom w:val="0"/>
          <w:divBdr>
            <w:top w:val="none" w:sz="0" w:space="0" w:color="auto"/>
            <w:left w:val="none" w:sz="0" w:space="0" w:color="auto"/>
            <w:bottom w:val="none" w:sz="0" w:space="0" w:color="auto"/>
            <w:right w:val="none" w:sz="0" w:space="0" w:color="auto"/>
          </w:divBdr>
          <w:divsChild>
            <w:div w:id="816995053">
              <w:marLeft w:val="0"/>
              <w:marRight w:val="0"/>
              <w:marTop w:val="0"/>
              <w:marBottom w:val="0"/>
              <w:divBdr>
                <w:top w:val="none" w:sz="0" w:space="0" w:color="auto"/>
                <w:left w:val="none" w:sz="0" w:space="0" w:color="auto"/>
                <w:bottom w:val="none" w:sz="0" w:space="0" w:color="auto"/>
                <w:right w:val="none" w:sz="0" w:space="0" w:color="auto"/>
              </w:divBdr>
            </w:div>
          </w:divsChild>
        </w:div>
        <w:div w:id="1690370965">
          <w:marLeft w:val="0"/>
          <w:marRight w:val="0"/>
          <w:marTop w:val="0"/>
          <w:marBottom w:val="0"/>
          <w:divBdr>
            <w:top w:val="none" w:sz="0" w:space="0" w:color="auto"/>
            <w:left w:val="none" w:sz="0" w:space="0" w:color="auto"/>
            <w:bottom w:val="none" w:sz="0" w:space="0" w:color="auto"/>
            <w:right w:val="none" w:sz="0" w:space="0" w:color="auto"/>
          </w:divBdr>
          <w:divsChild>
            <w:div w:id="546994857">
              <w:marLeft w:val="0"/>
              <w:marRight w:val="0"/>
              <w:marTop w:val="0"/>
              <w:marBottom w:val="0"/>
              <w:divBdr>
                <w:top w:val="none" w:sz="0" w:space="0" w:color="auto"/>
                <w:left w:val="none" w:sz="0" w:space="0" w:color="auto"/>
                <w:bottom w:val="none" w:sz="0" w:space="0" w:color="auto"/>
                <w:right w:val="none" w:sz="0" w:space="0" w:color="auto"/>
              </w:divBdr>
            </w:div>
          </w:divsChild>
        </w:div>
        <w:div w:id="1695110666">
          <w:marLeft w:val="0"/>
          <w:marRight w:val="0"/>
          <w:marTop w:val="0"/>
          <w:marBottom w:val="0"/>
          <w:divBdr>
            <w:top w:val="none" w:sz="0" w:space="0" w:color="auto"/>
            <w:left w:val="none" w:sz="0" w:space="0" w:color="auto"/>
            <w:bottom w:val="none" w:sz="0" w:space="0" w:color="auto"/>
            <w:right w:val="none" w:sz="0" w:space="0" w:color="auto"/>
          </w:divBdr>
          <w:divsChild>
            <w:div w:id="432366478">
              <w:marLeft w:val="0"/>
              <w:marRight w:val="0"/>
              <w:marTop w:val="0"/>
              <w:marBottom w:val="0"/>
              <w:divBdr>
                <w:top w:val="none" w:sz="0" w:space="0" w:color="auto"/>
                <w:left w:val="none" w:sz="0" w:space="0" w:color="auto"/>
                <w:bottom w:val="none" w:sz="0" w:space="0" w:color="auto"/>
                <w:right w:val="none" w:sz="0" w:space="0" w:color="auto"/>
              </w:divBdr>
            </w:div>
          </w:divsChild>
        </w:div>
        <w:div w:id="1696082074">
          <w:marLeft w:val="0"/>
          <w:marRight w:val="0"/>
          <w:marTop w:val="0"/>
          <w:marBottom w:val="0"/>
          <w:divBdr>
            <w:top w:val="none" w:sz="0" w:space="0" w:color="auto"/>
            <w:left w:val="none" w:sz="0" w:space="0" w:color="auto"/>
            <w:bottom w:val="none" w:sz="0" w:space="0" w:color="auto"/>
            <w:right w:val="none" w:sz="0" w:space="0" w:color="auto"/>
          </w:divBdr>
          <w:divsChild>
            <w:div w:id="2141222556">
              <w:marLeft w:val="0"/>
              <w:marRight w:val="0"/>
              <w:marTop w:val="0"/>
              <w:marBottom w:val="0"/>
              <w:divBdr>
                <w:top w:val="none" w:sz="0" w:space="0" w:color="auto"/>
                <w:left w:val="none" w:sz="0" w:space="0" w:color="auto"/>
                <w:bottom w:val="none" w:sz="0" w:space="0" w:color="auto"/>
                <w:right w:val="none" w:sz="0" w:space="0" w:color="auto"/>
              </w:divBdr>
            </w:div>
          </w:divsChild>
        </w:div>
        <w:div w:id="1708407255">
          <w:marLeft w:val="0"/>
          <w:marRight w:val="0"/>
          <w:marTop w:val="0"/>
          <w:marBottom w:val="0"/>
          <w:divBdr>
            <w:top w:val="none" w:sz="0" w:space="0" w:color="auto"/>
            <w:left w:val="none" w:sz="0" w:space="0" w:color="auto"/>
            <w:bottom w:val="none" w:sz="0" w:space="0" w:color="auto"/>
            <w:right w:val="none" w:sz="0" w:space="0" w:color="auto"/>
          </w:divBdr>
          <w:divsChild>
            <w:div w:id="1155073437">
              <w:marLeft w:val="0"/>
              <w:marRight w:val="0"/>
              <w:marTop w:val="0"/>
              <w:marBottom w:val="0"/>
              <w:divBdr>
                <w:top w:val="none" w:sz="0" w:space="0" w:color="auto"/>
                <w:left w:val="none" w:sz="0" w:space="0" w:color="auto"/>
                <w:bottom w:val="none" w:sz="0" w:space="0" w:color="auto"/>
                <w:right w:val="none" w:sz="0" w:space="0" w:color="auto"/>
              </w:divBdr>
            </w:div>
          </w:divsChild>
        </w:div>
        <w:div w:id="1708413757">
          <w:marLeft w:val="0"/>
          <w:marRight w:val="0"/>
          <w:marTop w:val="0"/>
          <w:marBottom w:val="0"/>
          <w:divBdr>
            <w:top w:val="none" w:sz="0" w:space="0" w:color="auto"/>
            <w:left w:val="none" w:sz="0" w:space="0" w:color="auto"/>
            <w:bottom w:val="none" w:sz="0" w:space="0" w:color="auto"/>
            <w:right w:val="none" w:sz="0" w:space="0" w:color="auto"/>
          </w:divBdr>
          <w:divsChild>
            <w:div w:id="634020446">
              <w:marLeft w:val="0"/>
              <w:marRight w:val="0"/>
              <w:marTop w:val="0"/>
              <w:marBottom w:val="0"/>
              <w:divBdr>
                <w:top w:val="none" w:sz="0" w:space="0" w:color="auto"/>
                <w:left w:val="none" w:sz="0" w:space="0" w:color="auto"/>
                <w:bottom w:val="none" w:sz="0" w:space="0" w:color="auto"/>
                <w:right w:val="none" w:sz="0" w:space="0" w:color="auto"/>
              </w:divBdr>
            </w:div>
          </w:divsChild>
        </w:div>
        <w:div w:id="1728338330">
          <w:marLeft w:val="0"/>
          <w:marRight w:val="0"/>
          <w:marTop w:val="0"/>
          <w:marBottom w:val="0"/>
          <w:divBdr>
            <w:top w:val="none" w:sz="0" w:space="0" w:color="auto"/>
            <w:left w:val="none" w:sz="0" w:space="0" w:color="auto"/>
            <w:bottom w:val="none" w:sz="0" w:space="0" w:color="auto"/>
            <w:right w:val="none" w:sz="0" w:space="0" w:color="auto"/>
          </w:divBdr>
          <w:divsChild>
            <w:div w:id="1057972794">
              <w:marLeft w:val="0"/>
              <w:marRight w:val="0"/>
              <w:marTop w:val="0"/>
              <w:marBottom w:val="0"/>
              <w:divBdr>
                <w:top w:val="none" w:sz="0" w:space="0" w:color="auto"/>
                <w:left w:val="none" w:sz="0" w:space="0" w:color="auto"/>
                <w:bottom w:val="none" w:sz="0" w:space="0" w:color="auto"/>
                <w:right w:val="none" w:sz="0" w:space="0" w:color="auto"/>
              </w:divBdr>
            </w:div>
          </w:divsChild>
        </w:div>
        <w:div w:id="1731346836">
          <w:marLeft w:val="0"/>
          <w:marRight w:val="0"/>
          <w:marTop w:val="0"/>
          <w:marBottom w:val="0"/>
          <w:divBdr>
            <w:top w:val="none" w:sz="0" w:space="0" w:color="auto"/>
            <w:left w:val="none" w:sz="0" w:space="0" w:color="auto"/>
            <w:bottom w:val="none" w:sz="0" w:space="0" w:color="auto"/>
            <w:right w:val="none" w:sz="0" w:space="0" w:color="auto"/>
          </w:divBdr>
          <w:divsChild>
            <w:div w:id="102238661">
              <w:marLeft w:val="0"/>
              <w:marRight w:val="0"/>
              <w:marTop w:val="0"/>
              <w:marBottom w:val="0"/>
              <w:divBdr>
                <w:top w:val="none" w:sz="0" w:space="0" w:color="auto"/>
                <w:left w:val="none" w:sz="0" w:space="0" w:color="auto"/>
                <w:bottom w:val="none" w:sz="0" w:space="0" w:color="auto"/>
                <w:right w:val="none" w:sz="0" w:space="0" w:color="auto"/>
              </w:divBdr>
            </w:div>
          </w:divsChild>
        </w:div>
        <w:div w:id="1736464956">
          <w:marLeft w:val="0"/>
          <w:marRight w:val="0"/>
          <w:marTop w:val="0"/>
          <w:marBottom w:val="0"/>
          <w:divBdr>
            <w:top w:val="none" w:sz="0" w:space="0" w:color="auto"/>
            <w:left w:val="none" w:sz="0" w:space="0" w:color="auto"/>
            <w:bottom w:val="none" w:sz="0" w:space="0" w:color="auto"/>
            <w:right w:val="none" w:sz="0" w:space="0" w:color="auto"/>
          </w:divBdr>
          <w:divsChild>
            <w:div w:id="1613512851">
              <w:marLeft w:val="0"/>
              <w:marRight w:val="0"/>
              <w:marTop w:val="0"/>
              <w:marBottom w:val="0"/>
              <w:divBdr>
                <w:top w:val="none" w:sz="0" w:space="0" w:color="auto"/>
                <w:left w:val="none" w:sz="0" w:space="0" w:color="auto"/>
                <w:bottom w:val="none" w:sz="0" w:space="0" w:color="auto"/>
                <w:right w:val="none" w:sz="0" w:space="0" w:color="auto"/>
              </w:divBdr>
            </w:div>
          </w:divsChild>
        </w:div>
        <w:div w:id="1736736070">
          <w:marLeft w:val="0"/>
          <w:marRight w:val="0"/>
          <w:marTop w:val="0"/>
          <w:marBottom w:val="0"/>
          <w:divBdr>
            <w:top w:val="none" w:sz="0" w:space="0" w:color="auto"/>
            <w:left w:val="none" w:sz="0" w:space="0" w:color="auto"/>
            <w:bottom w:val="none" w:sz="0" w:space="0" w:color="auto"/>
            <w:right w:val="none" w:sz="0" w:space="0" w:color="auto"/>
          </w:divBdr>
          <w:divsChild>
            <w:div w:id="373700044">
              <w:marLeft w:val="0"/>
              <w:marRight w:val="0"/>
              <w:marTop w:val="0"/>
              <w:marBottom w:val="0"/>
              <w:divBdr>
                <w:top w:val="none" w:sz="0" w:space="0" w:color="auto"/>
                <w:left w:val="none" w:sz="0" w:space="0" w:color="auto"/>
                <w:bottom w:val="none" w:sz="0" w:space="0" w:color="auto"/>
                <w:right w:val="none" w:sz="0" w:space="0" w:color="auto"/>
              </w:divBdr>
            </w:div>
          </w:divsChild>
        </w:div>
        <w:div w:id="1745108010">
          <w:marLeft w:val="0"/>
          <w:marRight w:val="0"/>
          <w:marTop w:val="0"/>
          <w:marBottom w:val="0"/>
          <w:divBdr>
            <w:top w:val="none" w:sz="0" w:space="0" w:color="auto"/>
            <w:left w:val="none" w:sz="0" w:space="0" w:color="auto"/>
            <w:bottom w:val="none" w:sz="0" w:space="0" w:color="auto"/>
            <w:right w:val="none" w:sz="0" w:space="0" w:color="auto"/>
          </w:divBdr>
          <w:divsChild>
            <w:div w:id="1817530173">
              <w:marLeft w:val="0"/>
              <w:marRight w:val="0"/>
              <w:marTop w:val="0"/>
              <w:marBottom w:val="0"/>
              <w:divBdr>
                <w:top w:val="none" w:sz="0" w:space="0" w:color="auto"/>
                <w:left w:val="none" w:sz="0" w:space="0" w:color="auto"/>
                <w:bottom w:val="none" w:sz="0" w:space="0" w:color="auto"/>
                <w:right w:val="none" w:sz="0" w:space="0" w:color="auto"/>
              </w:divBdr>
            </w:div>
          </w:divsChild>
        </w:div>
        <w:div w:id="1746218517">
          <w:marLeft w:val="0"/>
          <w:marRight w:val="0"/>
          <w:marTop w:val="0"/>
          <w:marBottom w:val="0"/>
          <w:divBdr>
            <w:top w:val="none" w:sz="0" w:space="0" w:color="auto"/>
            <w:left w:val="none" w:sz="0" w:space="0" w:color="auto"/>
            <w:bottom w:val="none" w:sz="0" w:space="0" w:color="auto"/>
            <w:right w:val="none" w:sz="0" w:space="0" w:color="auto"/>
          </w:divBdr>
          <w:divsChild>
            <w:div w:id="1409571522">
              <w:marLeft w:val="0"/>
              <w:marRight w:val="0"/>
              <w:marTop w:val="0"/>
              <w:marBottom w:val="0"/>
              <w:divBdr>
                <w:top w:val="none" w:sz="0" w:space="0" w:color="auto"/>
                <w:left w:val="none" w:sz="0" w:space="0" w:color="auto"/>
                <w:bottom w:val="none" w:sz="0" w:space="0" w:color="auto"/>
                <w:right w:val="none" w:sz="0" w:space="0" w:color="auto"/>
              </w:divBdr>
            </w:div>
          </w:divsChild>
        </w:div>
        <w:div w:id="1758094225">
          <w:marLeft w:val="0"/>
          <w:marRight w:val="0"/>
          <w:marTop w:val="0"/>
          <w:marBottom w:val="0"/>
          <w:divBdr>
            <w:top w:val="none" w:sz="0" w:space="0" w:color="auto"/>
            <w:left w:val="none" w:sz="0" w:space="0" w:color="auto"/>
            <w:bottom w:val="none" w:sz="0" w:space="0" w:color="auto"/>
            <w:right w:val="none" w:sz="0" w:space="0" w:color="auto"/>
          </w:divBdr>
          <w:divsChild>
            <w:div w:id="2111780343">
              <w:marLeft w:val="0"/>
              <w:marRight w:val="0"/>
              <w:marTop w:val="0"/>
              <w:marBottom w:val="0"/>
              <w:divBdr>
                <w:top w:val="none" w:sz="0" w:space="0" w:color="auto"/>
                <w:left w:val="none" w:sz="0" w:space="0" w:color="auto"/>
                <w:bottom w:val="none" w:sz="0" w:space="0" w:color="auto"/>
                <w:right w:val="none" w:sz="0" w:space="0" w:color="auto"/>
              </w:divBdr>
            </w:div>
          </w:divsChild>
        </w:div>
        <w:div w:id="1762872138">
          <w:marLeft w:val="0"/>
          <w:marRight w:val="0"/>
          <w:marTop w:val="0"/>
          <w:marBottom w:val="0"/>
          <w:divBdr>
            <w:top w:val="none" w:sz="0" w:space="0" w:color="auto"/>
            <w:left w:val="none" w:sz="0" w:space="0" w:color="auto"/>
            <w:bottom w:val="none" w:sz="0" w:space="0" w:color="auto"/>
            <w:right w:val="none" w:sz="0" w:space="0" w:color="auto"/>
          </w:divBdr>
          <w:divsChild>
            <w:div w:id="1120805363">
              <w:marLeft w:val="0"/>
              <w:marRight w:val="0"/>
              <w:marTop w:val="0"/>
              <w:marBottom w:val="0"/>
              <w:divBdr>
                <w:top w:val="none" w:sz="0" w:space="0" w:color="auto"/>
                <w:left w:val="none" w:sz="0" w:space="0" w:color="auto"/>
                <w:bottom w:val="none" w:sz="0" w:space="0" w:color="auto"/>
                <w:right w:val="none" w:sz="0" w:space="0" w:color="auto"/>
              </w:divBdr>
            </w:div>
          </w:divsChild>
        </w:div>
        <w:div w:id="1767725828">
          <w:marLeft w:val="0"/>
          <w:marRight w:val="0"/>
          <w:marTop w:val="0"/>
          <w:marBottom w:val="0"/>
          <w:divBdr>
            <w:top w:val="none" w:sz="0" w:space="0" w:color="auto"/>
            <w:left w:val="none" w:sz="0" w:space="0" w:color="auto"/>
            <w:bottom w:val="none" w:sz="0" w:space="0" w:color="auto"/>
            <w:right w:val="none" w:sz="0" w:space="0" w:color="auto"/>
          </w:divBdr>
          <w:divsChild>
            <w:div w:id="51462708">
              <w:marLeft w:val="0"/>
              <w:marRight w:val="0"/>
              <w:marTop w:val="0"/>
              <w:marBottom w:val="0"/>
              <w:divBdr>
                <w:top w:val="none" w:sz="0" w:space="0" w:color="auto"/>
                <w:left w:val="none" w:sz="0" w:space="0" w:color="auto"/>
                <w:bottom w:val="none" w:sz="0" w:space="0" w:color="auto"/>
                <w:right w:val="none" w:sz="0" w:space="0" w:color="auto"/>
              </w:divBdr>
            </w:div>
          </w:divsChild>
        </w:div>
        <w:div w:id="1769691499">
          <w:marLeft w:val="0"/>
          <w:marRight w:val="0"/>
          <w:marTop w:val="0"/>
          <w:marBottom w:val="0"/>
          <w:divBdr>
            <w:top w:val="none" w:sz="0" w:space="0" w:color="auto"/>
            <w:left w:val="none" w:sz="0" w:space="0" w:color="auto"/>
            <w:bottom w:val="none" w:sz="0" w:space="0" w:color="auto"/>
            <w:right w:val="none" w:sz="0" w:space="0" w:color="auto"/>
          </w:divBdr>
          <w:divsChild>
            <w:div w:id="202980946">
              <w:marLeft w:val="0"/>
              <w:marRight w:val="0"/>
              <w:marTop w:val="0"/>
              <w:marBottom w:val="0"/>
              <w:divBdr>
                <w:top w:val="none" w:sz="0" w:space="0" w:color="auto"/>
                <w:left w:val="none" w:sz="0" w:space="0" w:color="auto"/>
                <w:bottom w:val="none" w:sz="0" w:space="0" w:color="auto"/>
                <w:right w:val="none" w:sz="0" w:space="0" w:color="auto"/>
              </w:divBdr>
            </w:div>
          </w:divsChild>
        </w:div>
        <w:div w:id="1772160190">
          <w:marLeft w:val="0"/>
          <w:marRight w:val="0"/>
          <w:marTop w:val="0"/>
          <w:marBottom w:val="0"/>
          <w:divBdr>
            <w:top w:val="none" w:sz="0" w:space="0" w:color="auto"/>
            <w:left w:val="none" w:sz="0" w:space="0" w:color="auto"/>
            <w:bottom w:val="none" w:sz="0" w:space="0" w:color="auto"/>
            <w:right w:val="none" w:sz="0" w:space="0" w:color="auto"/>
          </w:divBdr>
          <w:divsChild>
            <w:div w:id="1774399471">
              <w:marLeft w:val="0"/>
              <w:marRight w:val="0"/>
              <w:marTop w:val="0"/>
              <w:marBottom w:val="0"/>
              <w:divBdr>
                <w:top w:val="none" w:sz="0" w:space="0" w:color="auto"/>
                <w:left w:val="none" w:sz="0" w:space="0" w:color="auto"/>
                <w:bottom w:val="none" w:sz="0" w:space="0" w:color="auto"/>
                <w:right w:val="none" w:sz="0" w:space="0" w:color="auto"/>
              </w:divBdr>
            </w:div>
          </w:divsChild>
        </w:div>
        <w:div w:id="1786070710">
          <w:marLeft w:val="0"/>
          <w:marRight w:val="0"/>
          <w:marTop w:val="0"/>
          <w:marBottom w:val="0"/>
          <w:divBdr>
            <w:top w:val="none" w:sz="0" w:space="0" w:color="auto"/>
            <w:left w:val="none" w:sz="0" w:space="0" w:color="auto"/>
            <w:bottom w:val="none" w:sz="0" w:space="0" w:color="auto"/>
            <w:right w:val="none" w:sz="0" w:space="0" w:color="auto"/>
          </w:divBdr>
          <w:divsChild>
            <w:div w:id="613638260">
              <w:marLeft w:val="0"/>
              <w:marRight w:val="0"/>
              <w:marTop w:val="0"/>
              <w:marBottom w:val="0"/>
              <w:divBdr>
                <w:top w:val="none" w:sz="0" w:space="0" w:color="auto"/>
                <w:left w:val="none" w:sz="0" w:space="0" w:color="auto"/>
                <w:bottom w:val="none" w:sz="0" w:space="0" w:color="auto"/>
                <w:right w:val="none" w:sz="0" w:space="0" w:color="auto"/>
              </w:divBdr>
            </w:div>
          </w:divsChild>
        </w:div>
        <w:div w:id="1786077944">
          <w:marLeft w:val="0"/>
          <w:marRight w:val="0"/>
          <w:marTop w:val="0"/>
          <w:marBottom w:val="0"/>
          <w:divBdr>
            <w:top w:val="none" w:sz="0" w:space="0" w:color="auto"/>
            <w:left w:val="none" w:sz="0" w:space="0" w:color="auto"/>
            <w:bottom w:val="none" w:sz="0" w:space="0" w:color="auto"/>
            <w:right w:val="none" w:sz="0" w:space="0" w:color="auto"/>
          </w:divBdr>
          <w:divsChild>
            <w:div w:id="1768579148">
              <w:marLeft w:val="0"/>
              <w:marRight w:val="0"/>
              <w:marTop w:val="0"/>
              <w:marBottom w:val="0"/>
              <w:divBdr>
                <w:top w:val="none" w:sz="0" w:space="0" w:color="auto"/>
                <w:left w:val="none" w:sz="0" w:space="0" w:color="auto"/>
                <w:bottom w:val="none" w:sz="0" w:space="0" w:color="auto"/>
                <w:right w:val="none" w:sz="0" w:space="0" w:color="auto"/>
              </w:divBdr>
            </w:div>
          </w:divsChild>
        </w:div>
        <w:div w:id="1802990550">
          <w:marLeft w:val="0"/>
          <w:marRight w:val="0"/>
          <w:marTop w:val="0"/>
          <w:marBottom w:val="0"/>
          <w:divBdr>
            <w:top w:val="none" w:sz="0" w:space="0" w:color="auto"/>
            <w:left w:val="none" w:sz="0" w:space="0" w:color="auto"/>
            <w:bottom w:val="none" w:sz="0" w:space="0" w:color="auto"/>
            <w:right w:val="none" w:sz="0" w:space="0" w:color="auto"/>
          </w:divBdr>
          <w:divsChild>
            <w:div w:id="307562466">
              <w:marLeft w:val="0"/>
              <w:marRight w:val="0"/>
              <w:marTop w:val="0"/>
              <w:marBottom w:val="0"/>
              <w:divBdr>
                <w:top w:val="none" w:sz="0" w:space="0" w:color="auto"/>
                <w:left w:val="none" w:sz="0" w:space="0" w:color="auto"/>
                <w:bottom w:val="none" w:sz="0" w:space="0" w:color="auto"/>
                <w:right w:val="none" w:sz="0" w:space="0" w:color="auto"/>
              </w:divBdr>
            </w:div>
          </w:divsChild>
        </w:div>
        <w:div w:id="1810633389">
          <w:marLeft w:val="0"/>
          <w:marRight w:val="0"/>
          <w:marTop w:val="0"/>
          <w:marBottom w:val="0"/>
          <w:divBdr>
            <w:top w:val="none" w:sz="0" w:space="0" w:color="auto"/>
            <w:left w:val="none" w:sz="0" w:space="0" w:color="auto"/>
            <w:bottom w:val="none" w:sz="0" w:space="0" w:color="auto"/>
            <w:right w:val="none" w:sz="0" w:space="0" w:color="auto"/>
          </w:divBdr>
          <w:divsChild>
            <w:div w:id="1413239920">
              <w:marLeft w:val="0"/>
              <w:marRight w:val="0"/>
              <w:marTop w:val="0"/>
              <w:marBottom w:val="0"/>
              <w:divBdr>
                <w:top w:val="none" w:sz="0" w:space="0" w:color="auto"/>
                <w:left w:val="none" w:sz="0" w:space="0" w:color="auto"/>
                <w:bottom w:val="none" w:sz="0" w:space="0" w:color="auto"/>
                <w:right w:val="none" w:sz="0" w:space="0" w:color="auto"/>
              </w:divBdr>
            </w:div>
          </w:divsChild>
        </w:div>
        <w:div w:id="1819419365">
          <w:marLeft w:val="0"/>
          <w:marRight w:val="0"/>
          <w:marTop w:val="0"/>
          <w:marBottom w:val="0"/>
          <w:divBdr>
            <w:top w:val="none" w:sz="0" w:space="0" w:color="auto"/>
            <w:left w:val="none" w:sz="0" w:space="0" w:color="auto"/>
            <w:bottom w:val="none" w:sz="0" w:space="0" w:color="auto"/>
            <w:right w:val="none" w:sz="0" w:space="0" w:color="auto"/>
          </w:divBdr>
          <w:divsChild>
            <w:div w:id="2112890679">
              <w:marLeft w:val="0"/>
              <w:marRight w:val="0"/>
              <w:marTop w:val="0"/>
              <w:marBottom w:val="0"/>
              <w:divBdr>
                <w:top w:val="none" w:sz="0" w:space="0" w:color="auto"/>
                <w:left w:val="none" w:sz="0" w:space="0" w:color="auto"/>
                <w:bottom w:val="none" w:sz="0" w:space="0" w:color="auto"/>
                <w:right w:val="none" w:sz="0" w:space="0" w:color="auto"/>
              </w:divBdr>
            </w:div>
          </w:divsChild>
        </w:div>
        <w:div w:id="1822502387">
          <w:marLeft w:val="0"/>
          <w:marRight w:val="0"/>
          <w:marTop w:val="0"/>
          <w:marBottom w:val="0"/>
          <w:divBdr>
            <w:top w:val="none" w:sz="0" w:space="0" w:color="auto"/>
            <w:left w:val="none" w:sz="0" w:space="0" w:color="auto"/>
            <w:bottom w:val="none" w:sz="0" w:space="0" w:color="auto"/>
            <w:right w:val="none" w:sz="0" w:space="0" w:color="auto"/>
          </w:divBdr>
          <w:divsChild>
            <w:div w:id="578173548">
              <w:marLeft w:val="0"/>
              <w:marRight w:val="0"/>
              <w:marTop w:val="0"/>
              <w:marBottom w:val="0"/>
              <w:divBdr>
                <w:top w:val="none" w:sz="0" w:space="0" w:color="auto"/>
                <w:left w:val="none" w:sz="0" w:space="0" w:color="auto"/>
                <w:bottom w:val="none" w:sz="0" w:space="0" w:color="auto"/>
                <w:right w:val="none" w:sz="0" w:space="0" w:color="auto"/>
              </w:divBdr>
            </w:div>
          </w:divsChild>
        </w:div>
        <w:div w:id="1838618227">
          <w:marLeft w:val="0"/>
          <w:marRight w:val="0"/>
          <w:marTop w:val="0"/>
          <w:marBottom w:val="0"/>
          <w:divBdr>
            <w:top w:val="none" w:sz="0" w:space="0" w:color="auto"/>
            <w:left w:val="none" w:sz="0" w:space="0" w:color="auto"/>
            <w:bottom w:val="none" w:sz="0" w:space="0" w:color="auto"/>
            <w:right w:val="none" w:sz="0" w:space="0" w:color="auto"/>
          </w:divBdr>
          <w:divsChild>
            <w:div w:id="1133210264">
              <w:marLeft w:val="0"/>
              <w:marRight w:val="0"/>
              <w:marTop w:val="0"/>
              <w:marBottom w:val="0"/>
              <w:divBdr>
                <w:top w:val="none" w:sz="0" w:space="0" w:color="auto"/>
                <w:left w:val="none" w:sz="0" w:space="0" w:color="auto"/>
                <w:bottom w:val="none" w:sz="0" w:space="0" w:color="auto"/>
                <w:right w:val="none" w:sz="0" w:space="0" w:color="auto"/>
              </w:divBdr>
            </w:div>
          </w:divsChild>
        </w:div>
        <w:div w:id="1840340166">
          <w:marLeft w:val="0"/>
          <w:marRight w:val="0"/>
          <w:marTop w:val="0"/>
          <w:marBottom w:val="0"/>
          <w:divBdr>
            <w:top w:val="none" w:sz="0" w:space="0" w:color="auto"/>
            <w:left w:val="none" w:sz="0" w:space="0" w:color="auto"/>
            <w:bottom w:val="none" w:sz="0" w:space="0" w:color="auto"/>
            <w:right w:val="none" w:sz="0" w:space="0" w:color="auto"/>
          </w:divBdr>
          <w:divsChild>
            <w:div w:id="71590681">
              <w:marLeft w:val="0"/>
              <w:marRight w:val="0"/>
              <w:marTop w:val="0"/>
              <w:marBottom w:val="0"/>
              <w:divBdr>
                <w:top w:val="none" w:sz="0" w:space="0" w:color="auto"/>
                <w:left w:val="none" w:sz="0" w:space="0" w:color="auto"/>
                <w:bottom w:val="none" w:sz="0" w:space="0" w:color="auto"/>
                <w:right w:val="none" w:sz="0" w:space="0" w:color="auto"/>
              </w:divBdr>
            </w:div>
          </w:divsChild>
        </w:div>
        <w:div w:id="1843080352">
          <w:marLeft w:val="0"/>
          <w:marRight w:val="0"/>
          <w:marTop w:val="0"/>
          <w:marBottom w:val="0"/>
          <w:divBdr>
            <w:top w:val="none" w:sz="0" w:space="0" w:color="auto"/>
            <w:left w:val="none" w:sz="0" w:space="0" w:color="auto"/>
            <w:bottom w:val="none" w:sz="0" w:space="0" w:color="auto"/>
            <w:right w:val="none" w:sz="0" w:space="0" w:color="auto"/>
          </w:divBdr>
          <w:divsChild>
            <w:div w:id="533464918">
              <w:marLeft w:val="0"/>
              <w:marRight w:val="0"/>
              <w:marTop w:val="0"/>
              <w:marBottom w:val="0"/>
              <w:divBdr>
                <w:top w:val="none" w:sz="0" w:space="0" w:color="auto"/>
                <w:left w:val="none" w:sz="0" w:space="0" w:color="auto"/>
                <w:bottom w:val="none" w:sz="0" w:space="0" w:color="auto"/>
                <w:right w:val="none" w:sz="0" w:space="0" w:color="auto"/>
              </w:divBdr>
            </w:div>
          </w:divsChild>
        </w:div>
        <w:div w:id="1843937026">
          <w:marLeft w:val="0"/>
          <w:marRight w:val="0"/>
          <w:marTop w:val="0"/>
          <w:marBottom w:val="0"/>
          <w:divBdr>
            <w:top w:val="none" w:sz="0" w:space="0" w:color="auto"/>
            <w:left w:val="none" w:sz="0" w:space="0" w:color="auto"/>
            <w:bottom w:val="none" w:sz="0" w:space="0" w:color="auto"/>
            <w:right w:val="none" w:sz="0" w:space="0" w:color="auto"/>
          </w:divBdr>
          <w:divsChild>
            <w:div w:id="920986699">
              <w:marLeft w:val="0"/>
              <w:marRight w:val="0"/>
              <w:marTop w:val="0"/>
              <w:marBottom w:val="0"/>
              <w:divBdr>
                <w:top w:val="none" w:sz="0" w:space="0" w:color="auto"/>
                <w:left w:val="none" w:sz="0" w:space="0" w:color="auto"/>
                <w:bottom w:val="none" w:sz="0" w:space="0" w:color="auto"/>
                <w:right w:val="none" w:sz="0" w:space="0" w:color="auto"/>
              </w:divBdr>
            </w:div>
          </w:divsChild>
        </w:div>
        <w:div w:id="1844470788">
          <w:marLeft w:val="0"/>
          <w:marRight w:val="0"/>
          <w:marTop w:val="0"/>
          <w:marBottom w:val="0"/>
          <w:divBdr>
            <w:top w:val="none" w:sz="0" w:space="0" w:color="auto"/>
            <w:left w:val="none" w:sz="0" w:space="0" w:color="auto"/>
            <w:bottom w:val="none" w:sz="0" w:space="0" w:color="auto"/>
            <w:right w:val="none" w:sz="0" w:space="0" w:color="auto"/>
          </w:divBdr>
          <w:divsChild>
            <w:div w:id="1795907150">
              <w:marLeft w:val="0"/>
              <w:marRight w:val="0"/>
              <w:marTop w:val="0"/>
              <w:marBottom w:val="0"/>
              <w:divBdr>
                <w:top w:val="none" w:sz="0" w:space="0" w:color="auto"/>
                <w:left w:val="none" w:sz="0" w:space="0" w:color="auto"/>
                <w:bottom w:val="none" w:sz="0" w:space="0" w:color="auto"/>
                <w:right w:val="none" w:sz="0" w:space="0" w:color="auto"/>
              </w:divBdr>
            </w:div>
          </w:divsChild>
        </w:div>
        <w:div w:id="1848401440">
          <w:marLeft w:val="0"/>
          <w:marRight w:val="0"/>
          <w:marTop w:val="0"/>
          <w:marBottom w:val="0"/>
          <w:divBdr>
            <w:top w:val="none" w:sz="0" w:space="0" w:color="auto"/>
            <w:left w:val="none" w:sz="0" w:space="0" w:color="auto"/>
            <w:bottom w:val="none" w:sz="0" w:space="0" w:color="auto"/>
            <w:right w:val="none" w:sz="0" w:space="0" w:color="auto"/>
          </w:divBdr>
          <w:divsChild>
            <w:div w:id="457452703">
              <w:marLeft w:val="0"/>
              <w:marRight w:val="0"/>
              <w:marTop w:val="0"/>
              <w:marBottom w:val="0"/>
              <w:divBdr>
                <w:top w:val="none" w:sz="0" w:space="0" w:color="auto"/>
                <w:left w:val="none" w:sz="0" w:space="0" w:color="auto"/>
                <w:bottom w:val="none" w:sz="0" w:space="0" w:color="auto"/>
                <w:right w:val="none" w:sz="0" w:space="0" w:color="auto"/>
              </w:divBdr>
            </w:div>
          </w:divsChild>
        </w:div>
        <w:div w:id="1854684173">
          <w:marLeft w:val="0"/>
          <w:marRight w:val="0"/>
          <w:marTop w:val="0"/>
          <w:marBottom w:val="0"/>
          <w:divBdr>
            <w:top w:val="none" w:sz="0" w:space="0" w:color="auto"/>
            <w:left w:val="none" w:sz="0" w:space="0" w:color="auto"/>
            <w:bottom w:val="none" w:sz="0" w:space="0" w:color="auto"/>
            <w:right w:val="none" w:sz="0" w:space="0" w:color="auto"/>
          </w:divBdr>
          <w:divsChild>
            <w:div w:id="1642538930">
              <w:marLeft w:val="0"/>
              <w:marRight w:val="0"/>
              <w:marTop w:val="0"/>
              <w:marBottom w:val="0"/>
              <w:divBdr>
                <w:top w:val="none" w:sz="0" w:space="0" w:color="auto"/>
                <w:left w:val="none" w:sz="0" w:space="0" w:color="auto"/>
                <w:bottom w:val="none" w:sz="0" w:space="0" w:color="auto"/>
                <w:right w:val="none" w:sz="0" w:space="0" w:color="auto"/>
              </w:divBdr>
            </w:div>
          </w:divsChild>
        </w:div>
        <w:div w:id="1857839559">
          <w:marLeft w:val="0"/>
          <w:marRight w:val="0"/>
          <w:marTop w:val="0"/>
          <w:marBottom w:val="0"/>
          <w:divBdr>
            <w:top w:val="none" w:sz="0" w:space="0" w:color="auto"/>
            <w:left w:val="none" w:sz="0" w:space="0" w:color="auto"/>
            <w:bottom w:val="none" w:sz="0" w:space="0" w:color="auto"/>
            <w:right w:val="none" w:sz="0" w:space="0" w:color="auto"/>
          </w:divBdr>
          <w:divsChild>
            <w:div w:id="127283643">
              <w:marLeft w:val="0"/>
              <w:marRight w:val="0"/>
              <w:marTop w:val="0"/>
              <w:marBottom w:val="0"/>
              <w:divBdr>
                <w:top w:val="none" w:sz="0" w:space="0" w:color="auto"/>
                <w:left w:val="none" w:sz="0" w:space="0" w:color="auto"/>
                <w:bottom w:val="none" w:sz="0" w:space="0" w:color="auto"/>
                <w:right w:val="none" w:sz="0" w:space="0" w:color="auto"/>
              </w:divBdr>
            </w:div>
          </w:divsChild>
        </w:div>
        <w:div w:id="1862625964">
          <w:marLeft w:val="0"/>
          <w:marRight w:val="0"/>
          <w:marTop w:val="0"/>
          <w:marBottom w:val="0"/>
          <w:divBdr>
            <w:top w:val="none" w:sz="0" w:space="0" w:color="auto"/>
            <w:left w:val="none" w:sz="0" w:space="0" w:color="auto"/>
            <w:bottom w:val="none" w:sz="0" w:space="0" w:color="auto"/>
            <w:right w:val="none" w:sz="0" w:space="0" w:color="auto"/>
          </w:divBdr>
          <w:divsChild>
            <w:div w:id="1199316790">
              <w:marLeft w:val="0"/>
              <w:marRight w:val="0"/>
              <w:marTop w:val="0"/>
              <w:marBottom w:val="0"/>
              <w:divBdr>
                <w:top w:val="none" w:sz="0" w:space="0" w:color="auto"/>
                <w:left w:val="none" w:sz="0" w:space="0" w:color="auto"/>
                <w:bottom w:val="none" w:sz="0" w:space="0" w:color="auto"/>
                <w:right w:val="none" w:sz="0" w:space="0" w:color="auto"/>
              </w:divBdr>
            </w:div>
          </w:divsChild>
        </w:div>
        <w:div w:id="1868908309">
          <w:marLeft w:val="0"/>
          <w:marRight w:val="0"/>
          <w:marTop w:val="0"/>
          <w:marBottom w:val="0"/>
          <w:divBdr>
            <w:top w:val="none" w:sz="0" w:space="0" w:color="auto"/>
            <w:left w:val="none" w:sz="0" w:space="0" w:color="auto"/>
            <w:bottom w:val="none" w:sz="0" w:space="0" w:color="auto"/>
            <w:right w:val="none" w:sz="0" w:space="0" w:color="auto"/>
          </w:divBdr>
          <w:divsChild>
            <w:div w:id="232590006">
              <w:marLeft w:val="0"/>
              <w:marRight w:val="0"/>
              <w:marTop w:val="0"/>
              <w:marBottom w:val="0"/>
              <w:divBdr>
                <w:top w:val="none" w:sz="0" w:space="0" w:color="auto"/>
                <w:left w:val="none" w:sz="0" w:space="0" w:color="auto"/>
                <w:bottom w:val="none" w:sz="0" w:space="0" w:color="auto"/>
                <w:right w:val="none" w:sz="0" w:space="0" w:color="auto"/>
              </w:divBdr>
            </w:div>
          </w:divsChild>
        </w:div>
        <w:div w:id="1880702234">
          <w:marLeft w:val="0"/>
          <w:marRight w:val="0"/>
          <w:marTop w:val="0"/>
          <w:marBottom w:val="0"/>
          <w:divBdr>
            <w:top w:val="none" w:sz="0" w:space="0" w:color="auto"/>
            <w:left w:val="none" w:sz="0" w:space="0" w:color="auto"/>
            <w:bottom w:val="none" w:sz="0" w:space="0" w:color="auto"/>
            <w:right w:val="none" w:sz="0" w:space="0" w:color="auto"/>
          </w:divBdr>
          <w:divsChild>
            <w:div w:id="916523111">
              <w:marLeft w:val="0"/>
              <w:marRight w:val="0"/>
              <w:marTop w:val="0"/>
              <w:marBottom w:val="0"/>
              <w:divBdr>
                <w:top w:val="none" w:sz="0" w:space="0" w:color="auto"/>
                <w:left w:val="none" w:sz="0" w:space="0" w:color="auto"/>
                <w:bottom w:val="none" w:sz="0" w:space="0" w:color="auto"/>
                <w:right w:val="none" w:sz="0" w:space="0" w:color="auto"/>
              </w:divBdr>
            </w:div>
          </w:divsChild>
        </w:div>
        <w:div w:id="1889102313">
          <w:marLeft w:val="0"/>
          <w:marRight w:val="0"/>
          <w:marTop w:val="0"/>
          <w:marBottom w:val="0"/>
          <w:divBdr>
            <w:top w:val="none" w:sz="0" w:space="0" w:color="auto"/>
            <w:left w:val="none" w:sz="0" w:space="0" w:color="auto"/>
            <w:bottom w:val="none" w:sz="0" w:space="0" w:color="auto"/>
            <w:right w:val="none" w:sz="0" w:space="0" w:color="auto"/>
          </w:divBdr>
          <w:divsChild>
            <w:div w:id="76097788">
              <w:marLeft w:val="0"/>
              <w:marRight w:val="0"/>
              <w:marTop w:val="0"/>
              <w:marBottom w:val="0"/>
              <w:divBdr>
                <w:top w:val="none" w:sz="0" w:space="0" w:color="auto"/>
                <w:left w:val="none" w:sz="0" w:space="0" w:color="auto"/>
                <w:bottom w:val="none" w:sz="0" w:space="0" w:color="auto"/>
                <w:right w:val="none" w:sz="0" w:space="0" w:color="auto"/>
              </w:divBdr>
            </w:div>
          </w:divsChild>
        </w:div>
        <w:div w:id="1909224730">
          <w:marLeft w:val="0"/>
          <w:marRight w:val="0"/>
          <w:marTop w:val="0"/>
          <w:marBottom w:val="0"/>
          <w:divBdr>
            <w:top w:val="none" w:sz="0" w:space="0" w:color="auto"/>
            <w:left w:val="none" w:sz="0" w:space="0" w:color="auto"/>
            <w:bottom w:val="none" w:sz="0" w:space="0" w:color="auto"/>
            <w:right w:val="none" w:sz="0" w:space="0" w:color="auto"/>
          </w:divBdr>
          <w:divsChild>
            <w:div w:id="2059891666">
              <w:marLeft w:val="0"/>
              <w:marRight w:val="0"/>
              <w:marTop w:val="0"/>
              <w:marBottom w:val="0"/>
              <w:divBdr>
                <w:top w:val="none" w:sz="0" w:space="0" w:color="auto"/>
                <w:left w:val="none" w:sz="0" w:space="0" w:color="auto"/>
                <w:bottom w:val="none" w:sz="0" w:space="0" w:color="auto"/>
                <w:right w:val="none" w:sz="0" w:space="0" w:color="auto"/>
              </w:divBdr>
            </w:div>
          </w:divsChild>
        </w:div>
        <w:div w:id="1924802947">
          <w:marLeft w:val="0"/>
          <w:marRight w:val="0"/>
          <w:marTop w:val="0"/>
          <w:marBottom w:val="0"/>
          <w:divBdr>
            <w:top w:val="none" w:sz="0" w:space="0" w:color="auto"/>
            <w:left w:val="none" w:sz="0" w:space="0" w:color="auto"/>
            <w:bottom w:val="none" w:sz="0" w:space="0" w:color="auto"/>
            <w:right w:val="none" w:sz="0" w:space="0" w:color="auto"/>
          </w:divBdr>
          <w:divsChild>
            <w:div w:id="1235236290">
              <w:marLeft w:val="0"/>
              <w:marRight w:val="0"/>
              <w:marTop w:val="0"/>
              <w:marBottom w:val="0"/>
              <w:divBdr>
                <w:top w:val="none" w:sz="0" w:space="0" w:color="auto"/>
                <w:left w:val="none" w:sz="0" w:space="0" w:color="auto"/>
                <w:bottom w:val="none" w:sz="0" w:space="0" w:color="auto"/>
                <w:right w:val="none" w:sz="0" w:space="0" w:color="auto"/>
              </w:divBdr>
            </w:div>
          </w:divsChild>
        </w:div>
        <w:div w:id="1935363405">
          <w:marLeft w:val="0"/>
          <w:marRight w:val="0"/>
          <w:marTop w:val="0"/>
          <w:marBottom w:val="0"/>
          <w:divBdr>
            <w:top w:val="none" w:sz="0" w:space="0" w:color="auto"/>
            <w:left w:val="none" w:sz="0" w:space="0" w:color="auto"/>
            <w:bottom w:val="none" w:sz="0" w:space="0" w:color="auto"/>
            <w:right w:val="none" w:sz="0" w:space="0" w:color="auto"/>
          </w:divBdr>
          <w:divsChild>
            <w:div w:id="1290089862">
              <w:marLeft w:val="0"/>
              <w:marRight w:val="0"/>
              <w:marTop w:val="0"/>
              <w:marBottom w:val="0"/>
              <w:divBdr>
                <w:top w:val="none" w:sz="0" w:space="0" w:color="auto"/>
                <w:left w:val="none" w:sz="0" w:space="0" w:color="auto"/>
                <w:bottom w:val="none" w:sz="0" w:space="0" w:color="auto"/>
                <w:right w:val="none" w:sz="0" w:space="0" w:color="auto"/>
              </w:divBdr>
            </w:div>
          </w:divsChild>
        </w:div>
        <w:div w:id="1948778610">
          <w:marLeft w:val="0"/>
          <w:marRight w:val="0"/>
          <w:marTop w:val="0"/>
          <w:marBottom w:val="0"/>
          <w:divBdr>
            <w:top w:val="none" w:sz="0" w:space="0" w:color="auto"/>
            <w:left w:val="none" w:sz="0" w:space="0" w:color="auto"/>
            <w:bottom w:val="none" w:sz="0" w:space="0" w:color="auto"/>
            <w:right w:val="none" w:sz="0" w:space="0" w:color="auto"/>
          </w:divBdr>
          <w:divsChild>
            <w:div w:id="749890417">
              <w:marLeft w:val="0"/>
              <w:marRight w:val="0"/>
              <w:marTop w:val="0"/>
              <w:marBottom w:val="0"/>
              <w:divBdr>
                <w:top w:val="none" w:sz="0" w:space="0" w:color="auto"/>
                <w:left w:val="none" w:sz="0" w:space="0" w:color="auto"/>
                <w:bottom w:val="none" w:sz="0" w:space="0" w:color="auto"/>
                <w:right w:val="none" w:sz="0" w:space="0" w:color="auto"/>
              </w:divBdr>
            </w:div>
          </w:divsChild>
        </w:div>
        <w:div w:id="1949853155">
          <w:marLeft w:val="0"/>
          <w:marRight w:val="0"/>
          <w:marTop w:val="0"/>
          <w:marBottom w:val="0"/>
          <w:divBdr>
            <w:top w:val="none" w:sz="0" w:space="0" w:color="auto"/>
            <w:left w:val="none" w:sz="0" w:space="0" w:color="auto"/>
            <w:bottom w:val="none" w:sz="0" w:space="0" w:color="auto"/>
            <w:right w:val="none" w:sz="0" w:space="0" w:color="auto"/>
          </w:divBdr>
          <w:divsChild>
            <w:div w:id="927078288">
              <w:marLeft w:val="0"/>
              <w:marRight w:val="0"/>
              <w:marTop w:val="0"/>
              <w:marBottom w:val="0"/>
              <w:divBdr>
                <w:top w:val="none" w:sz="0" w:space="0" w:color="auto"/>
                <w:left w:val="none" w:sz="0" w:space="0" w:color="auto"/>
                <w:bottom w:val="none" w:sz="0" w:space="0" w:color="auto"/>
                <w:right w:val="none" w:sz="0" w:space="0" w:color="auto"/>
              </w:divBdr>
            </w:div>
          </w:divsChild>
        </w:div>
        <w:div w:id="1951234685">
          <w:marLeft w:val="0"/>
          <w:marRight w:val="0"/>
          <w:marTop w:val="0"/>
          <w:marBottom w:val="0"/>
          <w:divBdr>
            <w:top w:val="none" w:sz="0" w:space="0" w:color="auto"/>
            <w:left w:val="none" w:sz="0" w:space="0" w:color="auto"/>
            <w:bottom w:val="none" w:sz="0" w:space="0" w:color="auto"/>
            <w:right w:val="none" w:sz="0" w:space="0" w:color="auto"/>
          </w:divBdr>
          <w:divsChild>
            <w:div w:id="953092767">
              <w:marLeft w:val="0"/>
              <w:marRight w:val="0"/>
              <w:marTop w:val="0"/>
              <w:marBottom w:val="0"/>
              <w:divBdr>
                <w:top w:val="none" w:sz="0" w:space="0" w:color="auto"/>
                <w:left w:val="none" w:sz="0" w:space="0" w:color="auto"/>
                <w:bottom w:val="none" w:sz="0" w:space="0" w:color="auto"/>
                <w:right w:val="none" w:sz="0" w:space="0" w:color="auto"/>
              </w:divBdr>
            </w:div>
          </w:divsChild>
        </w:div>
        <w:div w:id="1967353608">
          <w:marLeft w:val="0"/>
          <w:marRight w:val="0"/>
          <w:marTop w:val="0"/>
          <w:marBottom w:val="0"/>
          <w:divBdr>
            <w:top w:val="none" w:sz="0" w:space="0" w:color="auto"/>
            <w:left w:val="none" w:sz="0" w:space="0" w:color="auto"/>
            <w:bottom w:val="none" w:sz="0" w:space="0" w:color="auto"/>
            <w:right w:val="none" w:sz="0" w:space="0" w:color="auto"/>
          </w:divBdr>
          <w:divsChild>
            <w:div w:id="1464494781">
              <w:marLeft w:val="0"/>
              <w:marRight w:val="0"/>
              <w:marTop w:val="0"/>
              <w:marBottom w:val="0"/>
              <w:divBdr>
                <w:top w:val="none" w:sz="0" w:space="0" w:color="auto"/>
                <w:left w:val="none" w:sz="0" w:space="0" w:color="auto"/>
                <w:bottom w:val="none" w:sz="0" w:space="0" w:color="auto"/>
                <w:right w:val="none" w:sz="0" w:space="0" w:color="auto"/>
              </w:divBdr>
            </w:div>
          </w:divsChild>
        </w:div>
        <w:div w:id="1972515354">
          <w:marLeft w:val="0"/>
          <w:marRight w:val="0"/>
          <w:marTop w:val="0"/>
          <w:marBottom w:val="0"/>
          <w:divBdr>
            <w:top w:val="none" w:sz="0" w:space="0" w:color="auto"/>
            <w:left w:val="none" w:sz="0" w:space="0" w:color="auto"/>
            <w:bottom w:val="none" w:sz="0" w:space="0" w:color="auto"/>
            <w:right w:val="none" w:sz="0" w:space="0" w:color="auto"/>
          </w:divBdr>
          <w:divsChild>
            <w:div w:id="1383825383">
              <w:marLeft w:val="0"/>
              <w:marRight w:val="0"/>
              <w:marTop w:val="0"/>
              <w:marBottom w:val="0"/>
              <w:divBdr>
                <w:top w:val="none" w:sz="0" w:space="0" w:color="auto"/>
                <w:left w:val="none" w:sz="0" w:space="0" w:color="auto"/>
                <w:bottom w:val="none" w:sz="0" w:space="0" w:color="auto"/>
                <w:right w:val="none" w:sz="0" w:space="0" w:color="auto"/>
              </w:divBdr>
            </w:div>
          </w:divsChild>
        </w:div>
        <w:div w:id="1973244463">
          <w:marLeft w:val="0"/>
          <w:marRight w:val="0"/>
          <w:marTop w:val="0"/>
          <w:marBottom w:val="0"/>
          <w:divBdr>
            <w:top w:val="none" w:sz="0" w:space="0" w:color="auto"/>
            <w:left w:val="none" w:sz="0" w:space="0" w:color="auto"/>
            <w:bottom w:val="none" w:sz="0" w:space="0" w:color="auto"/>
            <w:right w:val="none" w:sz="0" w:space="0" w:color="auto"/>
          </w:divBdr>
          <w:divsChild>
            <w:div w:id="222762182">
              <w:marLeft w:val="0"/>
              <w:marRight w:val="0"/>
              <w:marTop w:val="0"/>
              <w:marBottom w:val="0"/>
              <w:divBdr>
                <w:top w:val="none" w:sz="0" w:space="0" w:color="auto"/>
                <w:left w:val="none" w:sz="0" w:space="0" w:color="auto"/>
                <w:bottom w:val="none" w:sz="0" w:space="0" w:color="auto"/>
                <w:right w:val="none" w:sz="0" w:space="0" w:color="auto"/>
              </w:divBdr>
            </w:div>
          </w:divsChild>
        </w:div>
        <w:div w:id="1973444162">
          <w:marLeft w:val="0"/>
          <w:marRight w:val="0"/>
          <w:marTop w:val="0"/>
          <w:marBottom w:val="0"/>
          <w:divBdr>
            <w:top w:val="none" w:sz="0" w:space="0" w:color="auto"/>
            <w:left w:val="none" w:sz="0" w:space="0" w:color="auto"/>
            <w:bottom w:val="none" w:sz="0" w:space="0" w:color="auto"/>
            <w:right w:val="none" w:sz="0" w:space="0" w:color="auto"/>
          </w:divBdr>
          <w:divsChild>
            <w:div w:id="2032491730">
              <w:marLeft w:val="0"/>
              <w:marRight w:val="0"/>
              <w:marTop w:val="0"/>
              <w:marBottom w:val="0"/>
              <w:divBdr>
                <w:top w:val="none" w:sz="0" w:space="0" w:color="auto"/>
                <w:left w:val="none" w:sz="0" w:space="0" w:color="auto"/>
                <w:bottom w:val="none" w:sz="0" w:space="0" w:color="auto"/>
                <w:right w:val="none" w:sz="0" w:space="0" w:color="auto"/>
              </w:divBdr>
            </w:div>
          </w:divsChild>
        </w:div>
        <w:div w:id="1976594019">
          <w:marLeft w:val="0"/>
          <w:marRight w:val="0"/>
          <w:marTop w:val="0"/>
          <w:marBottom w:val="0"/>
          <w:divBdr>
            <w:top w:val="none" w:sz="0" w:space="0" w:color="auto"/>
            <w:left w:val="none" w:sz="0" w:space="0" w:color="auto"/>
            <w:bottom w:val="none" w:sz="0" w:space="0" w:color="auto"/>
            <w:right w:val="none" w:sz="0" w:space="0" w:color="auto"/>
          </w:divBdr>
          <w:divsChild>
            <w:div w:id="829521361">
              <w:marLeft w:val="0"/>
              <w:marRight w:val="0"/>
              <w:marTop w:val="0"/>
              <w:marBottom w:val="0"/>
              <w:divBdr>
                <w:top w:val="none" w:sz="0" w:space="0" w:color="auto"/>
                <w:left w:val="none" w:sz="0" w:space="0" w:color="auto"/>
                <w:bottom w:val="none" w:sz="0" w:space="0" w:color="auto"/>
                <w:right w:val="none" w:sz="0" w:space="0" w:color="auto"/>
              </w:divBdr>
            </w:div>
          </w:divsChild>
        </w:div>
        <w:div w:id="1984039660">
          <w:marLeft w:val="0"/>
          <w:marRight w:val="0"/>
          <w:marTop w:val="0"/>
          <w:marBottom w:val="0"/>
          <w:divBdr>
            <w:top w:val="none" w:sz="0" w:space="0" w:color="auto"/>
            <w:left w:val="none" w:sz="0" w:space="0" w:color="auto"/>
            <w:bottom w:val="none" w:sz="0" w:space="0" w:color="auto"/>
            <w:right w:val="none" w:sz="0" w:space="0" w:color="auto"/>
          </w:divBdr>
          <w:divsChild>
            <w:div w:id="287857253">
              <w:marLeft w:val="0"/>
              <w:marRight w:val="0"/>
              <w:marTop w:val="0"/>
              <w:marBottom w:val="0"/>
              <w:divBdr>
                <w:top w:val="none" w:sz="0" w:space="0" w:color="auto"/>
                <w:left w:val="none" w:sz="0" w:space="0" w:color="auto"/>
                <w:bottom w:val="none" w:sz="0" w:space="0" w:color="auto"/>
                <w:right w:val="none" w:sz="0" w:space="0" w:color="auto"/>
              </w:divBdr>
            </w:div>
          </w:divsChild>
        </w:div>
        <w:div w:id="1986544615">
          <w:marLeft w:val="0"/>
          <w:marRight w:val="0"/>
          <w:marTop w:val="0"/>
          <w:marBottom w:val="0"/>
          <w:divBdr>
            <w:top w:val="none" w:sz="0" w:space="0" w:color="auto"/>
            <w:left w:val="none" w:sz="0" w:space="0" w:color="auto"/>
            <w:bottom w:val="none" w:sz="0" w:space="0" w:color="auto"/>
            <w:right w:val="none" w:sz="0" w:space="0" w:color="auto"/>
          </w:divBdr>
          <w:divsChild>
            <w:div w:id="351882088">
              <w:marLeft w:val="0"/>
              <w:marRight w:val="0"/>
              <w:marTop w:val="0"/>
              <w:marBottom w:val="0"/>
              <w:divBdr>
                <w:top w:val="none" w:sz="0" w:space="0" w:color="auto"/>
                <w:left w:val="none" w:sz="0" w:space="0" w:color="auto"/>
                <w:bottom w:val="none" w:sz="0" w:space="0" w:color="auto"/>
                <w:right w:val="none" w:sz="0" w:space="0" w:color="auto"/>
              </w:divBdr>
            </w:div>
          </w:divsChild>
        </w:div>
        <w:div w:id="1987123164">
          <w:marLeft w:val="0"/>
          <w:marRight w:val="0"/>
          <w:marTop w:val="0"/>
          <w:marBottom w:val="0"/>
          <w:divBdr>
            <w:top w:val="none" w:sz="0" w:space="0" w:color="auto"/>
            <w:left w:val="none" w:sz="0" w:space="0" w:color="auto"/>
            <w:bottom w:val="none" w:sz="0" w:space="0" w:color="auto"/>
            <w:right w:val="none" w:sz="0" w:space="0" w:color="auto"/>
          </w:divBdr>
          <w:divsChild>
            <w:div w:id="1667829851">
              <w:marLeft w:val="0"/>
              <w:marRight w:val="0"/>
              <w:marTop w:val="0"/>
              <w:marBottom w:val="0"/>
              <w:divBdr>
                <w:top w:val="none" w:sz="0" w:space="0" w:color="auto"/>
                <w:left w:val="none" w:sz="0" w:space="0" w:color="auto"/>
                <w:bottom w:val="none" w:sz="0" w:space="0" w:color="auto"/>
                <w:right w:val="none" w:sz="0" w:space="0" w:color="auto"/>
              </w:divBdr>
            </w:div>
          </w:divsChild>
        </w:div>
        <w:div w:id="1988439475">
          <w:marLeft w:val="0"/>
          <w:marRight w:val="0"/>
          <w:marTop w:val="0"/>
          <w:marBottom w:val="0"/>
          <w:divBdr>
            <w:top w:val="none" w:sz="0" w:space="0" w:color="auto"/>
            <w:left w:val="none" w:sz="0" w:space="0" w:color="auto"/>
            <w:bottom w:val="none" w:sz="0" w:space="0" w:color="auto"/>
            <w:right w:val="none" w:sz="0" w:space="0" w:color="auto"/>
          </w:divBdr>
          <w:divsChild>
            <w:div w:id="1322392704">
              <w:marLeft w:val="0"/>
              <w:marRight w:val="0"/>
              <w:marTop w:val="0"/>
              <w:marBottom w:val="0"/>
              <w:divBdr>
                <w:top w:val="none" w:sz="0" w:space="0" w:color="auto"/>
                <w:left w:val="none" w:sz="0" w:space="0" w:color="auto"/>
                <w:bottom w:val="none" w:sz="0" w:space="0" w:color="auto"/>
                <w:right w:val="none" w:sz="0" w:space="0" w:color="auto"/>
              </w:divBdr>
            </w:div>
          </w:divsChild>
        </w:div>
        <w:div w:id="1993243647">
          <w:marLeft w:val="0"/>
          <w:marRight w:val="0"/>
          <w:marTop w:val="0"/>
          <w:marBottom w:val="0"/>
          <w:divBdr>
            <w:top w:val="none" w:sz="0" w:space="0" w:color="auto"/>
            <w:left w:val="none" w:sz="0" w:space="0" w:color="auto"/>
            <w:bottom w:val="none" w:sz="0" w:space="0" w:color="auto"/>
            <w:right w:val="none" w:sz="0" w:space="0" w:color="auto"/>
          </w:divBdr>
          <w:divsChild>
            <w:div w:id="1771849005">
              <w:marLeft w:val="0"/>
              <w:marRight w:val="0"/>
              <w:marTop w:val="0"/>
              <w:marBottom w:val="0"/>
              <w:divBdr>
                <w:top w:val="none" w:sz="0" w:space="0" w:color="auto"/>
                <w:left w:val="none" w:sz="0" w:space="0" w:color="auto"/>
                <w:bottom w:val="none" w:sz="0" w:space="0" w:color="auto"/>
                <w:right w:val="none" w:sz="0" w:space="0" w:color="auto"/>
              </w:divBdr>
            </w:div>
          </w:divsChild>
        </w:div>
        <w:div w:id="1998797043">
          <w:marLeft w:val="0"/>
          <w:marRight w:val="0"/>
          <w:marTop w:val="0"/>
          <w:marBottom w:val="0"/>
          <w:divBdr>
            <w:top w:val="none" w:sz="0" w:space="0" w:color="auto"/>
            <w:left w:val="none" w:sz="0" w:space="0" w:color="auto"/>
            <w:bottom w:val="none" w:sz="0" w:space="0" w:color="auto"/>
            <w:right w:val="none" w:sz="0" w:space="0" w:color="auto"/>
          </w:divBdr>
          <w:divsChild>
            <w:div w:id="742920213">
              <w:marLeft w:val="0"/>
              <w:marRight w:val="0"/>
              <w:marTop w:val="0"/>
              <w:marBottom w:val="0"/>
              <w:divBdr>
                <w:top w:val="none" w:sz="0" w:space="0" w:color="auto"/>
                <w:left w:val="none" w:sz="0" w:space="0" w:color="auto"/>
                <w:bottom w:val="none" w:sz="0" w:space="0" w:color="auto"/>
                <w:right w:val="none" w:sz="0" w:space="0" w:color="auto"/>
              </w:divBdr>
            </w:div>
          </w:divsChild>
        </w:div>
        <w:div w:id="2005739706">
          <w:marLeft w:val="0"/>
          <w:marRight w:val="0"/>
          <w:marTop w:val="0"/>
          <w:marBottom w:val="0"/>
          <w:divBdr>
            <w:top w:val="none" w:sz="0" w:space="0" w:color="auto"/>
            <w:left w:val="none" w:sz="0" w:space="0" w:color="auto"/>
            <w:bottom w:val="none" w:sz="0" w:space="0" w:color="auto"/>
            <w:right w:val="none" w:sz="0" w:space="0" w:color="auto"/>
          </w:divBdr>
          <w:divsChild>
            <w:div w:id="1817649858">
              <w:marLeft w:val="0"/>
              <w:marRight w:val="0"/>
              <w:marTop w:val="0"/>
              <w:marBottom w:val="0"/>
              <w:divBdr>
                <w:top w:val="none" w:sz="0" w:space="0" w:color="auto"/>
                <w:left w:val="none" w:sz="0" w:space="0" w:color="auto"/>
                <w:bottom w:val="none" w:sz="0" w:space="0" w:color="auto"/>
                <w:right w:val="none" w:sz="0" w:space="0" w:color="auto"/>
              </w:divBdr>
            </w:div>
          </w:divsChild>
        </w:div>
        <w:div w:id="2021154385">
          <w:marLeft w:val="0"/>
          <w:marRight w:val="0"/>
          <w:marTop w:val="0"/>
          <w:marBottom w:val="0"/>
          <w:divBdr>
            <w:top w:val="none" w:sz="0" w:space="0" w:color="auto"/>
            <w:left w:val="none" w:sz="0" w:space="0" w:color="auto"/>
            <w:bottom w:val="none" w:sz="0" w:space="0" w:color="auto"/>
            <w:right w:val="none" w:sz="0" w:space="0" w:color="auto"/>
          </w:divBdr>
          <w:divsChild>
            <w:div w:id="610553501">
              <w:marLeft w:val="0"/>
              <w:marRight w:val="0"/>
              <w:marTop w:val="0"/>
              <w:marBottom w:val="0"/>
              <w:divBdr>
                <w:top w:val="none" w:sz="0" w:space="0" w:color="auto"/>
                <w:left w:val="none" w:sz="0" w:space="0" w:color="auto"/>
                <w:bottom w:val="none" w:sz="0" w:space="0" w:color="auto"/>
                <w:right w:val="none" w:sz="0" w:space="0" w:color="auto"/>
              </w:divBdr>
            </w:div>
          </w:divsChild>
        </w:div>
        <w:div w:id="2030058299">
          <w:marLeft w:val="0"/>
          <w:marRight w:val="0"/>
          <w:marTop w:val="0"/>
          <w:marBottom w:val="0"/>
          <w:divBdr>
            <w:top w:val="none" w:sz="0" w:space="0" w:color="auto"/>
            <w:left w:val="none" w:sz="0" w:space="0" w:color="auto"/>
            <w:bottom w:val="none" w:sz="0" w:space="0" w:color="auto"/>
            <w:right w:val="none" w:sz="0" w:space="0" w:color="auto"/>
          </w:divBdr>
          <w:divsChild>
            <w:div w:id="655573974">
              <w:marLeft w:val="0"/>
              <w:marRight w:val="0"/>
              <w:marTop w:val="0"/>
              <w:marBottom w:val="0"/>
              <w:divBdr>
                <w:top w:val="none" w:sz="0" w:space="0" w:color="auto"/>
                <w:left w:val="none" w:sz="0" w:space="0" w:color="auto"/>
                <w:bottom w:val="none" w:sz="0" w:space="0" w:color="auto"/>
                <w:right w:val="none" w:sz="0" w:space="0" w:color="auto"/>
              </w:divBdr>
            </w:div>
          </w:divsChild>
        </w:div>
        <w:div w:id="2033528662">
          <w:marLeft w:val="0"/>
          <w:marRight w:val="0"/>
          <w:marTop w:val="0"/>
          <w:marBottom w:val="0"/>
          <w:divBdr>
            <w:top w:val="none" w:sz="0" w:space="0" w:color="auto"/>
            <w:left w:val="none" w:sz="0" w:space="0" w:color="auto"/>
            <w:bottom w:val="none" w:sz="0" w:space="0" w:color="auto"/>
            <w:right w:val="none" w:sz="0" w:space="0" w:color="auto"/>
          </w:divBdr>
          <w:divsChild>
            <w:div w:id="1375034664">
              <w:marLeft w:val="0"/>
              <w:marRight w:val="0"/>
              <w:marTop w:val="0"/>
              <w:marBottom w:val="0"/>
              <w:divBdr>
                <w:top w:val="none" w:sz="0" w:space="0" w:color="auto"/>
                <w:left w:val="none" w:sz="0" w:space="0" w:color="auto"/>
                <w:bottom w:val="none" w:sz="0" w:space="0" w:color="auto"/>
                <w:right w:val="none" w:sz="0" w:space="0" w:color="auto"/>
              </w:divBdr>
            </w:div>
          </w:divsChild>
        </w:div>
        <w:div w:id="2034265937">
          <w:marLeft w:val="0"/>
          <w:marRight w:val="0"/>
          <w:marTop w:val="0"/>
          <w:marBottom w:val="0"/>
          <w:divBdr>
            <w:top w:val="none" w:sz="0" w:space="0" w:color="auto"/>
            <w:left w:val="none" w:sz="0" w:space="0" w:color="auto"/>
            <w:bottom w:val="none" w:sz="0" w:space="0" w:color="auto"/>
            <w:right w:val="none" w:sz="0" w:space="0" w:color="auto"/>
          </w:divBdr>
          <w:divsChild>
            <w:div w:id="62457025">
              <w:marLeft w:val="0"/>
              <w:marRight w:val="0"/>
              <w:marTop w:val="0"/>
              <w:marBottom w:val="0"/>
              <w:divBdr>
                <w:top w:val="none" w:sz="0" w:space="0" w:color="auto"/>
                <w:left w:val="none" w:sz="0" w:space="0" w:color="auto"/>
                <w:bottom w:val="none" w:sz="0" w:space="0" w:color="auto"/>
                <w:right w:val="none" w:sz="0" w:space="0" w:color="auto"/>
              </w:divBdr>
            </w:div>
          </w:divsChild>
        </w:div>
        <w:div w:id="2036153899">
          <w:marLeft w:val="0"/>
          <w:marRight w:val="0"/>
          <w:marTop w:val="0"/>
          <w:marBottom w:val="0"/>
          <w:divBdr>
            <w:top w:val="none" w:sz="0" w:space="0" w:color="auto"/>
            <w:left w:val="none" w:sz="0" w:space="0" w:color="auto"/>
            <w:bottom w:val="none" w:sz="0" w:space="0" w:color="auto"/>
            <w:right w:val="none" w:sz="0" w:space="0" w:color="auto"/>
          </w:divBdr>
          <w:divsChild>
            <w:div w:id="1244994999">
              <w:marLeft w:val="0"/>
              <w:marRight w:val="0"/>
              <w:marTop w:val="0"/>
              <w:marBottom w:val="0"/>
              <w:divBdr>
                <w:top w:val="none" w:sz="0" w:space="0" w:color="auto"/>
                <w:left w:val="none" w:sz="0" w:space="0" w:color="auto"/>
                <w:bottom w:val="none" w:sz="0" w:space="0" w:color="auto"/>
                <w:right w:val="none" w:sz="0" w:space="0" w:color="auto"/>
              </w:divBdr>
            </w:div>
          </w:divsChild>
        </w:div>
        <w:div w:id="2038509001">
          <w:marLeft w:val="0"/>
          <w:marRight w:val="0"/>
          <w:marTop w:val="0"/>
          <w:marBottom w:val="0"/>
          <w:divBdr>
            <w:top w:val="none" w:sz="0" w:space="0" w:color="auto"/>
            <w:left w:val="none" w:sz="0" w:space="0" w:color="auto"/>
            <w:bottom w:val="none" w:sz="0" w:space="0" w:color="auto"/>
            <w:right w:val="none" w:sz="0" w:space="0" w:color="auto"/>
          </w:divBdr>
          <w:divsChild>
            <w:div w:id="288440614">
              <w:marLeft w:val="0"/>
              <w:marRight w:val="0"/>
              <w:marTop w:val="0"/>
              <w:marBottom w:val="0"/>
              <w:divBdr>
                <w:top w:val="none" w:sz="0" w:space="0" w:color="auto"/>
                <w:left w:val="none" w:sz="0" w:space="0" w:color="auto"/>
                <w:bottom w:val="none" w:sz="0" w:space="0" w:color="auto"/>
                <w:right w:val="none" w:sz="0" w:space="0" w:color="auto"/>
              </w:divBdr>
            </w:div>
          </w:divsChild>
        </w:div>
        <w:div w:id="2040080472">
          <w:marLeft w:val="0"/>
          <w:marRight w:val="0"/>
          <w:marTop w:val="0"/>
          <w:marBottom w:val="0"/>
          <w:divBdr>
            <w:top w:val="none" w:sz="0" w:space="0" w:color="auto"/>
            <w:left w:val="none" w:sz="0" w:space="0" w:color="auto"/>
            <w:bottom w:val="none" w:sz="0" w:space="0" w:color="auto"/>
            <w:right w:val="none" w:sz="0" w:space="0" w:color="auto"/>
          </w:divBdr>
          <w:divsChild>
            <w:div w:id="1228957366">
              <w:marLeft w:val="0"/>
              <w:marRight w:val="0"/>
              <w:marTop w:val="0"/>
              <w:marBottom w:val="0"/>
              <w:divBdr>
                <w:top w:val="none" w:sz="0" w:space="0" w:color="auto"/>
                <w:left w:val="none" w:sz="0" w:space="0" w:color="auto"/>
                <w:bottom w:val="none" w:sz="0" w:space="0" w:color="auto"/>
                <w:right w:val="none" w:sz="0" w:space="0" w:color="auto"/>
              </w:divBdr>
            </w:div>
          </w:divsChild>
        </w:div>
        <w:div w:id="2053339272">
          <w:marLeft w:val="0"/>
          <w:marRight w:val="0"/>
          <w:marTop w:val="0"/>
          <w:marBottom w:val="0"/>
          <w:divBdr>
            <w:top w:val="none" w:sz="0" w:space="0" w:color="auto"/>
            <w:left w:val="none" w:sz="0" w:space="0" w:color="auto"/>
            <w:bottom w:val="none" w:sz="0" w:space="0" w:color="auto"/>
            <w:right w:val="none" w:sz="0" w:space="0" w:color="auto"/>
          </w:divBdr>
          <w:divsChild>
            <w:div w:id="1021400577">
              <w:marLeft w:val="0"/>
              <w:marRight w:val="0"/>
              <w:marTop w:val="0"/>
              <w:marBottom w:val="0"/>
              <w:divBdr>
                <w:top w:val="none" w:sz="0" w:space="0" w:color="auto"/>
                <w:left w:val="none" w:sz="0" w:space="0" w:color="auto"/>
                <w:bottom w:val="none" w:sz="0" w:space="0" w:color="auto"/>
                <w:right w:val="none" w:sz="0" w:space="0" w:color="auto"/>
              </w:divBdr>
            </w:div>
          </w:divsChild>
        </w:div>
        <w:div w:id="2069647336">
          <w:marLeft w:val="0"/>
          <w:marRight w:val="0"/>
          <w:marTop w:val="0"/>
          <w:marBottom w:val="0"/>
          <w:divBdr>
            <w:top w:val="none" w:sz="0" w:space="0" w:color="auto"/>
            <w:left w:val="none" w:sz="0" w:space="0" w:color="auto"/>
            <w:bottom w:val="none" w:sz="0" w:space="0" w:color="auto"/>
            <w:right w:val="none" w:sz="0" w:space="0" w:color="auto"/>
          </w:divBdr>
          <w:divsChild>
            <w:div w:id="228661680">
              <w:marLeft w:val="0"/>
              <w:marRight w:val="0"/>
              <w:marTop w:val="0"/>
              <w:marBottom w:val="0"/>
              <w:divBdr>
                <w:top w:val="none" w:sz="0" w:space="0" w:color="auto"/>
                <w:left w:val="none" w:sz="0" w:space="0" w:color="auto"/>
                <w:bottom w:val="none" w:sz="0" w:space="0" w:color="auto"/>
                <w:right w:val="none" w:sz="0" w:space="0" w:color="auto"/>
              </w:divBdr>
            </w:div>
          </w:divsChild>
        </w:div>
        <w:div w:id="2076127552">
          <w:marLeft w:val="0"/>
          <w:marRight w:val="0"/>
          <w:marTop w:val="0"/>
          <w:marBottom w:val="0"/>
          <w:divBdr>
            <w:top w:val="none" w:sz="0" w:space="0" w:color="auto"/>
            <w:left w:val="none" w:sz="0" w:space="0" w:color="auto"/>
            <w:bottom w:val="none" w:sz="0" w:space="0" w:color="auto"/>
            <w:right w:val="none" w:sz="0" w:space="0" w:color="auto"/>
          </w:divBdr>
          <w:divsChild>
            <w:div w:id="734621634">
              <w:marLeft w:val="0"/>
              <w:marRight w:val="0"/>
              <w:marTop w:val="0"/>
              <w:marBottom w:val="0"/>
              <w:divBdr>
                <w:top w:val="none" w:sz="0" w:space="0" w:color="auto"/>
                <w:left w:val="none" w:sz="0" w:space="0" w:color="auto"/>
                <w:bottom w:val="none" w:sz="0" w:space="0" w:color="auto"/>
                <w:right w:val="none" w:sz="0" w:space="0" w:color="auto"/>
              </w:divBdr>
            </w:div>
          </w:divsChild>
        </w:div>
        <w:div w:id="2082603316">
          <w:marLeft w:val="0"/>
          <w:marRight w:val="0"/>
          <w:marTop w:val="0"/>
          <w:marBottom w:val="0"/>
          <w:divBdr>
            <w:top w:val="none" w:sz="0" w:space="0" w:color="auto"/>
            <w:left w:val="none" w:sz="0" w:space="0" w:color="auto"/>
            <w:bottom w:val="none" w:sz="0" w:space="0" w:color="auto"/>
            <w:right w:val="none" w:sz="0" w:space="0" w:color="auto"/>
          </w:divBdr>
          <w:divsChild>
            <w:div w:id="773288684">
              <w:marLeft w:val="0"/>
              <w:marRight w:val="0"/>
              <w:marTop w:val="0"/>
              <w:marBottom w:val="0"/>
              <w:divBdr>
                <w:top w:val="none" w:sz="0" w:space="0" w:color="auto"/>
                <w:left w:val="none" w:sz="0" w:space="0" w:color="auto"/>
                <w:bottom w:val="none" w:sz="0" w:space="0" w:color="auto"/>
                <w:right w:val="none" w:sz="0" w:space="0" w:color="auto"/>
              </w:divBdr>
            </w:div>
          </w:divsChild>
        </w:div>
        <w:div w:id="2093381857">
          <w:marLeft w:val="0"/>
          <w:marRight w:val="0"/>
          <w:marTop w:val="0"/>
          <w:marBottom w:val="0"/>
          <w:divBdr>
            <w:top w:val="none" w:sz="0" w:space="0" w:color="auto"/>
            <w:left w:val="none" w:sz="0" w:space="0" w:color="auto"/>
            <w:bottom w:val="none" w:sz="0" w:space="0" w:color="auto"/>
            <w:right w:val="none" w:sz="0" w:space="0" w:color="auto"/>
          </w:divBdr>
          <w:divsChild>
            <w:div w:id="773474766">
              <w:marLeft w:val="0"/>
              <w:marRight w:val="0"/>
              <w:marTop w:val="0"/>
              <w:marBottom w:val="0"/>
              <w:divBdr>
                <w:top w:val="none" w:sz="0" w:space="0" w:color="auto"/>
                <w:left w:val="none" w:sz="0" w:space="0" w:color="auto"/>
                <w:bottom w:val="none" w:sz="0" w:space="0" w:color="auto"/>
                <w:right w:val="none" w:sz="0" w:space="0" w:color="auto"/>
              </w:divBdr>
            </w:div>
          </w:divsChild>
        </w:div>
        <w:div w:id="2096782359">
          <w:marLeft w:val="0"/>
          <w:marRight w:val="0"/>
          <w:marTop w:val="0"/>
          <w:marBottom w:val="0"/>
          <w:divBdr>
            <w:top w:val="none" w:sz="0" w:space="0" w:color="auto"/>
            <w:left w:val="none" w:sz="0" w:space="0" w:color="auto"/>
            <w:bottom w:val="none" w:sz="0" w:space="0" w:color="auto"/>
            <w:right w:val="none" w:sz="0" w:space="0" w:color="auto"/>
          </w:divBdr>
          <w:divsChild>
            <w:div w:id="1950701888">
              <w:marLeft w:val="0"/>
              <w:marRight w:val="0"/>
              <w:marTop w:val="0"/>
              <w:marBottom w:val="0"/>
              <w:divBdr>
                <w:top w:val="none" w:sz="0" w:space="0" w:color="auto"/>
                <w:left w:val="none" w:sz="0" w:space="0" w:color="auto"/>
                <w:bottom w:val="none" w:sz="0" w:space="0" w:color="auto"/>
                <w:right w:val="none" w:sz="0" w:space="0" w:color="auto"/>
              </w:divBdr>
            </w:div>
          </w:divsChild>
        </w:div>
        <w:div w:id="2099018420">
          <w:marLeft w:val="0"/>
          <w:marRight w:val="0"/>
          <w:marTop w:val="0"/>
          <w:marBottom w:val="0"/>
          <w:divBdr>
            <w:top w:val="none" w:sz="0" w:space="0" w:color="auto"/>
            <w:left w:val="none" w:sz="0" w:space="0" w:color="auto"/>
            <w:bottom w:val="none" w:sz="0" w:space="0" w:color="auto"/>
            <w:right w:val="none" w:sz="0" w:space="0" w:color="auto"/>
          </w:divBdr>
          <w:divsChild>
            <w:div w:id="1006791157">
              <w:marLeft w:val="0"/>
              <w:marRight w:val="0"/>
              <w:marTop w:val="0"/>
              <w:marBottom w:val="0"/>
              <w:divBdr>
                <w:top w:val="none" w:sz="0" w:space="0" w:color="auto"/>
                <w:left w:val="none" w:sz="0" w:space="0" w:color="auto"/>
                <w:bottom w:val="none" w:sz="0" w:space="0" w:color="auto"/>
                <w:right w:val="none" w:sz="0" w:space="0" w:color="auto"/>
              </w:divBdr>
            </w:div>
          </w:divsChild>
        </w:div>
        <w:div w:id="2102989555">
          <w:marLeft w:val="0"/>
          <w:marRight w:val="0"/>
          <w:marTop w:val="0"/>
          <w:marBottom w:val="0"/>
          <w:divBdr>
            <w:top w:val="none" w:sz="0" w:space="0" w:color="auto"/>
            <w:left w:val="none" w:sz="0" w:space="0" w:color="auto"/>
            <w:bottom w:val="none" w:sz="0" w:space="0" w:color="auto"/>
            <w:right w:val="none" w:sz="0" w:space="0" w:color="auto"/>
          </w:divBdr>
          <w:divsChild>
            <w:div w:id="1016422703">
              <w:marLeft w:val="0"/>
              <w:marRight w:val="0"/>
              <w:marTop w:val="0"/>
              <w:marBottom w:val="0"/>
              <w:divBdr>
                <w:top w:val="none" w:sz="0" w:space="0" w:color="auto"/>
                <w:left w:val="none" w:sz="0" w:space="0" w:color="auto"/>
                <w:bottom w:val="none" w:sz="0" w:space="0" w:color="auto"/>
                <w:right w:val="none" w:sz="0" w:space="0" w:color="auto"/>
              </w:divBdr>
            </w:div>
          </w:divsChild>
        </w:div>
        <w:div w:id="2110540196">
          <w:marLeft w:val="0"/>
          <w:marRight w:val="0"/>
          <w:marTop w:val="0"/>
          <w:marBottom w:val="0"/>
          <w:divBdr>
            <w:top w:val="none" w:sz="0" w:space="0" w:color="auto"/>
            <w:left w:val="none" w:sz="0" w:space="0" w:color="auto"/>
            <w:bottom w:val="none" w:sz="0" w:space="0" w:color="auto"/>
            <w:right w:val="none" w:sz="0" w:space="0" w:color="auto"/>
          </w:divBdr>
          <w:divsChild>
            <w:div w:id="389230312">
              <w:marLeft w:val="0"/>
              <w:marRight w:val="0"/>
              <w:marTop w:val="0"/>
              <w:marBottom w:val="0"/>
              <w:divBdr>
                <w:top w:val="none" w:sz="0" w:space="0" w:color="auto"/>
                <w:left w:val="none" w:sz="0" w:space="0" w:color="auto"/>
                <w:bottom w:val="none" w:sz="0" w:space="0" w:color="auto"/>
                <w:right w:val="none" w:sz="0" w:space="0" w:color="auto"/>
              </w:divBdr>
            </w:div>
          </w:divsChild>
        </w:div>
        <w:div w:id="2117603007">
          <w:marLeft w:val="0"/>
          <w:marRight w:val="0"/>
          <w:marTop w:val="0"/>
          <w:marBottom w:val="0"/>
          <w:divBdr>
            <w:top w:val="none" w:sz="0" w:space="0" w:color="auto"/>
            <w:left w:val="none" w:sz="0" w:space="0" w:color="auto"/>
            <w:bottom w:val="none" w:sz="0" w:space="0" w:color="auto"/>
            <w:right w:val="none" w:sz="0" w:space="0" w:color="auto"/>
          </w:divBdr>
          <w:divsChild>
            <w:div w:id="223563855">
              <w:marLeft w:val="0"/>
              <w:marRight w:val="0"/>
              <w:marTop w:val="0"/>
              <w:marBottom w:val="0"/>
              <w:divBdr>
                <w:top w:val="none" w:sz="0" w:space="0" w:color="auto"/>
                <w:left w:val="none" w:sz="0" w:space="0" w:color="auto"/>
                <w:bottom w:val="none" w:sz="0" w:space="0" w:color="auto"/>
                <w:right w:val="none" w:sz="0" w:space="0" w:color="auto"/>
              </w:divBdr>
            </w:div>
          </w:divsChild>
        </w:div>
        <w:div w:id="2126194078">
          <w:marLeft w:val="0"/>
          <w:marRight w:val="0"/>
          <w:marTop w:val="0"/>
          <w:marBottom w:val="0"/>
          <w:divBdr>
            <w:top w:val="none" w:sz="0" w:space="0" w:color="auto"/>
            <w:left w:val="none" w:sz="0" w:space="0" w:color="auto"/>
            <w:bottom w:val="none" w:sz="0" w:space="0" w:color="auto"/>
            <w:right w:val="none" w:sz="0" w:space="0" w:color="auto"/>
          </w:divBdr>
          <w:divsChild>
            <w:div w:id="1020548836">
              <w:marLeft w:val="0"/>
              <w:marRight w:val="0"/>
              <w:marTop w:val="0"/>
              <w:marBottom w:val="0"/>
              <w:divBdr>
                <w:top w:val="none" w:sz="0" w:space="0" w:color="auto"/>
                <w:left w:val="none" w:sz="0" w:space="0" w:color="auto"/>
                <w:bottom w:val="none" w:sz="0" w:space="0" w:color="auto"/>
                <w:right w:val="none" w:sz="0" w:space="0" w:color="auto"/>
              </w:divBdr>
            </w:div>
          </w:divsChild>
        </w:div>
        <w:div w:id="2134908604">
          <w:marLeft w:val="0"/>
          <w:marRight w:val="0"/>
          <w:marTop w:val="0"/>
          <w:marBottom w:val="0"/>
          <w:divBdr>
            <w:top w:val="none" w:sz="0" w:space="0" w:color="auto"/>
            <w:left w:val="none" w:sz="0" w:space="0" w:color="auto"/>
            <w:bottom w:val="none" w:sz="0" w:space="0" w:color="auto"/>
            <w:right w:val="none" w:sz="0" w:space="0" w:color="auto"/>
          </w:divBdr>
          <w:divsChild>
            <w:div w:id="2069959364">
              <w:marLeft w:val="0"/>
              <w:marRight w:val="0"/>
              <w:marTop w:val="0"/>
              <w:marBottom w:val="0"/>
              <w:divBdr>
                <w:top w:val="none" w:sz="0" w:space="0" w:color="auto"/>
                <w:left w:val="none" w:sz="0" w:space="0" w:color="auto"/>
                <w:bottom w:val="none" w:sz="0" w:space="0" w:color="auto"/>
                <w:right w:val="none" w:sz="0" w:space="0" w:color="auto"/>
              </w:divBdr>
            </w:div>
          </w:divsChild>
        </w:div>
        <w:div w:id="2136439921">
          <w:marLeft w:val="0"/>
          <w:marRight w:val="0"/>
          <w:marTop w:val="0"/>
          <w:marBottom w:val="0"/>
          <w:divBdr>
            <w:top w:val="none" w:sz="0" w:space="0" w:color="auto"/>
            <w:left w:val="none" w:sz="0" w:space="0" w:color="auto"/>
            <w:bottom w:val="none" w:sz="0" w:space="0" w:color="auto"/>
            <w:right w:val="none" w:sz="0" w:space="0" w:color="auto"/>
          </w:divBdr>
          <w:divsChild>
            <w:div w:id="69449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31790">
      <w:bodyDiv w:val="1"/>
      <w:marLeft w:val="0"/>
      <w:marRight w:val="0"/>
      <w:marTop w:val="0"/>
      <w:marBottom w:val="0"/>
      <w:divBdr>
        <w:top w:val="none" w:sz="0" w:space="0" w:color="auto"/>
        <w:left w:val="none" w:sz="0" w:space="0" w:color="auto"/>
        <w:bottom w:val="none" w:sz="0" w:space="0" w:color="auto"/>
        <w:right w:val="none" w:sz="0" w:space="0" w:color="auto"/>
      </w:divBdr>
    </w:div>
    <w:div w:id="137037259">
      <w:bodyDiv w:val="1"/>
      <w:marLeft w:val="0"/>
      <w:marRight w:val="0"/>
      <w:marTop w:val="0"/>
      <w:marBottom w:val="0"/>
      <w:divBdr>
        <w:top w:val="none" w:sz="0" w:space="0" w:color="auto"/>
        <w:left w:val="none" w:sz="0" w:space="0" w:color="auto"/>
        <w:bottom w:val="none" w:sz="0" w:space="0" w:color="auto"/>
        <w:right w:val="none" w:sz="0" w:space="0" w:color="auto"/>
      </w:divBdr>
    </w:div>
    <w:div w:id="144512352">
      <w:bodyDiv w:val="1"/>
      <w:marLeft w:val="0"/>
      <w:marRight w:val="0"/>
      <w:marTop w:val="0"/>
      <w:marBottom w:val="0"/>
      <w:divBdr>
        <w:top w:val="none" w:sz="0" w:space="0" w:color="auto"/>
        <w:left w:val="none" w:sz="0" w:space="0" w:color="auto"/>
        <w:bottom w:val="none" w:sz="0" w:space="0" w:color="auto"/>
        <w:right w:val="none" w:sz="0" w:space="0" w:color="auto"/>
      </w:divBdr>
      <w:divsChild>
        <w:div w:id="1554737393">
          <w:marLeft w:val="0"/>
          <w:marRight w:val="0"/>
          <w:marTop w:val="0"/>
          <w:marBottom w:val="0"/>
          <w:divBdr>
            <w:top w:val="none" w:sz="0" w:space="0" w:color="auto"/>
            <w:left w:val="none" w:sz="0" w:space="0" w:color="auto"/>
            <w:bottom w:val="none" w:sz="0" w:space="0" w:color="auto"/>
            <w:right w:val="none" w:sz="0" w:space="0" w:color="auto"/>
          </w:divBdr>
        </w:div>
        <w:div w:id="1845969467">
          <w:marLeft w:val="0"/>
          <w:marRight w:val="0"/>
          <w:marTop w:val="0"/>
          <w:marBottom w:val="0"/>
          <w:divBdr>
            <w:top w:val="none" w:sz="0" w:space="0" w:color="auto"/>
            <w:left w:val="none" w:sz="0" w:space="0" w:color="auto"/>
            <w:bottom w:val="none" w:sz="0" w:space="0" w:color="auto"/>
            <w:right w:val="none" w:sz="0" w:space="0" w:color="auto"/>
          </w:divBdr>
        </w:div>
      </w:divsChild>
    </w:div>
    <w:div w:id="165942909">
      <w:bodyDiv w:val="1"/>
      <w:marLeft w:val="0"/>
      <w:marRight w:val="0"/>
      <w:marTop w:val="0"/>
      <w:marBottom w:val="0"/>
      <w:divBdr>
        <w:top w:val="none" w:sz="0" w:space="0" w:color="auto"/>
        <w:left w:val="none" w:sz="0" w:space="0" w:color="auto"/>
        <w:bottom w:val="none" w:sz="0" w:space="0" w:color="auto"/>
        <w:right w:val="none" w:sz="0" w:space="0" w:color="auto"/>
      </w:divBdr>
    </w:div>
    <w:div w:id="196433368">
      <w:bodyDiv w:val="1"/>
      <w:marLeft w:val="0"/>
      <w:marRight w:val="0"/>
      <w:marTop w:val="0"/>
      <w:marBottom w:val="0"/>
      <w:divBdr>
        <w:top w:val="none" w:sz="0" w:space="0" w:color="auto"/>
        <w:left w:val="none" w:sz="0" w:space="0" w:color="auto"/>
        <w:bottom w:val="none" w:sz="0" w:space="0" w:color="auto"/>
        <w:right w:val="none" w:sz="0" w:space="0" w:color="auto"/>
      </w:divBdr>
      <w:divsChild>
        <w:div w:id="44379321">
          <w:marLeft w:val="0"/>
          <w:marRight w:val="0"/>
          <w:marTop w:val="0"/>
          <w:marBottom w:val="0"/>
          <w:divBdr>
            <w:top w:val="none" w:sz="0" w:space="0" w:color="auto"/>
            <w:left w:val="none" w:sz="0" w:space="0" w:color="auto"/>
            <w:bottom w:val="none" w:sz="0" w:space="0" w:color="auto"/>
            <w:right w:val="none" w:sz="0" w:space="0" w:color="auto"/>
          </w:divBdr>
        </w:div>
        <w:div w:id="67582391">
          <w:marLeft w:val="0"/>
          <w:marRight w:val="0"/>
          <w:marTop w:val="0"/>
          <w:marBottom w:val="0"/>
          <w:divBdr>
            <w:top w:val="none" w:sz="0" w:space="0" w:color="auto"/>
            <w:left w:val="none" w:sz="0" w:space="0" w:color="auto"/>
            <w:bottom w:val="none" w:sz="0" w:space="0" w:color="auto"/>
            <w:right w:val="none" w:sz="0" w:space="0" w:color="auto"/>
          </w:divBdr>
        </w:div>
        <w:div w:id="159809002">
          <w:marLeft w:val="0"/>
          <w:marRight w:val="0"/>
          <w:marTop w:val="0"/>
          <w:marBottom w:val="0"/>
          <w:divBdr>
            <w:top w:val="none" w:sz="0" w:space="0" w:color="auto"/>
            <w:left w:val="none" w:sz="0" w:space="0" w:color="auto"/>
            <w:bottom w:val="none" w:sz="0" w:space="0" w:color="auto"/>
            <w:right w:val="none" w:sz="0" w:space="0" w:color="auto"/>
          </w:divBdr>
        </w:div>
        <w:div w:id="292103026">
          <w:marLeft w:val="0"/>
          <w:marRight w:val="0"/>
          <w:marTop w:val="0"/>
          <w:marBottom w:val="0"/>
          <w:divBdr>
            <w:top w:val="none" w:sz="0" w:space="0" w:color="auto"/>
            <w:left w:val="none" w:sz="0" w:space="0" w:color="auto"/>
            <w:bottom w:val="none" w:sz="0" w:space="0" w:color="auto"/>
            <w:right w:val="none" w:sz="0" w:space="0" w:color="auto"/>
          </w:divBdr>
        </w:div>
        <w:div w:id="360518669">
          <w:marLeft w:val="0"/>
          <w:marRight w:val="0"/>
          <w:marTop w:val="0"/>
          <w:marBottom w:val="0"/>
          <w:divBdr>
            <w:top w:val="none" w:sz="0" w:space="0" w:color="auto"/>
            <w:left w:val="none" w:sz="0" w:space="0" w:color="auto"/>
            <w:bottom w:val="none" w:sz="0" w:space="0" w:color="auto"/>
            <w:right w:val="none" w:sz="0" w:space="0" w:color="auto"/>
          </w:divBdr>
        </w:div>
        <w:div w:id="478232806">
          <w:marLeft w:val="0"/>
          <w:marRight w:val="0"/>
          <w:marTop w:val="0"/>
          <w:marBottom w:val="0"/>
          <w:divBdr>
            <w:top w:val="none" w:sz="0" w:space="0" w:color="auto"/>
            <w:left w:val="none" w:sz="0" w:space="0" w:color="auto"/>
            <w:bottom w:val="none" w:sz="0" w:space="0" w:color="auto"/>
            <w:right w:val="none" w:sz="0" w:space="0" w:color="auto"/>
          </w:divBdr>
        </w:div>
        <w:div w:id="554586865">
          <w:marLeft w:val="0"/>
          <w:marRight w:val="0"/>
          <w:marTop w:val="0"/>
          <w:marBottom w:val="0"/>
          <w:divBdr>
            <w:top w:val="none" w:sz="0" w:space="0" w:color="auto"/>
            <w:left w:val="none" w:sz="0" w:space="0" w:color="auto"/>
            <w:bottom w:val="none" w:sz="0" w:space="0" w:color="auto"/>
            <w:right w:val="none" w:sz="0" w:space="0" w:color="auto"/>
          </w:divBdr>
        </w:div>
        <w:div w:id="578641965">
          <w:marLeft w:val="0"/>
          <w:marRight w:val="0"/>
          <w:marTop w:val="0"/>
          <w:marBottom w:val="0"/>
          <w:divBdr>
            <w:top w:val="none" w:sz="0" w:space="0" w:color="auto"/>
            <w:left w:val="none" w:sz="0" w:space="0" w:color="auto"/>
            <w:bottom w:val="none" w:sz="0" w:space="0" w:color="auto"/>
            <w:right w:val="none" w:sz="0" w:space="0" w:color="auto"/>
          </w:divBdr>
        </w:div>
        <w:div w:id="612632870">
          <w:marLeft w:val="0"/>
          <w:marRight w:val="0"/>
          <w:marTop w:val="0"/>
          <w:marBottom w:val="0"/>
          <w:divBdr>
            <w:top w:val="none" w:sz="0" w:space="0" w:color="auto"/>
            <w:left w:val="none" w:sz="0" w:space="0" w:color="auto"/>
            <w:bottom w:val="none" w:sz="0" w:space="0" w:color="auto"/>
            <w:right w:val="none" w:sz="0" w:space="0" w:color="auto"/>
          </w:divBdr>
        </w:div>
        <w:div w:id="801079125">
          <w:marLeft w:val="0"/>
          <w:marRight w:val="0"/>
          <w:marTop w:val="0"/>
          <w:marBottom w:val="0"/>
          <w:divBdr>
            <w:top w:val="none" w:sz="0" w:space="0" w:color="auto"/>
            <w:left w:val="none" w:sz="0" w:space="0" w:color="auto"/>
            <w:bottom w:val="none" w:sz="0" w:space="0" w:color="auto"/>
            <w:right w:val="none" w:sz="0" w:space="0" w:color="auto"/>
          </w:divBdr>
        </w:div>
        <w:div w:id="821695784">
          <w:marLeft w:val="0"/>
          <w:marRight w:val="0"/>
          <w:marTop w:val="0"/>
          <w:marBottom w:val="0"/>
          <w:divBdr>
            <w:top w:val="none" w:sz="0" w:space="0" w:color="auto"/>
            <w:left w:val="none" w:sz="0" w:space="0" w:color="auto"/>
            <w:bottom w:val="none" w:sz="0" w:space="0" w:color="auto"/>
            <w:right w:val="none" w:sz="0" w:space="0" w:color="auto"/>
          </w:divBdr>
        </w:div>
        <w:div w:id="846094538">
          <w:marLeft w:val="0"/>
          <w:marRight w:val="0"/>
          <w:marTop w:val="0"/>
          <w:marBottom w:val="0"/>
          <w:divBdr>
            <w:top w:val="none" w:sz="0" w:space="0" w:color="auto"/>
            <w:left w:val="none" w:sz="0" w:space="0" w:color="auto"/>
            <w:bottom w:val="none" w:sz="0" w:space="0" w:color="auto"/>
            <w:right w:val="none" w:sz="0" w:space="0" w:color="auto"/>
          </w:divBdr>
          <w:divsChild>
            <w:div w:id="1959557116">
              <w:marLeft w:val="0"/>
              <w:marRight w:val="0"/>
              <w:marTop w:val="0"/>
              <w:marBottom w:val="0"/>
              <w:divBdr>
                <w:top w:val="none" w:sz="0" w:space="0" w:color="auto"/>
                <w:left w:val="none" w:sz="0" w:space="0" w:color="auto"/>
                <w:bottom w:val="none" w:sz="0" w:space="0" w:color="auto"/>
                <w:right w:val="none" w:sz="0" w:space="0" w:color="auto"/>
              </w:divBdr>
            </w:div>
          </w:divsChild>
        </w:div>
        <w:div w:id="914584782">
          <w:marLeft w:val="0"/>
          <w:marRight w:val="0"/>
          <w:marTop w:val="0"/>
          <w:marBottom w:val="0"/>
          <w:divBdr>
            <w:top w:val="none" w:sz="0" w:space="0" w:color="auto"/>
            <w:left w:val="none" w:sz="0" w:space="0" w:color="auto"/>
            <w:bottom w:val="none" w:sz="0" w:space="0" w:color="auto"/>
            <w:right w:val="none" w:sz="0" w:space="0" w:color="auto"/>
          </w:divBdr>
        </w:div>
        <w:div w:id="914894655">
          <w:marLeft w:val="0"/>
          <w:marRight w:val="0"/>
          <w:marTop w:val="0"/>
          <w:marBottom w:val="0"/>
          <w:divBdr>
            <w:top w:val="none" w:sz="0" w:space="0" w:color="auto"/>
            <w:left w:val="none" w:sz="0" w:space="0" w:color="auto"/>
            <w:bottom w:val="none" w:sz="0" w:space="0" w:color="auto"/>
            <w:right w:val="none" w:sz="0" w:space="0" w:color="auto"/>
          </w:divBdr>
        </w:div>
        <w:div w:id="947548389">
          <w:marLeft w:val="0"/>
          <w:marRight w:val="0"/>
          <w:marTop w:val="0"/>
          <w:marBottom w:val="0"/>
          <w:divBdr>
            <w:top w:val="none" w:sz="0" w:space="0" w:color="auto"/>
            <w:left w:val="none" w:sz="0" w:space="0" w:color="auto"/>
            <w:bottom w:val="none" w:sz="0" w:space="0" w:color="auto"/>
            <w:right w:val="none" w:sz="0" w:space="0" w:color="auto"/>
          </w:divBdr>
        </w:div>
        <w:div w:id="1157262418">
          <w:marLeft w:val="0"/>
          <w:marRight w:val="0"/>
          <w:marTop w:val="0"/>
          <w:marBottom w:val="0"/>
          <w:divBdr>
            <w:top w:val="none" w:sz="0" w:space="0" w:color="auto"/>
            <w:left w:val="none" w:sz="0" w:space="0" w:color="auto"/>
            <w:bottom w:val="none" w:sz="0" w:space="0" w:color="auto"/>
            <w:right w:val="none" w:sz="0" w:space="0" w:color="auto"/>
          </w:divBdr>
        </w:div>
        <w:div w:id="1360669243">
          <w:marLeft w:val="0"/>
          <w:marRight w:val="0"/>
          <w:marTop w:val="0"/>
          <w:marBottom w:val="0"/>
          <w:divBdr>
            <w:top w:val="none" w:sz="0" w:space="0" w:color="auto"/>
            <w:left w:val="none" w:sz="0" w:space="0" w:color="auto"/>
            <w:bottom w:val="none" w:sz="0" w:space="0" w:color="auto"/>
            <w:right w:val="none" w:sz="0" w:space="0" w:color="auto"/>
          </w:divBdr>
        </w:div>
        <w:div w:id="1422868488">
          <w:marLeft w:val="0"/>
          <w:marRight w:val="0"/>
          <w:marTop w:val="0"/>
          <w:marBottom w:val="0"/>
          <w:divBdr>
            <w:top w:val="none" w:sz="0" w:space="0" w:color="auto"/>
            <w:left w:val="none" w:sz="0" w:space="0" w:color="auto"/>
            <w:bottom w:val="none" w:sz="0" w:space="0" w:color="auto"/>
            <w:right w:val="none" w:sz="0" w:space="0" w:color="auto"/>
          </w:divBdr>
        </w:div>
        <w:div w:id="1429620387">
          <w:marLeft w:val="0"/>
          <w:marRight w:val="0"/>
          <w:marTop w:val="0"/>
          <w:marBottom w:val="0"/>
          <w:divBdr>
            <w:top w:val="none" w:sz="0" w:space="0" w:color="auto"/>
            <w:left w:val="none" w:sz="0" w:space="0" w:color="auto"/>
            <w:bottom w:val="none" w:sz="0" w:space="0" w:color="auto"/>
            <w:right w:val="none" w:sz="0" w:space="0" w:color="auto"/>
          </w:divBdr>
        </w:div>
        <w:div w:id="1516337007">
          <w:marLeft w:val="0"/>
          <w:marRight w:val="0"/>
          <w:marTop w:val="0"/>
          <w:marBottom w:val="0"/>
          <w:divBdr>
            <w:top w:val="none" w:sz="0" w:space="0" w:color="auto"/>
            <w:left w:val="none" w:sz="0" w:space="0" w:color="auto"/>
            <w:bottom w:val="none" w:sz="0" w:space="0" w:color="auto"/>
            <w:right w:val="none" w:sz="0" w:space="0" w:color="auto"/>
          </w:divBdr>
        </w:div>
        <w:div w:id="1557475491">
          <w:marLeft w:val="0"/>
          <w:marRight w:val="0"/>
          <w:marTop w:val="0"/>
          <w:marBottom w:val="0"/>
          <w:divBdr>
            <w:top w:val="none" w:sz="0" w:space="0" w:color="auto"/>
            <w:left w:val="none" w:sz="0" w:space="0" w:color="auto"/>
            <w:bottom w:val="none" w:sz="0" w:space="0" w:color="auto"/>
            <w:right w:val="none" w:sz="0" w:space="0" w:color="auto"/>
          </w:divBdr>
        </w:div>
        <w:div w:id="1606839049">
          <w:marLeft w:val="0"/>
          <w:marRight w:val="0"/>
          <w:marTop w:val="0"/>
          <w:marBottom w:val="0"/>
          <w:divBdr>
            <w:top w:val="none" w:sz="0" w:space="0" w:color="auto"/>
            <w:left w:val="none" w:sz="0" w:space="0" w:color="auto"/>
            <w:bottom w:val="none" w:sz="0" w:space="0" w:color="auto"/>
            <w:right w:val="none" w:sz="0" w:space="0" w:color="auto"/>
          </w:divBdr>
        </w:div>
        <w:div w:id="1837766979">
          <w:marLeft w:val="0"/>
          <w:marRight w:val="0"/>
          <w:marTop w:val="0"/>
          <w:marBottom w:val="0"/>
          <w:divBdr>
            <w:top w:val="none" w:sz="0" w:space="0" w:color="auto"/>
            <w:left w:val="none" w:sz="0" w:space="0" w:color="auto"/>
            <w:bottom w:val="none" w:sz="0" w:space="0" w:color="auto"/>
            <w:right w:val="none" w:sz="0" w:space="0" w:color="auto"/>
          </w:divBdr>
        </w:div>
        <w:div w:id="1892770516">
          <w:marLeft w:val="0"/>
          <w:marRight w:val="0"/>
          <w:marTop w:val="0"/>
          <w:marBottom w:val="0"/>
          <w:divBdr>
            <w:top w:val="none" w:sz="0" w:space="0" w:color="auto"/>
            <w:left w:val="none" w:sz="0" w:space="0" w:color="auto"/>
            <w:bottom w:val="none" w:sz="0" w:space="0" w:color="auto"/>
            <w:right w:val="none" w:sz="0" w:space="0" w:color="auto"/>
          </w:divBdr>
        </w:div>
        <w:div w:id="1991203006">
          <w:marLeft w:val="0"/>
          <w:marRight w:val="0"/>
          <w:marTop w:val="0"/>
          <w:marBottom w:val="0"/>
          <w:divBdr>
            <w:top w:val="none" w:sz="0" w:space="0" w:color="auto"/>
            <w:left w:val="none" w:sz="0" w:space="0" w:color="auto"/>
            <w:bottom w:val="none" w:sz="0" w:space="0" w:color="auto"/>
            <w:right w:val="none" w:sz="0" w:space="0" w:color="auto"/>
          </w:divBdr>
        </w:div>
        <w:div w:id="2130316058">
          <w:marLeft w:val="0"/>
          <w:marRight w:val="0"/>
          <w:marTop w:val="0"/>
          <w:marBottom w:val="0"/>
          <w:divBdr>
            <w:top w:val="none" w:sz="0" w:space="0" w:color="auto"/>
            <w:left w:val="none" w:sz="0" w:space="0" w:color="auto"/>
            <w:bottom w:val="none" w:sz="0" w:space="0" w:color="auto"/>
            <w:right w:val="none" w:sz="0" w:space="0" w:color="auto"/>
          </w:divBdr>
        </w:div>
      </w:divsChild>
    </w:div>
    <w:div w:id="207648635">
      <w:bodyDiv w:val="1"/>
      <w:marLeft w:val="0"/>
      <w:marRight w:val="0"/>
      <w:marTop w:val="0"/>
      <w:marBottom w:val="0"/>
      <w:divBdr>
        <w:top w:val="none" w:sz="0" w:space="0" w:color="auto"/>
        <w:left w:val="none" w:sz="0" w:space="0" w:color="auto"/>
        <w:bottom w:val="none" w:sz="0" w:space="0" w:color="auto"/>
        <w:right w:val="none" w:sz="0" w:space="0" w:color="auto"/>
      </w:divBdr>
    </w:div>
    <w:div w:id="212422845">
      <w:bodyDiv w:val="1"/>
      <w:marLeft w:val="0"/>
      <w:marRight w:val="0"/>
      <w:marTop w:val="0"/>
      <w:marBottom w:val="0"/>
      <w:divBdr>
        <w:top w:val="none" w:sz="0" w:space="0" w:color="auto"/>
        <w:left w:val="none" w:sz="0" w:space="0" w:color="auto"/>
        <w:bottom w:val="none" w:sz="0" w:space="0" w:color="auto"/>
        <w:right w:val="none" w:sz="0" w:space="0" w:color="auto"/>
      </w:divBdr>
    </w:div>
    <w:div w:id="213737238">
      <w:bodyDiv w:val="1"/>
      <w:marLeft w:val="0"/>
      <w:marRight w:val="0"/>
      <w:marTop w:val="0"/>
      <w:marBottom w:val="0"/>
      <w:divBdr>
        <w:top w:val="none" w:sz="0" w:space="0" w:color="auto"/>
        <w:left w:val="none" w:sz="0" w:space="0" w:color="auto"/>
        <w:bottom w:val="none" w:sz="0" w:space="0" w:color="auto"/>
        <w:right w:val="none" w:sz="0" w:space="0" w:color="auto"/>
      </w:divBdr>
      <w:divsChild>
        <w:div w:id="118036871">
          <w:marLeft w:val="0"/>
          <w:marRight w:val="0"/>
          <w:marTop w:val="0"/>
          <w:marBottom w:val="0"/>
          <w:divBdr>
            <w:top w:val="none" w:sz="0" w:space="0" w:color="auto"/>
            <w:left w:val="none" w:sz="0" w:space="0" w:color="auto"/>
            <w:bottom w:val="none" w:sz="0" w:space="0" w:color="auto"/>
            <w:right w:val="none" w:sz="0" w:space="0" w:color="auto"/>
          </w:divBdr>
        </w:div>
        <w:div w:id="305595776">
          <w:marLeft w:val="0"/>
          <w:marRight w:val="0"/>
          <w:marTop w:val="0"/>
          <w:marBottom w:val="0"/>
          <w:divBdr>
            <w:top w:val="none" w:sz="0" w:space="0" w:color="auto"/>
            <w:left w:val="none" w:sz="0" w:space="0" w:color="auto"/>
            <w:bottom w:val="none" w:sz="0" w:space="0" w:color="auto"/>
            <w:right w:val="none" w:sz="0" w:space="0" w:color="auto"/>
          </w:divBdr>
        </w:div>
        <w:div w:id="1016424599">
          <w:marLeft w:val="0"/>
          <w:marRight w:val="0"/>
          <w:marTop w:val="0"/>
          <w:marBottom w:val="0"/>
          <w:divBdr>
            <w:top w:val="none" w:sz="0" w:space="0" w:color="auto"/>
            <w:left w:val="none" w:sz="0" w:space="0" w:color="auto"/>
            <w:bottom w:val="none" w:sz="0" w:space="0" w:color="auto"/>
            <w:right w:val="none" w:sz="0" w:space="0" w:color="auto"/>
          </w:divBdr>
        </w:div>
        <w:div w:id="1800799383">
          <w:marLeft w:val="0"/>
          <w:marRight w:val="0"/>
          <w:marTop w:val="0"/>
          <w:marBottom w:val="0"/>
          <w:divBdr>
            <w:top w:val="none" w:sz="0" w:space="0" w:color="auto"/>
            <w:left w:val="none" w:sz="0" w:space="0" w:color="auto"/>
            <w:bottom w:val="none" w:sz="0" w:space="0" w:color="auto"/>
            <w:right w:val="none" w:sz="0" w:space="0" w:color="auto"/>
          </w:divBdr>
        </w:div>
      </w:divsChild>
    </w:div>
    <w:div w:id="265578529">
      <w:bodyDiv w:val="1"/>
      <w:marLeft w:val="0"/>
      <w:marRight w:val="0"/>
      <w:marTop w:val="0"/>
      <w:marBottom w:val="0"/>
      <w:divBdr>
        <w:top w:val="none" w:sz="0" w:space="0" w:color="auto"/>
        <w:left w:val="none" w:sz="0" w:space="0" w:color="auto"/>
        <w:bottom w:val="none" w:sz="0" w:space="0" w:color="auto"/>
        <w:right w:val="none" w:sz="0" w:space="0" w:color="auto"/>
      </w:divBdr>
    </w:div>
    <w:div w:id="281308984">
      <w:bodyDiv w:val="1"/>
      <w:marLeft w:val="0"/>
      <w:marRight w:val="0"/>
      <w:marTop w:val="0"/>
      <w:marBottom w:val="0"/>
      <w:divBdr>
        <w:top w:val="none" w:sz="0" w:space="0" w:color="auto"/>
        <w:left w:val="none" w:sz="0" w:space="0" w:color="auto"/>
        <w:bottom w:val="none" w:sz="0" w:space="0" w:color="auto"/>
        <w:right w:val="none" w:sz="0" w:space="0" w:color="auto"/>
      </w:divBdr>
    </w:div>
    <w:div w:id="282424347">
      <w:bodyDiv w:val="1"/>
      <w:marLeft w:val="0"/>
      <w:marRight w:val="0"/>
      <w:marTop w:val="0"/>
      <w:marBottom w:val="0"/>
      <w:divBdr>
        <w:top w:val="none" w:sz="0" w:space="0" w:color="auto"/>
        <w:left w:val="none" w:sz="0" w:space="0" w:color="auto"/>
        <w:bottom w:val="none" w:sz="0" w:space="0" w:color="auto"/>
        <w:right w:val="none" w:sz="0" w:space="0" w:color="auto"/>
      </w:divBdr>
      <w:divsChild>
        <w:div w:id="1671903272">
          <w:marLeft w:val="0"/>
          <w:marRight w:val="0"/>
          <w:marTop w:val="0"/>
          <w:marBottom w:val="0"/>
          <w:divBdr>
            <w:top w:val="none" w:sz="0" w:space="0" w:color="auto"/>
            <w:left w:val="none" w:sz="0" w:space="0" w:color="auto"/>
            <w:bottom w:val="none" w:sz="0" w:space="0" w:color="auto"/>
            <w:right w:val="none" w:sz="0" w:space="0" w:color="auto"/>
          </w:divBdr>
        </w:div>
        <w:div w:id="1738094169">
          <w:marLeft w:val="0"/>
          <w:marRight w:val="0"/>
          <w:marTop w:val="0"/>
          <w:marBottom w:val="0"/>
          <w:divBdr>
            <w:top w:val="none" w:sz="0" w:space="0" w:color="auto"/>
            <w:left w:val="none" w:sz="0" w:space="0" w:color="auto"/>
            <w:bottom w:val="none" w:sz="0" w:space="0" w:color="auto"/>
            <w:right w:val="none" w:sz="0" w:space="0" w:color="auto"/>
          </w:divBdr>
          <w:divsChild>
            <w:div w:id="317684967">
              <w:marLeft w:val="0"/>
              <w:marRight w:val="0"/>
              <w:marTop w:val="30"/>
              <w:marBottom w:val="30"/>
              <w:divBdr>
                <w:top w:val="none" w:sz="0" w:space="0" w:color="auto"/>
                <w:left w:val="none" w:sz="0" w:space="0" w:color="auto"/>
                <w:bottom w:val="none" w:sz="0" w:space="0" w:color="auto"/>
                <w:right w:val="none" w:sz="0" w:space="0" w:color="auto"/>
              </w:divBdr>
              <w:divsChild>
                <w:div w:id="56436128">
                  <w:marLeft w:val="0"/>
                  <w:marRight w:val="0"/>
                  <w:marTop w:val="0"/>
                  <w:marBottom w:val="0"/>
                  <w:divBdr>
                    <w:top w:val="none" w:sz="0" w:space="0" w:color="auto"/>
                    <w:left w:val="none" w:sz="0" w:space="0" w:color="auto"/>
                    <w:bottom w:val="none" w:sz="0" w:space="0" w:color="auto"/>
                    <w:right w:val="none" w:sz="0" w:space="0" w:color="auto"/>
                  </w:divBdr>
                  <w:divsChild>
                    <w:div w:id="1057433466">
                      <w:marLeft w:val="0"/>
                      <w:marRight w:val="0"/>
                      <w:marTop w:val="0"/>
                      <w:marBottom w:val="0"/>
                      <w:divBdr>
                        <w:top w:val="none" w:sz="0" w:space="0" w:color="auto"/>
                        <w:left w:val="none" w:sz="0" w:space="0" w:color="auto"/>
                        <w:bottom w:val="none" w:sz="0" w:space="0" w:color="auto"/>
                        <w:right w:val="none" w:sz="0" w:space="0" w:color="auto"/>
                      </w:divBdr>
                    </w:div>
                  </w:divsChild>
                </w:div>
                <w:div w:id="361244527">
                  <w:marLeft w:val="0"/>
                  <w:marRight w:val="0"/>
                  <w:marTop w:val="0"/>
                  <w:marBottom w:val="0"/>
                  <w:divBdr>
                    <w:top w:val="none" w:sz="0" w:space="0" w:color="auto"/>
                    <w:left w:val="none" w:sz="0" w:space="0" w:color="auto"/>
                    <w:bottom w:val="none" w:sz="0" w:space="0" w:color="auto"/>
                    <w:right w:val="none" w:sz="0" w:space="0" w:color="auto"/>
                  </w:divBdr>
                  <w:divsChild>
                    <w:div w:id="641615975">
                      <w:marLeft w:val="0"/>
                      <w:marRight w:val="0"/>
                      <w:marTop w:val="0"/>
                      <w:marBottom w:val="0"/>
                      <w:divBdr>
                        <w:top w:val="none" w:sz="0" w:space="0" w:color="auto"/>
                        <w:left w:val="none" w:sz="0" w:space="0" w:color="auto"/>
                        <w:bottom w:val="none" w:sz="0" w:space="0" w:color="auto"/>
                        <w:right w:val="none" w:sz="0" w:space="0" w:color="auto"/>
                      </w:divBdr>
                    </w:div>
                    <w:div w:id="1176651431">
                      <w:marLeft w:val="0"/>
                      <w:marRight w:val="0"/>
                      <w:marTop w:val="0"/>
                      <w:marBottom w:val="0"/>
                      <w:divBdr>
                        <w:top w:val="none" w:sz="0" w:space="0" w:color="auto"/>
                        <w:left w:val="none" w:sz="0" w:space="0" w:color="auto"/>
                        <w:bottom w:val="none" w:sz="0" w:space="0" w:color="auto"/>
                        <w:right w:val="none" w:sz="0" w:space="0" w:color="auto"/>
                      </w:divBdr>
                    </w:div>
                  </w:divsChild>
                </w:div>
                <w:div w:id="402609182">
                  <w:marLeft w:val="0"/>
                  <w:marRight w:val="0"/>
                  <w:marTop w:val="0"/>
                  <w:marBottom w:val="0"/>
                  <w:divBdr>
                    <w:top w:val="none" w:sz="0" w:space="0" w:color="auto"/>
                    <w:left w:val="none" w:sz="0" w:space="0" w:color="auto"/>
                    <w:bottom w:val="none" w:sz="0" w:space="0" w:color="auto"/>
                    <w:right w:val="none" w:sz="0" w:space="0" w:color="auto"/>
                  </w:divBdr>
                  <w:divsChild>
                    <w:div w:id="1969779647">
                      <w:marLeft w:val="0"/>
                      <w:marRight w:val="0"/>
                      <w:marTop w:val="0"/>
                      <w:marBottom w:val="0"/>
                      <w:divBdr>
                        <w:top w:val="none" w:sz="0" w:space="0" w:color="auto"/>
                        <w:left w:val="none" w:sz="0" w:space="0" w:color="auto"/>
                        <w:bottom w:val="none" w:sz="0" w:space="0" w:color="auto"/>
                        <w:right w:val="none" w:sz="0" w:space="0" w:color="auto"/>
                      </w:divBdr>
                    </w:div>
                  </w:divsChild>
                </w:div>
                <w:div w:id="839932843">
                  <w:marLeft w:val="0"/>
                  <w:marRight w:val="0"/>
                  <w:marTop w:val="0"/>
                  <w:marBottom w:val="0"/>
                  <w:divBdr>
                    <w:top w:val="none" w:sz="0" w:space="0" w:color="auto"/>
                    <w:left w:val="none" w:sz="0" w:space="0" w:color="auto"/>
                    <w:bottom w:val="none" w:sz="0" w:space="0" w:color="auto"/>
                    <w:right w:val="none" w:sz="0" w:space="0" w:color="auto"/>
                  </w:divBdr>
                  <w:divsChild>
                    <w:div w:id="1545285646">
                      <w:marLeft w:val="0"/>
                      <w:marRight w:val="0"/>
                      <w:marTop w:val="0"/>
                      <w:marBottom w:val="0"/>
                      <w:divBdr>
                        <w:top w:val="none" w:sz="0" w:space="0" w:color="auto"/>
                        <w:left w:val="none" w:sz="0" w:space="0" w:color="auto"/>
                        <w:bottom w:val="none" w:sz="0" w:space="0" w:color="auto"/>
                        <w:right w:val="none" w:sz="0" w:space="0" w:color="auto"/>
                      </w:divBdr>
                    </w:div>
                    <w:div w:id="2126922892">
                      <w:marLeft w:val="0"/>
                      <w:marRight w:val="0"/>
                      <w:marTop w:val="0"/>
                      <w:marBottom w:val="0"/>
                      <w:divBdr>
                        <w:top w:val="none" w:sz="0" w:space="0" w:color="auto"/>
                        <w:left w:val="none" w:sz="0" w:space="0" w:color="auto"/>
                        <w:bottom w:val="none" w:sz="0" w:space="0" w:color="auto"/>
                        <w:right w:val="none" w:sz="0" w:space="0" w:color="auto"/>
                      </w:divBdr>
                    </w:div>
                  </w:divsChild>
                </w:div>
                <w:div w:id="1309289772">
                  <w:marLeft w:val="0"/>
                  <w:marRight w:val="0"/>
                  <w:marTop w:val="0"/>
                  <w:marBottom w:val="0"/>
                  <w:divBdr>
                    <w:top w:val="none" w:sz="0" w:space="0" w:color="auto"/>
                    <w:left w:val="none" w:sz="0" w:space="0" w:color="auto"/>
                    <w:bottom w:val="none" w:sz="0" w:space="0" w:color="auto"/>
                    <w:right w:val="none" w:sz="0" w:space="0" w:color="auto"/>
                  </w:divBdr>
                  <w:divsChild>
                    <w:div w:id="171916264">
                      <w:marLeft w:val="0"/>
                      <w:marRight w:val="0"/>
                      <w:marTop w:val="0"/>
                      <w:marBottom w:val="0"/>
                      <w:divBdr>
                        <w:top w:val="none" w:sz="0" w:space="0" w:color="auto"/>
                        <w:left w:val="none" w:sz="0" w:space="0" w:color="auto"/>
                        <w:bottom w:val="none" w:sz="0" w:space="0" w:color="auto"/>
                        <w:right w:val="none" w:sz="0" w:space="0" w:color="auto"/>
                      </w:divBdr>
                    </w:div>
                    <w:div w:id="1462377329">
                      <w:marLeft w:val="0"/>
                      <w:marRight w:val="0"/>
                      <w:marTop w:val="0"/>
                      <w:marBottom w:val="0"/>
                      <w:divBdr>
                        <w:top w:val="none" w:sz="0" w:space="0" w:color="auto"/>
                        <w:left w:val="none" w:sz="0" w:space="0" w:color="auto"/>
                        <w:bottom w:val="none" w:sz="0" w:space="0" w:color="auto"/>
                        <w:right w:val="none" w:sz="0" w:space="0" w:color="auto"/>
                      </w:divBdr>
                    </w:div>
                  </w:divsChild>
                </w:div>
                <w:div w:id="1502431204">
                  <w:marLeft w:val="0"/>
                  <w:marRight w:val="0"/>
                  <w:marTop w:val="0"/>
                  <w:marBottom w:val="0"/>
                  <w:divBdr>
                    <w:top w:val="none" w:sz="0" w:space="0" w:color="auto"/>
                    <w:left w:val="none" w:sz="0" w:space="0" w:color="auto"/>
                    <w:bottom w:val="none" w:sz="0" w:space="0" w:color="auto"/>
                    <w:right w:val="none" w:sz="0" w:space="0" w:color="auto"/>
                  </w:divBdr>
                  <w:divsChild>
                    <w:div w:id="1583761278">
                      <w:marLeft w:val="0"/>
                      <w:marRight w:val="0"/>
                      <w:marTop w:val="0"/>
                      <w:marBottom w:val="0"/>
                      <w:divBdr>
                        <w:top w:val="none" w:sz="0" w:space="0" w:color="auto"/>
                        <w:left w:val="none" w:sz="0" w:space="0" w:color="auto"/>
                        <w:bottom w:val="none" w:sz="0" w:space="0" w:color="auto"/>
                        <w:right w:val="none" w:sz="0" w:space="0" w:color="auto"/>
                      </w:divBdr>
                    </w:div>
                  </w:divsChild>
                </w:div>
                <w:div w:id="1691444825">
                  <w:marLeft w:val="0"/>
                  <w:marRight w:val="0"/>
                  <w:marTop w:val="0"/>
                  <w:marBottom w:val="0"/>
                  <w:divBdr>
                    <w:top w:val="none" w:sz="0" w:space="0" w:color="auto"/>
                    <w:left w:val="none" w:sz="0" w:space="0" w:color="auto"/>
                    <w:bottom w:val="none" w:sz="0" w:space="0" w:color="auto"/>
                    <w:right w:val="none" w:sz="0" w:space="0" w:color="auto"/>
                  </w:divBdr>
                  <w:divsChild>
                    <w:div w:id="1079517652">
                      <w:marLeft w:val="0"/>
                      <w:marRight w:val="0"/>
                      <w:marTop w:val="0"/>
                      <w:marBottom w:val="0"/>
                      <w:divBdr>
                        <w:top w:val="none" w:sz="0" w:space="0" w:color="auto"/>
                        <w:left w:val="none" w:sz="0" w:space="0" w:color="auto"/>
                        <w:bottom w:val="none" w:sz="0" w:space="0" w:color="auto"/>
                        <w:right w:val="none" w:sz="0" w:space="0" w:color="auto"/>
                      </w:divBdr>
                    </w:div>
                    <w:div w:id="1340044382">
                      <w:marLeft w:val="0"/>
                      <w:marRight w:val="0"/>
                      <w:marTop w:val="0"/>
                      <w:marBottom w:val="0"/>
                      <w:divBdr>
                        <w:top w:val="none" w:sz="0" w:space="0" w:color="auto"/>
                        <w:left w:val="none" w:sz="0" w:space="0" w:color="auto"/>
                        <w:bottom w:val="none" w:sz="0" w:space="0" w:color="auto"/>
                        <w:right w:val="none" w:sz="0" w:space="0" w:color="auto"/>
                      </w:divBdr>
                    </w:div>
                  </w:divsChild>
                </w:div>
                <w:div w:id="1752847636">
                  <w:marLeft w:val="0"/>
                  <w:marRight w:val="0"/>
                  <w:marTop w:val="0"/>
                  <w:marBottom w:val="0"/>
                  <w:divBdr>
                    <w:top w:val="none" w:sz="0" w:space="0" w:color="auto"/>
                    <w:left w:val="none" w:sz="0" w:space="0" w:color="auto"/>
                    <w:bottom w:val="none" w:sz="0" w:space="0" w:color="auto"/>
                    <w:right w:val="none" w:sz="0" w:space="0" w:color="auto"/>
                  </w:divBdr>
                  <w:divsChild>
                    <w:div w:id="501238275">
                      <w:marLeft w:val="0"/>
                      <w:marRight w:val="0"/>
                      <w:marTop w:val="0"/>
                      <w:marBottom w:val="0"/>
                      <w:divBdr>
                        <w:top w:val="none" w:sz="0" w:space="0" w:color="auto"/>
                        <w:left w:val="none" w:sz="0" w:space="0" w:color="auto"/>
                        <w:bottom w:val="none" w:sz="0" w:space="0" w:color="auto"/>
                        <w:right w:val="none" w:sz="0" w:space="0" w:color="auto"/>
                      </w:divBdr>
                    </w:div>
                  </w:divsChild>
                </w:div>
                <w:div w:id="1831828053">
                  <w:marLeft w:val="0"/>
                  <w:marRight w:val="0"/>
                  <w:marTop w:val="0"/>
                  <w:marBottom w:val="0"/>
                  <w:divBdr>
                    <w:top w:val="none" w:sz="0" w:space="0" w:color="auto"/>
                    <w:left w:val="none" w:sz="0" w:space="0" w:color="auto"/>
                    <w:bottom w:val="none" w:sz="0" w:space="0" w:color="auto"/>
                    <w:right w:val="none" w:sz="0" w:space="0" w:color="auto"/>
                  </w:divBdr>
                  <w:divsChild>
                    <w:div w:id="409544636">
                      <w:marLeft w:val="0"/>
                      <w:marRight w:val="0"/>
                      <w:marTop w:val="0"/>
                      <w:marBottom w:val="0"/>
                      <w:divBdr>
                        <w:top w:val="none" w:sz="0" w:space="0" w:color="auto"/>
                        <w:left w:val="none" w:sz="0" w:space="0" w:color="auto"/>
                        <w:bottom w:val="none" w:sz="0" w:space="0" w:color="auto"/>
                        <w:right w:val="none" w:sz="0" w:space="0" w:color="auto"/>
                      </w:divBdr>
                    </w:div>
                    <w:div w:id="1552768416">
                      <w:marLeft w:val="0"/>
                      <w:marRight w:val="0"/>
                      <w:marTop w:val="0"/>
                      <w:marBottom w:val="0"/>
                      <w:divBdr>
                        <w:top w:val="none" w:sz="0" w:space="0" w:color="auto"/>
                        <w:left w:val="none" w:sz="0" w:space="0" w:color="auto"/>
                        <w:bottom w:val="none" w:sz="0" w:space="0" w:color="auto"/>
                        <w:right w:val="none" w:sz="0" w:space="0" w:color="auto"/>
                      </w:divBdr>
                    </w:div>
                  </w:divsChild>
                </w:div>
                <w:div w:id="2113696546">
                  <w:marLeft w:val="0"/>
                  <w:marRight w:val="0"/>
                  <w:marTop w:val="0"/>
                  <w:marBottom w:val="0"/>
                  <w:divBdr>
                    <w:top w:val="none" w:sz="0" w:space="0" w:color="auto"/>
                    <w:left w:val="none" w:sz="0" w:space="0" w:color="auto"/>
                    <w:bottom w:val="none" w:sz="0" w:space="0" w:color="auto"/>
                    <w:right w:val="none" w:sz="0" w:space="0" w:color="auto"/>
                  </w:divBdr>
                  <w:divsChild>
                    <w:div w:id="143447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903209">
          <w:marLeft w:val="0"/>
          <w:marRight w:val="0"/>
          <w:marTop w:val="0"/>
          <w:marBottom w:val="0"/>
          <w:divBdr>
            <w:top w:val="none" w:sz="0" w:space="0" w:color="auto"/>
            <w:left w:val="none" w:sz="0" w:space="0" w:color="auto"/>
            <w:bottom w:val="none" w:sz="0" w:space="0" w:color="auto"/>
            <w:right w:val="none" w:sz="0" w:space="0" w:color="auto"/>
          </w:divBdr>
        </w:div>
        <w:div w:id="2040934648">
          <w:marLeft w:val="0"/>
          <w:marRight w:val="0"/>
          <w:marTop w:val="0"/>
          <w:marBottom w:val="0"/>
          <w:divBdr>
            <w:top w:val="none" w:sz="0" w:space="0" w:color="auto"/>
            <w:left w:val="none" w:sz="0" w:space="0" w:color="auto"/>
            <w:bottom w:val="none" w:sz="0" w:space="0" w:color="auto"/>
            <w:right w:val="none" w:sz="0" w:space="0" w:color="auto"/>
          </w:divBdr>
          <w:divsChild>
            <w:div w:id="595092806">
              <w:marLeft w:val="0"/>
              <w:marRight w:val="0"/>
              <w:marTop w:val="0"/>
              <w:marBottom w:val="0"/>
              <w:divBdr>
                <w:top w:val="none" w:sz="0" w:space="0" w:color="auto"/>
                <w:left w:val="none" w:sz="0" w:space="0" w:color="auto"/>
                <w:bottom w:val="none" w:sz="0" w:space="0" w:color="auto"/>
                <w:right w:val="none" w:sz="0" w:space="0" w:color="auto"/>
              </w:divBdr>
            </w:div>
            <w:div w:id="719286086">
              <w:marLeft w:val="0"/>
              <w:marRight w:val="0"/>
              <w:marTop w:val="0"/>
              <w:marBottom w:val="0"/>
              <w:divBdr>
                <w:top w:val="none" w:sz="0" w:space="0" w:color="auto"/>
                <w:left w:val="none" w:sz="0" w:space="0" w:color="auto"/>
                <w:bottom w:val="none" w:sz="0" w:space="0" w:color="auto"/>
                <w:right w:val="none" w:sz="0" w:space="0" w:color="auto"/>
              </w:divBdr>
            </w:div>
            <w:div w:id="1520779841">
              <w:marLeft w:val="0"/>
              <w:marRight w:val="0"/>
              <w:marTop w:val="0"/>
              <w:marBottom w:val="0"/>
              <w:divBdr>
                <w:top w:val="none" w:sz="0" w:space="0" w:color="auto"/>
                <w:left w:val="none" w:sz="0" w:space="0" w:color="auto"/>
                <w:bottom w:val="none" w:sz="0" w:space="0" w:color="auto"/>
                <w:right w:val="none" w:sz="0" w:space="0" w:color="auto"/>
              </w:divBdr>
            </w:div>
          </w:divsChild>
        </w:div>
        <w:div w:id="2092309949">
          <w:marLeft w:val="0"/>
          <w:marRight w:val="0"/>
          <w:marTop w:val="0"/>
          <w:marBottom w:val="0"/>
          <w:divBdr>
            <w:top w:val="none" w:sz="0" w:space="0" w:color="auto"/>
            <w:left w:val="none" w:sz="0" w:space="0" w:color="auto"/>
            <w:bottom w:val="none" w:sz="0" w:space="0" w:color="auto"/>
            <w:right w:val="none" w:sz="0" w:space="0" w:color="auto"/>
          </w:divBdr>
          <w:divsChild>
            <w:div w:id="379521338">
              <w:marLeft w:val="0"/>
              <w:marRight w:val="0"/>
              <w:marTop w:val="0"/>
              <w:marBottom w:val="0"/>
              <w:divBdr>
                <w:top w:val="none" w:sz="0" w:space="0" w:color="auto"/>
                <w:left w:val="none" w:sz="0" w:space="0" w:color="auto"/>
                <w:bottom w:val="none" w:sz="0" w:space="0" w:color="auto"/>
                <w:right w:val="none" w:sz="0" w:space="0" w:color="auto"/>
              </w:divBdr>
            </w:div>
            <w:div w:id="170316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89125">
      <w:bodyDiv w:val="1"/>
      <w:marLeft w:val="0"/>
      <w:marRight w:val="0"/>
      <w:marTop w:val="0"/>
      <w:marBottom w:val="0"/>
      <w:divBdr>
        <w:top w:val="none" w:sz="0" w:space="0" w:color="auto"/>
        <w:left w:val="none" w:sz="0" w:space="0" w:color="auto"/>
        <w:bottom w:val="none" w:sz="0" w:space="0" w:color="auto"/>
        <w:right w:val="none" w:sz="0" w:space="0" w:color="auto"/>
      </w:divBdr>
    </w:div>
    <w:div w:id="284971751">
      <w:bodyDiv w:val="1"/>
      <w:marLeft w:val="0"/>
      <w:marRight w:val="0"/>
      <w:marTop w:val="0"/>
      <w:marBottom w:val="0"/>
      <w:divBdr>
        <w:top w:val="none" w:sz="0" w:space="0" w:color="auto"/>
        <w:left w:val="none" w:sz="0" w:space="0" w:color="auto"/>
        <w:bottom w:val="none" w:sz="0" w:space="0" w:color="auto"/>
        <w:right w:val="none" w:sz="0" w:space="0" w:color="auto"/>
      </w:divBdr>
    </w:div>
    <w:div w:id="295648482">
      <w:bodyDiv w:val="1"/>
      <w:marLeft w:val="0"/>
      <w:marRight w:val="0"/>
      <w:marTop w:val="0"/>
      <w:marBottom w:val="0"/>
      <w:divBdr>
        <w:top w:val="none" w:sz="0" w:space="0" w:color="auto"/>
        <w:left w:val="none" w:sz="0" w:space="0" w:color="auto"/>
        <w:bottom w:val="none" w:sz="0" w:space="0" w:color="auto"/>
        <w:right w:val="none" w:sz="0" w:space="0" w:color="auto"/>
      </w:divBdr>
    </w:div>
    <w:div w:id="306666692">
      <w:bodyDiv w:val="1"/>
      <w:marLeft w:val="0"/>
      <w:marRight w:val="0"/>
      <w:marTop w:val="0"/>
      <w:marBottom w:val="0"/>
      <w:divBdr>
        <w:top w:val="none" w:sz="0" w:space="0" w:color="auto"/>
        <w:left w:val="none" w:sz="0" w:space="0" w:color="auto"/>
        <w:bottom w:val="none" w:sz="0" w:space="0" w:color="auto"/>
        <w:right w:val="none" w:sz="0" w:space="0" w:color="auto"/>
      </w:divBdr>
    </w:div>
    <w:div w:id="321548019">
      <w:bodyDiv w:val="1"/>
      <w:marLeft w:val="0"/>
      <w:marRight w:val="0"/>
      <w:marTop w:val="0"/>
      <w:marBottom w:val="0"/>
      <w:divBdr>
        <w:top w:val="none" w:sz="0" w:space="0" w:color="auto"/>
        <w:left w:val="none" w:sz="0" w:space="0" w:color="auto"/>
        <w:bottom w:val="none" w:sz="0" w:space="0" w:color="auto"/>
        <w:right w:val="none" w:sz="0" w:space="0" w:color="auto"/>
      </w:divBdr>
      <w:divsChild>
        <w:div w:id="1197498383">
          <w:marLeft w:val="0"/>
          <w:marRight w:val="0"/>
          <w:marTop w:val="450"/>
          <w:marBottom w:val="0"/>
          <w:divBdr>
            <w:top w:val="none" w:sz="0" w:space="0" w:color="auto"/>
            <w:left w:val="none" w:sz="0" w:space="0" w:color="auto"/>
            <w:bottom w:val="none" w:sz="0" w:space="0" w:color="auto"/>
            <w:right w:val="none" w:sz="0" w:space="0" w:color="auto"/>
          </w:divBdr>
        </w:div>
      </w:divsChild>
    </w:div>
    <w:div w:id="327170737">
      <w:bodyDiv w:val="1"/>
      <w:marLeft w:val="0"/>
      <w:marRight w:val="0"/>
      <w:marTop w:val="0"/>
      <w:marBottom w:val="0"/>
      <w:divBdr>
        <w:top w:val="none" w:sz="0" w:space="0" w:color="auto"/>
        <w:left w:val="none" w:sz="0" w:space="0" w:color="auto"/>
        <w:bottom w:val="none" w:sz="0" w:space="0" w:color="auto"/>
        <w:right w:val="none" w:sz="0" w:space="0" w:color="auto"/>
      </w:divBdr>
    </w:div>
    <w:div w:id="333260729">
      <w:bodyDiv w:val="1"/>
      <w:marLeft w:val="0"/>
      <w:marRight w:val="0"/>
      <w:marTop w:val="0"/>
      <w:marBottom w:val="0"/>
      <w:divBdr>
        <w:top w:val="none" w:sz="0" w:space="0" w:color="auto"/>
        <w:left w:val="none" w:sz="0" w:space="0" w:color="auto"/>
        <w:bottom w:val="none" w:sz="0" w:space="0" w:color="auto"/>
        <w:right w:val="none" w:sz="0" w:space="0" w:color="auto"/>
      </w:divBdr>
    </w:div>
    <w:div w:id="335882017">
      <w:bodyDiv w:val="1"/>
      <w:marLeft w:val="0"/>
      <w:marRight w:val="0"/>
      <w:marTop w:val="0"/>
      <w:marBottom w:val="0"/>
      <w:divBdr>
        <w:top w:val="none" w:sz="0" w:space="0" w:color="auto"/>
        <w:left w:val="none" w:sz="0" w:space="0" w:color="auto"/>
        <w:bottom w:val="none" w:sz="0" w:space="0" w:color="auto"/>
        <w:right w:val="none" w:sz="0" w:space="0" w:color="auto"/>
      </w:divBdr>
    </w:div>
    <w:div w:id="348407381">
      <w:bodyDiv w:val="1"/>
      <w:marLeft w:val="0"/>
      <w:marRight w:val="0"/>
      <w:marTop w:val="0"/>
      <w:marBottom w:val="0"/>
      <w:divBdr>
        <w:top w:val="none" w:sz="0" w:space="0" w:color="auto"/>
        <w:left w:val="none" w:sz="0" w:space="0" w:color="auto"/>
        <w:bottom w:val="none" w:sz="0" w:space="0" w:color="auto"/>
        <w:right w:val="none" w:sz="0" w:space="0" w:color="auto"/>
      </w:divBdr>
    </w:div>
    <w:div w:id="367682489">
      <w:bodyDiv w:val="1"/>
      <w:marLeft w:val="0"/>
      <w:marRight w:val="0"/>
      <w:marTop w:val="0"/>
      <w:marBottom w:val="0"/>
      <w:divBdr>
        <w:top w:val="none" w:sz="0" w:space="0" w:color="auto"/>
        <w:left w:val="none" w:sz="0" w:space="0" w:color="auto"/>
        <w:bottom w:val="none" w:sz="0" w:space="0" w:color="auto"/>
        <w:right w:val="none" w:sz="0" w:space="0" w:color="auto"/>
      </w:divBdr>
    </w:div>
    <w:div w:id="379475343">
      <w:bodyDiv w:val="1"/>
      <w:marLeft w:val="0"/>
      <w:marRight w:val="0"/>
      <w:marTop w:val="0"/>
      <w:marBottom w:val="0"/>
      <w:divBdr>
        <w:top w:val="none" w:sz="0" w:space="0" w:color="auto"/>
        <w:left w:val="none" w:sz="0" w:space="0" w:color="auto"/>
        <w:bottom w:val="none" w:sz="0" w:space="0" w:color="auto"/>
        <w:right w:val="none" w:sz="0" w:space="0" w:color="auto"/>
      </w:divBdr>
    </w:div>
    <w:div w:id="385490906">
      <w:bodyDiv w:val="1"/>
      <w:marLeft w:val="0"/>
      <w:marRight w:val="0"/>
      <w:marTop w:val="0"/>
      <w:marBottom w:val="0"/>
      <w:divBdr>
        <w:top w:val="none" w:sz="0" w:space="0" w:color="auto"/>
        <w:left w:val="none" w:sz="0" w:space="0" w:color="auto"/>
        <w:bottom w:val="none" w:sz="0" w:space="0" w:color="auto"/>
        <w:right w:val="none" w:sz="0" w:space="0" w:color="auto"/>
      </w:divBdr>
    </w:div>
    <w:div w:id="395248375">
      <w:bodyDiv w:val="1"/>
      <w:marLeft w:val="0"/>
      <w:marRight w:val="0"/>
      <w:marTop w:val="0"/>
      <w:marBottom w:val="0"/>
      <w:divBdr>
        <w:top w:val="none" w:sz="0" w:space="0" w:color="auto"/>
        <w:left w:val="none" w:sz="0" w:space="0" w:color="auto"/>
        <w:bottom w:val="none" w:sz="0" w:space="0" w:color="auto"/>
        <w:right w:val="none" w:sz="0" w:space="0" w:color="auto"/>
      </w:divBdr>
      <w:divsChild>
        <w:div w:id="932075">
          <w:marLeft w:val="0"/>
          <w:marRight w:val="0"/>
          <w:marTop w:val="0"/>
          <w:marBottom w:val="0"/>
          <w:divBdr>
            <w:top w:val="none" w:sz="0" w:space="0" w:color="auto"/>
            <w:left w:val="none" w:sz="0" w:space="0" w:color="auto"/>
            <w:bottom w:val="none" w:sz="0" w:space="0" w:color="auto"/>
            <w:right w:val="none" w:sz="0" w:space="0" w:color="auto"/>
          </w:divBdr>
          <w:divsChild>
            <w:div w:id="369309149">
              <w:marLeft w:val="0"/>
              <w:marRight w:val="0"/>
              <w:marTop w:val="0"/>
              <w:marBottom w:val="0"/>
              <w:divBdr>
                <w:top w:val="none" w:sz="0" w:space="0" w:color="auto"/>
                <w:left w:val="none" w:sz="0" w:space="0" w:color="auto"/>
                <w:bottom w:val="none" w:sz="0" w:space="0" w:color="auto"/>
                <w:right w:val="none" w:sz="0" w:space="0" w:color="auto"/>
              </w:divBdr>
            </w:div>
          </w:divsChild>
        </w:div>
        <w:div w:id="2976801">
          <w:marLeft w:val="0"/>
          <w:marRight w:val="0"/>
          <w:marTop w:val="0"/>
          <w:marBottom w:val="0"/>
          <w:divBdr>
            <w:top w:val="none" w:sz="0" w:space="0" w:color="auto"/>
            <w:left w:val="none" w:sz="0" w:space="0" w:color="auto"/>
            <w:bottom w:val="none" w:sz="0" w:space="0" w:color="auto"/>
            <w:right w:val="none" w:sz="0" w:space="0" w:color="auto"/>
          </w:divBdr>
          <w:divsChild>
            <w:div w:id="446782207">
              <w:marLeft w:val="0"/>
              <w:marRight w:val="0"/>
              <w:marTop w:val="0"/>
              <w:marBottom w:val="0"/>
              <w:divBdr>
                <w:top w:val="none" w:sz="0" w:space="0" w:color="auto"/>
                <w:left w:val="none" w:sz="0" w:space="0" w:color="auto"/>
                <w:bottom w:val="none" w:sz="0" w:space="0" w:color="auto"/>
                <w:right w:val="none" w:sz="0" w:space="0" w:color="auto"/>
              </w:divBdr>
            </w:div>
          </w:divsChild>
        </w:div>
        <w:div w:id="5715958">
          <w:marLeft w:val="0"/>
          <w:marRight w:val="0"/>
          <w:marTop w:val="0"/>
          <w:marBottom w:val="0"/>
          <w:divBdr>
            <w:top w:val="none" w:sz="0" w:space="0" w:color="auto"/>
            <w:left w:val="none" w:sz="0" w:space="0" w:color="auto"/>
            <w:bottom w:val="none" w:sz="0" w:space="0" w:color="auto"/>
            <w:right w:val="none" w:sz="0" w:space="0" w:color="auto"/>
          </w:divBdr>
          <w:divsChild>
            <w:div w:id="240526849">
              <w:marLeft w:val="0"/>
              <w:marRight w:val="0"/>
              <w:marTop w:val="0"/>
              <w:marBottom w:val="0"/>
              <w:divBdr>
                <w:top w:val="none" w:sz="0" w:space="0" w:color="auto"/>
                <w:left w:val="none" w:sz="0" w:space="0" w:color="auto"/>
                <w:bottom w:val="none" w:sz="0" w:space="0" w:color="auto"/>
                <w:right w:val="none" w:sz="0" w:space="0" w:color="auto"/>
              </w:divBdr>
            </w:div>
          </w:divsChild>
        </w:div>
        <w:div w:id="6829774">
          <w:marLeft w:val="0"/>
          <w:marRight w:val="0"/>
          <w:marTop w:val="0"/>
          <w:marBottom w:val="0"/>
          <w:divBdr>
            <w:top w:val="none" w:sz="0" w:space="0" w:color="auto"/>
            <w:left w:val="none" w:sz="0" w:space="0" w:color="auto"/>
            <w:bottom w:val="none" w:sz="0" w:space="0" w:color="auto"/>
            <w:right w:val="none" w:sz="0" w:space="0" w:color="auto"/>
          </w:divBdr>
          <w:divsChild>
            <w:div w:id="1146892908">
              <w:marLeft w:val="0"/>
              <w:marRight w:val="0"/>
              <w:marTop w:val="0"/>
              <w:marBottom w:val="0"/>
              <w:divBdr>
                <w:top w:val="none" w:sz="0" w:space="0" w:color="auto"/>
                <w:left w:val="none" w:sz="0" w:space="0" w:color="auto"/>
                <w:bottom w:val="none" w:sz="0" w:space="0" w:color="auto"/>
                <w:right w:val="none" w:sz="0" w:space="0" w:color="auto"/>
              </w:divBdr>
            </w:div>
          </w:divsChild>
        </w:div>
        <w:div w:id="9724445">
          <w:marLeft w:val="0"/>
          <w:marRight w:val="0"/>
          <w:marTop w:val="0"/>
          <w:marBottom w:val="0"/>
          <w:divBdr>
            <w:top w:val="none" w:sz="0" w:space="0" w:color="auto"/>
            <w:left w:val="none" w:sz="0" w:space="0" w:color="auto"/>
            <w:bottom w:val="none" w:sz="0" w:space="0" w:color="auto"/>
            <w:right w:val="none" w:sz="0" w:space="0" w:color="auto"/>
          </w:divBdr>
          <w:divsChild>
            <w:div w:id="509563556">
              <w:marLeft w:val="0"/>
              <w:marRight w:val="0"/>
              <w:marTop w:val="0"/>
              <w:marBottom w:val="0"/>
              <w:divBdr>
                <w:top w:val="none" w:sz="0" w:space="0" w:color="auto"/>
                <w:left w:val="none" w:sz="0" w:space="0" w:color="auto"/>
                <w:bottom w:val="none" w:sz="0" w:space="0" w:color="auto"/>
                <w:right w:val="none" w:sz="0" w:space="0" w:color="auto"/>
              </w:divBdr>
            </w:div>
          </w:divsChild>
        </w:div>
        <w:div w:id="19745194">
          <w:marLeft w:val="0"/>
          <w:marRight w:val="0"/>
          <w:marTop w:val="0"/>
          <w:marBottom w:val="0"/>
          <w:divBdr>
            <w:top w:val="none" w:sz="0" w:space="0" w:color="auto"/>
            <w:left w:val="none" w:sz="0" w:space="0" w:color="auto"/>
            <w:bottom w:val="none" w:sz="0" w:space="0" w:color="auto"/>
            <w:right w:val="none" w:sz="0" w:space="0" w:color="auto"/>
          </w:divBdr>
          <w:divsChild>
            <w:div w:id="1051075563">
              <w:marLeft w:val="0"/>
              <w:marRight w:val="0"/>
              <w:marTop w:val="0"/>
              <w:marBottom w:val="0"/>
              <w:divBdr>
                <w:top w:val="none" w:sz="0" w:space="0" w:color="auto"/>
                <w:left w:val="none" w:sz="0" w:space="0" w:color="auto"/>
                <w:bottom w:val="none" w:sz="0" w:space="0" w:color="auto"/>
                <w:right w:val="none" w:sz="0" w:space="0" w:color="auto"/>
              </w:divBdr>
            </w:div>
          </w:divsChild>
        </w:div>
        <w:div w:id="46538562">
          <w:marLeft w:val="0"/>
          <w:marRight w:val="0"/>
          <w:marTop w:val="0"/>
          <w:marBottom w:val="0"/>
          <w:divBdr>
            <w:top w:val="none" w:sz="0" w:space="0" w:color="auto"/>
            <w:left w:val="none" w:sz="0" w:space="0" w:color="auto"/>
            <w:bottom w:val="none" w:sz="0" w:space="0" w:color="auto"/>
            <w:right w:val="none" w:sz="0" w:space="0" w:color="auto"/>
          </w:divBdr>
          <w:divsChild>
            <w:div w:id="1806005483">
              <w:marLeft w:val="0"/>
              <w:marRight w:val="0"/>
              <w:marTop w:val="0"/>
              <w:marBottom w:val="0"/>
              <w:divBdr>
                <w:top w:val="none" w:sz="0" w:space="0" w:color="auto"/>
                <w:left w:val="none" w:sz="0" w:space="0" w:color="auto"/>
                <w:bottom w:val="none" w:sz="0" w:space="0" w:color="auto"/>
                <w:right w:val="none" w:sz="0" w:space="0" w:color="auto"/>
              </w:divBdr>
            </w:div>
          </w:divsChild>
        </w:div>
        <w:div w:id="50471367">
          <w:marLeft w:val="0"/>
          <w:marRight w:val="0"/>
          <w:marTop w:val="0"/>
          <w:marBottom w:val="0"/>
          <w:divBdr>
            <w:top w:val="none" w:sz="0" w:space="0" w:color="auto"/>
            <w:left w:val="none" w:sz="0" w:space="0" w:color="auto"/>
            <w:bottom w:val="none" w:sz="0" w:space="0" w:color="auto"/>
            <w:right w:val="none" w:sz="0" w:space="0" w:color="auto"/>
          </w:divBdr>
          <w:divsChild>
            <w:div w:id="645475978">
              <w:marLeft w:val="0"/>
              <w:marRight w:val="0"/>
              <w:marTop w:val="0"/>
              <w:marBottom w:val="0"/>
              <w:divBdr>
                <w:top w:val="none" w:sz="0" w:space="0" w:color="auto"/>
                <w:left w:val="none" w:sz="0" w:space="0" w:color="auto"/>
                <w:bottom w:val="none" w:sz="0" w:space="0" w:color="auto"/>
                <w:right w:val="none" w:sz="0" w:space="0" w:color="auto"/>
              </w:divBdr>
            </w:div>
          </w:divsChild>
        </w:div>
        <w:div w:id="55472523">
          <w:marLeft w:val="0"/>
          <w:marRight w:val="0"/>
          <w:marTop w:val="0"/>
          <w:marBottom w:val="0"/>
          <w:divBdr>
            <w:top w:val="none" w:sz="0" w:space="0" w:color="auto"/>
            <w:left w:val="none" w:sz="0" w:space="0" w:color="auto"/>
            <w:bottom w:val="none" w:sz="0" w:space="0" w:color="auto"/>
            <w:right w:val="none" w:sz="0" w:space="0" w:color="auto"/>
          </w:divBdr>
          <w:divsChild>
            <w:div w:id="415908238">
              <w:marLeft w:val="0"/>
              <w:marRight w:val="0"/>
              <w:marTop w:val="0"/>
              <w:marBottom w:val="0"/>
              <w:divBdr>
                <w:top w:val="none" w:sz="0" w:space="0" w:color="auto"/>
                <w:left w:val="none" w:sz="0" w:space="0" w:color="auto"/>
                <w:bottom w:val="none" w:sz="0" w:space="0" w:color="auto"/>
                <w:right w:val="none" w:sz="0" w:space="0" w:color="auto"/>
              </w:divBdr>
            </w:div>
          </w:divsChild>
        </w:div>
        <w:div w:id="71701598">
          <w:marLeft w:val="0"/>
          <w:marRight w:val="0"/>
          <w:marTop w:val="0"/>
          <w:marBottom w:val="0"/>
          <w:divBdr>
            <w:top w:val="none" w:sz="0" w:space="0" w:color="auto"/>
            <w:left w:val="none" w:sz="0" w:space="0" w:color="auto"/>
            <w:bottom w:val="none" w:sz="0" w:space="0" w:color="auto"/>
            <w:right w:val="none" w:sz="0" w:space="0" w:color="auto"/>
          </w:divBdr>
          <w:divsChild>
            <w:div w:id="1407844676">
              <w:marLeft w:val="0"/>
              <w:marRight w:val="0"/>
              <w:marTop w:val="0"/>
              <w:marBottom w:val="0"/>
              <w:divBdr>
                <w:top w:val="none" w:sz="0" w:space="0" w:color="auto"/>
                <w:left w:val="none" w:sz="0" w:space="0" w:color="auto"/>
                <w:bottom w:val="none" w:sz="0" w:space="0" w:color="auto"/>
                <w:right w:val="none" w:sz="0" w:space="0" w:color="auto"/>
              </w:divBdr>
            </w:div>
          </w:divsChild>
        </w:div>
        <w:div w:id="81923398">
          <w:marLeft w:val="0"/>
          <w:marRight w:val="0"/>
          <w:marTop w:val="0"/>
          <w:marBottom w:val="0"/>
          <w:divBdr>
            <w:top w:val="none" w:sz="0" w:space="0" w:color="auto"/>
            <w:left w:val="none" w:sz="0" w:space="0" w:color="auto"/>
            <w:bottom w:val="none" w:sz="0" w:space="0" w:color="auto"/>
            <w:right w:val="none" w:sz="0" w:space="0" w:color="auto"/>
          </w:divBdr>
          <w:divsChild>
            <w:div w:id="1636789856">
              <w:marLeft w:val="0"/>
              <w:marRight w:val="0"/>
              <w:marTop w:val="0"/>
              <w:marBottom w:val="0"/>
              <w:divBdr>
                <w:top w:val="none" w:sz="0" w:space="0" w:color="auto"/>
                <w:left w:val="none" w:sz="0" w:space="0" w:color="auto"/>
                <w:bottom w:val="none" w:sz="0" w:space="0" w:color="auto"/>
                <w:right w:val="none" w:sz="0" w:space="0" w:color="auto"/>
              </w:divBdr>
            </w:div>
          </w:divsChild>
        </w:div>
        <w:div w:id="112140473">
          <w:marLeft w:val="0"/>
          <w:marRight w:val="0"/>
          <w:marTop w:val="0"/>
          <w:marBottom w:val="0"/>
          <w:divBdr>
            <w:top w:val="none" w:sz="0" w:space="0" w:color="auto"/>
            <w:left w:val="none" w:sz="0" w:space="0" w:color="auto"/>
            <w:bottom w:val="none" w:sz="0" w:space="0" w:color="auto"/>
            <w:right w:val="none" w:sz="0" w:space="0" w:color="auto"/>
          </w:divBdr>
          <w:divsChild>
            <w:div w:id="163906197">
              <w:marLeft w:val="0"/>
              <w:marRight w:val="0"/>
              <w:marTop w:val="0"/>
              <w:marBottom w:val="0"/>
              <w:divBdr>
                <w:top w:val="none" w:sz="0" w:space="0" w:color="auto"/>
                <w:left w:val="none" w:sz="0" w:space="0" w:color="auto"/>
                <w:bottom w:val="none" w:sz="0" w:space="0" w:color="auto"/>
                <w:right w:val="none" w:sz="0" w:space="0" w:color="auto"/>
              </w:divBdr>
            </w:div>
          </w:divsChild>
        </w:div>
        <w:div w:id="123545031">
          <w:marLeft w:val="0"/>
          <w:marRight w:val="0"/>
          <w:marTop w:val="0"/>
          <w:marBottom w:val="0"/>
          <w:divBdr>
            <w:top w:val="none" w:sz="0" w:space="0" w:color="auto"/>
            <w:left w:val="none" w:sz="0" w:space="0" w:color="auto"/>
            <w:bottom w:val="none" w:sz="0" w:space="0" w:color="auto"/>
            <w:right w:val="none" w:sz="0" w:space="0" w:color="auto"/>
          </w:divBdr>
          <w:divsChild>
            <w:div w:id="69625049">
              <w:marLeft w:val="0"/>
              <w:marRight w:val="0"/>
              <w:marTop w:val="0"/>
              <w:marBottom w:val="0"/>
              <w:divBdr>
                <w:top w:val="none" w:sz="0" w:space="0" w:color="auto"/>
                <w:left w:val="none" w:sz="0" w:space="0" w:color="auto"/>
                <w:bottom w:val="none" w:sz="0" w:space="0" w:color="auto"/>
                <w:right w:val="none" w:sz="0" w:space="0" w:color="auto"/>
              </w:divBdr>
            </w:div>
          </w:divsChild>
        </w:div>
        <w:div w:id="125664693">
          <w:marLeft w:val="0"/>
          <w:marRight w:val="0"/>
          <w:marTop w:val="0"/>
          <w:marBottom w:val="0"/>
          <w:divBdr>
            <w:top w:val="none" w:sz="0" w:space="0" w:color="auto"/>
            <w:left w:val="none" w:sz="0" w:space="0" w:color="auto"/>
            <w:bottom w:val="none" w:sz="0" w:space="0" w:color="auto"/>
            <w:right w:val="none" w:sz="0" w:space="0" w:color="auto"/>
          </w:divBdr>
          <w:divsChild>
            <w:div w:id="1666204186">
              <w:marLeft w:val="0"/>
              <w:marRight w:val="0"/>
              <w:marTop w:val="0"/>
              <w:marBottom w:val="0"/>
              <w:divBdr>
                <w:top w:val="none" w:sz="0" w:space="0" w:color="auto"/>
                <w:left w:val="none" w:sz="0" w:space="0" w:color="auto"/>
                <w:bottom w:val="none" w:sz="0" w:space="0" w:color="auto"/>
                <w:right w:val="none" w:sz="0" w:space="0" w:color="auto"/>
              </w:divBdr>
            </w:div>
          </w:divsChild>
        </w:div>
        <w:div w:id="126172075">
          <w:marLeft w:val="0"/>
          <w:marRight w:val="0"/>
          <w:marTop w:val="0"/>
          <w:marBottom w:val="0"/>
          <w:divBdr>
            <w:top w:val="none" w:sz="0" w:space="0" w:color="auto"/>
            <w:left w:val="none" w:sz="0" w:space="0" w:color="auto"/>
            <w:bottom w:val="none" w:sz="0" w:space="0" w:color="auto"/>
            <w:right w:val="none" w:sz="0" w:space="0" w:color="auto"/>
          </w:divBdr>
          <w:divsChild>
            <w:div w:id="1814560771">
              <w:marLeft w:val="0"/>
              <w:marRight w:val="0"/>
              <w:marTop w:val="0"/>
              <w:marBottom w:val="0"/>
              <w:divBdr>
                <w:top w:val="none" w:sz="0" w:space="0" w:color="auto"/>
                <w:left w:val="none" w:sz="0" w:space="0" w:color="auto"/>
                <w:bottom w:val="none" w:sz="0" w:space="0" w:color="auto"/>
                <w:right w:val="none" w:sz="0" w:space="0" w:color="auto"/>
              </w:divBdr>
            </w:div>
          </w:divsChild>
        </w:div>
        <w:div w:id="130708643">
          <w:marLeft w:val="0"/>
          <w:marRight w:val="0"/>
          <w:marTop w:val="0"/>
          <w:marBottom w:val="0"/>
          <w:divBdr>
            <w:top w:val="none" w:sz="0" w:space="0" w:color="auto"/>
            <w:left w:val="none" w:sz="0" w:space="0" w:color="auto"/>
            <w:bottom w:val="none" w:sz="0" w:space="0" w:color="auto"/>
            <w:right w:val="none" w:sz="0" w:space="0" w:color="auto"/>
          </w:divBdr>
          <w:divsChild>
            <w:div w:id="791706099">
              <w:marLeft w:val="0"/>
              <w:marRight w:val="0"/>
              <w:marTop w:val="0"/>
              <w:marBottom w:val="0"/>
              <w:divBdr>
                <w:top w:val="none" w:sz="0" w:space="0" w:color="auto"/>
                <w:left w:val="none" w:sz="0" w:space="0" w:color="auto"/>
                <w:bottom w:val="none" w:sz="0" w:space="0" w:color="auto"/>
                <w:right w:val="none" w:sz="0" w:space="0" w:color="auto"/>
              </w:divBdr>
            </w:div>
          </w:divsChild>
        </w:div>
        <w:div w:id="145972842">
          <w:marLeft w:val="0"/>
          <w:marRight w:val="0"/>
          <w:marTop w:val="0"/>
          <w:marBottom w:val="0"/>
          <w:divBdr>
            <w:top w:val="none" w:sz="0" w:space="0" w:color="auto"/>
            <w:left w:val="none" w:sz="0" w:space="0" w:color="auto"/>
            <w:bottom w:val="none" w:sz="0" w:space="0" w:color="auto"/>
            <w:right w:val="none" w:sz="0" w:space="0" w:color="auto"/>
          </w:divBdr>
          <w:divsChild>
            <w:div w:id="2083529597">
              <w:marLeft w:val="0"/>
              <w:marRight w:val="0"/>
              <w:marTop w:val="0"/>
              <w:marBottom w:val="0"/>
              <w:divBdr>
                <w:top w:val="none" w:sz="0" w:space="0" w:color="auto"/>
                <w:left w:val="none" w:sz="0" w:space="0" w:color="auto"/>
                <w:bottom w:val="none" w:sz="0" w:space="0" w:color="auto"/>
                <w:right w:val="none" w:sz="0" w:space="0" w:color="auto"/>
              </w:divBdr>
            </w:div>
          </w:divsChild>
        </w:div>
        <w:div w:id="159734620">
          <w:marLeft w:val="0"/>
          <w:marRight w:val="0"/>
          <w:marTop w:val="0"/>
          <w:marBottom w:val="0"/>
          <w:divBdr>
            <w:top w:val="none" w:sz="0" w:space="0" w:color="auto"/>
            <w:left w:val="none" w:sz="0" w:space="0" w:color="auto"/>
            <w:bottom w:val="none" w:sz="0" w:space="0" w:color="auto"/>
            <w:right w:val="none" w:sz="0" w:space="0" w:color="auto"/>
          </w:divBdr>
          <w:divsChild>
            <w:div w:id="960381987">
              <w:marLeft w:val="0"/>
              <w:marRight w:val="0"/>
              <w:marTop w:val="0"/>
              <w:marBottom w:val="0"/>
              <w:divBdr>
                <w:top w:val="none" w:sz="0" w:space="0" w:color="auto"/>
                <w:left w:val="none" w:sz="0" w:space="0" w:color="auto"/>
                <w:bottom w:val="none" w:sz="0" w:space="0" w:color="auto"/>
                <w:right w:val="none" w:sz="0" w:space="0" w:color="auto"/>
              </w:divBdr>
            </w:div>
          </w:divsChild>
        </w:div>
        <w:div w:id="170418378">
          <w:marLeft w:val="0"/>
          <w:marRight w:val="0"/>
          <w:marTop w:val="0"/>
          <w:marBottom w:val="0"/>
          <w:divBdr>
            <w:top w:val="none" w:sz="0" w:space="0" w:color="auto"/>
            <w:left w:val="none" w:sz="0" w:space="0" w:color="auto"/>
            <w:bottom w:val="none" w:sz="0" w:space="0" w:color="auto"/>
            <w:right w:val="none" w:sz="0" w:space="0" w:color="auto"/>
          </w:divBdr>
          <w:divsChild>
            <w:div w:id="2028405604">
              <w:marLeft w:val="0"/>
              <w:marRight w:val="0"/>
              <w:marTop w:val="0"/>
              <w:marBottom w:val="0"/>
              <w:divBdr>
                <w:top w:val="none" w:sz="0" w:space="0" w:color="auto"/>
                <w:left w:val="none" w:sz="0" w:space="0" w:color="auto"/>
                <w:bottom w:val="none" w:sz="0" w:space="0" w:color="auto"/>
                <w:right w:val="none" w:sz="0" w:space="0" w:color="auto"/>
              </w:divBdr>
            </w:div>
          </w:divsChild>
        </w:div>
        <w:div w:id="174852431">
          <w:marLeft w:val="0"/>
          <w:marRight w:val="0"/>
          <w:marTop w:val="0"/>
          <w:marBottom w:val="0"/>
          <w:divBdr>
            <w:top w:val="none" w:sz="0" w:space="0" w:color="auto"/>
            <w:left w:val="none" w:sz="0" w:space="0" w:color="auto"/>
            <w:bottom w:val="none" w:sz="0" w:space="0" w:color="auto"/>
            <w:right w:val="none" w:sz="0" w:space="0" w:color="auto"/>
          </w:divBdr>
          <w:divsChild>
            <w:div w:id="1414162623">
              <w:marLeft w:val="0"/>
              <w:marRight w:val="0"/>
              <w:marTop w:val="0"/>
              <w:marBottom w:val="0"/>
              <w:divBdr>
                <w:top w:val="none" w:sz="0" w:space="0" w:color="auto"/>
                <w:left w:val="none" w:sz="0" w:space="0" w:color="auto"/>
                <w:bottom w:val="none" w:sz="0" w:space="0" w:color="auto"/>
                <w:right w:val="none" w:sz="0" w:space="0" w:color="auto"/>
              </w:divBdr>
            </w:div>
          </w:divsChild>
        </w:div>
        <w:div w:id="183401458">
          <w:marLeft w:val="0"/>
          <w:marRight w:val="0"/>
          <w:marTop w:val="0"/>
          <w:marBottom w:val="0"/>
          <w:divBdr>
            <w:top w:val="none" w:sz="0" w:space="0" w:color="auto"/>
            <w:left w:val="none" w:sz="0" w:space="0" w:color="auto"/>
            <w:bottom w:val="none" w:sz="0" w:space="0" w:color="auto"/>
            <w:right w:val="none" w:sz="0" w:space="0" w:color="auto"/>
          </w:divBdr>
          <w:divsChild>
            <w:div w:id="1141116355">
              <w:marLeft w:val="0"/>
              <w:marRight w:val="0"/>
              <w:marTop w:val="0"/>
              <w:marBottom w:val="0"/>
              <w:divBdr>
                <w:top w:val="none" w:sz="0" w:space="0" w:color="auto"/>
                <w:left w:val="none" w:sz="0" w:space="0" w:color="auto"/>
                <w:bottom w:val="none" w:sz="0" w:space="0" w:color="auto"/>
                <w:right w:val="none" w:sz="0" w:space="0" w:color="auto"/>
              </w:divBdr>
            </w:div>
          </w:divsChild>
        </w:div>
        <w:div w:id="189224906">
          <w:marLeft w:val="0"/>
          <w:marRight w:val="0"/>
          <w:marTop w:val="0"/>
          <w:marBottom w:val="0"/>
          <w:divBdr>
            <w:top w:val="none" w:sz="0" w:space="0" w:color="auto"/>
            <w:left w:val="none" w:sz="0" w:space="0" w:color="auto"/>
            <w:bottom w:val="none" w:sz="0" w:space="0" w:color="auto"/>
            <w:right w:val="none" w:sz="0" w:space="0" w:color="auto"/>
          </w:divBdr>
          <w:divsChild>
            <w:div w:id="1123960844">
              <w:marLeft w:val="0"/>
              <w:marRight w:val="0"/>
              <w:marTop w:val="0"/>
              <w:marBottom w:val="0"/>
              <w:divBdr>
                <w:top w:val="none" w:sz="0" w:space="0" w:color="auto"/>
                <w:left w:val="none" w:sz="0" w:space="0" w:color="auto"/>
                <w:bottom w:val="none" w:sz="0" w:space="0" w:color="auto"/>
                <w:right w:val="none" w:sz="0" w:space="0" w:color="auto"/>
              </w:divBdr>
            </w:div>
          </w:divsChild>
        </w:div>
        <w:div w:id="194196595">
          <w:marLeft w:val="0"/>
          <w:marRight w:val="0"/>
          <w:marTop w:val="0"/>
          <w:marBottom w:val="0"/>
          <w:divBdr>
            <w:top w:val="none" w:sz="0" w:space="0" w:color="auto"/>
            <w:left w:val="none" w:sz="0" w:space="0" w:color="auto"/>
            <w:bottom w:val="none" w:sz="0" w:space="0" w:color="auto"/>
            <w:right w:val="none" w:sz="0" w:space="0" w:color="auto"/>
          </w:divBdr>
          <w:divsChild>
            <w:div w:id="1126043542">
              <w:marLeft w:val="0"/>
              <w:marRight w:val="0"/>
              <w:marTop w:val="0"/>
              <w:marBottom w:val="0"/>
              <w:divBdr>
                <w:top w:val="none" w:sz="0" w:space="0" w:color="auto"/>
                <w:left w:val="none" w:sz="0" w:space="0" w:color="auto"/>
                <w:bottom w:val="none" w:sz="0" w:space="0" w:color="auto"/>
                <w:right w:val="none" w:sz="0" w:space="0" w:color="auto"/>
              </w:divBdr>
            </w:div>
          </w:divsChild>
        </w:div>
        <w:div w:id="207110555">
          <w:marLeft w:val="0"/>
          <w:marRight w:val="0"/>
          <w:marTop w:val="0"/>
          <w:marBottom w:val="0"/>
          <w:divBdr>
            <w:top w:val="none" w:sz="0" w:space="0" w:color="auto"/>
            <w:left w:val="none" w:sz="0" w:space="0" w:color="auto"/>
            <w:bottom w:val="none" w:sz="0" w:space="0" w:color="auto"/>
            <w:right w:val="none" w:sz="0" w:space="0" w:color="auto"/>
          </w:divBdr>
          <w:divsChild>
            <w:div w:id="1571160578">
              <w:marLeft w:val="0"/>
              <w:marRight w:val="0"/>
              <w:marTop w:val="0"/>
              <w:marBottom w:val="0"/>
              <w:divBdr>
                <w:top w:val="none" w:sz="0" w:space="0" w:color="auto"/>
                <w:left w:val="none" w:sz="0" w:space="0" w:color="auto"/>
                <w:bottom w:val="none" w:sz="0" w:space="0" w:color="auto"/>
                <w:right w:val="none" w:sz="0" w:space="0" w:color="auto"/>
              </w:divBdr>
            </w:div>
          </w:divsChild>
        </w:div>
        <w:div w:id="209995094">
          <w:marLeft w:val="0"/>
          <w:marRight w:val="0"/>
          <w:marTop w:val="0"/>
          <w:marBottom w:val="0"/>
          <w:divBdr>
            <w:top w:val="none" w:sz="0" w:space="0" w:color="auto"/>
            <w:left w:val="none" w:sz="0" w:space="0" w:color="auto"/>
            <w:bottom w:val="none" w:sz="0" w:space="0" w:color="auto"/>
            <w:right w:val="none" w:sz="0" w:space="0" w:color="auto"/>
          </w:divBdr>
          <w:divsChild>
            <w:div w:id="1200167978">
              <w:marLeft w:val="0"/>
              <w:marRight w:val="0"/>
              <w:marTop w:val="0"/>
              <w:marBottom w:val="0"/>
              <w:divBdr>
                <w:top w:val="none" w:sz="0" w:space="0" w:color="auto"/>
                <w:left w:val="none" w:sz="0" w:space="0" w:color="auto"/>
                <w:bottom w:val="none" w:sz="0" w:space="0" w:color="auto"/>
                <w:right w:val="none" w:sz="0" w:space="0" w:color="auto"/>
              </w:divBdr>
            </w:div>
          </w:divsChild>
        </w:div>
        <w:div w:id="211504365">
          <w:marLeft w:val="0"/>
          <w:marRight w:val="0"/>
          <w:marTop w:val="0"/>
          <w:marBottom w:val="0"/>
          <w:divBdr>
            <w:top w:val="none" w:sz="0" w:space="0" w:color="auto"/>
            <w:left w:val="none" w:sz="0" w:space="0" w:color="auto"/>
            <w:bottom w:val="none" w:sz="0" w:space="0" w:color="auto"/>
            <w:right w:val="none" w:sz="0" w:space="0" w:color="auto"/>
          </w:divBdr>
          <w:divsChild>
            <w:div w:id="1087114975">
              <w:marLeft w:val="0"/>
              <w:marRight w:val="0"/>
              <w:marTop w:val="0"/>
              <w:marBottom w:val="0"/>
              <w:divBdr>
                <w:top w:val="none" w:sz="0" w:space="0" w:color="auto"/>
                <w:left w:val="none" w:sz="0" w:space="0" w:color="auto"/>
                <w:bottom w:val="none" w:sz="0" w:space="0" w:color="auto"/>
                <w:right w:val="none" w:sz="0" w:space="0" w:color="auto"/>
              </w:divBdr>
            </w:div>
          </w:divsChild>
        </w:div>
        <w:div w:id="212036985">
          <w:marLeft w:val="0"/>
          <w:marRight w:val="0"/>
          <w:marTop w:val="0"/>
          <w:marBottom w:val="0"/>
          <w:divBdr>
            <w:top w:val="none" w:sz="0" w:space="0" w:color="auto"/>
            <w:left w:val="none" w:sz="0" w:space="0" w:color="auto"/>
            <w:bottom w:val="none" w:sz="0" w:space="0" w:color="auto"/>
            <w:right w:val="none" w:sz="0" w:space="0" w:color="auto"/>
          </w:divBdr>
          <w:divsChild>
            <w:div w:id="32967754">
              <w:marLeft w:val="0"/>
              <w:marRight w:val="0"/>
              <w:marTop w:val="0"/>
              <w:marBottom w:val="0"/>
              <w:divBdr>
                <w:top w:val="none" w:sz="0" w:space="0" w:color="auto"/>
                <w:left w:val="none" w:sz="0" w:space="0" w:color="auto"/>
                <w:bottom w:val="none" w:sz="0" w:space="0" w:color="auto"/>
                <w:right w:val="none" w:sz="0" w:space="0" w:color="auto"/>
              </w:divBdr>
            </w:div>
          </w:divsChild>
        </w:div>
        <w:div w:id="221604123">
          <w:marLeft w:val="0"/>
          <w:marRight w:val="0"/>
          <w:marTop w:val="0"/>
          <w:marBottom w:val="0"/>
          <w:divBdr>
            <w:top w:val="none" w:sz="0" w:space="0" w:color="auto"/>
            <w:left w:val="none" w:sz="0" w:space="0" w:color="auto"/>
            <w:bottom w:val="none" w:sz="0" w:space="0" w:color="auto"/>
            <w:right w:val="none" w:sz="0" w:space="0" w:color="auto"/>
          </w:divBdr>
          <w:divsChild>
            <w:div w:id="884945513">
              <w:marLeft w:val="0"/>
              <w:marRight w:val="0"/>
              <w:marTop w:val="0"/>
              <w:marBottom w:val="0"/>
              <w:divBdr>
                <w:top w:val="none" w:sz="0" w:space="0" w:color="auto"/>
                <w:left w:val="none" w:sz="0" w:space="0" w:color="auto"/>
                <w:bottom w:val="none" w:sz="0" w:space="0" w:color="auto"/>
                <w:right w:val="none" w:sz="0" w:space="0" w:color="auto"/>
              </w:divBdr>
            </w:div>
          </w:divsChild>
        </w:div>
        <w:div w:id="227035269">
          <w:marLeft w:val="0"/>
          <w:marRight w:val="0"/>
          <w:marTop w:val="0"/>
          <w:marBottom w:val="0"/>
          <w:divBdr>
            <w:top w:val="none" w:sz="0" w:space="0" w:color="auto"/>
            <w:left w:val="none" w:sz="0" w:space="0" w:color="auto"/>
            <w:bottom w:val="none" w:sz="0" w:space="0" w:color="auto"/>
            <w:right w:val="none" w:sz="0" w:space="0" w:color="auto"/>
          </w:divBdr>
          <w:divsChild>
            <w:div w:id="1950047993">
              <w:marLeft w:val="0"/>
              <w:marRight w:val="0"/>
              <w:marTop w:val="0"/>
              <w:marBottom w:val="0"/>
              <w:divBdr>
                <w:top w:val="none" w:sz="0" w:space="0" w:color="auto"/>
                <w:left w:val="none" w:sz="0" w:space="0" w:color="auto"/>
                <w:bottom w:val="none" w:sz="0" w:space="0" w:color="auto"/>
                <w:right w:val="none" w:sz="0" w:space="0" w:color="auto"/>
              </w:divBdr>
            </w:div>
          </w:divsChild>
        </w:div>
        <w:div w:id="229080418">
          <w:marLeft w:val="0"/>
          <w:marRight w:val="0"/>
          <w:marTop w:val="0"/>
          <w:marBottom w:val="0"/>
          <w:divBdr>
            <w:top w:val="none" w:sz="0" w:space="0" w:color="auto"/>
            <w:left w:val="none" w:sz="0" w:space="0" w:color="auto"/>
            <w:bottom w:val="none" w:sz="0" w:space="0" w:color="auto"/>
            <w:right w:val="none" w:sz="0" w:space="0" w:color="auto"/>
          </w:divBdr>
          <w:divsChild>
            <w:div w:id="838615442">
              <w:marLeft w:val="0"/>
              <w:marRight w:val="0"/>
              <w:marTop w:val="0"/>
              <w:marBottom w:val="0"/>
              <w:divBdr>
                <w:top w:val="none" w:sz="0" w:space="0" w:color="auto"/>
                <w:left w:val="none" w:sz="0" w:space="0" w:color="auto"/>
                <w:bottom w:val="none" w:sz="0" w:space="0" w:color="auto"/>
                <w:right w:val="none" w:sz="0" w:space="0" w:color="auto"/>
              </w:divBdr>
            </w:div>
          </w:divsChild>
        </w:div>
        <w:div w:id="231082067">
          <w:marLeft w:val="0"/>
          <w:marRight w:val="0"/>
          <w:marTop w:val="0"/>
          <w:marBottom w:val="0"/>
          <w:divBdr>
            <w:top w:val="none" w:sz="0" w:space="0" w:color="auto"/>
            <w:left w:val="none" w:sz="0" w:space="0" w:color="auto"/>
            <w:bottom w:val="none" w:sz="0" w:space="0" w:color="auto"/>
            <w:right w:val="none" w:sz="0" w:space="0" w:color="auto"/>
          </w:divBdr>
          <w:divsChild>
            <w:div w:id="1287858329">
              <w:marLeft w:val="0"/>
              <w:marRight w:val="0"/>
              <w:marTop w:val="0"/>
              <w:marBottom w:val="0"/>
              <w:divBdr>
                <w:top w:val="none" w:sz="0" w:space="0" w:color="auto"/>
                <w:left w:val="none" w:sz="0" w:space="0" w:color="auto"/>
                <w:bottom w:val="none" w:sz="0" w:space="0" w:color="auto"/>
                <w:right w:val="none" w:sz="0" w:space="0" w:color="auto"/>
              </w:divBdr>
            </w:div>
          </w:divsChild>
        </w:div>
        <w:div w:id="233324986">
          <w:marLeft w:val="0"/>
          <w:marRight w:val="0"/>
          <w:marTop w:val="0"/>
          <w:marBottom w:val="0"/>
          <w:divBdr>
            <w:top w:val="none" w:sz="0" w:space="0" w:color="auto"/>
            <w:left w:val="none" w:sz="0" w:space="0" w:color="auto"/>
            <w:bottom w:val="none" w:sz="0" w:space="0" w:color="auto"/>
            <w:right w:val="none" w:sz="0" w:space="0" w:color="auto"/>
          </w:divBdr>
          <w:divsChild>
            <w:div w:id="576944700">
              <w:marLeft w:val="0"/>
              <w:marRight w:val="0"/>
              <w:marTop w:val="0"/>
              <w:marBottom w:val="0"/>
              <w:divBdr>
                <w:top w:val="none" w:sz="0" w:space="0" w:color="auto"/>
                <w:left w:val="none" w:sz="0" w:space="0" w:color="auto"/>
                <w:bottom w:val="none" w:sz="0" w:space="0" w:color="auto"/>
                <w:right w:val="none" w:sz="0" w:space="0" w:color="auto"/>
              </w:divBdr>
            </w:div>
          </w:divsChild>
        </w:div>
        <w:div w:id="239028313">
          <w:marLeft w:val="0"/>
          <w:marRight w:val="0"/>
          <w:marTop w:val="0"/>
          <w:marBottom w:val="0"/>
          <w:divBdr>
            <w:top w:val="none" w:sz="0" w:space="0" w:color="auto"/>
            <w:left w:val="none" w:sz="0" w:space="0" w:color="auto"/>
            <w:bottom w:val="none" w:sz="0" w:space="0" w:color="auto"/>
            <w:right w:val="none" w:sz="0" w:space="0" w:color="auto"/>
          </w:divBdr>
          <w:divsChild>
            <w:div w:id="1791782977">
              <w:marLeft w:val="0"/>
              <w:marRight w:val="0"/>
              <w:marTop w:val="0"/>
              <w:marBottom w:val="0"/>
              <w:divBdr>
                <w:top w:val="none" w:sz="0" w:space="0" w:color="auto"/>
                <w:left w:val="none" w:sz="0" w:space="0" w:color="auto"/>
                <w:bottom w:val="none" w:sz="0" w:space="0" w:color="auto"/>
                <w:right w:val="none" w:sz="0" w:space="0" w:color="auto"/>
              </w:divBdr>
            </w:div>
          </w:divsChild>
        </w:div>
        <w:div w:id="242960923">
          <w:marLeft w:val="0"/>
          <w:marRight w:val="0"/>
          <w:marTop w:val="0"/>
          <w:marBottom w:val="0"/>
          <w:divBdr>
            <w:top w:val="none" w:sz="0" w:space="0" w:color="auto"/>
            <w:left w:val="none" w:sz="0" w:space="0" w:color="auto"/>
            <w:bottom w:val="none" w:sz="0" w:space="0" w:color="auto"/>
            <w:right w:val="none" w:sz="0" w:space="0" w:color="auto"/>
          </w:divBdr>
          <w:divsChild>
            <w:div w:id="854000080">
              <w:marLeft w:val="0"/>
              <w:marRight w:val="0"/>
              <w:marTop w:val="0"/>
              <w:marBottom w:val="0"/>
              <w:divBdr>
                <w:top w:val="none" w:sz="0" w:space="0" w:color="auto"/>
                <w:left w:val="none" w:sz="0" w:space="0" w:color="auto"/>
                <w:bottom w:val="none" w:sz="0" w:space="0" w:color="auto"/>
                <w:right w:val="none" w:sz="0" w:space="0" w:color="auto"/>
              </w:divBdr>
            </w:div>
          </w:divsChild>
        </w:div>
        <w:div w:id="250050882">
          <w:marLeft w:val="0"/>
          <w:marRight w:val="0"/>
          <w:marTop w:val="0"/>
          <w:marBottom w:val="0"/>
          <w:divBdr>
            <w:top w:val="none" w:sz="0" w:space="0" w:color="auto"/>
            <w:left w:val="none" w:sz="0" w:space="0" w:color="auto"/>
            <w:bottom w:val="none" w:sz="0" w:space="0" w:color="auto"/>
            <w:right w:val="none" w:sz="0" w:space="0" w:color="auto"/>
          </w:divBdr>
          <w:divsChild>
            <w:div w:id="1637223575">
              <w:marLeft w:val="0"/>
              <w:marRight w:val="0"/>
              <w:marTop w:val="0"/>
              <w:marBottom w:val="0"/>
              <w:divBdr>
                <w:top w:val="none" w:sz="0" w:space="0" w:color="auto"/>
                <w:left w:val="none" w:sz="0" w:space="0" w:color="auto"/>
                <w:bottom w:val="none" w:sz="0" w:space="0" w:color="auto"/>
                <w:right w:val="none" w:sz="0" w:space="0" w:color="auto"/>
              </w:divBdr>
            </w:div>
          </w:divsChild>
        </w:div>
        <w:div w:id="265044732">
          <w:marLeft w:val="0"/>
          <w:marRight w:val="0"/>
          <w:marTop w:val="0"/>
          <w:marBottom w:val="0"/>
          <w:divBdr>
            <w:top w:val="none" w:sz="0" w:space="0" w:color="auto"/>
            <w:left w:val="none" w:sz="0" w:space="0" w:color="auto"/>
            <w:bottom w:val="none" w:sz="0" w:space="0" w:color="auto"/>
            <w:right w:val="none" w:sz="0" w:space="0" w:color="auto"/>
          </w:divBdr>
          <w:divsChild>
            <w:div w:id="1487284160">
              <w:marLeft w:val="0"/>
              <w:marRight w:val="0"/>
              <w:marTop w:val="0"/>
              <w:marBottom w:val="0"/>
              <w:divBdr>
                <w:top w:val="none" w:sz="0" w:space="0" w:color="auto"/>
                <w:left w:val="none" w:sz="0" w:space="0" w:color="auto"/>
                <w:bottom w:val="none" w:sz="0" w:space="0" w:color="auto"/>
                <w:right w:val="none" w:sz="0" w:space="0" w:color="auto"/>
              </w:divBdr>
            </w:div>
          </w:divsChild>
        </w:div>
        <w:div w:id="266278189">
          <w:marLeft w:val="0"/>
          <w:marRight w:val="0"/>
          <w:marTop w:val="0"/>
          <w:marBottom w:val="0"/>
          <w:divBdr>
            <w:top w:val="none" w:sz="0" w:space="0" w:color="auto"/>
            <w:left w:val="none" w:sz="0" w:space="0" w:color="auto"/>
            <w:bottom w:val="none" w:sz="0" w:space="0" w:color="auto"/>
            <w:right w:val="none" w:sz="0" w:space="0" w:color="auto"/>
          </w:divBdr>
          <w:divsChild>
            <w:div w:id="1746340204">
              <w:marLeft w:val="0"/>
              <w:marRight w:val="0"/>
              <w:marTop w:val="0"/>
              <w:marBottom w:val="0"/>
              <w:divBdr>
                <w:top w:val="none" w:sz="0" w:space="0" w:color="auto"/>
                <w:left w:val="none" w:sz="0" w:space="0" w:color="auto"/>
                <w:bottom w:val="none" w:sz="0" w:space="0" w:color="auto"/>
                <w:right w:val="none" w:sz="0" w:space="0" w:color="auto"/>
              </w:divBdr>
            </w:div>
          </w:divsChild>
        </w:div>
        <w:div w:id="269975466">
          <w:marLeft w:val="0"/>
          <w:marRight w:val="0"/>
          <w:marTop w:val="0"/>
          <w:marBottom w:val="0"/>
          <w:divBdr>
            <w:top w:val="none" w:sz="0" w:space="0" w:color="auto"/>
            <w:left w:val="none" w:sz="0" w:space="0" w:color="auto"/>
            <w:bottom w:val="none" w:sz="0" w:space="0" w:color="auto"/>
            <w:right w:val="none" w:sz="0" w:space="0" w:color="auto"/>
          </w:divBdr>
          <w:divsChild>
            <w:div w:id="450249423">
              <w:marLeft w:val="0"/>
              <w:marRight w:val="0"/>
              <w:marTop w:val="0"/>
              <w:marBottom w:val="0"/>
              <w:divBdr>
                <w:top w:val="none" w:sz="0" w:space="0" w:color="auto"/>
                <w:left w:val="none" w:sz="0" w:space="0" w:color="auto"/>
                <w:bottom w:val="none" w:sz="0" w:space="0" w:color="auto"/>
                <w:right w:val="none" w:sz="0" w:space="0" w:color="auto"/>
              </w:divBdr>
            </w:div>
          </w:divsChild>
        </w:div>
        <w:div w:id="274799542">
          <w:marLeft w:val="0"/>
          <w:marRight w:val="0"/>
          <w:marTop w:val="0"/>
          <w:marBottom w:val="0"/>
          <w:divBdr>
            <w:top w:val="none" w:sz="0" w:space="0" w:color="auto"/>
            <w:left w:val="none" w:sz="0" w:space="0" w:color="auto"/>
            <w:bottom w:val="none" w:sz="0" w:space="0" w:color="auto"/>
            <w:right w:val="none" w:sz="0" w:space="0" w:color="auto"/>
          </w:divBdr>
          <w:divsChild>
            <w:div w:id="1170633583">
              <w:marLeft w:val="0"/>
              <w:marRight w:val="0"/>
              <w:marTop w:val="0"/>
              <w:marBottom w:val="0"/>
              <w:divBdr>
                <w:top w:val="none" w:sz="0" w:space="0" w:color="auto"/>
                <w:left w:val="none" w:sz="0" w:space="0" w:color="auto"/>
                <w:bottom w:val="none" w:sz="0" w:space="0" w:color="auto"/>
                <w:right w:val="none" w:sz="0" w:space="0" w:color="auto"/>
              </w:divBdr>
            </w:div>
          </w:divsChild>
        </w:div>
        <w:div w:id="276841065">
          <w:marLeft w:val="0"/>
          <w:marRight w:val="0"/>
          <w:marTop w:val="0"/>
          <w:marBottom w:val="0"/>
          <w:divBdr>
            <w:top w:val="none" w:sz="0" w:space="0" w:color="auto"/>
            <w:left w:val="none" w:sz="0" w:space="0" w:color="auto"/>
            <w:bottom w:val="none" w:sz="0" w:space="0" w:color="auto"/>
            <w:right w:val="none" w:sz="0" w:space="0" w:color="auto"/>
          </w:divBdr>
          <w:divsChild>
            <w:div w:id="1302223979">
              <w:marLeft w:val="0"/>
              <w:marRight w:val="0"/>
              <w:marTop w:val="0"/>
              <w:marBottom w:val="0"/>
              <w:divBdr>
                <w:top w:val="none" w:sz="0" w:space="0" w:color="auto"/>
                <w:left w:val="none" w:sz="0" w:space="0" w:color="auto"/>
                <w:bottom w:val="none" w:sz="0" w:space="0" w:color="auto"/>
                <w:right w:val="none" w:sz="0" w:space="0" w:color="auto"/>
              </w:divBdr>
            </w:div>
          </w:divsChild>
        </w:div>
        <w:div w:id="283930758">
          <w:marLeft w:val="0"/>
          <w:marRight w:val="0"/>
          <w:marTop w:val="0"/>
          <w:marBottom w:val="0"/>
          <w:divBdr>
            <w:top w:val="none" w:sz="0" w:space="0" w:color="auto"/>
            <w:left w:val="none" w:sz="0" w:space="0" w:color="auto"/>
            <w:bottom w:val="none" w:sz="0" w:space="0" w:color="auto"/>
            <w:right w:val="none" w:sz="0" w:space="0" w:color="auto"/>
          </w:divBdr>
          <w:divsChild>
            <w:div w:id="1959140728">
              <w:marLeft w:val="0"/>
              <w:marRight w:val="0"/>
              <w:marTop w:val="0"/>
              <w:marBottom w:val="0"/>
              <w:divBdr>
                <w:top w:val="none" w:sz="0" w:space="0" w:color="auto"/>
                <w:left w:val="none" w:sz="0" w:space="0" w:color="auto"/>
                <w:bottom w:val="none" w:sz="0" w:space="0" w:color="auto"/>
                <w:right w:val="none" w:sz="0" w:space="0" w:color="auto"/>
              </w:divBdr>
            </w:div>
          </w:divsChild>
        </w:div>
        <w:div w:id="285700127">
          <w:marLeft w:val="0"/>
          <w:marRight w:val="0"/>
          <w:marTop w:val="0"/>
          <w:marBottom w:val="0"/>
          <w:divBdr>
            <w:top w:val="none" w:sz="0" w:space="0" w:color="auto"/>
            <w:left w:val="none" w:sz="0" w:space="0" w:color="auto"/>
            <w:bottom w:val="none" w:sz="0" w:space="0" w:color="auto"/>
            <w:right w:val="none" w:sz="0" w:space="0" w:color="auto"/>
          </w:divBdr>
          <w:divsChild>
            <w:div w:id="966275016">
              <w:marLeft w:val="0"/>
              <w:marRight w:val="0"/>
              <w:marTop w:val="0"/>
              <w:marBottom w:val="0"/>
              <w:divBdr>
                <w:top w:val="none" w:sz="0" w:space="0" w:color="auto"/>
                <w:left w:val="none" w:sz="0" w:space="0" w:color="auto"/>
                <w:bottom w:val="none" w:sz="0" w:space="0" w:color="auto"/>
                <w:right w:val="none" w:sz="0" w:space="0" w:color="auto"/>
              </w:divBdr>
            </w:div>
          </w:divsChild>
        </w:div>
        <w:div w:id="287587171">
          <w:marLeft w:val="0"/>
          <w:marRight w:val="0"/>
          <w:marTop w:val="0"/>
          <w:marBottom w:val="0"/>
          <w:divBdr>
            <w:top w:val="none" w:sz="0" w:space="0" w:color="auto"/>
            <w:left w:val="none" w:sz="0" w:space="0" w:color="auto"/>
            <w:bottom w:val="none" w:sz="0" w:space="0" w:color="auto"/>
            <w:right w:val="none" w:sz="0" w:space="0" w:color="auto"/>
          </w:divBdr>
          <w:divsChild>
            <w:div w:id="1033118946">
              <w:marLeft w:val="0"/>
              <w:marRight w:val="0"/>
              <w:marTop w:val="0"/>
              <w:marBottom w:val="0"/>
              <w:divBdr>
                <w:top w:val="none" w:sz="0" w:space="0" w:color="auto"/>
                <w:left w:val="none" w:sz="0" w:space="0" w:color="auto"/>
                <w:bottom w:val="none" w:sz="0" w:space="0" w:color="auto"/>
                <w:right w:val="none" w:sz="0" w:space="0" w:color="auto"/>
              </w:divBdr>
            </w:div>
          </w:divsChild>
        </w:div>
        <w:div w:id="300309617">
          <w:marLeft w:val="0"/>
          <w:marRight w:val="0"/>
          <w:marTop w:val="0"/>
          <w:marBottom w:val="0"/>
          <w:divBdr>
            <w:top w:val="none" w:sz="0" w:space="0" w:color="auto"/>
            <w:left w:val="none" w:sz="0" w:space="0" w:color="auto"/>
            <w:bottom w:val="none" w:sz="0" w:space="0" w:color="auto"/>
            <w:right w:val="none" w:sz="0" w:space="0" w:color="auto"/>
          </w:divBdr>
          <w:divsChild>
            <w:div w:id="652300661">
              <w:marLeft w:val="0"/>
              <w:marRight w:val="0"/>
              <w:marTop w:val="0"/>
              <w:marBottom w:val="0"/>
              <w:divBdr>
                <w:top w:val="none" w:sz="0" w:space="0" w:color="auto"/>
                <w:left w:val="none" w:sz="0" w:space="0" w:color="auto"/>
                <w:bottom w:val="none" w:sz="0" w:space="0" w:color="auto"/>
                <w:right w:val="none" w:sz="0" w:space="0" w:color="auto"/>
              </w:divBdr>
            </w:div>
          </w:divsChild>
        </w:div>
        <w:div w:id="308362248">
          <w:marLeft w:val="0"/>
          <w:marRight w:val="0"/>
          <w:marTop w:val="0"/>
          <w:marBottom w:val="0"/>
          <w:divBdr>
            <w:top w:val="none" w:sz="0" w:space="0" w:color="auto"/>
            <w:left w:val="none" w:sz="0" w:space="0" w:color="auto"/>
            <w:bottom w:val="none" w:sz="0" w:space="0" w:color="auto"/>
            <w:right w:val="none" w:sz="0" w:space="0" w:color="auto"/>
          </w:divBdr>
          <w:divsChild>
            <w:div w:id="832793665">
              <w:marLeft w:val="0"/>
              <w:marRight w:val="0"/>
              <w:marTop w:val="0"/>
              <w:marBottom w:val="0"/>
              <w:divBdr>
                <w:top w:val="none" w:sz="0" w:space="0" w:color="auto"/>
                <w:left w:val="none" w:sz="0" w:space="0" w:color="auto"/>
                <w:bottom w:val="none" w:sz="0" w:space="0" w:color="auto"/>
                <w:right w:val="none" w:sz="0" w:space="0" w:color="auto"/>
              </w:divBdr>
            </w:div>
          </w:divsChild>
        </w:div>
        <w:div w:id="312832286">
          <w:marLeft w:val="0"/>
          <w:marRight w:val="0"/>
          <w:marTop w:val="0"/>
          <w:marBottom w:val="0"/>
          <w:divBdr>
            <w:top w:val="none" w:sz="0" w:space="0" w:color="auto"/>
            <w:left w:val="none" w:sz="0" w:space="0" w:color="auto"/>
            <w:bottom w:val="none" w:sz="0" w:space="0" w:color="auto"/>
            <w:right w:val="none" w:sz="0" w:space="0" w:color="auto"/>
          </w:divBdr>
          <w:divsChild>
            <w:div w:id="993948767">
              <w:marLeft w:val="0"/>
              <w:marRight w:val="0"/>
              <w:marTop w:val="0"/>
              <w:marBottom w:val="0"/>
              <w:divBdr>
                <w:top w:val="none" w:sz="0" w:space="0" w:color="auto"/>
                <w:left w:val="none" w:sz="0" w:space="0" w:color="auto"/>
                <w:bottom w:val="none" w:sz="0" w:space="0" w:color="auto"/>
                <w:right w:val="none" w:sz="0" w:space="0" w:color="auto"/>
              </w:divBdr>
            </w:div>
          </w:divsChild>
        </w:div>
        <w:div w:id="322706009">
          <w:marLeft w:val="0"/>
          <w:marRight w:val="0"/>
          <w:marTop w:val="0"/>
          <w:marBottom w:val="0"/>
          <w:divBdr>
            <w:top w:val="none" w:sz="0" w:space="0" w:color="auto"/>
            <w:left w:val="none" w:sz="0" w:space="0" w:color="auto"/>
            <w:bottom w:val="none" w:sz="0" w:space="0" w:color="auto"/>
            <w:right w:val="none" w:sz="0" w:space="0" w:color="auto"/>
          </w:divBdr>
          <w:divsChild>
            <w:div w:id="443354120">
              <w:marLeft w:val="0"/>
              <w:marRight w:val="0"/>
              <w:marTop w:val="0"/>
              <w:marBottom w:val="0"/>
              <w:divBdr>
                <w:top w:val="none" w:sz="0" w:space="0" w:color="auto"/>
                <w:left w:val="none" w:sz="0" w:space="0" w:color="auto"/>
                <w:bottom w:val="none" w:sz="0" w:space="0" w:color="auto"/>
                <w:right w:val="none" w:sz="0" w:space="0" w:color="auto"/>
              </w:divBdr>
            </w:div>
          </w:divsChild>
        </w:div>
        <w:div w:id="346369530">
          <w:marLeft w:val="0"/>
          <w:marRight w:val="0"/>
          <w:marTop w:val="0"/>
          <w:marBottom w:val="0"/>
          <w:divBdr>
            <w:top w:val="none" w:sz="0" w:space="0" w:color="auto"/>
            <w:left w:val="none" w:sz="0" w:space="0" w:color="auto"/>
            <w:bottom w:val="none" w:sz="0" w:space="0" w:color="auto"/>
            <w:right w:val="none" w:sz="0" w:space="0" w:color="auto"/>
          </w:divBdr>
          <w:divsChild>
            <w:div w:id="318198026">
              <w:marLeft w:val="0"/>
              <w:marRight w:val="0"/>
              <w:marTop w:val="0"/>
              <w:marBottom w:val="0"/>
              <w:divBdr>
                <w:top w:val="none" w:sz="0" w:space="0" w:color="auto"/>
                <w:left w:val="none" w:sz="0" w:space="0" w:color="auto"/>
                <w:bottom w:val="none" w:sz="0" w:space="0" w:color="auto"/>
                <w:right w:val="none" w:sz="0" w:space="0" w:color="auto"/>
              </w:divBdr>
            </w:div>
          </w:divsChild>
        </w:div>
        <w:div w:id="347099641">
          <w:marLeft w:val="0"/>
          <w:marRight w:val="0"/>
          <w:marTop w:val="0"/>
          <w:marBottom w:val="0"/>
          <w:divBdr>
            <w:top w:val="none" w:sz="0" w:space="0" w:color="auto"/>
            <w:left w:val="none" w:sz="0" w:space="0" w:color="auto"/>
            <w:bottom w:val="none" w:sz="0" w:space="0" w:color="auto"/>
            <w:right w:val="none" w:sz="0" w:space="0" w:color="auto"/>
          </w:divBdr>
          <w:divsChild>
            <w:div w:id="634792593">
              <w:marLeft w:val="0"/>
              <w:marRight w:val="0"/>
              <w:marTop w:val="0"/>
              <w:marBottom w:val="0"/>
              <w:divBdr>
                <w:top w:val="none" w:sz="0" w:space="0" w:color="auto"/>
                <w:left w:val="none" w:sz="0" w:space="0" w:color="auto"/>
                <w:bottom w:val="none" w:sz="0" w:space="0" w:color="auto"/>
                <w:right w:val="none" w:sz="0" w:space="0" w:color="auto"/>
              </w:divBdr>
            </w:div>
          </w:divsChild>
        </w:div>
        <w:div w:id="354621571">
          <w:marLeft w:val="0"/>
          <w:marRight w:val="0"/>
          <w:marTop w:val="0"/>
          <w:marBottom w:val="0"/>
          <w:divBdr>
            <w:top w:val="none" w:sz="0" w:space="0" w:color="auto"/>
            <w:left w:val="none" w:sz="0" w:space="0" w:color="auto"/>
            <w:bottom w:val="none" w:sz="0" w:space="0" w:color="auto"/>
            <w:right w:val="none" w:sz="0" w:space="0" w:color="auto"/>
          </w:divBdr>
          <w:divsChild>
            <w:div w:id="1775318000">
              <w:marLeft w:val="0"/>
              <w:marRight w:val="0"/>
              <w:marTop w:val="0"/>
              <w:marBottom w:val="0"/>
              <w:divBdr>
                <w:top w:val="none" w:sz="0" w:space="0" w:color="auto"/>
                <w:left w:val="none" w:sz="0" w:space="0" w:color="auto"/>
                <w:bottom w:val="none" w:sz="0" w:space="0" w:color="auto"/>
                <w:right w:val="none" w:sz="0" w:space="0" w:color="auto"/>
              </w:divBdr>
            </w:div>
          </w:divsChild>
        </w:div>
        <w:div w:id="358356278">
          <w:marLeft w:val="0"/>
          <w:marRight w:val="0"/>
          <w:marTop w:val="0"/>
          <w:marBottom w:val="0"/>
          <w:divBdr>
            <w:top w:val="none" w:sz="0" w:space="0" w:color="auto"/>
            <w:left w:val="none" w:sz="0" w:space="0" w:color="auto"/>
            <w:bottom w:val="none" w:sz="0" w:space="0" w:color="auto"/>
            <w:right w:val="none" w:sz="0" w:space="0" w:color="auto"/>
          </w:divBdr>
          <w:divsChild>
            <w:div w:id="1348100507">
              <w:marLeft w:val="0"/>
              <w:marRight w:val="0"/>
              <w:marTop w:val="0"/>
              <w:marBottom w:val="0"/>
              <w:divBdr>
                <w:top w:val="none" w:sz="0" w:space="0" w:color="auto"/>
                <w:left w:val="none" w:sz="0" w:space="0" w:color="auto"/>
                <w:bottom w:val="none" w:sz="0" w:space="0" w:color="auto"/>
                <w:right w:val="none" w:sz="0" w:space="0" w:color="auto"/>
              </w:divBdr>
            </w:div>
          </w:divsChild>
        </w:div>
        <w:div w:id="358434314">
          <w:marLeft w:val="0"/>
          <w:marRight w:val="0"/>
          <w:marTop w:val="0"/>
          <w:marBottom w:val="0"/>
          <w:divBdr>
            <w:top w:val="none" w:sz="0" w:space="0" w:color="auto"/>
            <w:left w:val="none" w:sz="0" w:space="0" w:color="auto"/>
            <w:bottom w:val="none" w:sz="0" w:space="0" w:color="auto"/>
            <w:right w:val="none" w:sz="0" w:space="0" w:color="auto"/>
          </w:divBdr>
          <w:divsChild>
            <w:div w:id="980885693">
              <w:marLeft w:val="0"/>
              <w:marRight w:val="0"/>
              <w:marTop w:val="0"/>
              <w:marBottom w:val="0"/>
              <w:divBdr>
                <w:top w:val="none" w:sz="0" w:space="0" w:color="auto"/>
                <w:left w:val="none" w:sz="0" w:space="0" w:color="auto"/>
                <w:bottom w:val="none" w:sz="0" w:space="0" w:color="auto"/>
                <w:right w:val="none" w:sz="0" w:space="0" w:color="auto"/>
              </w:divBdr>
            </w:div>
          </w:divsChild>
        </w:div>
        <w:div w:id="360595158">
          <w:marLeft w:val="0"/>
          <w:marRight w:val="0"/>
          <w:marTop w:val="0"/>
          <w:marBottom w:val="0"/>
          <w:divBdr>
            <w:top w:val="none" w:sz="0" w:space="0" w:color="auto"/>
            <w:left w:val="none" w:sz="0" w:space="0" w:color="auto"/>
            <w:bottom w:val="none" w:sz="0" w:space="0" w:color="auto"/>
            <w:right w:val="none" w:sz="0" w:space="0" w:color="auto"/>
          </w:divBdr>
          <w:divsChild>
            <w:div w:id="1558588002">
              <w:marLeft w:val="0"/>
              <w:marRight w:val="0"/>
              <w:marTop w:val="0"/>
              <w:marBottom w:val="0"/>
              <w:divBdr>
                <w:top w:val="none" w:sz="0" w:space="0" w:color="auto"/>
                <w:left w:val="none" w:sz="0" w:space="0" w:color="auto"/>
                <w:bottom w:val="none" w:sz="0" w:space="0" w:color="auto"/>
                <w:right w:val="none" w:sz="0" w:space="0" w:color="auto"/>
              </w:divBdr>
            </w:div>
          </w:divsChild>
        </w:div>
        <w:div w:id="406655859">
          <w:marLeft w:val="0"/>
          <w:marRight w:val="0"/>
          <w:marTop w:val="0"/>
          <w:marBottom w:val="0"/>
          <w:divBdr>
            <w:top w:val="none" w:sz="0" w:space="0" w:color="auto"/>
            <w:left w:val="none" w:sz="0" w:space="0" w:color="auto"/>
            <w:bottom w:val="none" w:sz="0" w:space="0" w:color="auto"/>
            <w:right w:val="none" w:sz="0" w:space="0" w:color="auto"/>
          </w:divBdr>
          <w:divsChild>
            <w:div w:id="449588972">
              <w:marLeft w:val="0"/>
              <w:marRight w:val="0"/>
              <w:marTop w:val="0"/>
              <w:marBottom w:val="0"/>
              <w:divBdr>
                <w:top w:val="none" w:sz="0" w:space="0" w:color="auto"/>
                <w:left w:val="none" w:sz="0" w:space="0" w:color="auto"/>
                <w:bottom w:val="none" w:sz="0" w:space="0" w:color="auto"/>
                <w:right w:val="none" w:sz="0" w:space="0" w:color="auto"/>
              </w:divBdr>
            </w:div>
          </w:divsChild>
        </w:div>
        <w:div w:id="411857669">
          <w:marLeft w:val="0"/>
          <w:marRight w:val="0"/>
          <w:marTop w:val="0"/>
          <w:marBottom w:val="0"/>
          <w:divBdr>
            <w:top w:val="none" w:sz="0" w:space="0" w:color="auto"/>
            <w:left w:val="none" w:sz="0" w:space="0" w:color="auto"/>
            <w:bottom w:val="none" w:sz="0" w:space="0" w:color="auto"/>
            <w:right w:val="none" w:sz="0" w:space="0" w:color="auto"/>
          </w:divBdr>
          <w:divsChild>
            <w:div w:id="501434947">
              <w:marLeft w:val="0"/>
              <w:marRight w:val="0"/>
              <w:marTop w:val="0"/>
              <w:marBottom w:val="0"/>
              <w:divBdr>
                <w:top w:val="none" w:sz="0" w:space="0" w:color="auto"/>
                <w:left w:val="none" w:sz="0" w:space="0" w:color="auto"/>
                <w:bottom w:val="none" w:sz="0" w:space="0" w:color="auto"/>
                <w:right w:val="none" w:sz="0" w:space="0" w:color="auto"/>
              </w:divBdr>
            </w:div>
          </w:divsChild>
        </w:div>
        <w:div w:id="415786218">
          <w:marLeft w:val="0"/>
          <w:marRight w:val="0"/>
          <w:marTop w:val="0"/>
          <w:marBottom w:val="0"/>
          <w:divBdr>
            <w:top w:val="none" w:sz="0" w:space="0" w:color="auto"/>
            <w:left w:val="none" w:sz="0" w:space="0" w:color="auto"/>
            <w:bottom w:val="none" w:sz="0" w:space="0" w:color="auto"/>
            <w:right w:val="none" w:sz="0" w:space="0" w:color="auto"/>
          </w:divBdr>
          <w:divsChild>
            <w:div w:id="652490840">
              <w:marLeft w:val="0"/>
              <w:marRight w:val="0"/>
              <w:marTop w:val="0"/>
              <w:marBottom w:val="0"/>
              <w:divBdr>
                <w:top w:val="none" w:sz="0" w:space="0" w:color="auto"/>
                <w:left w:val="none" w:sz="0" w:space="0" w:color="auto"/>
                <w:bottom w:val="none" w:sz="0" w:space="0" w:color="auto"/>
                <w:right w:val="none" w:sz="0" w:space="0" w:color="auto"/>
              </w:divBdr>
            </w:div>
          </w:divsChild>
        </w:div>
        <w:div w:id="417599430">
          <w:marLeft w:val="0"/>
          <w:marRight w:val="0"/>
          <w:marTop w:val="0"/>
          <w:marBottom w:val="0"/>
          <w:divBdr>
            <w:top w:val="none" w:sz="0" w:space="0" w:color="auto"/>
            <w:left w:val="none" w:sz="0" w:space="0" w:color="auto"/>
            <w:bottom w:val="none" w:sz="0" w:space="0" w:color="auto"/>
            <w:right w:val="none" w:sz="0" w:space="0" w:color="auto"/>
          </w:divBdr>
          <w:divsChild>
            <w:div w:id="1403334750">
              <w:marLeft w:val="0"/>
              <w:marRight w:val="0"/>
              <w:marTop w:val="0"/>
              <w:marBottom w:val="0"/>
              <w:divBdr>
                <w:top w:val="none" w:sz="0" w:space="0" w:color="auto"/>
                <w:left w:val="none" w:sz="0" w:space="0" w:color="auto"/>
                <w:bottom w:val="none" w:sz="0" w:space="0" w:color="auto"/>
                <w:right w:val="none" w:sz="0" w:space="0" w:color="auto"/>
              </w:divBdr>
            </w:div>
          </w:divsChild>
        </w:div>
        <w:div w:id="420834772">
          <w:marLeft w:val="0"/>
          <w:marRight w:val="0"/>
          <w:marTop w:val="0"/>
          <w:marBottom w:val="0"/>
          <w:divBdr>
            <w:top w:val="none" w:sz="0" w:space="0" w:color="auto"/>
            <w:left w:val="none" w:sz="0" w:space="0" w:color="auto"/>
            <w:bottom w:val="none" w:sz="0" w:space="0" w:color="auto"/>
            <w:right w:val="none" w:sz="0" w:space="0" w:color="auto"/>
          </w:divBdr>
          <w:divsChild>
            <w:div w:id="969214323">
              <w:marLeft w:val="0"/>
              <w:marRight w:val="0"/>
              <w:marTop w:val="0"/>
              <w:marBottom w:val="0"/>
              <w:divBdr>
                <w:top w:val="none" w:sz="0" w:space="0" w:color="auto"/>
                <w:left w:val="none" w:sz="0" w:space="0" w:color="auto"/>
                <w:bottom w:val="none" w:sz="0" w:space="0" w:color="auto"/>
                <w:right w:val="none" w:sz="0" w:space="0" w:color="auto"/>
              </w:divBdr>
            </w:div>
          </w:divsChild>
        </w:div>
        <w:div w:id="429008326">
          <w:marLeft w:val="0"/>
          <w:marRight w:val="0"/>
          <w:marTop w:val="0"/>
          <w:marBottom w:val="0"/>
          <w:divBdr>
            <w:top w:val="none" w:sz="0" w:space="0" w:color="auto"/>
            <w:left w:val="none" w:sz="0" w:space="0" w:color="auto"/>
            <w:bottom w:val="none" w:sz="0" w:space="0" w:color="auto"/>
            <w:right w:val="none" w:sz="0" w:space="0" w:color="auto"/>
          </w:divBdr>
          <w:divsChild>
            <w:div w:id="1086147406">
              <w:marLeft w:val="0"/>
              <w:marRight w:val="0"/>
              <w:marTop w:val="0"/>
              <w:marBottom w:val="0"/>
              <w:divBdr>
                <w:top w:val="none" w:sz="0" w:space="0" w:color="auto"/>
                <w:left w:val="none" w:sz="0" w:space="0" w:color="auto"/>
                <w:bottom w:val="none" w:sz="0" w:space="0" w:color="auto"/>
                <w:right w:val="none" w:sz="0" w:space="0" w:color="auto"/>
              </w:divBdr>
            </w:div>
          </w:divsChild>
        </w:div>
        <w:div w:id="432169129">
          <w:marLeft w:val="0"/>
          <w:marRight w:val="0"/>
          <w:marTop w:val="0"/>
          <w:marBottom w:val="0"/>
          <w:divBdr>
            <w:top w:val="none" w:sz="0" w:space="0" w:color="auto"/>
            <w:left w:val="none" w:sz="0" w:space="0" w:color="auto"/>
            <w:bottom w:val="none" w:sz="0" w:space="0" w:color="auto"/>
            <w:right w:val="none" w:sz="0" w:space="0" w:color="auto"/>
          </w:divBdr>
          <w:divsChild>
            <w:div w:id="1321426267">
              <w:marLeft w:val="0"/>
              <w:marRight w:val="0"/>
              <w:marTop w:val="0"/>
              <w:marBottom w:val="0"/>
              <w:divBdr>
                <w:top w:val="none" w:sz="0" w:space="0" w:color="auto"/>
                <w:left w:val="none" w:sz="0" w:space="0" w:color="auto"/>
                <w:bottom w:val="none" w:sz="0" w:space="0" w:color="auto"/>
                <w:right w:val="none" w:sz="0" w:space="0" w:color="auto"/>
              </w:divBdr>
            </w:div>
          </w:divsChild>
        </w:div>
        <w:div w:id="441461736">
          <w:marLeft w:val="0"/>
          <w:marRight w:val="0"/>
          <w:marTop w:val="0"/>
          <w:marBottom w:val="0"/>
          <w:divBdr>
            <w:top w:val="none" w:sz="0" w:space="0" w:color="auto"/>
            <w:left w:val="none" w:sz="0" w:space="0" w:color="auto"/>
            <w:bottom w:val="none" w:sz="0" w:space="0" w:color="auto"/>
            <w:right w:val="none" w:sz="0" w:space="0" w:color="auto"/>
          </w:divBdr>
          <w:divsChild>
            <w:div w:id="30955427">
              <w:marLeft w:val="0"/>
              <w:marRight w:val="0"/>
              <w:marTop w:val="0"/>
              <w:marBottom w:val="0"/>
              <w:divBdr>
                <w:top w:val="none" w:sz="0" w:space="0" w:color="auto"/>
                <w:left w:val="none" w:sz="0" w:space="0" w:color="auto"/>
                <w:bottom w:val="none" w:sz="0" w:space="0" w:color="auto"/>
                <w:right w:val="none" w:sz="0" w:space="0" w:color="auto"/>
              </w:divBdr>
            </w:div>
          </w:divsChild>
        </w:div>
        <w:div w:id="463041212">
          <w:marLeft w:val="0"/>
          <w:marRight w:val="0"/>
          <w:marTop w:val="0"/>
          <w:marBottom w:val="0"/>
          <w:divBdr>
            <w:top w:val="none" w:sz="0" w:space="0" w:color="auto"/>
            <w:left w:val="none" w:sz="0" w:space="0" w:color="auto"/>
            <w:bottom w:val="none" w:sz="0" w:space="0" w:color="auto"/>
            <w:right w:val="none" w:sz="0" w:space="0" w:color="auto"/>
          </w:divBdr>
          <w:divsChild>
            <w:div w:id="891382762">
              <w:marLeft w:val="0"/>
              <w:marRight w:val="0"/>
              <w:marTop w:val="0"/>
              <w:marBottom w:val="0"/>
              <w:divBdr>
                <w:top w:val="none" w:sz="0" w:space="0" w:color="auto"/>
                <w:left w:val="none" w:sz="0" w:space="0" w:color="auto"/>
                <w:bottom w:val="none" w:sz="0" w:space="0" w:color="auto"/>
                <w:right w:val="none" w:sz="0" w:space="0" w:color="auto"/>
              </w:divBdr>
            </w:div>
          </w:divsChild>
        </w:div>
        <w:div w:id="474029397">
          <w:marLeft w:val="0"/>
          <w:marRight w:val="0"/>
          <w:marTop w:val="0"/>
          <w:marBottom w:val="0"/>
          <w:divBdr>
            <w:top w:val="none" w:sz="0" w:space="0" w:color="auto"/>
            <w:left w:val="none" w:sz="0" w:space="0" w:color="auto"/>
            <w:bottom w:val="none" w:sz="0" w:space="0" w:color="auto"/>
            <w:right w:val="none" w:sz="0" w:space="0" w:color="auto"/>
          </w:divBdr>
          <w:divsChild>
            <w:div w:id="664167832">
              <w:marLeft w:val="0"/>
              <w:marRight w:val="0"/>
              <w:marTop w:val="0"/>
              <w:marBottom w:val="0"/>
              <w:divBdr>
                <w:top w:val="none" w:sz="0" w:space="0" w:color="auto"/>
                <w:left w:val="none" w:sz="0" w:space="0" w:color="auto"/>
                <w:bottom w:val="none" w:sz="0" w:space="0" w:color="auto"/>
                <w:right w:val="none" w:sz="0" w:space="0" w:color="auto"/>
              </w:divBdr>
            </w:div>
          </w:divsChild>
        </w:div>
        <w:div w:id="480005916">
          <w:marLeft w:val="0"/>
          <w:marRight w:val="0"/>
          <w:marTop w:val="0"/>
          <w:marBottom w:val="0"/>
          <w:divBdr>
            <w:top w:val="none" w:sz="0" w:space="0" w:color="auto"/>
            <w:left w:val="none" w:sz="0" w:space="0" w:color="auto"/>
            <w:bottom w:val="none" w:sz="0" w:space="0" w:color="auto"/>
            <w:right w:val="none" w:sz="0" w:space="0" w:color="auto"/>
          </w:divBdr>
          <w:divsChild>
            <w:div w:id="595866675">
              <w:marLeft w:val="0"/>
              <w:marRight w:val="0"/>
              <w:marTop w:val="0"/>
              <w:marBottom w:val="0"/>
              <w:divBdr>
                <w:top w:val="none" w:sz="0" w:space="0" w:color="auto"/>
                <w:left w:val="none" w:sz="0" w:space="0" w:color="auto"/>
                <w:bottom w:val="none" w:sz="0" w:space="0" w:color="auto"/>
                <w:right w:val="none" w:sz="0" w:space="0" w:color="auto"/>
              </w:divBdr>
            </w:div>
          </w:divsChild>
        </w:div>
        <w:div w:id="480850835">
          <w:marLeft w:val="0"/>
          <w:marRight w:val="0"/>
          <w:marTop w:val="0"/>
          <w:marBottom w:val="0"/>
          <w:divBdr>
            <w:top w:val="none" w:sz="0" w:space="0" w:color="auto"/>
            <w:left w:val="none" w:sz="0" w:space="0" w:color="auto"/>
            <w:bottom w:val="none" w:sz="0" w:space="0" w:color="auto"/>
            <w:right w:val="none" w:sz="0" w:space="0" w:color="auto"/>
          </w:divBdr>
          <w:divsChild>
            <w:div w:id="304743842">
              <w:marLeft w:val="0"/>
              <w:marRight w:val="0"/>
              <w:marTop w:val="0"/>
              <w:marBottom w:val="0"/>
              <w:divBdr>
                <w:top w:val="none" w:sz="0" w:space="0" w:color="auto"/>
                <w:left w:val="none" w:sz="0" w:space="0" w:color="auto"/>
                <w:bottom w:val="none" w:sz="0" w:space="0" w:color="auto"/>
                <w:right w:val="none" w:sz="0" w:space="0" w:color="auto"/>
              </w:divBdr>
            </w:div>
          </w:divsChild>
        </w:div>
        <w:div w:id="503319163">
          <w:marLeft w:val="0"/>
          <w:marRight w:val="0"/>
          <w:marTop w:val="0"/>
          <w:marBottom w:val="0"/>
          <w:divBdr>
            <w:top w:val="none" w:sz="0" w:space="0" w:color="auto"/>
            <w:left w:val="none" w:sz="0" w:space="0" w:color="auto"/>
            <w:bottom w:val="none" w:sz="0" w:space="0" w:color="auto"/>
            <w:right w:val="none" w:sz="0" w:space="0" w:color="auto"/>
          </w:divBdr>
          <w:divsChild>
            <w:div w:id="1767531371">
              <w:marLeft w:val="0"/>
              <w:marRight w:val="0"/>
              <w:marTop w:val="0"/>
              <w:marBottom w:val="0"/>
              <w:divBdr>
                <w:top w:val="none" w:sz="0" w:space="0" w:color="auto"/>
                <w:left w:val="none" w:sz="0" w:space="0" w:color="auto"/>
                <w:bottom w:val="none" w:sz="0" w:space="0" w:color="auto"/>
                <w:right w:val="none" w:sz="0" w:space="0" w:color="auto"/>
              </w:divBdr>
            </w:div>
          </w:divsChild>
        </w:div>
        <w:div w:id="511146791">
          <w:marLeft w:val="0"/>
          <w:marRight w:val="0"/>
          <w:marTop w:val="0"/>
          <w:marBottom w:val="0"/>
          <w:divBdr>
            <w:top w:val="none" w:sz="0" w:space="0" w:color="auto"/>
            <w:left w:val="none" w:sz="0" w:space="0" w:color="auto"/>
            <w:bottom w:val="none" w:sz="0" w:space="0" w:color="auto"/>
            <w:right w:val="none" w:sz="0" w:space="0" w:color="auto"/>
          </w:divBdr>
          <w:divsChild>
            <w:div w:id="1173297701">
              <w:marLeft w:val="0"/>
              <w:marRight w:val="0"/>
              <w:marTop w:val="0"/>
              <w:marBottom w:val="0"/>
              <w:divBdr>
                <w:top w:val="none" w:sz="0" w:space="0" w:color="auto"/>
                <w:left w:val="none" w:sz="0" w:space="0" w:color="auto"/>
                <w:bottom w:val="none" w:sz="0" w:space="0" w:color="auto"/>
                <w:right w:val="none" w:sz="0" w:space="0" w:color="auto"/>
              </w:divBdr>
            </w:div>
          </w:divsChild>
        </w:div>
        <w:div w:id="512961544">
          <w:marLeft w:val="0"/>
          <w:marRight w:val="0"/>
          <w:marTop w:val="0"/>
          <w:marBottom w:val="0"/>
          <w:divBdr>
            <w:top w:val="none" w:sz="0" w:space="0" w:color="auto"/>
            <w:left w:val="none" w:sz="0" w:space="0" w:color="auto"/>
            <w:bottom w:val="none" w:sz="0" w:space="0" w:color="auto"/>
            <w:right w:val="none" w:sz="0" w:space="0" w:color="auto"/>
          </w:divBdr>
          <w:divsChild>
            <w:div w:id="981033578">
              <w:marLeft w:val="0"/>
              <w:marRight w:val="0"/>
              <w:marTop w:val="0"/>
              <w:marBottom w:val="0"/>
              <w:divBdr>
                <w:top w:val="none" w:sz="0" w:space="0" w:color="auto"/>
                <w:left w:val="none" w:sz="0" w:space="0" w:color="auto"/>
                <w:bottom w:val="none" w:sz="0" w:space="0" w:color="auto"/>
                <w:right w:val="none" w:sz="0" w:space="0" w:color="auto"/>
              </w:divBdr>
            </w:div>
          </w:divsChild>
        </w:div>
        <w:div w:id="529102137">
          <w:marLeft w:val="0"/>
          <w:marRight w:val="0"/>
          <w:marTop w:val="0"/>
          <w:marBottom w:val="0"/>
          <w:divBdr>
            <w:top w:val="none" w:sz="0" w:space="0" w:color="auto"/>
            <w:left w:val="none" w:sz="0" w:space="0" w:color="auto"/>
            <w:bottom w:val="none" w:sz="0" w:space="0" w:color="auto"/>
            <w:right w:val="none" w:sz="0" w:space="0" w:color="auto"/>
          </w:divBdr>
          <w:divsChild>
            <w:div w:id="1088115051">
              <w:marLeft w:val="0"/>
              <w:marRight w:val="0"/>
              <w:marTop w:val="0"/>
              <w:marBottom w:val="0"/>
              <w:divBdr>
                <w:top w:val="none" w:sz="0" w:space="0" w:color="auto"/>
                <w:left w:val="none" w:sz="0" w:space="0" w:color="auto"/>
                <w:bottom w:val="none" w:sz="0" w:space="0" w:color="auto"/>
                <w:right w:val="none" w:sz="0" w:space="0" w:color="auto"/>
              </w:divBdr>
            </w:div>
          </w:divsChild>
        </w:div>
        <w:div w:id="540558805">
          <w:marLeft w:val="0"/>
          <w:marRight w:val="0"/>
          <w:marTop w:val="0"/>
          <w:marBottom w:val="0"/>
          <w:divBdr>
            <w:top w:val="none" w:sz="0" w:space="0" w:color="auto"/>
            <w:left w:val="none" w:sz="0" w:space="0" w:color="auto"/>
            <w:bottom w:val="none" w:sz="0" w:space="0" w:color="auto"/>
            <w:right w:val="none" w:sz="0" w:space="0" w:color="auto"/>
          </w:divBdr>
          <w:divsChild>
            <w:div w:id="1695228928">
              <w:marLeft w:val="0"/>
              <w:marRight w:val="0"/>
              <w:marTop w:val="0"/>
              <w:marBottom w:val="0"/>
              <w:divBdr>
                <w:top w:val="none" w:sz="0" w:space="0" w:color="auto"/>
                <w:left w:val="none" w:sz="0" w:space="0" w:color="auto"/>
                <w:bottom w:val="none" w:sz="0" w:space="0" w:color="auto"/>
                <w:right w:val="none" w:sz="0" w:space="0" w:color="auto"/>
              </w:divBdr>
            </w:div>
          </w:divsChild>
        </w:div>
        <w:div w:id="547838744">
          <w:marLeft w:val="0"/>
          <w:marRight w:val="0"/>
          <w:marTop w:val="0"/>
          <w:marBottom w:val="0"/>
          <w:divBdr>
            <w:top w:val="none" w:sz="0" w:space="0" w:color="auto"/>
            <w:left w:val="none" w:sz="0" w:space="0" w:color="auto"/>
            <w:bottom w:val="none" w:sz="0" w:space="0" w:color="auto"/>
            <w:right w:val="none" w:sz="0" w:space="0" w:color="auto"/>
          </w:divBdr>
          <w:divsChild>
            <w:div w:id="6451148">
              <w:marLeft w:val="0"/>
              <w:marRight w:val="0"/>
              <w:marTop w:val="0"/>
              <w:marBottom w:val="0"/>
              <w:divBdr>
                <w:top w:val="none" w:sz="0" w:space="0" w:color="auto"/>
                <w:left w:val="none" w:sz="0" w:space="0" w:color="auto"/>
                <w:bottom w:val="none" w:sz="0" w:space="0" w:color="auto"/>
                <w:right w:val="none" w:sz="0" w:space="0" w:color="auto"/>
              </w:divBdr>
            </w:div>
          </w:divsChild>
        </w:div>
        <w:div w:id="557283243">
          <w:marLeft w:val="0"/>
          <w:marRight w:val="0"/>
          <w:marTop w:val="0"/>
          <w:marBottom w:val="0"/>
          <w:divBdr>
            <w:top w:val="none" w:sz="0" w:space="0" w:color="auto"/>
            <w:left w:val="none" w:sz="0" w:space="0" w:color="auto"/>
            <w:bottom w:val="none" w:sz="0" w:space="0" w:color="auto"/>
            <w:right w:val="none" w:sz="0" w:space="0" w:color="auto"/>
          </w:divBdr>
          <w:divsChild>
            <w:div w:id="1826782017">
              <w:marLeft w:val="0"/>
              <w:marRight w:val="0"/>
              <w:marTop w:val="0"/>
              <w:marBottom w:val="0"/>
              <w:divBdr>
                <w:top w:val="none" w:sz="0" w:space="0" w:color="auto"/>
                <w:left w:val="none" w:sz="0" w:space="0" w:color="auto"/>
                <w:bottom w:val="none" w:sz="0" w:space="0" w:color="auto"/>
                <w:right w:val="none" w:sz="0" w:space="0" w:color="auto"/>
              </w:divBdr>
            </w:div>
          </w:divsChild>
        </w:div>
        <w:div w:id="563640935">
          <w:marLeft w:val="0"/>
          <w:marRight w:val="0"/>
          <w:marTop w:val="0"/>
          <w:marBottom w:val="0"/>
          <w:divBdr>
            <w:top w:val="none" w:sz="0" w:space="0" w:color="auto"/>
            <w:left w:val="none" w:sz="0" w:space="0" w:color="auto"/>
            <w:bottom w:val="none" w:sz="0" w:space="0" w:color="auto"/>
            <w:right w:val="none" w:sz="0" w:space="0" w:color="auto"/>
          </w:divBdr>
          <w:divsChild>
            <w:div w:id="1137450490">
              <w:marLeft w:val="0"/>
              <w:marRight w:val="0"/>
              <w:marTop w:val="0"/>
              <w:marBottom w:val="0"/>
              <w:divBdr>
                <w:top w:val="none" w:sz="0" w:space="0" w:color="auto"/>
                <w:left w:val="none" w:sz="0" w:space="0" w:color="auto"/>
                <w:bottom w:val="none" w:sz="0" w:space="0" w:color="auto"/>
                <w:right w:val="none" w:sz="0" w:space="0" w:color="auto"/>
              </w:divBdr>
            </w:div>
          </w:divsChild>
        </w:div>
        <w:div w:id="569652230">
          <w:marLeft w:val="0"/>
          <w:marRight w:val="0"/>
          <w:marTop w:val="0"/>
          <w:marBottom w:val="0"/>
          <w:divBdr>
            <w:top w:val="none" w:sz="0" w:space="0" w:color="auto"/>
            <w:left w:val="none" w:sz="0" w:space="0" w:color="auto"/>
            <w:bottom w:val="none" w:sz="0" w:space="0" w:color="auto"/>
            <w:right w:val="none" w:sz="0" w:space="0" w:color="auto"/>
          </w:divBdr>
          <w:divsChild>
            <w:div w:id="204148748">
              <w:marLeft w:val="0"/>
              <w:marRight w:val="0"/>
              <w:marTop w:val="0"/>
              <w:marBottom w:val="0"/>
              <w:divBdr>
                <w:top w:val="none" w:sz="0" w:space="0" w:color="auto"/>
                <w:left w:val="none" w:sz="0" w:space="0" w:color="auto"/>
                <w:bottom w:val="none" w:sz="0" w:space="0" w:color="auto"/>
                <w:right w:val="none" w:sz="0" w:space="0" w:color="auto"/>
              </w:divBdr>
            </w:div>
          </w:divsChild>
        </w:div>
        <w:div w:id="582030597">
          <w:marLeft w:val="0"/>
          <w:marRight w:val="0"/>
          <w:marTop w:val="0"/>
          <w:marBottom w:val="0"/>
          <w:divBdr>
            <w:top w:val="none" w:sz="0" w:space="0" w:color="auto"/>
            <w:left w:val="none" w:sz="0" w:space="0" w:color="auto"/>
            <w:bottom w:val="none" w:sz="0" w:space="0" w:color="auto"/>
            <w:right w:val="none" w:sz="0" w:space="0" w:color="auto"/>
          </w:divBdr>
          <w:divsChild>
            <w:div w:id="323513502">
              <w:marLeft w:val="0"/>
              <w:marRight w:val="0"/>
              <w:marTop w:val="0"/>
              <w:marBottom w:val="0"/>
              <w:divBdr>
                <w:top w:val="none" w:sz="0" w:space="0" w:color="auto"/>
                <w:left w:val="none" w:sz="0" w:space="0" w:color="auto"/>
                <w:bottom w:val="none" w:sz="0" w:space="0" w:color="auto"/>
                <w:right w:val="none" w:sz="0" w:space="0" w:color="auto"/>
              </w:divBdr>
            </w:div>
          </w:divsChild>
        </w:div>
        <w:div w:id="584607815">
          <w:marLeft w:val="0"/>
          <w:marRight w:val="0"/>
          <w:marTop w:val="0"/>
          <w:marBottom w:val="0"/>
          <w:divBdr>
            <w:top w:val="none" w:sz="0" w:space="0" w:color="auto"/>
            <w:left w:val="none" w:sz="0" w:space="0" w:color="auto"/>
            <w:bottom w:val="none" w:sz="0" w:space="0" w:color="auto"/>
            <w:right w:val="none" w:sz="0" w:space="0" w:color="auto"/>
          </w:divBdr>
          <w:divsChild>
            <w:div w:id="1968780126">
              <w:marLeft w:val="0"/>
              <w:marRight w:val="0"/>
              <w:marTop w:val="0"/>
              <w:marBottom w:val="0"/>
              <w:divBdr>
                <w:top w:val="none" w:sz="0" w:space="0" w:color="auto"/>
                <w:left w:val="none" w:sz="0" w:space="0" w:color="auto"/>
                <w:bottom w:val="none" w:sz="0" w:space="0" w:color="auto"/>
                <w:right w:val="none" w:sz="0" w:space="0" w:color="auto"/>
              </w:divBdr>
            </w:div>
          </w:divsChild>
        </w:div>
        <w:div w:id="597181544">
          <w:marLeft w:val="0"/>
          <w:marRight w:val="0"/>
          <w:marTop w:val="0"/>
          <w:marBottom w:val="0"/>
          <w:divBdr>
            <w:top w:val="none" w:sz="0" w:space="0" w:color="auto"/>
            <w:left w:val="none" w:sz="0" w:space="0" w:color="auto"/>
            <w:bottom w:val="none" w:sz="0" w:space="0" w:color="auto"/>
            <w:right w:val="none" w:sz="0" w:space="0" w:color="auto"/>
          </w:divBdr>
          <w:divsChild>
            <w:div w:id="1057972385">
              <w:marLeft w:val="0"/>
              <w:marRight w:val="0"/>
              <w:marTop w:val="0"/>
              <w:marBottom w:val="0"/>
              <w:divBdr>
                <w:top w:val="none" w:sz="0" w:space="0" w:color="auto"/>
                <w:left w:val="none" w:sz="0" w:space="0" w:color="auto"/>
                <w:bottom w:val="none" w:sz="0" w:space="0" w:color="auto"/>
                <w:right w:val="none" w:sz="0" w:space="0" w:color="auto"/>
              </w:divBdr>
            </w:div>
          </w:divsChild>
        </w:div>
        <w:div w:id="600333684">
          <w:marLeft w:val="0"/>
          <w:marRight w:val="0"/>
          <w:marTop w:val="0"/>
          <w:marBottom w:val="0"/>
          <w:divBdr>
            <w:top w:val="none" w:sz="0" w:space="0" w:color="auto"/>
            <w:left w:val="none" w:sz="0" w:space="0" w:color="auto"/>
            <w:bottom w:val="none" w:sz="0" w:space="0" w:color="auto"/>
            <w:right w:val="none" w:sz="0" w:space="0" w:color="auto"/>
          </w:divBdr>
          <w:divsChild>
            <w:div w:id="68813481">
              <w:marLeft w:val="0"/>
              <w:marRight w:val="0"/>
              <w:marTop w:val="0"/>
              <w:marBottom w:val="0"/>
              <w:divBdr>
                <w:top w:val="none" w:sz="0" w:space="0" w:color="auto"/>
                <w:left w:val="none" w:sz="0" w:space="0" w:color="auto"/>
                <w:bottom w:val="none" w:sz="0" w:space="0" w:color="auto"/>
                <w:right w:val="none" w:sz="0" w:space="0" w:color="auto"/>
              </w:divBdr>
            </w:div>
          </w:divsChild>
        </w:div>
        <w:div w:id="607085983">
          <w:marLeft w:val="0"/>
          <w:marRight w:val="0"/>
          <w:marTop w:val="0"/>
          <w:marBottom w:val="0"/>
          <w:divBdr>
            <w:top w:val="none" w:sz="0" w:space="0" w:color="auto"/>
            <w:left w:val="none" w:sz="0" w:space="0" w:color="auto"/>
            <w:bottom w:val="none" w:sz="0" w:space="0" w:color="auto"/>
            <w:right w:val="none" w:sz="0" w:space="0" w:color="auto"/>
          </w:divBdr>
          <w:divsChild>
            <w:div w:id="1720468802">
              <w:marLeft w:val="0"/>
              <w:marRight w:val="0"/>
              <w:marTop w:val="0"/>
              <w:marBottom w:val="0"/>
              <w:divBdr>
                <w:top w:val="none" w:sz="0" w:space="0" w:color="auto"/>
                <w:left w:val="none" w:sz="0" w:space="0" w:color="auto"/>
                <w:bottom w:val="none" w:sz="0" w:space="0" w:color="auto"/>
                <w:right w:val="none" w:sz="0" w:space="0" w:color="auto"/>
              </w:divBdr>
            </w:div>
          </w:divsChild>
        </w:div>
        <w:div w:id="611284723">
          <w:marLeft w:val="0"/>
          <w:marRight w:val="0"/>
          <w:marTop w:val="0"/>
          <w:marBottom w:val="0"/>
          <w:divBdr>
            <w:top w:val="none" w:sz="0" w:space="0" w:color="auto"/>
            <w:left w:val="none" w:sz="0" w:space="0" w:color="auto"/>
            <w:bottom w:val="none" w:sz="0" w:space="0" w:color="auto"/>
            <w:right w:val="none" w:sz="0" w:space="0" w:color="auto"/>
          </w:divBdr>
          <w:divsChild>
            <w:div w:id="1592155540">
              <w:marLeft w:val="0"/>
              <w:marRight w:val="0"/>
              <w:marTop w:val="0"/>
              <w:marBottom w:val="0"/>
              <w:divBdr>
                <w:top w:val="none" w:sz="0" w:space="0" w:color="auto"/>
                <w:left w:val="none" w:sz="0" w:space="0" w:color="auto"/>
                <w:bottom w:val="none" w:sz="0" w:space="0" w:color="auto"/>
                <w:right w:val="none" w:sz="0" w:space="0" w:color="auto"/>
              </w:divBdr>
            </w:div>
          </w:divsChild>
        </w:div>
        <w:div w:id="620378747">
          <w:marLeft w:val="0"/>
          <w:marRight w:val="0"/>
          <w:marTop w:val="0"/>
          <w:marBottom w:val="0"/>
          <w:divBdr>
            <w:top w:val="none" w:sz="0" w:space="0" w:color="auto"/>
            <w:left w:val="none" w:sz="0" w:space="0" w:color="auto"/>
            <w:bottom w:val="none" w:sz="0" w:space="0" w:color="auto"/>
            <w:right w:val="none" w:sz="0" w:space="0" w:color="auto"/>
          </w:divBdr>
          <w:divsChild>
            <w:div w:id="1207134286">
              <w:marLeft w:val="0"/>
              <w:marRight w:val="0"/>
              <w:marTop w:val="0"/>
              <w:marBottom w:val="0"/>
              <w:divBdr>
                <w:top w:val="none" w:sz="0" w:space="0" w:color="auto"/>
                <w:left w:val="none" w:sz="0" w:space="0" w:color="auto"/>
                <w:bottom w:val="none" w:sz="0" w:space="0" w:color="auto"/>
                <w:right w:val="none" w:sz="0" w:space="0" w:color="auto"/>
              </w:divBdr>
            </w:div>
          </w:divsChild>
        </w:div>
        <w:div w:id="624311161">
          <w:marLeft w:val="0"/>
          <w:marRight w:val="0"/>
          <w:marTop w:val="0"/>
          <w:marBottom w:val="0"/>
          <w:divBdr>
            <w:top w:val="none" w:sz="0" w:space="0" w:color="auto"/>
            <w:left w:val="none" w:sz="0" w:space="0" w:color="auto"/>
            <w:bottom w:val="none" w:sz="0" w:space="0" w:color="auto"/>
            <w:right w:val="none" w:sz="0" w:space="0" w:color="auto"/>
          </w:divBdr>
          <w:divsChild>
            <w:div w:id="2037269620">
              <w:marLeft w:val="0"/>
              <w:marRight w:val="0"/>
              <w:marTop w:val="0"/>
              <w:marBottom w:val="0"/>
              <w:divBdr>
                <w:top w:val="none" w:sz="0" w:space="0" w:color="auto"/>
                <w:left w:val="none" w:sz="0" w:space="0" w:color="auto"/>
                <w:bottom w:val="none" w:sz="0" w:space="0" w:color="auto"/>
                <w:right w:val="none" w:sz="0" w:space="0" w:color="auto"/>
              </w:divBdr>
            </w:div>
          </w:divsChild>
        </w:div>
        <w:div w:id="627275957">
          <w:marLeft w:val="0"/>
          <w:marRight w:val="0"/>
          <w:marTop w:val="0"/>
          <w:marBottom w:val="0"/>
          <w:divBdr>
            <w:top w:val="none" w:sz="0" w:space="0" w:color="auto"/>
            <w:left w:val="none" w:sz="0" w:space="0" w:color="auto"/>
            <w:bottom w:val="none" w:sz="0" w:space="0" w:color="auto"/>
            <w:right w:val="none" w:sz="0" w:space="0" w:color="auto"/>
          </w:divBdr>
          <w:divsChild>
            <w:div w:id="588806924">
              <w:marLeft w:val="0"/>
              <w:marRight w:val="0"/>
              <w:marTop w:val="0"/>
              <w:marBottom w:val="0"/>
              <w:divBdr>
                <w:top w:val="none" w:sz="0" w:space="0" w:color="auto"/>
                <w:left w:val="none" w:sz="0" w:space="0" w:color="auto"/>
                <w:bottom w:val="none" w:sz="0" w:space="0" w:color="auto"/>
                <w:right w:val="none" w:sz="0" w:space="0" w:color="auto"/>
              </w:divBdr>
            </w:div>
          </w:divsChild>
        </w:div>
        <w:div w:id="629214931">
          <w:marLeft w:val="0"/>
          <w:marRight w:val="0"/>
          <w:marTop w:val="0"/>
          <w:marBottom w:val="0"/>
          <w:divBdr>
            <w:top w:val="none" w:sz="0" w:space="0" w:color="auto"/>
            <w:left w:val="none" w:sz="0" w:space="0" w:color="auto"/>
            <w:bottom w:val="none" w:sz="0" w:space="0" w:color="auto"/>
            <w:right w:val="none" w:sz="0" w:space="0" w:color="auto"/>
          </w:divBdr>
          <w:divsChild>
            <w:div w:id="371731263">
              <w:marLeft w:val="0"/>
              <w:marRight w:val="0"/>
              <w:marTop w:val="0"/>
              <w:marBottom w:val="0"/>
              <w:divBdr>
                <w:top w:val="none" w:sz="0" w:space="0" w:color="auto"/>
                <w:left w:val="none" w:sz="0" w:space="0" w:color="auto"/>
                <w:bottom w:val="none" w:sz="0" w:space="0" w:color="auto"/>
                <w:right w:val="none" w:sz="0" w:space="0" w:color="auto"/>
              </w:divBdr>
            </w:div>
          </w:divsChild>
        </w:div>
        <w:div w:id="634483512">
          <w:marLeft w:val="0"/>
          <w:marRight w:val="0"/>
          <w:marTop w:val="0"/>
          <w:marBottom w:val="0"/>
          <w:divBdr>
            <w:top w:val="none" w:sz="0" w:space="0" w:color="auto"/>
            <w:left w:val="none" w:sz="0" w:space="0" w:color="auto"/>
            <w:bottom w:val="none" w:sz="0" w:space="0" w:color="auto"/>
            <w:right w:val="none" w:sz="0" w:space="0" w:color="auto"/>
          </w:divBdr>
          <w:divsChild>
            <w:div w:id="999192775">
              <w:marLeft w:val="0"/>
              <w:marRight w:val="0"/>
              <w:marTop w:val="0"/>
              <w:marBottom w:val="0"/>
              <w:divBdr>
                <w:top w:val="none" w:sz="0" w:space="0" w:color="auto"/>
                <w:left w:val="none" w:sz="0" w:space="0" w:color="auto"/>
                <w:bottom w:val="none" w:sz="0" w:space="0" w:color="auto"/>
                <w:right w:val="none" w:sz="0" w:space="0" w:color="auto"/>
              </w:divBdr>
            </w:div>
          </w:divsChild>
        </w:div>
        <w:div w:id="639923128">
          <w:marLeft w:val="0"/>
          <w:marRight w:val="0"/>
          <w:marTop w:val="0"/>
          <w:marBottom w:val="0"/>
          <w:divBdr>
            <w:top w:val="none" w:sz="0" w:space="0" w:color="auto"/>
            <w:left w:val="none" w:sz="0" w:space="0" w:color="auto"/>
            <w:bottom w:val="none" w:sz="0" w:space="0" w:color="auto"/>
            <w:right w:val="none" w:sz="0" w:space="0" w:color="auto"/>
          </w:divBdr>
          <w:divsChild>
            <w:div w:id="648172597">
              <w:marLeft w:val="0"/>
              <w:marRight w:val="0"/>
              <w:marTop w:val="0"/>
              <w:marBottom w:val="0"/>
              <w:divBdr>
                <w:top w:val="none" w:sz="0" w:space="0" w:color="auto"/>
                <w:left w:val="none" w:sz="0" w:space="0" w:color="auto"/>
                <w:bottom w:val="none" w:sz="0" w:space="0" w:color="auto"/>
                <w:right w:val="none" w:sz="0" w:space="0" w:color="auto"/>
              </w:divBdr>
            </w:div>
          </w:divsChild>
        </w:div>
        <w:div w:id="647981485">
          <w:marLeft w:val="0"/>
          <w:marRight w:val="0"/>
          <w:marTop w:val="0"/>
          <w:marBottom w:val="0"/>
          <w:divBdr>
            <w:top w:val="none" w:sz="0" w:space="0" w:color="auto"/>
            <w:left w:val="none" w:sz="0" w:space="0" w:color="auto"/>
            <w:bottom w:val="none" w:sz="0" w:space="0" w:color="auto"/>
            <w:right w:val="none" w:sz="0" w:space="0" w:color="auto"/>
          </w:divBdr>
          <w:divsChild>
            <w:div w:id="497813235">
              <w:marLeft w:val="0"/>
              <w:marRight w:val="0"/>
              <w:marTop w:val="0"/>
              <w:marBottom w:val="0"/>
              <w:divBdr>
                <w:top w:val="none" w:sz="0" w:space="0" w:color="auto"/>
                <w:left w:val="none" w:sz="0" w:space="0" w:color="auto"/>
                <w:bottom w:val="none" w:sz="0" w:space="0" w:color="auto"/>
                <w:right w:val="none" w:sz="0" w:space="0" w:color="auto"/>
              </w:divBdr>
            </w:div>
          </w:divsChild>
        </w:div>
        <w:div w:id="648947402">
          <w:marLeft w:val="0"/>
          <w:marRight w:val="0"/>
          <w:marTop w:val="0"/>
          <w:marBottom w:val="0"/>
          <w:divBdr>
            <w:top w:val="none" w:sz="0" w:space="0" w:color="auto"/>
            <w:left w:val="none" w:sz="0" w:space="0" w:color="auto"/>
            <w:bottom w:val="none" w:sz="0" w:space="0" w:color="auto"/>
            <w:right w:val="none" w:sz="0" w:space="0" w:color="auto"/>
          </w:divBdr>
          <w:divsChild>
            <w:div w:id="958992179">
              <w:marLeft w:val="0"/>
              <w:marRight w:val="0"/>
              <w:marTop w:val="0"/>
              <w:marBottom w:val="0"/>
              <w:divBdr>
                <w:top w:val="none" w:sz="0" w:space="0" w:color="auto"/>
                <w:left w:val="none" w:sz="0" w:space="0" w:color="auto"/>
                <w:bottom w:val="none" w:sz="0" w:space="0" w:color="auto"/>
                <w:right w:val="none" w:sz="0" w:space="0" w:color="auto"/>
              </w:divBdr>
            </w:div>
          </w:divsChild>
        </w:div>
        <w:div w:id="650334630">
          <w:marLeft w:val="0"/>
          <w:marRight w:val="0"/>
          <w:marTop w:val="0"/>
          <w:marBottom w:val="0"/>
          <w:divBdr>
            <w:top w:val="none" w:sz="0" w:space="0" w:color="auto"/>
            <w:left w:val="none" w:sz="0" w:space="0" w:color="auto"/>
            <w:bottom w:val="none" w:sz="0" w:space="0" w:color="auto"/>
            <w:right w:val="none" w:sz="0" w:space="0" w:color="auto"/>
          </w:divBdr>
          <w:divsChild>
            <w:div w:id="820973003">
              <w:marLeft w:val="0"/>
              <w:marRight w:val="0"/>
              <w:marTop w:val="0"/>
              <w:marBottom w:val="0"/>
              <w:divBdr>
                <w:top w:val="none" w:sz="0" w:space="0" w:color="auto"/>
                <w:left w:val="none" w:sz="0" w:space="0" w:color="auto"/>
                <w:bottom w:val="none" w:sz="0" w:space="0" w:color="auto"/>
                <w:right w:val="none" w:sz="0" w:space="0" w:color="auto"/>
              </w:divBdr>
            </w:div>
          </w:divsChild>
        </w:div>
        <w:div w:id="651756106">
          <w:marLeft w:val="0"/>
          <w:marRight w:val="0"/>
          <w:marTop w:val="0"/>
          <w:marBottom w:val="0"/>
          <w:divBdr>
            <w:top w:val="none" w:sz="0" w:space="0" w:color="auto"/>
            <w:left w:val="none" w:sz="0" w:space="0" w:color="auto"/>
            <w:bottom w:val="none" w:sz="0" w:space="0" w:color="auto"/>
            <w:right w:val="none" w:sz="0" w:space="0" w:color="auto"/>
          </w:divBdr>
          <w:divsChild>
            <w:div w:id="1615404415">
              <w:marLeft w:val="0"/>
              <w:marRight w:val="0"/>
              <w:marTop w:val="0"/>
              <w:marBottom w:val="0"/>
              <w:divBdr>
                <w:top w:val="none" w:sz="0" w:space="0" w:color="auto"/>
                <w:left w:val="none" w:sz="0" w:space="0" w:color="auto"/>
                <w:bottom w:val="none" w:sz="0" w:space="0" w:color="auto"/>
                <w:right w:val="none" w:sz="0" w:space="0" w:color="auto"/>
              </w:divBdr>
            </w:div>
          </w:divsChild>
        </w:div>
        <w:div w:id="652102913">
          <w:marLeft w:val="0"/>
          <w:marRight w:val="0"/>
          <w:marTop w:val="0"/>
          <w:marBottom w:val="0"/>
          <w:divBdr>
            <w:top w:val="none" w:sz="0" w:space="0" w:color="auto"/>
            <w:left w:val="none" w:sz="0" w:space="0" w:color="auto"/>
            <w:bottom w:val="none" w:sz="0" w:space="0" w:color="auto"/>
            <w:right w:val="none" w:sz="0" w:space="0" w:color="auto"/>
          </w:divBdr>
          <w:divsChild>
            <w:div w:id="35130433">
              <w:marLeft w:val="0"/>
              <w:marRight w:val="0"/>
              <w:marTop w:val="0"/>
              <w:marBottom w:val="0"/>
              <w:divBdr>
                <w:top w:val="none" w:sz="0" w:space="0" w:color="auto"/>
                <w:left w:val="none" w:sz="0" w:space="0" w:color="auto"/>
                <w:bottom w:val="none" w:sz="0" w:space="0" w:color="auto"/>
                <w:right w:val="none" w:sz="0" w:space="0" w:color="auto"/>
              </w:divBdr>
            </w:div>
          </w:divsChild>
        </w:div>
        <w:div w:id="652955184">
          <w:marLeft w:val="0"/>
          <w:marRight w:val="0"/>
          <w:marTop w:val="0"/>
          <w:marBottom w:val="0"/>
          <w:divBdr>
            <w:top w:val="none" w:sz="0" w:space="0" w:color="auto"/>
            <w:left w:val="none" w:sz="0" w:space="0" w:color="auto"/>
            <w:bottom w:val="none" w:sz="0" w:space="0" w:color="auto"/>
            <w:right w:val="none" w:sz="0" w:space="0" w:color="auto"/>
          </w:divBdr>
          <w:divsChild>
            <w:div w:id="866065137">
              <w:marLeft w:val="0"/>
              <w:marRight w:val="0"/>
              <w:marTop w:val="0"/>
              <w:marBottom w:val="0"/>
              <w:divBdr>
                <w:top w:val="none" w:sz="0" w:space="0" w:color="auto"/>
                <w:left w:val="none" w:sz="0" w:space="0" w:color="auto"/>
                <w:bottom w:val="none" w:sz="0" w:space="0" w:color="auto"/>
                <w:right w:val="none" w:sz="0" w:space="0" w:color="auto"/>
              </w:divBdr>
            </w:div>
          </w:divsChild>
        </w:div>
        <w:div w:id="680082886">
          <w:marLeft w:val="0"/>
          <w:marRight w:val="0"/>
          <w:marTop w:val="0"/>
          <w:marBottom w:val="0"/>
          <w:divBdr>
            <w:top w:val="none" w:sz="0" w:space="0" w:color="auto"/>
            <w:left w:val="none" w:sz="0" w:space="0" w:color="auto"/>
            <w:bottom w:val="none" w:sz="0" w:space="0" w:color="auto"/>
            <w:right w:val="none" w:sz="0" w:space="0" w:color="auto"/>
          </w:divBdr>
          <w:divsChild>
            <w:div w:id="1372608042">
              <w:marLeft w:val="0"/>
              <w:marRight w:val="0"/>
              <w:marTop w:val="0"/>
              <w:marBottom w:val="0"/>
              <w:divBdr>
                <w:top w:val="none" w:sz="0" w:space="0" w:color="auto"/>
                <w:left w:val="none" w:sz="0" w:space="0" w:color="auto"/>
                <w:bottom w:val="none" w:sz="0" w:space="0" w:color="auto"/>
                <w:right w:val="none" w:sz="0" w:space="0" w:color="auto"/>
              </w:divBdr>
            </w:div>
          </w:divsChild>
        </w:div>
        <w:div w:id="681005487">
          <w:marLeft w:val="0"/>
          <w:marRight w:val="0"/>
          <w:marTop w:val="0"/>
          <w:marBottom w:val="0"/>
          <w:divBdr>
            <w:top w:val="none" w:sz="0" w:space="0" w:color="auto"/>
            <w:left w:val="none" w:sz="0" w:space="0" w:color="auto"/>
            <w:bottom w:val="none" w:sz="0" w:space="0" w:color="auto"/>
            <w:right w:val="none" w:sz="0" w:space="0" w:color="auto"/>
          </w:divBdr>
          <w:divsChild>
            <w:div w:id="1643732105">
              <w:marLeft w:val="0"/>
              <w:marRight w:val="0"/>
              <w:marTop w:val="0"/>
              <w:marBottom w:val="0"/>
              <w:divBdr>
                <w:top w:val="none" w:sz="0" w:space="0" w:color="auto"/>
                <w:left w:val="none" w:sz="0" w:space="0" w:color="auto"/>
                <w:bottom w:val="none" w:sz="0" w:space="0" w:color="auto"/>
                <w:right w:val="none" w:sz="0" w:space="0" w:color="auto"/>
              </w:divBdr>
            </w:div>
          </w:divsChild>
        </w:div>
        <w:div w:id="681396548">
          <w:marLeft w:val="0"/>
          <w:marRight w:val="0"/>
          <w:marTop w:val="0"/>
          <w:marBottom w:val="0"/>
          <w:divBdr>
            <w:top w:val="none" w:sz="0" w:space="0" w:color="auto"/>
            <w:left w:val="none" w:sz="0" w:space="0" w:color="auto"/>
            <w:bottom w:val="none" w:sz="0" w:space="0" w:color="auto"/>
            <w:right w:val="none" w:sz="0" w:space="0" w:color="auto"/>
          </w:divBdr>
          <w:divsChild>
            <w:div w:id="2128348184">
              <w:marLeft w:val="0"/>
              <w:marRight w:val="0"/>
              <w:marTop w:val="0"/>
              <w:marBottom w:val="0"/>
              <w:divBdr>
                <w:top w:val="none" w:sz="0" w:space="0" w:color="auto"/>
                <w:left w:val="none" w:sz="0" w:space="0" w:color="auto"/>
                <w:bottom w:val="none" w:sz="0" w:space="0" w:color="auto"/>
                <w:right w:val="none" w:sz="0" w:space="0" w:color="auto"/>
              </w:divBdr>
            </w:div>
          </w:divsChild>
        </w:div>
        <w:div w:id="686175857">
          <w:marLeft w:val="0"/>
          <w:marRight w:val="0"/>
          <w:marTop w:val="0"/>
          <w:marBottom w:val="0"/>
          <w:divBdr>
            <w:top w:val="none" w:sz="0" w:space="0" w:color="auto"/>
            <w:left w:val="none" w:sz="0" w:space="0" w:color="auto"/>
            <w:bottom w:val="none" w:sz="0" w:space="0" w:color="auto"/>
            <w:right w:val="none" w:sz="0" w:space="0" w:color="auto"/>
          </w:divBdr>
          <w:divsChild>
            <w:div w:id="128406371">
              <w:marLeft w:val="0"/>
              <w:marRight w:val="0"/>
              <w:marTop w:val="0"/>
              <w:marBottom w:val="0"/>
              <w:divBdr>
                <w:top w:val="none" w:sz="0" w:space="0" w:color="auto"/>
                <w:left w:val="none" w:sz="0" w:space="0" w:color="auto"/>
                <w:bottom w:val="none" w:sz="0" w:space="0" w:color="auto"/>
                <w:right w:val="none" w:sz="0" w:space="0" w:color="auto"/>
              </w:divBdr>
            </w:div>
          </w:divsChild>
        </w:div>
        <w:div w:id="704597808">
          <w:marLeft w:val="0"/>
          <w:marRight w:val="0"/>
          <w:marTop w:val="0"/>
          <w:marBottom w:val="0"/>
          <w:divBdr>
            <w:top w:val="none" w:sz="0" w:space="0" w:color="auto"/>
            <w:left w:val="none" w:sz="0" w:space="0" w:color="auto"/>
            <w:bottom w:val="none" w:sz="0" w:space="0" w:color="auto"/>
            <w:right w:val="none" w:sz="0" w:space="0" w:color="auto"/>
          </w:divBdr>
          <w:divsChild>
            <w:div w:id="294022836">
              <w:marLeft w:val="0"/>
              <w:marRight w:val="0"/>
              <w:marTop w:val="0"/>
              <w:marBottom w:val="0"/>
              <w:divBdr>
                <w:top w:val="none" w:sz="0" w:space="0" w:color="auto"/>
                <w:left w:val="none" w:sz="0" w:space="0" w:color="auto"/>
                <w:bottom w:val="none" w:sz="0" w:space="0" w:color="auto"/>
                <w:right w:val="none" w:sz="0" w:space="0" w:color="auto"/>
              </w:divBdr>
            </w:div>
          </w:divsChild>
        </w:div>
        <w:div w:id="728649092">
          <w:marLeft w:val="0"/>
          <w:marRight w:val="0"/>
          <w:marTop w:val="0"/>
          <w:marBottom w:val="0"/>
          <w:divBdr>
            <w:top w:val="none" w:sz="0" w:space="0" w:color="auto"/>
            <w:left w:val="none" w:sz="0" w:space="0" w:color="auto"/>
            <w:bottom w:val="none" w:sz="0" w:space="0" w:color="auto"/>
            <w:right w:val="none" w:sz="0" w:space="0" w:color="auto"/>
          </w:divBdr>
          <w:divsChild>
            <w:div w:id="1487280211">
              <w:marLeft w:val="0"/>
              <w:marRight w:val="0"/>
              <w:marTop w:val="0"/>
              <w:marBottom w:val="0"/>
              <w:divBdr>
                <w:top w:val="none" w:sz="0" w:space="0" w:color="auto"/>
                <w:left w:val="none" w:sz="0" w:space="0" w:color="auto"/>
                <w:bottom w:val="none" w:sz="0" w:space="0" w:color="auto"/>
                <w:right w:val="none" w:sz="0" w:space="0" w:color="auto"/>
              </w:divBdr>
            </w:div>
          </w:divsChild>
        </w:div>
        <w:div w:id="729618131">
          <w:marLeft w:val="0"/>
          <w:marRight w:val="0"/>
          <w:marTop w:val="0"/>
          <w:marBottom w:val="0"/>
          <w:divBdr>
            <w:top w:val="none" w:sz="0" w:space="0" w:color="auto"/>
            <w:left w:val="none" w:sz="0" w:space="0" w:color="auto"/>
            <w:bottom w:val="none" w:sz="0" w:space="0" w:color="auto"/>
            <w:right w:val="none" w:sz="0" w:space="0" w:color="auto"/>
          </w:divBdr>
          <w:divsChild>
            <w:div w:id="525606525">
              <w:marLeft w:val="0"/>
              <w:marRight w:val="0"/>
              <w:marTop w:val="0"/>
              <w:marBottom w:val="0"/>
              <w:divBdr>
                <w:top w:val="none" w:sz="0" w:space="0" w:color="auto"/>
                <w:left w:val="none" w:sz="0" w:space="0" w:color="auto"/>
                <w:bottom w:val="none" w:sz="0" w:space="0" w:color="auto"/>
                <w:right w:val="none" w:sz="0" w:space="0" w:color="auto"/>
              </w:divBdr>
            </w:div>
          </w:divsChild>
        </w:div>
        <w:div w:id="731848169">
          <w:marLeft w:val="0"/>
          <w:marRight w:val="0"/>
          <w:marTop w:val="0"/>
          <w:marBottom w:val="0"/>
          <w:divBdr>
            <w:top w:val="none" w:sz="0" w:space="0" w:color="auto"/>
            <w:left w:val="none" w:sz="0" w:space="0" w:color="auto"/>
            <w:bottom w:val="none" w:sz="0" w:space="0" w:color="auto"/>
            <w:right w:val="none" w:sz="0" w:space="0" w:color="auto"/>
          </w:divBdr>
          <w:divsChild>
            <w:div w:id="359477719">
              <w:marLeft w:val="0"/>
              <w:marRight w:val="0"/>
              <w:marTop w:val="0"/>
              <w:marBottom w:val="0"/>
              <w:divBdr>
                <w:top w:val="none" w:sz="0" w:space="0" w:color="auto"/>
                <w:left w:val="none" w:sz="0" w:space="0" w:color="auto"/>
                <w:bottom w:val="none" w:sz="0" w:space="0" w:color="auto"/>
                <w:right w:val="none" w:sz="0" w:space="0" w:color="auto"/>
              </w:divBdr>
            </w:div>
          </w:divsChild>
        </w:div>
        <w:div w:id="736198493">
          <w:marLeft w:val="0"/>
          <w:marRight w:val="0"/>
          <w:marTop w:val="0"/>
          <w:marBottom w:val="0"/>
          <w:divBdr>
            <w:top w:val="none" w:sz="0" w:space="0" w:color="auto"/>
            <w:left w:val="none" w:sz="0" w:space="0" w:color="auto"/>
            <w:bottom w:val="none" w:sz="0" w:space="0" w:color="auto"/>
            <w:right w:val="none" w:sz="0" w:space="0" w:color="auto"/>
          </w:divBdr>
          <w:divsChild>
            <w:div w:id="1771387335">
              <w:marLeft w:val="0"/>
              <w:marRight w:val="0"/>
              <w:marTop w:val="0"/>
              <w:marBottom w:val="0"/>
              <w:divBdr>
                <w:top w:val="none" w:sz="0" w:space="0" w:color="auto"/>
                <w:left w:val="none" w:sz="0" w:space="0" w:color="auto"/>
                <w:bottom w:val="none" w:sz="0" w:space="0" w:color="auto"/>
                <w:right w:val="none" w:sz="0" w:space="0" w:color="auto"/>
              </w:divBdr>
            </w:div>
          </w:divsChild>
        </w:div>
        <w:div w:id="757949939">
          <w:marLeft w:val="0"/>
          <w:marRight w:val="0"/>
          <w:marTop w:val="0"/>
          <w:marBottom w:val="0"/>
          <w:divBdr>
            <w:top w:val="none" w:sz="0" w:space="0" w:color="auto"/>
            <w:left w:val="none" w:sz="0" w:space="0" w:color="auto"/>
            <w:bottom w:val="none" w:sz="0" w:space="0" w:color="auto"/>
            <w:right w:val="none" w:sz="0" w:space="0" w:color="auto"/>
          </w:divBdr>
          <w:divsChild>
            <w:div w:id="70588542">
              <w:marLeft w:val="0"/>
              <w:marRight w:val="0"/>
              <w:marTop w:val="0"/>
              <w:marBottom w:val="0"/>
              <w:divBdr>
                <w:top w:val="none" w:sz="0" w:space="0" w:color="auto"/>
                <w:left w:val="none" w:sz="0" w:space="0" w:color="auto"/>
                <w:bottom w:val="none" w:sz="0" w:space="0" w:color="auto"/>
                <w:right w:val="none" w:sz="0" w:space="0" w:color="auto"/>
              </w:divBdr>
            </w:div>
          </w:divsChild>
        </w:div>
        <w:div w:id="758989735">
          <w:marLeft w:val="0"/>
          <w:marRight w:val="0"/>
          <w:marTop w:val="0"/>
          <w:marBottom w:val="0"/>
          <w:divBdr>
            <w:top w:val="none" w:sz="0" w:space="0" w:color="auto"/>
            <w:left w:val="none" w:sz="0" w:space="0" w:color="auto"/>
            <w:bottom w:val="none" w:sz="0" w:space="0" w:color="auto"/>
            <w:right w:val="none" w:sz="0" w:space="0" w:color="auto"/>
          </w:divBdr>
          <w:divsChild>
            <w:div w:id="1513841996">
              <w:marLeft w:val="0"/>
              <w:marRight w:val="0"/>
              <w:marTop w:val="0"/>
              <w:marBottom w:val="0"/>
              <w:divBdr>
                <w:top w:val="none" w:sz="0" w:space="0" w:color="auto"/>
                <w:left w:val="none" w:sz="0" w:space="0" w:color="auto"/>
                <w:bottom w:val="none" w:sz="0" w:space="0" w:color="auto"/>
                <w:right w:val="none" w:sz="0" w:space="0" w:color="auto"/>
              </w:divBdr>
            </w:div>
          </w:divsChild>
        </w:div>
        <w:div w:id="760756117">
          <w:marLeft w:val="0"/>
          <w:marRight w:val="0"/>
          <w:marTop w:val="0"/>
          <w:marBottom w:val="0"/>
          <w:divBdr>
            <w:top w:val="none" w:sz="0" w:space="0" w:color="auto"/>
            <w:left w:val="none" w:sz="0" w:space="0" w:color="auto"/>
            <w:bottom w:val="none" w:sz="0" w:space="0" w:color="auto"/>
            <w:right w:val="none" w:sz="0" w:space="0" w:color="auto"/>
          </w:divBdr>
          <w:divsChild>
            <w:div w:id="918752818">
              <w:marLeft w:val="0"/>
              <w:marRight w:val="0"/>
              <w:marTop w:val="0"/>
              <w:marBottom w:val="0"/>
              <w:divBdr>
                <w:top w:val="none" w:sz="0" w:space="0" w:color="auto"/>
                <w:left w:val="none" w:sz="0" w:space="0" w:color="auto"/>
                <w:bottom w:val="none" w:sz="0" w:space="0" w:color="auto"/>
                <w:right w:val="none" w:sz="0" w:space="0" w:color="auto"/>
              </w:divBdr>
            </w:div>
          </w:divsChild>
        </w:div>
        <w:div w:id="767581301">
          <w:marLeft w:val="0"/>
          <w:marRight w:val="0"/>
          <w:marTop w:val="0"/>
          <w:marBottom w:val="0"/>
          <w:divBdr>
            <w:top w:val="none" w:sz="0" w:space="0" w:color="auto"/>
            <w:left w:val="none" w:sz="0" w:space="0" w:color="auto"/>
            <w:bottom w:val="none" w:sz="0" w:space="0" w:color="auto"/>
            <w:right w:val="none" w:sz="0" w:space="0" w:color="auto"/>
          </w:divBdr>
          <w:divsChild>
            <w:div w:id="1755055843">
              <w:marLeft w:val="0"/>
              <w:marRight w:val="0"/>
              <w:marTop w:val="0"/>
              <w:marBottom w:val="0"/>
              <w:divBdr>
                <w:top w:val="none" w:sz="0" w:space="0" w:color="auto"/>
                <w:left w:val="none" w:sz="0" w:space="0" w:color="auto"/>
                <w:bottom w:val="none" w:sz="0" w:space="0" w:color="auto"/>
                <w:right w:val="none" w:sz="0" w:space="0" w:color="auto"/>
              </w:divBdr>
            </w:div>
          </w:divsChild>
        </w:div>
        <w:div w:id="770781288">
          <w:marLeft w:val="0"/>
          <w:marRight w:val="0"/>
          <w:marTop w:val="0"/>
          <w:marBottom w:val="0"/>
          <w:divBdr>
            <w:top w:val="none" w:sz="0" w:space="0" w:color="auto"/>
            <w:left w:val="none" w:sz="0" w:space="0" w:color="auto"/>
            <w:bottom w:val="none" w:sz="0" w:space="0" w:color="auto"/>
            <w:right w:val="none" w:sz="0" w:space="0" w:color="auto"/>
          </w:divBdr>
          <w:divsChild>
            <w:div w:id="1627658209">
              <w:marLeft w:val="0"/>
              <w:marRight w:val="0"/>
              <w:marTop w:val="0"/>
              <w:marBottom w:val="0"/>
              <w:divBdr>
                <w:top w:val="none" w:sz="0" w:space="0" w:color="auto"/>
                <w:left w:val="none" w:sz="0" w:space="0" w:color="auto"/>
                <w:bottom w:val="none" w:sz="0" w:space="0" w:color="auto"/>
                <w:right w:val="none" w:sz="0" w:space="0" w:color="auto"/>
              </w:divBdr>
            </w:div>
          </w:divsChild>
        </w:div>
        <w:div w:id="780295123">
          <w:marLeft w:val="0"/>
          <w:marRight w:val="0"/>
          <w:marTop w:val="0"/>
          <w:marBottom w:val="0"/>
          <w:divBdr>
            <w:top w:val="none" w:sz="0" w:space="0" w:color="auto"/>
            <w:left w:val="none" w:sz="0" w:space="0" w:color="auto"/>
            <w:bottom w:val="none" w:sz="0" w:space="0" w:color="auto"/>
            <w:right w:val="none" w:sz="0" w:space="0" w:color="auto"/>
          </w:divBdr>
          <w:divsChild>
            <w:div w:id="700908759">
              <w:marLeft w:val="0"/>
              <w:marRight w:val="0"/>
              <w:marTop w:val="0"/>
              <w:marBottom w:val="0"/>
              <w:divBdr>
                <w:top w:val="none" w:sz="0" w:space="0" w:color="auto"/>
                <w:left w:val="none" w:sz="0" w:space="0" w:color="auto"/>
                <w:bottom w:val="none" w:sz="0" w:space="0" w:color="auto"/>
                <w:right w:val="none" w:sz="0" w:space="0" w:color="auto"/>
              </w:divBdr>
            </w:div>
          </w:divsChild>
        </w:div>
        <w:div w:id="780540389">
          <w:marLeft w:val="0"/>
          <w:marRight w:val="0"/>
          <w:marTop w:val="0"/>
          <w:marBottom w:val="0"/>
          <w:divBdr>
            <w:top w:val="none" w:sz="0" w:space="0" w:color="auto"/>
            <w:left w:val="none" w:sz="0" w:space="0" w:color="auto"/>
            <w:bottom w:val="none" w:sz="0" w:space="0" w:color="auto"/>
            <w:right w:val="none" w:sz="0" w:space="0" w:color="auto"/>
          </w:divBdr>
          <w:divsChild>
            <w:div w:id="1008558271">
              <w:marLeft w:val="0"/>
              <w:marRight w:val="0"/>
              <w:marTop w:val="0"/>
              <w:marBottom w:val="0"/>
              <w:divBdr>
                <w:top w:val="none" w:sz="0" w:space="0" w:color="auto"/>
                <w:left w:val="none" w:sz="0" w:space="0" w:color="auto"/>
                <w:bottom w:val="none" w:sz="0" w:space="0" w:color="auto"/>
                <w:right w:val="none" w:sz="0" w:space="0" w:color="auto"/>
              </w:divBdr>
            </w:div>
          </w:divsChild>
        </w:div>
        <w:div w:id="800419376">
          <w:marLeft w:val="0"/>
          <w:marRight w:val="0"/>
          <w:marTop w:val="0"/>
          <w:marBottom w:val="0"/>
          <w:divBdr>
            <w:top w:val="none" w:sz="0" w:space="0" w:color="auto"/>
            <w:left w:val="none" w:sz="0" w:space="0" w:color="auto"/>
            <w:bottom w:val="none" w:sz="0" w:space="0" w:color="auto"/>
            <w:right w:val="none" w:sz="0" w:space="0" w:color="auto"/>
          </w:divBdr>
          <w:divsChild>
            <w:div w:id="380982656">
              <w:marLeft w:val="0"/>
              <w:marRight w:val="0"/>
              <w:marTop w:val="0"/>
              <w:marBottom w:val="0"/>
              <w:divBdr>
                <w:top w:val="none" w:sz="0" w:space="0" w:color="auto"/>
                <w:left w:val="none" w:sz="0" w:space="0" w:color="auto"/>
                <w:bottom w:val="none" w:sz="0" w:space="0" w:color="auto"/>
                <w:right w:val="none" w:sz="0" w:space="0" w:color="auto"/>
              </w:divBdr>
            </w:div>
          </w:divsChild>
        </w:div>
        <w:div w:id="820192404">
          <w:marLeft w:val="0"/>
          <w:marRight w:val="0"/>
          <w:marTop w:val="0"/>
          <w:marBottom w:val="0"/>
          <w:divBdr>
            <w:top w:val="none" w:sz="0" w:space="0" w:color="auto"/>
            <w:left w:val="none" w:sz="0" w:space="0" w:color="auto"/>
            <w:bottom w:val="none" w:sz="0" w:space="0" w:color="auto"/>
            <w:right w:val="none" w:sz="0" w:space="0" w:color="auto"/>
          </w:divBdr>
          <w:divsChild>
            <w:div w:id="1207520980">
              <w:marLeft w:val="0"/>
              <w:marRight w:val="0"/>
              <w:marTop w:val="0"/>
              <w:marBottom w:val="0"/>
              <w:divBdr>
                <w:top w:val="none" w:sz="0" w:space="0" w:color="auto"/>
                <w:left w:val="none" w:sz="0" w:space="0" w:color="auto"/>
                <w:bottom w:val="none" w:sz="0" w:space="0" w:color="auto"/>
                <w:right w:val="none" w:sz="0" w:space="0" w:color="auto"/>
              </w:divBdr>
            </w:div>
          </w:divsChild>
        </w:div>
        <w:div w:id="829251273">
          <w:marLeft w:val="0"/>
          <w:marRight w:val="0"/>
          <w:marTop w:val="0"/>
          <w:marBottom w:val="0"/>
          <w:divBdr>
            <w:top w:val="none" w:sz="0" w:space="0" w:color="auto"/>
            <w:left w:val="none" w:sz="0" w:space="0" w:color="auto"/>
            <w:bottom w:val="none" w:sz="0" w:space="0" w:color="auto"/>
            <w:right w:val="none" w:sz="0" w:space="0" w:color="auto"/>
          </w:divBdr>
          <w:divsChild>
            <w:div w:id="2090539731">
              <w:marLeft w:val="0"/>
              <w:marRight w:val="0"/>
              <w:marTop w:val="0"/>
              <w:marBottom w:val="0"/>
              <w:divBdr>
                <w:top w:val="none" w:sz="0" w:space="0" w:color="auto"/>
                <w:left w:val="none" w:sz="0" w:space="0" w:color="auto"/>
                <w:bottom w:val="none" w:sz="0" w:space="0" w:color="auto"/>
                <w:right w:val="none" w:sz="0" w:space="0" w:color="auto"/>
              </w:divBdr>
            </w:div>
          </w:divsChild>
        </w:div>
        <w:div w:id="844906474">
          <w:marLeft w:val="0"/>
          <w:marRight w:val="0"/>
          <w:marTop w:val="0"/>
          <w:marBottom w:val="0"/>
          <w:divBdr>
            <w:top w:val="none" w:sz="0" w:space="0" w:color="auto"/>
            <w:left w:val="none" w:sz="0" w:space="0" w:color="auto"/>
            <w:bottom w:val="none" w:sz="0" w:space="0" w:color="auto"/>
            <w:right w:val="none" w:sz="0" w:space="0" w:color="auto"/>
          </w:divBdr>
          <w:divsChild>
            <w:div w:id="1849051983">
              <w:marLeft w:val="0"/>
              <w:marRight w:val="0"/>
              <w:marTop w:val="0"/>
              <w:marBottom w:val="0"/>
              <w:divBdr>
                <w:top w:val="none" w:sz="0" w:space="0" w:color="auto"/>
                <w:left w:val="none" w:sz="0" w:space="0" w:color="auto"/>
                <w:bottom w:val="none" w:sz="0" w:space="0" w:color="auto"/>
                <w:right w:val="none" w:sz="0" w:space="0" w:color="auto"/>
              </w:divBdr>
            </w:div>
          </w:divsChild>
        </w:div>
        <w:div w:id="851528582">
          <w:marLeft w:val="0"/>
          <w:marRight w:val="0"/>
          <w:marTop w:val="0"/>
          <w:marBottom w:val="0"/>
          <w:divBdr>
            <w:top w:val="none" w:sz="0" w:space="0" w:color="auto"/>
            <w:left w:val="none" w:sz="0" w:space="0" w:color="auto"/>
            <w:bottom w:val="none" w:sz="0" w:space="0" w:color="auto"/>
            <w:right w:val="none" w:sz="0" w:space="0" w:color="auto"/>
          </w:divBdr>
          <w:divsChild>
            <w:div w:id="195972289">
              <w:marLeft w:val="0"/>
              <w:marRight w:val="0"/>
              <w:marTop w:val="0"/>
              <w:marBottom w:val="0"/>
              <w:divBdr>
                <w:top w:val="none" w:sz="0" w:space="0" w:color="auto"/>
                <w:left w:val="none" w:sz="0" w:space="0" w:color="auto"/>
                <w:bottom w:val="none" w:sz="0" w:space="0" w:color="auto"/>
                <w:right w:val="none" w:sz="0" w:space="0" w:color="auto"/>
              </w:divBdr>
            </w:div>
          </w:divsChild>
        </w:div>
        <w:div w:id="864752944">
          <w:marLeft w:val="0"/>
          <w:marRight w:val="0"/>
          <w:marTop w:val="0"/>
          <w:marBottom w:val="0"/>
          <w:divBdr>
            <w:top w:val="none" w:sz="0" w:space="0" w:color="auto"/>
            <w:left w:val="none" w:sz="0" w:space="0" w:color="auto"/>
            <w:bottom w:val="none" w:sz="0" w:space="0" w:color="auto"/>
            <w:right w:val="none" w:sz="0" w:space="0" w:color="auto"/>
          </w:divBdr>
          <w:divsChild>
            <w:div w:id="1496458858">
              <w:marLeft w:val="0"/>
              <w:marRight w:val="0"/>
              <w:marTop w:val="0"/>
              <w:marBottom w:val="0"/>
              <w:divBdr>
                <w:top w:val="none" w:sz="0" w:space="0" w:color="auto"/>
                <w:left w:val="none" w:sz="0" w:space="0" w:color="auto"/>
                <w:bottom w:val="none" w:sz="0" w:space="0" w:color="auto"/>
                <w:right w:val="none" w:sz="0" w:space="0" w:color="auto"/>
              </w:divBdr>
            </w:div>
          </w:divsChild>
        </w:div>
        <w:div w:id="878592749">
          <w:marLeft w:val="0"/>
          <w:marRight w:val="0"/>
          <w:marTop w:val="0"/>
          <w:marBottom w:val="0"/>
          <w:divBdr>
            <w:top w:val="none" w:sz="0" w:space="0" w:color="auto"/>
            <w:left w:val="none" w:sz="0" w:space="0" w:color="auto"/>
            <w:bottom w:val="none" w:sz="0" w:space="0" w:color="auto"/>
            <w:right w:val="none" w:sz="0" w:space="0" w:color="auto"/>
          </w:divBdr>
          <w:divsChild>
            <w:div w:id="1656567943">
              <w:marLeft w:val="0"/>
              <w:marRight w:val="0"/>
              <w:marTop w:val="0"/>
              <w:marBottom w:val="0"/>
              <w:divBdr>
                <w:top w:val="none" w:sz="0" w:space="0" w:color="auto"/>
                <w:left w:val="none" w:sz="0" w:space="0" w:color="auto"/>
                <w:bottom w:val="none" w:sz="0" w:space="0" w:color="auto"/>
                <w:right w:val="none" w:sz="0" w:space="0" w:color="auto"/>
              </w:divBdr>
            </w:div>
          </w:divsChild>
        </w:div>
        <w:div w:id="886113767">
          <w:marLeft w:val="0"/>
          <w:marRight w:val="0"/>
          <w:marTop w:val="0"/>
          <w:marBottom w:val="0"/>
          <w:divBdr>
            <w:top w:val="none" w:sz="0" w:space="0" w:color="auto"/>
            <w:left w:val="none" w:sz="0" w:space="0" w:color="auto"/>
            <w:bottom w:val="none" w:sz="0" w:space="0" w:color="auto"/>
            <w:right w:val="none" w:sz="0" w:space="0" w:color="auto"/>
          </w:divBdr>
          <w:divsChild>
            <w:div w:id="2014526132">
              <w:marLeft w:val="0"/>
              <w:marRight w:val="0"/>
              <w:marTop w:val="0"/>
              <w:marBottom w:val="0"/>
              <w:divBdr>
                <w:top w:val="none" w:sz="0" w:space="0" w:color="auto"/>
                <w:left w:val="none" w:sz="0" w:space="0" w:color="auto"/>
                <w:bottom w:val="none" w:sz="0" w:space="0" w:color="auto"/>
                <w:right w:val="none" w:sz="0" w:space="0" w:color="auto"/>
              </w:divBdr>
            </w:div>
          </w:divsChild>
        </w:div>
        <w:div w:id="899558885">
          <w:marLeft w:val="0"/>
          <w:marRight w:val="0"/>
          <w:marTop w:val="0"/>
          <w:marBottom w:val="0"/>
          <w:divBdr>
            <w:top w:val="none" w:sz="0" w:space="0" w:color="auto"/>
            <w:left w:val="none" w:sz="0" w:space="0" w:color="auto"/>
            <w:bottom w:val="none" w:sz="0" w:space="0" w:color="auto"/>
            <w:right w:val="none" w:sz="0" w:space="0" w:color="auto"/>
          </w:divBdr>
          <w:divsChild>
            <w:div w:id="1843468211">
              <w:marLeft w:val="0"/>
              <w:marRight w:val="0"/>
              <w:marTop w:val="0"/>
              <w:marBottom w:val="0"/>
              <w:divBdr>
                <w:top w:val="none" w:sz="0" w:space="0" w:color="auto"/>
                <w:left w:val="none" w:sz="0" w:space="0" w:color="auto"/>
                <w:bottom w:val="none" w:sz="0" w:space="0" w:color="auto"/>
                <w:right w:val="none" w:sz="0" w:space="0" w:color="auto"/>
              </w:divBdr>
            </w:div>
          </w:divsChild>
        </w:div>
        <w:div w:id="899943377">
          <w:marLeft w:val="0"/>
          <w:marRight w:val="0"/>
          <w:marTop w:val="0"/>
          <w:marBottom w:val="0"/>
          <w:divBdr>
            <w:top w:val="none" w:sz="0" w:space="0" w:color="auto"/>
            <w:left w:val="none" w:sz="0" w:space="0" w:color="auto"/>
            <w:bottom w:val="none" w:sz="0" w:space="0" w:color="auto"/>
            <w:right w:val="none" w:sz="0" w:space="0" w:color="auto"/>
          </w:divBdr>
          <w:divsChild>
            <w:div w:id="777526068">
              <w:marLeft w:val="0"/>
              <w:marRight w:val="0"/>
              <w:marTop w:val="0"/>
              <w:marBottom w:val="0"/>
              <w:divBdr>
                <w:top w:val="none" w:sz="0" w:space="0" w:color="auto"/>
                <w:left w:val="none" w:sz="0" w:space="0" w:color="auto"/>
                <w:bottom w:val="none" w:sz="0" w:space="0" w:color="auto"/>
                <w:right w:val="none" w:sz="0" w:space="0" w:color="auto"/>
              </w:divBdr>
            </w:div>
          </w:divsChild>
        </w:div>
        <w:div w:id="902175247">
          <w:marLeft w:val="0"/>
          <w:marRight w:val="0"/>
          <w:marTop w:val="0"/>
          <w:marBottom w:val="0"/>
          <w:divBdr>
            <w:top w:val="none" w:sz="0" w:space="0" w:color="auto"/>
            <w:left w:val="none" w:sz="0" w:space="0" w:color="auto"/>
            <w:bottom w:val="none" w:sz="0" w:space="0" w:color="auto"/>
            <w:right w:val="none" w:sz="0" w:space="0" w:color="auto"/>
          </w:divBdr>
          <w:divsChild>
            <w:div w:id="69927834">
              <w:marLeft w:val="0"/>
              <w:marRight w:val="0"/>
              <w:marTop w:val="0"/>
              <w:marBottom w:val="0"/>
              <w:divBdr>
                <w:top w:val="none" w:sz="0" w:space="0" w:color="auto"/>
                <w:left w:val="none" w:sz="0" w:space="0" w:color="auto"/>
                <w:bottom w:val="none" w:sz="0" w:space="0" w:color="auto"/>
                <w:right w:val="none" w:sz="0" w:space="0" w:color="auto"/>
              </w:divBdr>
            </w:div>
          </w:divsChild>
        </w:div>
        <w:div w:id="902369092">
          <w:marLeft w:val="0"/>
          <w:marRight w:val="0"/>
          <w:marTop w:val="0"/>
          <w:marBottom w:val="0"/>
          <w:divBdr>
            <w:top w:val="none" w:sz="0" w:space="0" w:color="auto"/>
            <w:left w:val="none" w:sz="0" w:space="0" w:color="auto"/>
            <w:bottom w:val="none" w:sz="0" w:space="0" w:color="auto"/>
            <w:right w:val="none" w:sz="0" w:space="0" w:color="auto"/>
          </w:divBdr>
          <w:divsChild>
            <w:div w:id="1655988789">
              <w:marLeft w:val="0"/>
              <w:marRight w:val="0"/>
              <w:marTop w:val="0"/>
              <w:marBottom w:val="0"/>
              <w:divBdr>
                <w:top w:val="none" w:sz="0" w:space="0" w:color="auto"/>
                <w:left w:val="none" w:sz="0" w:space="0" w:color="auto"/>
                <w:bottom w:val="none" w:sz="0" w:space="0" w:color="auto"/>
                <w:right w:val="none" w:sz="0" w:space="0" w:color="auto"/>
              </w:divBdr>
            </w:div>
          </w:divsChild>
        </w:div>
        <w:div w:id="904681645">
          <w:marLeft w:val="0"/>
          <w:marRight w:val="0"/>
          <w:marTop w:val="0"/>
          <w:marBottom w:val="0"/>
          <w:divBdr>
            <w:top w:val="none" w:sz="0" w:space="0" w:color="auto"/>
            <w:left w:val="none" w:sz="0" w:space="0" w:color="auto"/>
            <w:bottom w:val="none" w:sz="0" w:space="0" w:color="auto"/>
            <w:right w:val="none" w:sz="0" w:space="0" w:color="auto"/>
          </w:divBdr>
          <w:divsChild>
            <w:div w:id="712272197">
              <w:marLeft w:val="0"/>
              <w:marRight w:val="0"/>
              <w:marTop w:val="0"/>
              <w:marBottom w:val="0"/>
              <w:divBdr>
                <w:top w:val="none" w:sz="0" w:space="0" w:color="auto"/>
                <w:left w:val="none" w:sz="0" w:space="0" w:color="auto"/>
                <w:bottom w:val="none" w:sz="0" w:space="0" w:color="auto"/>
                <w:right w:val="none" w:sz="0" w:space="0" w:color="auto"/>
              </w:divBdr>
            </w:div>
          </w:divsChild>
        </w:div>
        <w:div w:id="915092478">
          <w:marLeft w:val="0"/>
          <w:marRight w:val="0"/>
          <w:marTop w:val="0"/>
          <w:marBottom w:val="0"/>
          <w:divBdr>
            <w:top w:val="none" w:sz="0" w:space="0" w:color="auto"/>
            <w:left w:val="none" w:sz="0" w:space="0" w:color="auto"/>
            <w:bottom w:val="none" w:sz="0" w:space="0" w:color="auto"/>
            <w:right w:val="none" w:sz="0" w:space="0" w:color="auto"/>
          </w:divBdr>
          <w:divsChild>
            <w:div w:id="581913987">
              <w:marLeft w:val="0"/>
              <w:marRight w:val="0"/>
              <w:marTop w:val="0"/>
              <w:marBottom w:val="0"/>
              <w:divBdr>
                <w:top w:val="none" w:sz="0" w:space="0" w:color="auto"/>
                <w:left w:val="none" w:sz="0" w:space="0" w:color="auto"/>
                <w:bottom w:val="none" w:sz="0" w:space="0" w:color="auto"/>
                <w:right w:val="none" w:sz="0" w:space="0" w:color="auto"/>
              </w:divBdr>
            </w:div>
          </w:divsChild>
        </w:div>
        <w:div w:id="944845967">
          <w:marLeft w:val="0"/>
          <w:marRight w:val="0"/>
          <w:marTop w:val="0"/>
          <w:marBottom w:val="0"/>
          <w:divBdr>
            <w:top w:val="none" w:sz="0" w:space="0" w:color="auto"/>
            <w:left w:val="none" w:sz="0" w:space="0" w:color="auto"/>
            <w:bottom w:val="none" w:sz="0" w:space="0" w:color="auto"/>
            <w:right w:val="none" w:sz="0" w:space="0" w:color="auto"/>
          </w:divBdr>
          <w:divsChild>
            <w:div w:id="1372613194">
              <w:marLeft w:val="0"/>
              <w:marRight w:val="0"/>
              <w:marTop w:val="0"/>
              <w:marBottom w:val="0"/>
              <w:divBdr>
                <w:top w:val="none" w:sz="0" w:space="0" w:color="auto"/>
                <w:left w:val="none" w:sz="0" w:space="0" w:color="auto"/>
                <w:bottom w:val="none" w:sz="0" w:space="0" w:color="auto"/>
                <w:right w:val="none" w:sz="0" w:space="0" w:color="auto"/>
              </w:divBdr>
            </w:div>
          </w:divsChild>
        </w:div>
        <w:div w:id="981732415">
          <w:marLeft w:val="0"/>
          <w:marRight w:val="0"/>
          <w:marTop w:val="0"/>
          <w:marBottom w:val="0"/>
          <w:divBdr>
            <w:top w:val="none" w:sz="0" w:space="0" w:color="auto"/>
            <w:left w:val="none" w:sz="0" w:space="0" w:color="auto"/>
            <w:bottom w:val="none" w:sz="0" w:space="0" w:color="auto"/>
            <w:right w:val="none" w:sz="0" w:space="0" w:color="auto"/>
          </w:divBdr>
          <w:divsChild>
            <w:div w:id="1169059889">
              <w:marLeft w:val="0"/>
              <w:marRight w:val="0"/>
              <w:marTop w:val="0"/>
              <w:marBottom w:val="0"/>
              <w:divBdr>
                <w:top w:val="none" w:sz="0" w:space="0" w:color="auto"/>
                <w:left w:val="none" w:sz="0" w:space="0" w:color="auto"/>
                <w:bottom w:val="none" w:sz="0" w:space="0" w:color="auto"/>
                <w:right w:val="none" w:sz="0" w:space="0" w:color="auto"/>
              </w:divBdr>
            </w:div>
          </w:divsChild>
        </w:div>
        <w:div w:id="984774504">
          <w:marLeft w:val="0"/>
          <w:marRight w:val="0"/>
          <w:marTop w:val="0"/>
          <w:marBottom w:val="0"/>
          <w:divBdr>
            <w:top w:val="none" w:sz="0" w:space="0" w:color="auto"/>
            <w:left w:val="none" w:sz="0" w:space="0" w:color="auto"/>
            <w:bottom w:val="none" w:sz="0" w:space="0" w:color="auto"/>
            <w:right w:val="none" w:sz="0" w:space="0" w:color="auto"/>
          </w:divBdr>
          <w:divsChild>
            <w:div w:id="225534828">
              <w:marLeft w:val="0"/>
              <w:marRight w:val="0"/>
              <w:marTop w:val="0"/>
              <w:marBottom w:val="0"/>
              <w:divBdr>
                <w:top w:val="none" w:sz="0" w:space="0" w:color="auto"/>
                <w:left w:val="none" w:sz="0" w:space="0" w:color="auto"/>
                <w:bottom w:val="none" w:sz="0" w:space="0" w:color="auto"/>
                <w:right w:val="none" w:sz="0" w:space="0" w:color="auto"/>
              </w:divBdr>
            </w:div>
          </w:divsChild>
        </w:div>
        <w:div w:id="989559831">
          <w:marLeft w:val="0"/>
          <w:marRight w:val="0"/>
          <w:marTop w:val="0"/>
          <w:marBottom w:val="0"/>
          <w:divBdr>
            <w:top w:val="none" w:sz="0" w:space="0" w:color="auto"/>
            <w:left w:val="none" w:sz="0" w:space="0" w:color="auto"/>
            <w:bottom w:val="none" w:sz="0" w:space="0" w:color="auto"/>
            <w:right w:val="none" w:sz="0" w:space="0" w:color="auto"/>
          </w:divBdr>
          <w:divsChild>
            <w:div w:id="2000883114">
              <w:marLeft w:val="0"/>
              <w:marRight w:val="0"/>
              <w:marTop w:val="0"/>
              <w:marBottom w:val="0"/>
              <w:divBdr>
                <w:top w:val="none" w:sz="0" w:space="0" w:color="auto"/>
                <w:left w:val="none" w:sz="0" w:space="0" w:color="auto"/>
                <w:bottom w:val="none" w:sz="0" w:space="0" w:color="auto"/>
                <w:right w:val="none" w:sz="0" w:space="0" w:color="auto"/>
              </w:divBdr>
            </w:div>
          </w:divsChild>
        </w:div>
        <w:div w:id="1013070279">
          <w:marLeft w:val="0"/>
          <w:marRight w:val="0"/>
          <w:marTop w:val="0"/>
          <w:marBottom w:val="0"/>
          <w:divBdr>
            <w:top w:val="none" w:sz="0" w:space="0" w:color="auto"/>
            <w:left w:val="none" w:sz="0" w:space="0" w:color="auto"/>
            <w:bottom w:val="none" w:sz="0" w:space="0" w:color="auto"/>
            <w:right w:val="none" w:sz="0" w:space="0" w:color="auto"/>
          </w:divBdr>
          <w:divsChild>
            <w:div w:id="1390880011">
              <w:marLeft w:val="0"/>
              <w:marRight w:val="0"/>
              <w:marTop w:val="0"/>
              <w:marBottom w:val="0"/>
              <w:divBdr>
                <w:top w:val="none" w:sz="0" w:space="0" w:color="auto"/>
                <w:left w:val="none" w:sz="0" w:space="0" w:color="auto"/>
                <w:bottom w:val="none" w:sz="0" w:space="0" w:color="auto"/>
                <w:right w:val="none" w:sz="0" w:space="0" w:color="auto"/>
              </w:divBdr>
            </w:div>
          </w:divsChild>
        </w:div>
        <w:div w:id="1024400279">
          <w:marLeft w:val="0"/>
          <w:marRight w:val="0"/>
          <w:marTop w:val="0"/>
          <w:marBottom w:val="0"/>
          <w:divBdr>
            <w:top w:val="none" w:sz="0" w:space="0" w:color="auto"/>
            <w:left w:val="none" w:sz="0" w:space="0" w:color="auto"/>
            <w:bottom w:val="none" w:sz="0" w:space="0" w:color="auto"/>
            <w:right w:val="none" w:sz="0" w:space="0" w:color="auto"/>
          </w:divBdr>
          <w:divsChild>
            <w:div w:id="676273542">
              <w:marLeft w:val="0"/>
              <w:marRight w:val="0"/>
              <w:marTop w:val="0"/>
              <w:marBottom w:val="0"/>
              <w:divBdr>
                <w:top w:val="none" w:sz="0" w:space="0" w:color="auto"/>
                <w:left w:val="none" w:sz="0" w:space="0" w:color="auto"/>
                <w:bottom w:val="none" w:sz="0" w:space="0" w:color="auto"/>
                <w:right w:val="none" w:sz="0" w:space="0" w:color="auto"/>
              </w:divBdr>
            </w:div>
          </w:divsChild>
        </w:div>
        <w:div w:id="1032420145">
          <w:marLeft w:val="0"/>
          <w:marRight w:val="0"/>
          <w:marTop w:val="0"/>
          <w:marBottom w:val="0"/>
          <w:divBdr>
            <w:top w:val="none" w:sz="0" w:space="0" w:color="auto"/>
            <w:left w:val="none" w:sz="0" w:space="0" w:color="auto"/>
            <w:bottom w:val="none" w:sz="0" w:space="0" w:color="auto"/>
            <w:right w:val="none" w:sz="0" w:space="0" w:color="auto"/>
          </w:divBdr>
          <w:divsChild>
            <w:div w:id="470444665">
              <w:marLeft w:val="0"/>
              <w:marRight w:val="0"/>
              <w:marTop w:val="0"/>
              <w:marBottom w:val="0"/>
              <w:divBdr>
                <w:top w:val="none" w:sz="0" w:space="0" w:color="auto"/>
                <w:left w:val="none" w:sz="0" w:space="0" w:color="auto"/>
                <w:bottom w:val="none" w:sz="0" w:space="0" w:color="auto"/>
                <w:right w:val="none" w:sz="0" w:space="0" w:color="auto"/>
              </w:divBdr>
            </w:div>
          </w:divsChild>
        </w:div>
        <w:div w:id="1040322432">
          <w:marLeft w:val="0"/>
          <w:marRight w:val="0"/>
          <w:marTop w:val="0"/>
          <w:marBottom w:val="0"/>
          <w:divBdr>
            <w:top w:val="none" w:sz="0" w:space="0" w:color="auto"/>
            <w:left w:val="none" w:sz="0" w:space="0" w:color="auto"/>
            <w:bottom w:val="none" w:sz="0" w:space="0" w:color="auto"/>
            <w:right w:val="none" w:sz="0" w:space="0" w:color="auto"/>
          </w:divBdr>
          <w:divsChild>
            <w:div w:id="126898920">
              <w:marLeft w:val="0"/>
              <w:marRight w:val="0"/>
              <w:marTop w:val="0"/>
              <w:marBottom w:val="0"/>
              <w:divBdr>
                <w:top w:val="none" w:sz="0" w:space="0" w:color="auto"/>
                <w:left w:val="none" w:sz="0" w:space="0" w:color="auto"/>
                <w:bottom w:val="none" w:sz="0" w:space="0" w:color="auto"/>
                <w:right w:val="none" w:sz="0" w:space="0" w:color="auto"/>
              </w:divBdr>
            </w:div>
          </w:divsChild>
        </w:div>
        <w:div w:id="1055548666">
          <w:marLeft w:val="0"/>
          <w:marRight w:val="0"/>
          <w:marTop w:val="0"/>
          <w:marBottom w:val="0"/>
          <w:divBdr>
            <w:top w:val="none" w:sz="0" w:space="0" w:color="auto"/>
            <w:left w:val="none" w:sz="0" w:space="0" w:color="auto"/>
            <w:bottom w:val="none" w:sz="0" w:space="0" w:color="auto"/>
            <w:right w:val="none" w:sz="0" w:space="0" w:color="auto"/>
          </w:divBdr>
          <w:divsChild>
            <w:div w:id="2070416093">
              <w:marLeft w:val="0"/>
              <w:marRight w:val="0"/>
              <w:marTop w:val="0"/>
              <w:marBottom w:val="0"/>
              <w:divBdr>
                <w:top w:val="none" w:sz="0" w:space="0" w:color="auto"/>
                <w:left w:val="none" w:sz="0" w:space="0" w:color="auto"/>
                <w:bottom w:val="none" w:sz="0" w:space="0" w:color="auto"/>
                <w:right w:val="none" w:sz="0" w:space="0" w:color="auto"/>
              </w:divBdr>
            </w:div>
          </w:divsChild>
        </w:div>
        <w:div w:id="1061057879">
          <w:marLeft w:val="0"/>
          <w:marRight w:val="0"/>
          <w:marTop w:val="0"/>
          <w:marBottom w:val="0"/>
          <w:divBdr>
            <w:top w:val="none" w:sz="0" w:space="0" w:color="auto"/>
            <w:left w:val="none" w:sz="0" w:space="0" w:color="auto"/>
            <w:bottom w:val="none" w:sz="0" w:space="0" w:color="auto"/>
            <w:right w:val="none" w:sz="0" w:space="0" w:color="auto"/>
          </w:divBdr>
          <w:divsChild>
            <w:div w:id="1470367376">
              <w:marLeft w:val="0"/>
              <w:marRight w:val="0"/>
              <w:marTop w:val="0"/>
              <w:marBottom w:val="0"/>
              <w:divBdr>
                <w:top w:val="none" w:sz="0" w:space="0" w:color="auto"/>
                <w:left w:val="none" w:sz="0" w:space="0" w:color="auto"/>
                <w:bottom w:val="none" w:sz="0" w:space="0" w:color="auto"/>
                <w:right w:val="none" w:sz="0" w:space="0" w:color="auto"/>
              </w:divBdr>
            </w:div>
          </w:divsChild>
        </w:div>
        <w:div w:id="1061438203">
          <w:marLeft w:val="0"/>
          <w:marRight w:val="0"/>
          <w:marTop w:val="0"/>
          <w:marBottom w:val="0"/>
          <w:divBdr>
            <w:top w:val="none" w:sz="0" w:space="0" w:color="auto"/>
            <w:left w:val="none" w:sz="0" w:space="0" w:color="auto"/>
            <w:bottom w:val="none" w:sz="0" w:space="0" w:color="auto"/>
            <w:right w:val="none" w:sz="0" w:space="0" w:color="auto"/>
          </w:divBdr>
          <w:divsChild>
            <w:div w:id="1018896534">
              <w:marLeft w:val="0"/>
              <w:marRight w:val="0"/>
              <w:marTop w:val="0"/>
              <w:marBottom w:val="0"/>
              <w:divBdr>
                <w:top w:val="none" w:sz="0" w:space="0" w:color="auto"/>
                <w:left w:val="none" w:sz="0" w:space="0" w:color="auto"/>
                <w:bottom w:val="none" w:sz="0" w:space="0" w:color="auto"/>
                <w:right w:val="none" w:sz="0" w:space="0" w:color="auto"/>
              </w:divBdr>
            </w:div>
          </w:divsChild>
        </w:div>
        <w:div w:id="1077363305">
          <w:marLeft w:val="0"/>
          <w:marRight w:val="0"/>
          <w:marTop w:val="0"/>
          <w:marBottom w:val="0"/>
          <w:divBdr>
            <w:top w:val="none" w:sz="0" w:space="0" w:color="auto"/>
            <w:left w:val="none" w:sz="0" w:space="0" w:color="auto"/>
            <w:bottom w:val="none" w:sz="0" w:space="0" w:color="auto"/>
            <w:right w:val="none" w:sz="0" w:space="0" w:color="auto"/>
          </w:divBdr>
          <w:divsChild>
            <w:div w:id="173153280">
              <w:marLeft w:val="0"/>
              <w:marRight w:val="0"/>
              <w:marTop w:val="0"/>
              <w:marBottom w:val="0"/>
              <w:divBdr>
                <w:top w:val="none" w:sz="0" w:space="0" w:color="auto"/>
                <w:left w:val="none" w:sz="0" w:space="0" w:color="auto"/>
                <w:bottom w:val="none" w:sz="0" w:space="0" w:color="auto"/>
                <w:right w:val="none" w:sz="0" w:space="0" w:color="auto"/>
              </w:divBdr>
            </w:div>
          </w:divsChild>
        </w:div>
        <w:div w:id="1081558876">
          <w:marLeft w:val="0"/>
          <w:marRight w:val="0"/>
          <w:marTop w:val="0"/>
          <w:marBottom w:val="0"/>
          <w:divBdr>
            <w:top w:val="none" w:sz="0" w:space="0" w:color="auto"/>
            <w:left w:val="none" w:sz="0" w:space="0" w:color="auto"/>
            <w:bottom w:val="none" w:sz="0" w:space="0" w:color="auto"/>
            <w:right w:val="none" w:sz="0" w:space="0" w:color="auto"/>
          </w:divBdr>
          <w:divsChild>
            <w:div w:id="2085910148">
              <w:marLeft w:val="0"/>
              <w:marRight w:val="0"/>
              <w:marTop w:val="0"/>
              <w:marBottom w:val="0"/>
              <w:divBdr>
                <w:top w:val="none" w:sz="0" w:space="0" w:color="auto"/>
                <w:left w:val="none" w:sz="0" w:space="0" w:color="auto"/>
                <w:bottom w:val="none" w:sz="0" w:space="0" w:color="auto"/>
                <w:right w:val="none" w:sz="0" w:space="0" w:color="auto"/>
              </w:divBdr>
            </w:div>
          </w:divsChild>
        </w:div>
        <w:div w:id="1083331105">
          <w:marLeft w:val="0"/>
          <w:marRight w:val="0"/>
          <w:marTop w:val="0"/>
          <w:marBottom w:val="0"/>
          <w:divBdr>
            <w:top w:val="none" w:sz="0" w:space="0" w:color="auto"/>
            <w:left w:val="none" w:sz="0" w:space="0" w:color="auto"/>
            <w:bottom w:val="none" w:sz="0" w:space="0" w:color="auto"/>
            <w:right w:val="none" w:sz="0" w:space="0" w:color="auto"/>
          </w:divBdr>
          <w:divsChild>
            <w:div w:id="2134858373">
              <w:marLeft w:val="0"/>
              <w:marRight w:val="0"/>
              <w:marTop w:val="0"/>
              <w:marBottom w:val="0"/>
              <w:divBdr>
                <w:top w:val="none" w:sz="0" w:space="0" w:color="auto"/>
                <w:left w:val="none" w:sz="0" w:space="0" w:color="auto"/>
                <w:bottom w:val="none" w:sz="0" w:space="0" w:color="auto"/>
                <w:right w:val="none" w:sz="0" w:space="0" w:color="auto"/>
              </w:divBdr>
            </w:div>
          </w:divsChild>
        </w:div>
        <w:div w:id="1087310037">
          <w:marLeft w:val="0"/>
          <w:marRight w:val="0"/>
          <w:marTop w:val="0"/>
          <w:marBottom w:val="0"/>
          <w:divBdr>
            <w:top w:val="none" w:sz="0" w:space="0" w:color="auto"/>
            <w:left w:val="none" w:sz="0" w:space="0" w:color="auto"/>
            <w:bottom w:val="none" w:sz="0" w:space="0" w:color="auto"/>
            <w:right w:val="none" w:sz="0" w:space="0" w:color="auto"/>
          </w:divBdr>
          <w:divsChild>
            <w:div w:id="1024555755">
              <w:marLeft w:val="0"/>
              <w:marRight w:val="0"/>
              <w:marTop w:val="0"/>
              <w:marBottom w:val="0"/>
              <w:divBdr>
                <w:top w:val="none" w:sz="0" w:space="0" w:color="auto"/>
                <w:left w:val="none" w:sz="0" w:space="0" w:color="auto"/>
                <w:bottom w:val="none" w:sz="0" w:space="0" w:color="auto"/>
                <w:right w:val="none" w:sz="0" w:space="0" w:color="auto"/>
              </w:divBdr>
            </w:div>
          </w:divsChild>
        </w:div>
        <w:div w:id="1089539388">
          <w:marLeft w:val="0"/>
          <w:marRight w:val="0"/>
          <w:marTop w:val="0"/>
          <w:marBottom w:val="0"/>
          <w:divBdr>
            <w:top w:val="none" w:sz="0" w:space="0" w:color="auto"/>
            <w:left w:val="none" w:sz="0" w:space="0" w:color="auto"/>
            <w:bottom w:val="none" w:sz="0" w:space="0" w:color="auto"/>
            <w:right w:val="none" w:sz="0" w:space="0" w:color="auto"/>
          </w:divBdr>
          <w:divsChild>
            <w:div w:id="1398086890">
              <w:marLeft w:val="0"/>
              <w:marRight w:val="0"/>
              <w:marTop w:val="0"/>
              <w:marBottom w:val="0"/>
              <w:divBdr>
                <w:top w:val="none" w:sz="0" w:space="0" w:color="auto"/>
                <w:left w:val="none" w:sz="0" w:space="0" w:color="auto"/>
                <w:bottom w:val="none" w:sz="0" w:space="0" w:color="auto"/>
                <w:right w:val="none" w:sz="0" w:space="0" w:color="auto"/>
              </w:divBdr>
            </w:div>
          </w:divsChild>
        </w:div>
        <w:div w:id="1091002456">
          <w:marLeft w:val="0"/>
          <w:marRight w:val="0"/>
          <w:marTop w:val="0"/>
          <w:marBottom w:val="0"/>
          <w:divBdr>
            <w:top w:val="none" w:sz="0" w:space="0" w:color="auto"/>
            <w:left w:val="none" w:sz="0" w:space="0" w:color="auto"/>
            <w:bottom w:val="none" w:sz="0" w:space="0" w:color="auto"/>
            <w:right w:val="none" w:sz="0" w:space="0" w:color="auto"/>
          </w:divBdr>
          <w:divsChild>
            <w:div w:id="1684894449">
              <w:marLeft w:val="0"/>
              <w:marRight w:val="0"/>
              <w:marTop w:val="0"/>
              <w:marBottom w:val="0"/>
              <w:divBdr>
                <w:top w:val="none" w:sz="0" w:space="0" w:color="auto"/>
                <w:left w:val="none" w:sz="0" w:space="0" w:color="auto"/>
                <w:bottom w:val="none" w:sz="0" w:space="0" w:color="auto"/>
                <w:right w:val="none" w:sz="0" w:space="0" w:color="auto"/>
              </w:divBdr>
            </w:div>
          </w:divsChild>
        </w:div>
        <w:div w:id="1093168602">
          <w:marLeft w:val="0"/>
          <w:marRight w:val="0"/>
          <w:marTop w:val="0"/>
          <w:marBottom w:val="0"/>
          <w:divBdr>
            <w:top w:val="none" w:sz="0" w:space="0" w:color="auto"/>
            <w:left w:val="none" w:sz="0" w:space="0" w:color="auto"/>
            <w:bottom w:val="none" w:sz="0" w:space="0" w:color="auto"/>
            <w:right w:val="none" w:sz="0" w:space="0" w:color="auto"/>
          </w:divBdr>
          <w:divsChild>
            <w:div w:id="855583241">
              <w:marLeft w:val="0"/>
              <w:marRight w:val="0"/>
              <w:marTop w:val="0"/>
              <w:marBottom w:val="0"/>
              <w:divBdr>
                <w:top w:val="none" w:sz="0" w:space="0" w:color="auto"/>
                <w:left w:val="none" w:sz="0" w:space="0" w:color="auto"/>
                <w:bottom w:val="none" w:sz="0" w:space="0" w:color="auto"/>
                <w:right w:val="none" w:sz="0" w:space="0" w:color="auto"/>
              </w:divBdr>
            </w:div>
          </w:divsChild>
        </w:div>
        <w:div w:id="1104888249">
          <w:marLeft w:val="0"/>
          <w:marRight w:val="0"/>
          <w:marTop w:val="0"/>
          <w:marBottom w:val="0"/>
          <w:divBdr>
            <w:top w:val="none" w:sz="0" w:space="0" w:color="auto"/>
            <w:left w:val="none" w:sz="0" w:space="0" w:color="auto"/>
            <w:bottom w:val="none" w:sz="0" w:space="0" w:color="auto"/>
            <w:right w:val="none" w:sz="0" w:space="0" w:color="auto"/>
          </w:divBdr>
          <w:divsChild>
            <w:div w:id="1264726051">
              <w:marLeft w:val="0"/>
              <w:marRight w:val="0"/>
              <w:marTop w:val="0"/>
              <w:marBottom w:val="0"/>
              <w:divBdr>
                <w:top w:val="none" w:sz="0" w:space="0" w:color="auto"/>
                <w:left w:val="none" w:sz="0" w:space="0" w:color="auto"/>
                <w:bottom w:val="none" w:sz="0" w:space="0" w:color="auto"/>
                <w:right w:val="none" w:sz="0" w:space="0" w:color="auto"/>
              </w:divBdr>
            </w:div>
          </w:divsChild>
        </w:div>
        <w:div w:id="1127118521">
          <w:marLeft w:val="0"/>
          <w:marRight w:val="0"/>
          <w:marTop w:val="0"/>
          <w:marBottom w:val="0"/>
          <w:divBdr>
            <w:top w:val="none" w:sz="0" w:space="0" w:color="auto"/>
            <w:left w:val="none" w:sz="0" w:space="0" w:color="auto"/>
            <w:bottom w:val="none" w:sz="0" w:space="0" w:color="auto"/>
            <w:right w:val="none" w:sz="0" w:space="0" w:color="auto"/>
          </w:divBdr>
          <w:divsChild>
            <w:div w:id="1357652753">
              <w:marLeft w:val="0"/>
              <w:marRight w:val="0"/>
              <w:marTop w:val="0"/>
              <w:marBottom w:val="0"/>
              <w:divBdr>
                <w:top w:val="none" w:sz="0" w:space="0" w:color="auto"/>
                <w:left w:val="none" w:sz="0" w:space="0" w:color="auto"/>
                <w:bottom w:val="none" w:sz="0" w:space="0" w:color="auto"/>
                <w:right w:val="none" w:sz="0" w:space="0" w:color="auto"/>
              </w:divBdr>
            </w:div>
          </w:divsChild>
        </w:div>
        <w:div w:id="1133786718">
          <w:marLeft w:val="0"/>
          <w:marRight w:val="0"/>
          <w:marTop w:val="0"/>
          <w:marBottom w:val="0"/>
          <w:divBdr>
            <w:top w:val="none" w:sz="0" w:space="0" w:color="auto"/>
            <w:left w:val="none" w:sz="0" w:space="0" w:color="auto"/>
            <w:bottom w:val="none" w:sz="0" w:space="0" w:color="auto"/>
            <w:right w:val="none" w:sz="0" w:space="0" w:color="auto"/>
          </w:divBdr>
          <w:divsChild>
            <w:div w:id="1475951271">
              <w:marLeft w:val="0"/>
              <w:marRight w:val="0"/>
              <w:marTop w:val="0"/>
              <w:marBottom w:val="0"/>
              <w:divBdr>
                <w:top w:val="none" w:sz="0" w:space="0" w:color="auto"/>
                <w:left w:val="none" w:sz="0" w:space="0" w:color="auto"/>
                <w:bottom w:val="none" w:sz="0" w:space="0" w:color="auto"/>
                <w:right w:val="none" w:sz="0" w:space="0" w:color="auto"/>
              </w:divBdr>
            </w:div>
          </w:divsChild>
        </w:div>
        <w:div w:id="1135220607">
          <w:marLeft w:val="0"/>
          <w:marRight w:val="0"/>
          <w:marTop w:val="0"/>
          <w:marBottom w:val="0"/>
          <w:divBdr>
            <w:top w:val="none" w:sz="0" w:space="0" w:color="auto"/>
            <w:left w:val="none" w:sz="0" w:space="0" w:color="auto"/>
            <w:bottom w:val="none" w:sz="0" w:space="0" w:color="auto"/>
            <w:right w:val="none" w:sz="0" w:space="0" w:color="auto"/>
          </w:divBdr>
          <w:divsChild>
            <w:div w:id="983507555">
              <w:marLeft w:val="0"/>
              <w:marRight w:val="0"/>
              <w:marTop w:val="0"/>
              <w:marBottom w:val="0"/>
              <w:divBdr>
                <w:top w:val="none" w:sz="0" w:space="0" w:color="auto"/>
                <w:left w:val="none" w:sz="0" w:space="0" w:color="auto"/>
                <w:bottom w:val="none" w:sz="0" w:space="0" w:color="auto"/>
                <w:right w:val="none" w:sz="0" w:space="0" w:color="auto"/>
              </w:divBdr>
            </w:div>
          </w:divsChild>
        </w:div>
        <w:div w:id="1140658950">
          <w:marLeft w:val="0"/>
          <w:marRight w:val="0"/>
          <w:marTop w:val="0"/>
          <w:marBottom w:val="0"/>
          <w:divBdr>
            <w:top w:val="none" w:sz="0" w:space="0" w:color="auto"/>
            <w:left w:val="none" w:sz="0" w:space="0" w:color="auto"/>
            <w:bottom w:val="none" w:sz="0" w:space="0" w:color="auto"/>
            <w:right w:val="none" w:sz="0" w:space="0" w:color="auto"/>
          </w:divBdr>
          <w:divsChild>
            <w:div w:id="1440948415">
              <w:marLeft w:val="0"/>
              <w:marRight w:val="0"/>
              <w:marTop w:val="0"/>
              <w:marBottom w:val="0"/>
              <w:divBdr>
                <w:top w:val="none" w:sz="0" w:space="0" w:color="auto"/>
                <w:left w:val="none" w:sz="0" w:space="0" w:color="auto"/>
                <w:bottom w:val="none" w:sz="0" w:space="0" w:color="auto"/>
                <w:right w:val="none" w:sz="0" w:space="0" w:color="auto"/>
              </w:divBdr>
            </w:div>
          </w:divsChild>
        </w:div>
        <w:div w:id="1155755345">
          <w:marLeft w:val="0"/>
          <w:marRight w:val="0"/>
          <w:marTop w:val="0"/>
          <w:marBottom w:val="0"/>
          <w:divBdr>
            <w:top w:val="none" w:sz="0" w:space="0" w:color="auto"/>
            <w:left w:val="none" w:sz="0" w:space="0" w:color="auto"/>
            <w:bottom w:val="none" w:sz="0" w:space="0" w:color="auto"/>
            <w:right w:val="none" w:sz="0" w:space="0" w:color="auto"/>
          </w:divBdr>
          <w:divsChild>
            <w:div w:id="1877958961">
              <w:marLeft w:val="0"/>
              <w:marRight w:val="0"/>
              <w:marTop w:val="0"/>
              <w:marBottom w:val="0"/>
              <w:divBdr>
                <w:top w:val="none" w:sz="0" w:space="0" w:color="auto"/>
                <w:left w:val="none" w:sz="0" w:space="0" w:color="auto"/>
                <w:bottom w:val="none" w:sz="0" w:space="0" w:color="auto"/>
                <w:right w:val="none" w:sz="0" w:space="0" w:color="auto"/>
              </w:divBdr>
            </w:div>
          </w:divsChild>
        </w:div>
        <w:div w:id="1159274747">
          <w:marLeft w:val="0"/>
          <w:marRight w:val="0"/>
          <w:marTop w:val="0"/>
          <w:marBottom w:val="0"/>
          <w:divBdr>
            <w:top w:val="none" w:sz="0" w:space="0" w:color="auto"/>
            <w:left w:val="none" w:sz="0" w:space="0" w:color="auto"/>
            <w:bottom w:val="none" w:sz="0" w:space="0" w:color="auto"/>
            <w:right w:val="none" w:sz="0" w:space="0" w:color="auto"/>
          </w:divBdr>
          <w:divsChild>
            <w:div w:id="264195172">
              <w:marLeft w:val="0"/>
              <w:marRight w:val="0"/>
              <w:marTop w:val="0"/>
              <w:marBottom w:val="0"/>
              <w:divBdr>
                <w:top w:val="none" w:sz="0" w:space="0" w:color="auto"/>
                <w:left w:val="none" w:sz="0" w:space="0" w:color="auto"/>
                <w:bottom w:val="none" w:sz="0" w:space="0" w:color="auto"/>
                <w:right w:val="none" w:sz="0" w:space="0" w:color="auto"/>
              </w:divBdr>
            </w:div>
          </w:divsChild>
        </w:div>
        <w:div w:id="1163471789">
          <w:marLeft w:val="0"/>
          <w:marRight w:val="0"/>
          <w:marTop w:val="0"/>
          <w:marBottom w:val="0"/>
          <w:divBdr>
            <w:top w:val="none" w:sz="0" w:space="0" w:color="auto"/>
            <w:left w:val="none" w:sz="0" w:space="0" w:color="auto"/>
            <w:bottom w:val="none" w:sz="0" w:space="0" w:color="auto"/>
            <w:right w:val="none" w:sz="0" w:space="0" w:color="auto"/>
          </w:divBdr>
          <w:divsChild>
            <w:div w:id="594753912">
              <w:marLeft w:val="0"/>
              <w:marRight w:val="0"/>
              <w:marTop w:val="0"/>
              <w:marBottom w:val="0"/>
              <w:divBdr>
                <w:top w:val="none" w:sz="0" w:space="0" w:color="auto"/>
                <w:left w:val="none" w:sz="0" w:space="0" w:color="auto"/>
                <w:bottom w:val="none" w:sz="0" w:space="0" w:color="auto"/>
                <w:right w:val="none" w:sz="0" w:space="0" w:color="auto"/>
              </w:divBdr>
            </w:div>
          </w:divsChild>
        </w:div>
        <w:div w:id="1170217167">
          <w:marLeft w:val="0"/>
          <w:marRight w:val="0"/>
          <w:marTop w:val="0"/>
          <w:marBottom w:val="0"/>
          <w:divBdr>
            <w:top w:val="none" w:sz="0" w:space="0" w:color="auto"/>
            <w:left w:val="none" w:sz="0" w:space="0" w:color="auto"/>
            <w:bottom w:val="none" w:sz="0" w:space="0" w:color="auto"/>
            <w:right w:val="none" w:sz="0" w:space="0" w:color="auto"/>
          </w:divBdr>
          <w:divsChild>
            <w:div w:id="699090273">
              <w:marLeft w:val="0"/>
              <w:marRight w:val="0"/>
              <w:marTop w:val="0"/>
              <w:marBottom w:val="0"/>
              <w:divBdr>
                <w:top w:val="none" w:sz="0" w:space="0" w:color="auto"/>
                <w:left w:val="none" w:sz="0" w:space="0" w:color="auto"/>
                <w:bottom w:val="none" w:sz="0" w:space="0" w:color="auto"/>
                <w:right w:val="none" w:sz="0" w:space="0" w:color="auto"/>
              </w:divBdr>
            </w:div>
          </w:divsChild>
        </w:div>
        <w:div w:id="1178036188">
          <w:marLeft w:val="0"/>
          <w:marRight w:val="0"/>
          <w:marTop w:val="0"/>
          <w:marBottom w:val="0"/>
          <w:divBdr>
            <w:top w:val="none" w:sz="0" w:space="0" w:color="auto"/>
            <w:left w:val="none" w:sz="0" w:space="0" w:color="auto"/>
            <w:bottom w:val="none" w:sz="0" w:space="0" w:color="auto"/>
            <w:right w:val="none" w:sz="0" w:space="0" w:color="auto"/>
          </w:divBdr>
          <w:divsChild>
            <w:div w:id="1433935966">
              <w:marLeft w:val="0"/>
              <w:marRight w:val="0"/>
              <w:marTop w:val="0"/>
              <w:marBottom w:val="0"/>
              <w:divBdr>
                <w:top w:val="none" w:sz="0" w:space="0" w:color="auto"/>
                <w:left w:val="none" w:sz="0" w:space="0" w:color="auto"/>
                <w:bottom w:val="none" w:sz="0" w:space="0" w:color="auto"/>
                <w:right w:val="none" w:sz="0" w:space="0" w:color="auto"/>
              </w:divBdr>
            </w:div>
          </w:divsChild>
        </w:div>
        <w:div w:id="1180894427">
          <w:marLeft w:val="0"/>
          <w:marRight w:val="0"/>
          <w:marTop w:val="0"/>
          <w:marBottom w:val="0"/>
          <w:divBdr>
            <w:top w:val="none" w:sz="0" w:space="0" w:color="auto"/>
            <w:left w:val="none" w:sz="0" w:space="0" w:color="auto"/>
            <w:bottom w:val="none" w:sz="0" w:space="0" w:color="auto"/>
            <w:right w:val="none" w:sz="0" w:space="0" w:color="auto"/>
          </w:divBdr>
          <w:divsChild>
            <w:div w:id="416678644">
              <w:marLeft w:val="0"/>
              <w:marRight w:val="0"/>
              <w:marTop w:val="0"/>
              <w:marBottom w:val="0"/>
              <w:divBdr>
                <w:top w:val="none" w:sz="0" w:space="0" w:color="auto"/>
                <w:left w:val="none" w:sz="0" w:space="0" w:color="auto"/>
                <w:bottom w:val="none" w:sz="0" w:space="0" w:color="auto"/>
                <w:right w:val="none" w:sz="0" w:space="0" w:color="auto"/>
              </w:divBdr>
            </w:div>
          </w:divsChild>
        </w:div>
        <w:div w:id="1188105283">
          <w:marLeft w:val="0"/>
          <w:marRight w:val="0"/>
          <w:marTop w:val="0"/>
          <w:marBottom w:val="0"/>
          <w:divBdr>
            <w:top w:val="none" w:sz="0" w:space="0" w:color="auto"/>
            <w:left w:val="none" w:sz="0" w:space="0" w:color="auto"/>
            <w:bottom w:val="none" w:sz="0" w:space="0" w:color="auto"/>
            <w:right w:val="none" w:sz="0" w:space="0" w:color="auto"/>
          </w:divBdr>
          <w:divsChild>
            <w:div w:id="549918526">
              <w:marLeft w:val="0"/>
              <w:marRight w:val="0"/>
              <w:marTop w:val="0"/>
              <w:marBottom w:val="0"/>
              <w:divBdr>
                <w:top w:val="none" w:sz="0" w:space="0" w:color="auto"/>
                <w:left w:val="none" w:sz="0" w:space="0" w:color="auto"/>
                <w:bottom w:val="none" w:sz="0" w:space="0" w:color="auto"/>
                <w:right w:val="none" w:sz="0" w:space="0" w:color="auto"/>
              </w:divBdr>
            </w:div>
          </w:divsChild>
        </w:div>
        <w:div w:id="1198667144">
          <w:marLeft w:val="0"/>
          <w:marRight w:val="0"/>
          <w:marTop w:val="0"/>
          <w:marBottom w:val="0"/>
          <w:divBdr>
            <w:top w:val="none" w:sz="0" w:space="0" w:color="auto"/>
            <w:left w:val="none" w:sz="0" w:space="0" w:color="auto"/>
            <w:bottom w:val="none" w:sz="0" w:space="0" w:color="auto"/>
            <w:right w:val="none" w:sz="0" w:space="0" w:color="auto"/>
          </w:divBdr>
          <w:divsChild>
            <w:div w:id="1889293897">
              <w:marLeft w:val="0"/>
              <w:marRight w:val="0"/>
              <w:marTop w:val="0"/>
              <w:marBottom w:val="0"/>
              <w:divBdr>
                <w:top w:val="none" w:sz="0" w:space="0" w:color="auto"/>
                <w:left w:val="none" w:sz="0" w:space="0" w:color="auto"/>
                <w:bottom w:val="none" w:sz="0" w:space="0" w:color="auto"/>
                <w:right w:val="none" w:sz="0" w:space="0" w:color="auto"/>
              </w:divBdr>
            </w:div>
          </w:divsChild>
        </w:div>
        <w:div w:id="1221215097">
          <w:marLeft w:val="0"/>
          <w:marRight w:val="0"/>
          <w:marTop w:val="0"/>
          <w:marBottom w:val="0"/>
          <w:divBdr>
            <w:top w:val="none" w:sz="0" w:space="0" w:color="auto"/>
            <w:left w:val="none" w:sz="0" w:space="0" w:color="auto"/>
            <w:bottom w:val="none" w:sz="0" w:space="0" w:color="auto"/>
            <w:right w:val="none" w:sz="0" w:space="0" w:color="auto"/>
          </w:divBdr>
          <w:divsChild>
            <w:div w:id="185560357">
              <w:marLeft w:val="0"/>
              <w:marRight w:val="0"/>
              <w:marTop w:val="0"/>
              <w:marBottom w:val="0"/>
              <w:divBdr>
                <w:top w:val="none" w:sz="0" w:space="0" w:color="auto"/>
                <w:left w:val="none" w:sz="0" w:space="0" w:color="auto"/>
                <w:bottom w:val="none" w:sz="0" w:space="0" w:color="auto"/>
                <w:right w:val="none" w:sz="0" w:space="0" w:color="auto"/>
              </w:divBdr>
            </w:div>
          </w:divsChild>
        </w:div>
        <w:div w:id="1223296195">
          <w:marLeft w:val="0"/>
          <w:marRight w:val="0"/>
          <w:marTop w:val="0"/>
          <w:marBottom w:val="0"/>
          <w:divBdr>
            <w:top w:val="none" w:sz="0" w:space="0" w:color="auto"/>
            <w:left w:val="none" w:sz="0" w:space="0" w:color="auto"/>
            <w:bottom w:val="none" w:sz="0" w:space="0" w:color="auto"/>
            <w:right w:val="none" w:sz="0" w:space="0" w:color="auto"/>
          </w:divBdr>
          <w:divsChild>
            <w:div w:id="157769466">
              <w:marLeft w:val="0"/>
              <w:marRight w:val="0"/>
              <w:marTop w:val="0"/>
              <w:marBottom w:val="0"/>
              <w:divBdr>
                <w:top w:val="none" w:sz="0" w:space="0" w:color="auto"/>
                <w:left w:val="none" w:sz="0" w:space="0" w:color="auto"/>
                <w:bottom w:val="none" w:sz="0" w:space="0" w:color="auto"/>
                <w:right w:val="none" w:sz="0" w:space="0" w:color="auto"/>
              </w:divBdr>
            </w:div>
          </w:divsChild>
        </w:div>
        <w:div w:id="1231117919">
          <w:marLeft w:val="0"/>
          <w:marRight w:val="0"/>
          <w:marTop w:val="0"/>
          <w:marBottom w:val="0"/>
          <w:divBdr>
            <w:top w:val="none" w:sz="0" w:space="0" w:color="auto"/>
            <w:left w:val="none" w:sz="0" w:space="0" w:color="auto"/>
            <w:bottom w:val="none" w:sz="0" w:space="0" w:color="auto"/>
            <w:right w:val="none" w:sz="0" w:space="0" w:color="auto"/>
          </w:divBdr>
          <w:divsChild>
            <w:div w:id="978415482">
              <w:marLeft w:val="0"/>
              <w:marRight w:val="0"/>
              <w:marTop w:val="0"/>
              <w:marBottom w:val="0"/>
              <w:divBdr>
                <w:top w:val="none" w:sz="0" w:space="0" w:color="auto"/>
                <w:left w:val="none" w:sz="0" w:space="0" w:color="auto"/>
                <w:bottom w:val="none" w:sz="0" w:space="0" w:color="auto"/>
                <w:right w:val="none" w:sz="0" w:space="0" w:color="auto"/>
              </w:divBdr>
            </w:div>
          </w:divsChild>
        </w:div>
        <w:div w:id="1240481052">
          <w:marLeft w:val="0"/>
          <w:marRight w:val="0"/>
          <w:marTop w:val="0"/>
          <w:marBottom w:val="0"/>
          <w:divBdr>
            <w:top w:val="none" w:sz="0" w:space="0" w:color="auto"/>
            <w:left w:val="none" w:sz="0" w:space="0" w:color="auto"/>
            <w:bottom w:val="none" w:sz="0" w:space="0" w:color="auto"/>
            <w:right w:val="none" w:sz="0" w:space="0" w:color="auto"/>
          </w:divBdr>
          <w:divsChild>
            <w:div w:id="1356735135">
              <w:marLeft w:val="0"/>
              <w:marRight w:val="0"/>
              <w:marTop w:val="0"/>
              <w:marBottom w:val="0"/>
              <w:divBdr>
                <w:top w:val="none" w:sz="0" w:space="0" w:color="auto"/>
                <w:left w:val="none" w:sz="0" w:space="0" w:color="auto"/>
                <w:bottom w:val="none" w:sz="0" w:space="0" w:color="auto"/>
                <w:right w:val="none" w:sz="0" w:space="0" w:color="auto"/>
              </w:divBdr>
            </w:div>
          </w:divsChild>
        </w:div>
        <w:div w:id="1247574171">
          <w:marLeft w:val="0"/>
          <w:marRight w:val="0"/>
          <w:marTop w:val="0"/>
          <w:marBottom w:val="0"/>
          <w:divBdr>
            <w:top w:val="none" w:sz="0" w:space="0" w:color="auto"/>
            <w:left w:val="none" w:sz="0" w:space="0" w:color="auto"/>
            <w:bottom w:val="none" w:sz="0" w:space="0" w:color="auto"/>
            <w:right w:val="none" w:sz="0" w:space="0" w:color="auto"/>
          </w:divBdr>
          <w:divsChild>
            <w:div w:id="523054175">
              <w:marLeft w:val="0"/>
              <w:marRight w:val="0"/>
              <w:marTop w:val="0"/>
              <w:marBottom w:val="0"/>
              <w:divBdr>
                <w:top w:val="none" w:sz="0" w:space="0" w:color="auto"/>
                <w:left w:val="none" w:sz="0" w:space="0" w:color="auto"/>
                <w:bottom w:val="none" w:sz="0" w:space="0" w:color="auto"/>
                <w:right w:val="none" w:sz="0" w:space="0" w:color="auto"/>
              </w:divBdr>
            </w:div>
          </w:divsChild>
        </w:div>
        <w:div w:id="1265721748">
          <w:marLeft w:val="0"/>
          <w:marRight w:val="0"/>
          <w:marTop w:val="0"/>
          <w:marBottom w:val="0"/>
          <w:divBdr>
            <w:top w:val="none" w:sz="0" w:space="0" w:color="auto"/>
            <w:left w:val="none" w:sz="0" w:space="0" w:color="auto"/>
            <w:bottom w:val="none" w:sz="0" w:space="0" w:color="auto"/>
            <w:right w:val="none" w:sz="0" w:space="0" w:color="auto"/>
          </w:divBdr>
          <w:divsChild>
            <w:div w:id="697126029">
              <w:marLeft w:val="0"/>
              <w:marRight w:val="0"/>
              <w:marTop w:val="0"/>
              <w:marBottom w:val="0"/>
              <w:divBdr>
                <w:top w:val="none" w:sz="0" w:space="0" w:color="auto"/>
                <w:left w:val="none" w:sz="0" w:space="0" w:color="auto"/>
                <w:bottom w:val="none" w:sz="0" w:space="0" w:color="auto"/>
                <w:right w:val="none" w:sz="0" w:space="0" w:color="auto"/>
              </w:divBdr>
            </w:div>
          </w:divsChild>
        </w:div>
        <w:div w:id="1267150219">
          <w:marLeft w:val="0"/>
          <w:marRight w:val="0"/>
          <w:marTop w:val="0"/>
          <w:marBottom w:val="0"/>
          <w:divBdr>
            <w:top w:val="none" w:sz="0" w:space="0" w:color="auto"/>
            <w:left w:val="none" w:sz="0" w:space="0" w:color="auto"/>
            <w:bottom w:val="none" w:sz="0" w:space="0" w:color="auto"/>
            <w:right w:val="none" w:sz="0" w:space="0" w:color="auto"/>
          </w:divBdr>
          <w:divsChild>
            <w:div w:id="1446537065">
              <w:marLeft w:val="0"/>
              <w:marRight w:val="0"/>
              <w:marTop w:val="0"/>
              <w:marBottom w:val="0"/>
              <w:divBdr>
                <w:top w:val="none" w:sz="0" w:space="0" w:color="auto"/>
                <w:left w:val="none" w:sz="0" w:space="0" w:color="auto"/>
                <w:bottom w:val="none" w:sz="0" w:space="0" w:color="auto"/>
                <w:right w:val="none" w:sz="0" w:space="0" w:color="auto"/>
              </w:divBdr>
            </w:div>
          </w:divsChild>
        </w:div>
        <w:div w:id="1272974788">
          <w:marLeft w:val="0"/>
          <w:marRight w:val="0"/>
          <w:marTop w:val="0"/>
          <w:marBottom w:val="0"/>
          <w:divBdr>
            <w:top w:val="none" w:sz="0" w:space="0" w:color="auto"/>
            <w:left w:val="none" w:sz="0" w:space="0" w:color="auto"/>
            <w:bottom w:val="none" w:sz="0" w:space="0" w:color="auto"/>
            <w:right w:val="none" w:sz="0" w:space="0" w:color="auto"/>
          </w:divBdr>
          <w:divsChild>
            <w:div w:id="2109157975">
              <w:marLeft w:val="0"/>
              <w:marRight w:val="0"/>
              <w:marTop w:val="0"/>
              <w:marBottom w:val="0"/>
              <w:divBdr>
                <w:top w:val="none" w:sz="0" w:space="0" w:color="auto"/>
                <w:left w:val="none" w:sz="0" w:space="0" w:color="auto"/>
                <w:bottom w:val="none" w:sz="0" w:space="0" w:color="auto"/>
                <w:right w:val="none" w:sz="0" w:space="0" w:color="auto"/>
              </w:divBdr>
            </w:div>
          </w:divsChild>
        </w:div>
        <w:div w:id="1278102533">
          <w:marLeft w:val="0"/>
          <w:marRight w:val="0"/>
          <w:marTop w:val="0"/>
          <w:marBottom w:val="0"/>
          <w:divBdr>
            <w:top w:val="none" w:sz="0" w:space="0" w:color="auto"/>
            <w:left w:val="none" w:sz="0" w:space="0" w:color="auto"/>
            <w:bottom w:val="none" w:sz="0" w:space="0" w:color="auto"/>
            <w:right w:val="none" w:sz="0" w:space="0" w:color="auto"/>
          </w:divBdr>
          <w:divsChild>
            <w:div w:id="275718915">
              <w:marLeft w:val="0"/>
              <w:marRight w:val="0"/>
              <w:marTop w:val="0"/>
              <w:marBottom w:val="0"/>
              <w:divBdr>
                <w:top w:val="none" w:sz="0" w:space="0" w:color="auto"/>
                <w:left w:val="none" w:sz="0" w:space="0" w:color="auto"/>
                <w:bottom w:val="none" w:sz="0" w:space="0" w:color="auto"/>
                <w:right w:val="none" w:sz="0" w:space="0" w:color="auto"/>
              </w:divBdr>
            </w:div>
          </w:divsChild>
        </w:div>
        <w:div w:id="1283923580">
          <w:marLeft w:val="0"/>
          <w:marRight w:val="0"/>
          <w:marTop w:val="0"/>
          <w:marBottom w:val="0"/>
          <w:divBdr>
            <w:top w:val="none" w:sz="0" w:space="0" w:color="auto"/>
            <w:left w:val="none" w:sz="0" w:space="0" w:color="auto"/>
            <w:bottom w:val="none" w:sz="0" w:space="0" w:color="auto"/>
            <w:right w:val="none" w:sz="0" w:space="0" w:color="auto"/>
          </w:divBdr>
          <w:divsChild>
            <w:div w:id="1637949030">
              <w:marLeft w:val="0"/>
              <w:marRight w:val="0"/>
              <w:marTop w:val="0"/>
              <w:marBottom w:val="0"/>
              <w:divBdr>
                <w:top w:val="none" w:sz="0" w:space="0" w:color="auto"/>
                <w:left w:val="none" w:sz="0" w:space="0" w:color="auto"/>
                <w:bottom w:val="none" w:sz="0" w:space="0" w:color="auto"/>
                <w:right w:val="none" w:sz="0" w:space="0" w:color="auto"/>
              </w:divBdr>
            </w:div>
          </w:divsChild>
        </w:div>
        <w:div w:id="1284581996">
          <w:marLeft w:val="0"/>
          <w:marRight w:val="0"/>
          <w:marTop w:val="0"/>
          <w:marBottom w:val="0"/>
          <w:divBdr>
            <w:top w:val="none" w:sz="0" w:space="0" w:color="auto"/>
            <w:left w:val="none" w:sz="0" w:space="0" w:color="auto"/>
            <w:bottom w:val="none" w:sz="0" w:space="0" w:color="auto"/>
            <w:right w:val="none" w:sz="0" w:space="0" w:color="auto"/>
          </w:divBdr>
          <w:divsChild>
            <w:div w:id="1437209930">
              <w:marLeft w:val="0"/>
              <w:marRight w:val="0"/>
              <w:marTop w:val="0"/>
              <w:marBottom w:val="0"/>
              <w:divBdr>
                <w:top w:val="none" w:sz="0" w:space="0" w:color="auto"/>
                <w:left w:val="none" w:sz="0" w:space="0" w:color="auto"/>
                <w:bottom w:val="none" w:sz="0" w:space="0" w:color="auto"/>
                <w:right w:val="none" w:sz="0" w:space="0" w:color="auto"/>
              </w:divBdr>
            </w:div>
          </w:divsChild>
        </w:div>
        <w:div w:id="1303970688">
          <w:marLeft w:val="0"/>
          <w:marRight w:val="0"/>
          <w:marTop w:val="0"/>
          <w:marBottom w:val="0"/>
          <w:divBdr>
            <w:top w:val="none" w:sz="0" w:space="0" w:color="auto"/>
            <w:left w:val="none" w:sz="0" w:space="0" w:color="auto"/>
            <w:bottom w:val="none" w:sz="0" w:space="0" w:color="auto"/>
            <w:right w:val="none" w:sz="0" w:space="0" w:color="auto"/>
          </w:divBdr>
          <w:divsChild>
            <w:div w:id="1727485253">
              <w:marLeft w:val="0"/>
              <w:marRight w:val="0"/>
              <w:marTop w:val="0"/>
              <w:marBottom w:val="0"/>
              <w:divBdr>
                <w:top w:val="none" w:sz="0" w:space="0" w:color="auto"/>
                <w:left w:val="none" w:sz="0" w:space="0" w:color="auto"/>
                <w:bottom w:val="none" w:sz="0" w:space="0" w:color="auto"/>
                <w:right w:val="none" w:sz="0" w:space="0" w:color="auto"/>
              </w:divBdr>
            </w:div>
          </w:divsChild>
        </w:div>
        <w:div w:id="1305428490">
          <w:marLeft w:val="0"/>
          <w:marRight w:val="0"/>
          <w:marTop w:val="0"/>
          <w:marBottom w:val="0"/>
          <w:divBdr>
            <w:top w:val="none" w:sz="0" w:space="0" w:color="auto"/>
            <w:left w:val="none" w:sz="0" w:space="0" w:color="auto"/>
            <w:bottom w:val="none" w:sz="0" w:space="0" w:color="auto"/>
            <w:right w:val="none" w:sz="0" w:space="0" w:color="auto"/>
          </w:divBdr>
          <w:divsChild>
            <w:div w:id="1733774550">
              <w:marLeft w:val="0"/>
              <w:marRight w:val="0"/>
              <w:marTop w:val="0"/>
              <w:marBottom w:val="0"/>
              <w:divBdr>
                <w:top w:val="none" w:sz="0" w:space="0" w:color="auto"/>
                <w:left w:val="none" w:sz="0" w:space="0" w:color="auto"/>
                <w:bottom w:val="none" w:sz="0" w:space="0" w:color="auto"/>
                <w:right w:val="none" w:sz="0" w:space="0" w:color="auto"/>
              </w:divBdr>
            </w:div>
          </w:divsChild>
        </w:div>
        <w:div w:id="1327788146">
          <w:marLeft w:val="0"/>
          <w:marRight w:val="0"/>
          <w:marTop w:val="0"/>
          <w:marBottom w:val="0"/>
          <w:divBdr>
            <w:top w:val="none" w:sz="0" w:space="0" w:color="auto"/>
            <w:left w:val="none" w:sz="0" w:space="0" w:color="auto"/>
            <w:bottom w:val="none" w:sz="0" w:space="0" w:color="auto"/>
            <w:right w:val="none" w:sz="0" w:space="0" w:color="auto"/>
          </w:divBdr>
          <w:divsChild>
            <w:div w:id="1672491917">
              <w:marLeft w:val="0"/>
              <w:marRight w:val="0"/>
              <w:marTop w:val="0"/>
              <w:marBottom w:val="0"/>
              <w:divBdr>
                <w:top w:val="none" w:sz="0" w:space="0" w:color="auto"/>
                <w:left w:val="none" w:sz="0" w:space="0" w:color="auto"/>
                <w:bottom w:val="none" w:sz="0" w:space="0" w:color="auto"/>
                <w:right w:val="none" w:sz="0" w:space="0" w:color="auto"/>
              </w:divBdr>
            </w:div>
          </w:divsChild>
        </w:div>
        <w:div w:id="1327898609">
          <w:marLeft w:val="0"/>
          <w:marRight w:val="0"/>
          <w:marTop w:val="0"/>
          <w:marBottom w:val="0"/>
          <w:divBdr>
            <w:top w:val="none" w:sz="0" w:space="0" w:color="auto"/>
            <w:left w:val="none" w:sz="0" w:space="0" w:color="auto"/>
            <w:bottom w:val="none" w:sz="0" w:space="0" w:color="auto"/>
            <w:right w:val="none" w:sz="0" w:space="0" w:color="auto"/>
          </w:divBdr>
          <w:divsChild>
            <w:div w:id="1457942818">
              <w:marLeft w:val="0"/>
              <w:marRight w:val="0"/>
              <w:marTop w:val="0"/>
              <w:marBottom w:val="0"/>
              <w:divBdr>
                <w:top w:val="none" w:sz="0" w:space="0" w:color="auto"/>
                <w:left w:val="none" w:sz="0" w:space="0" w:color="auto"/>
                <w:bottom w:val="none" w:sz="0" w:space="0" w:color="auto"/>
                <w:right w:val="none" w:sz="0" w:space="0" w:color="auto"/>
              </w:divBdr>
            </w:div>
          </w:divsChild>
        </w:div>
        <w:div w:id="1328485922">
          <w:marLeft w:val="0"/>
          <w:marRight w:val="0"/>
          <w:marTop w:val="0"/>
          <w:marBottom w:val="0"/>
          <w:divBdr>
            <w:top w:val="none" w:sz="0" w:space="0" w:color="auto"/>
            <w:left w:val="none" w:sz="0" w:space="0" w:color="auto"/>
            <w:bottom w:val="none" w:sz="0" w:space="0" w:color="auto"/>
            <w:right w:val="none" w:sz="0" w:space="0" w:color="auto"/>
          </w:divBdr>
          <w:divsChild>
            <w:div w:id="1899314953">
              <w:marLeft w:val="0"/>
              <w:marRight w:val="0"/>
              <w:marTop w:val="0"/>
              <w:marBottom w:val="0"/>
              <w:divBdr>
                <w:top w:val="none" w:sz="0" w:space="0" w:color="auto"/>
                <w:left w:val="none" w:sz="0" w:space="0" w:color="auto"/>
                <w:bottom w:val="none" w:sz="0" w:space="0" w:color="auto"/>
                <w:right w:val="none" w:sz="0" w:space="0" w:color="auto"/>
              </w:divBdr>
            </w:div>
          </w:divsChild>
        </w:div>
        <w:div w:id="1337996721">
          <w:marLeft w:val="0"/>
          <w:marRight w:val="0"/>
          <w:marTop w:val="0"/>
          <w:marBottom w:val="0"/>
          <w:divBdr>
            <w:top w:val="none" w:sz="0" w:space="0" w:color="auto"/>
            <w:left w:val="none" w:sz="0" w:space="0" w:color="auto"/>
            <w:bottom w:val="none" w:sz="0" w:space="0" w:color="auto"/>
            <w:right w:val="none" w:sz="0" w:space="0" w:color="auto"/>
          </w:divBdr>
          <w:divsChild>
            <w:div w:id="1784423749">
              <w:marLeft w:val="0"/>
              <w:marRight w:val="0"/>
              <w:marTop w:val="0"/>
              <w:marBottom w:val="0"/>
              <w:divBdr>
                <w:top w:val="none" w:sz="0" w:space="0" w:color="auto"/>
                <w:left w:val="none" w:sz="0" w:space="0" w:color="auto"/>
                <w:bottom w:val="none" w:sz="0" w:space="0" w:color="auto"/>
                <w:right w:val="none" w:sz="0" w:space="0" w:color="auto"/>
              </w:divBdr>
            </w:div>
          </w:divsChild>
        </w:div>
        <w:div w:id="1363286191">
          <w:marLeft w:val="0"/>
          <w:marRight w:val="0"/>
          <w:marTop w:val="0"/>
          <w:marBottom w:val="0"/>
          <w:divBdr>
            <w:top w:val="none" w:sz="0" w:space="0" w:color="auto"/>
            <w:left w:val="none" w:sz="0" w:space="0" w:color="auto"/>
            <w:bottom w:val="none" w:sz="0" w:space="0" w:color="auto"/>
            <w:right w:val="none" w:sz="0" w:space="0" w:color="auto"/>
          </w:divBdr>
          <w:divsChild>
            <w:div w:id="1562062263">
              <w:marLeft w:val="0"/>
              <w:marRight w:val="0"/>
              <w:marTop w:val="0"/>
              <w:marBottom w:val="0"/>
              <w:divBdr>
                <w:top w:val="none" w:sz="0" w:space="0" w:color="auto"/>
                <w:left w:val="none" w:sz="0" w:space="0" w:color="auto"/>
                <w:bottom w:val="none" w:sz="0" w:space="0" w:color="auto"/>
                <w:right w:val="none" w:sz="0" w:space="0" w:color="auto"/>
              </w:divBdr>
            </w:div>
          </w:divsChild>
        </w:div>
        <w:div w:id="1386904079">
          <w:marLeft w:val="0"/>
          <w:marRight w:val="0"/>
          <w:marTop w:val="0"/>
          <w:marBottom w:val="0"/>
          <w:divBdr>
            <w:top w:val="none" w:sz="0" w:space="0" w:color="auto"/>
            <w:left w:val="none" w:sz="0" w:space="0" w:color="auto"/>
            <w:bottom w:val="none" w:sz="0" w:space="0" w:color="auto"/>
            <w:right w:val="none" w:sz="0" w:space="0" w:color="auto"/>
          </w:divBdr>
          <w:divsChild>
            <w:div w:id="2041277253">
              <w:marLeft w:val="0"/>
              <w:marRight w:val="0"/>
              <w:marTop w:val="0"/>
              <w:marBottom w:val="0"/>
              <w:divBdr>
                <w:top w:val="none" w:sz="0" w:space="0" w:color="auto"/>
                <w:left w:val="none" w:sz="0" w:space="0" w:color="auto"/>
                <w:bottom w:val="none" w:sz="0" w:space="0" w:color="auto"/>
                <w:right w:val="none" w:sz="0" w:space="0" w:color="auto"/>
              </w:divBdr>
            </w:div>
          </w:divsChild>
        </w:div>
        <w:div w:id="1396245540">
          <w:marLeft w:val="0"/>
          <w:marRight w:val="0"/>
          <w:marTop w:val="0"/>
          <w:marBottom w:val="0"/>
          <w:divBdr>
            <w:top w:val="none" w:sz="0" w:space="0" w:color="auto"/>
            <w:left w:val="none" w:sz="0" w:space="0" w:color="auto"/>
            <w:bottom w:val="none" w:sz="0" w:space="0" w:color="auto"/>
            <w:right w:val="none" w:sz="0" w:space="0" w:color="auto"/>
          </w:divBdr>
          <w:divsChild>
            <w:div w:id="434403395">
              <w:marLeft w:val="0"/>
              <w:marRight w:val="0"/>
              <w:marTop w:val="0"/>
              <w:marBottom w:val="0"/>
              <w:divBdr>
                <w:top w:val="none" w:sz="0" w:space="0" w:color="auto"/>
                <w:left w:val="none" w:sz="0" w:space="0" w:color="auto"/>
                <w:bottom w:val="none" w:sz="0" w:space="0" w:color="auto"/>
                <w:right w:val="none" w:sz="0" w:space="0" w:color="auto"/>
              </w:divBdr>
            </w:div>
          </w:divsChild>
        </w:div>
        <w:div w:id="1398240458">
          <w:marLeft w:val="0"/>
          <w:marRight w:val="0"/>
          <w:marTop w:val="0"/>
          <w:marBottom w:val="0"/>
          <w:divBdr>
            <w:top w:val="none" w:sz="0" w:space="0" w:color="auto"/>
            <w:left w:val="none" w:sz="0" w:space="0" w:color="auto"/>
            <w:bottom w:val="none" w:sz="0" w:space="0" w:color="auto"/>
            <w:right w:val="none" w:sz="0" w:space="0" w:color="auto"/>
          </w:divBdr>
          <w:divsChild>
            <w:div w:id="811750148">
              <w:marLeft w:val="0"/>
              <w:marRight w:val="0"/>
              <w:marTop w:val="0"/>
              <w:marBottom w:val="0"/>
              <w:divBdr>
                <w:top w:val="none" w:sz="0" w:space="0" w:color="auto"/>
                <w:left w:val="none" w:sz="0" w:space="0" w:color="auto"/>
                <w:bottom w:val="none" w:sz="0" w:space="0" w:color="auto"/>
                <w:right w:val="none" w:sz="0" w:space="0" w:color="auto"/>
              </w:divBdr>
            </w:div>
          </w:divsChild>
        </w:div>
        <w:div w:id="1423603879">
          <w:marLeft w:val="0"/>
          <w:marRight w:val="0"/>
          <w:marTop w:val="0"/>
          <w:marBottom w:val="0"/>
          <w:divBdr>
            <w:top w:val="none" w:sz="0" w:space="0" w:color="auto"/>
            <w:left w:val="none" w:sz="0" w:space="0" w:color="auto"/>
            <w:bottom w:val="none" w:sz="0" w:space="0" w:color="auto"/>
            <w:right w:val="none" w:sz="0" w:space="0" w:color="auto"/>
          </w:divBdr>
          <w:divsChild>
            <w:div w:id="1123184647">
              <w:marLeft w:val="0"/>
              <w:marRight w:val="0"/>
              <w:marTop w:val="0"/>
              <w:marBottom w:val="0"/>
              <w:divBdr>
                <w:top w:val="none" w:sz="0" w:space="0" w:color="auto"/>
                <w:left w:val="none" w:sz="0" w:space="0" w:color="auto"/>
                <w:bottom w:val="none" w:sz="0" w:space="0" w:color="auto"/>
                <w:right w:val="none" w:sz="0" w:space="0" w:color="auto"/>
              </w:divBdr>
            </w:div>
          </w:divsChild>
        </w:div>
        <w:div w:id="1439255760">
          <w:marLeft w:val="0"/>
          <w:marRight w:val="0"/>
          <w:marTop w:val="0"/>
          <w:marBottom w:val="0"/>
          <w:divBdr>
            <w:top w:val="none" w:sz="0" w:space="0" w:color="auto"/>
            <w:left w:val="none" w:sz="0" w:space="0" w:color="auto"/>
            <w:bottom w:val="none" w:sz="0" w:space="0" w:color="auto"/>
            <w:right w:val="none" w:sz="0" w:space="0" w:color="auto"/>
          </w:divBdr>
          <w:divsChild>
            <w:div w:id="787970589">
              <w:marLeft w:val="0"/>
              <w:marRight w:val="0"/>
              <w:marTop w:val="0"/>
              <w:marBottom w:val="0"/>
              <w:divBdr>
                <w:top w:val="none" w:sz="0" w:space="0" w:color="auto"/>
                <w:left w:val="none" w:sz="0" w:space="0" w:color="auto"/>
                <w:bottom w:val="none" w:sz="0" w:space="0" w:color="auto"/>
                <w:right w:val="none" w:sz="0" w:space="0" w:color="auto"/>
              </w:divBdr>
            </w:div>
          </w:divsChild>
        </w:div>
        <w:div w:id="1445341942">
          <w:marLeft w:val="0"/>
          <w:marRight w:val="0"/>
          <w:marTop w:val="0"/>
          <w:marBottom w:val="0"/>
          <w:divBdr>
            <w:top w:val="none" w:sz="0" w:space="0" w:color="auto"/>
            <w:left w:val="none" w:sz="0" w:space="0" w:color="auto"/>
            <w:bottom w:val="none" w:sz="0" w:space="0" w:color="auto"/>
            <w:right w:val="none" w:sz="0" w:space="0" w:color="auto"/>
          </w:divBdr>
          <w:divsChild>
            <w:div w:id="1899584857">
              <w:marLeft w:val="0"/>
              <w:marRight w:val="0"/>
              <w:marTop w:val="0"/>
              <w:marBottom w:val="0"/>
              <w:divBdr>
                <w:top w:val="none" w:sz="0" w:space="0" w:color="auto"/>
                <w:left w:val="none" w:sz="0" w:space="0" w:color="auto"/>
                <w:bottom w:val="none" w:sz="0" w:space="0" w:color="auto"/>
                <w:right w:val="none" w:sz="0" w:space="0" w:color="auto"/>
              </w:divBdr>
            </w:div>
          </w:divsChild>
        </w:div>
        <w:div w:id="1446076264">
          <w:marLeft w:val="0"/>
          <w:marRight w:val="0"/>
          <w:marTop w:val="0"/>
          <w:marBottom w:val="0"/>
          <w:divBdr>
            <w:top w:val="none" w:sz="0" w:space="0" w:color="auto"/>
            <w:left w:val="none" w:sz="0" w:space="0" w:color="auto"/>
            <w:bottom w:val="none" w:sz="0" w:space="0" w:color="auto"/>
            <w:right w:val="none" w:sz="0" w:space="0" w:color="auto"/>
          </w:divBdr>
          <w:divsChild>
            <w:div w:id="1633050766">
              <w:marLeft w:val="0"/>
              <w:marRight w:val="0"/>
              <w:marTop w:val="0"/>
              <w:marBottom w:val="0"/>
              <w:divBdr>
                <w:top w:val="none" w:sz="0" w:space="0" w:color="auto"/>
                <w:left w:val="none" w:sz="0" w:space="0" w:color="auto"/>
                <w:bottom w:val="none" w:sz="0" w:space="0" w:color="auto"/>
                <w:right w:val="none" w:sz="0" w:space="0" w:color="auto"/>
              </w:divBdr>
            </w:div>
          </w:divsChild>
        </w:div>
        <w:div w:id="1458135961">
          <w:marLeft w:val="0"/>
          <w:marRight w:val="0"/>
          <w:marTop w:val="0"/>
          <w:marBottom w:val="0"/>
          <w:divBdr>
            <w:top w:val="none" w:sz="0" w:space="0" w:color="auto"/>
            <w:left w:val="none" w:sz="0" w:space="0" w:color="auto"/>
            <w:bottom w:val="none" w:sz="0" w:space="0" w:color="auto"/>
            <w:right w:val="none" w:sz="0" w:space="0" w:color="auto"/>
          </w:divBdr>
          <w:divsChild>
            <w:div w:id="1370568320">
              <w:marLeft w:val="0"/>
              <w:marRight w:val="0"/>
              <w:marTop w:val="0"/>
              <w:marBottom w:val="0"/>
              <w:divBdr>
                <w:top w:val="none" w:sz="0" w:space="0" w:color="auto"/>
                <w:left w:val="none" w:sz="0" w:space="0" w:color="auto"/>
                <w:bottom w:val="none" w:sz="0" w:space="0" w:color="auto"/>
                <w:right w:val="none" w:sz="0" w:space="0" w:color="auto"/>
              </w:divBdr>
            </w:div>
          </w:divsChild>
        </w:div>
        <w:div w:id="1475562438">
          <w:marLeft w:val="0"/>
          <w:marRight w:val="0"/>
          <w:marTop w:val="0"/>
          <w:marBottom w:val="0"/>
          <w:divBdr>
            <w:top w:val="none" w:sz="0" w:space="0" w:color="auto"/>
            <w:left w:val="none" w:sz="0" w:space="0" w:color="auto"/>
            <w:bottom w:val="none" w:sz="0" w:space="0" w:color="auto"/>
            <w:right w:val="none" w:sz="0" w:space="0" w:color="auto"/>
          </w:divBdr>
          <w:divsChild>
            <w:div w:id="1364555883">
              <w:marLeft w:val="0"/>
              <w:marRight w:val="0"/>
              <w:marTop w:val="0"/>
              <w:marBottom w:val="0"/>
              <w:divBdr>
                <w:top w:val="none" w:sz="0" w:space="0" w:color="auto"/>
                <w:left w:val="none" w:sz="0" w:space="0" w:color="auto"/>
                <w:bottom w:val="none" w:sz="0" w:space="0" w:color="auto"/>
                <w:right w:val="none" w:sz="0" w:space="0" w:color="auto"/>
              </w:divBdr>
            </w:div>
          </w:divsChild>
        </w:div>
        <w:div w:id="1477842724">
          <w:marLeft w:val="0"/>
          <w:marRight w:val="0"/>
          <w:marTop w:val="0"/>
          <w:marBottom w:val="0"/>
          <w:divBdr>
            <w:top w:val="none" w:sz="0" w:space="0" w:color="auto"/>
            <w:left w:val="none" w:sz="0" w:space="0" w:color="auto"/>
            <w:bottom w:val="none" w:sz="0" w:space="0" w:color="auto"/>
            <w:right w:val="none" w:sz="0" w:space="0" w:color="auto"/>
          </w:divBdr>
          <w:divsChild>
            <w:div w:id="651716841">
              <w:marLeft w:val="0"/>
              <w:marRight w:val="0"/>
              <w:marTop w:val="0"/>
              <w:marBottom w:val="0"/>
              <w:divBdr>
                <w:top w:val="none" w:sz="0" w:space="0" w:color="auto"/>
                <w:left w:val="none" w:sz="0" w:space="0" w:color="auto"/>
                <w:bottom w:val="none" w:sz="0" w:space="0" w:color="auto"/>
                <w:right w:val="none" w:sz="0" w:space="0" w:color="auto"/>
              </w:divBdr>
            </w:div>
          </w:divsChild>
        </w:div>
        <w:div w:id="1482506529">
          <w:marLeft w:val="0"/>
          <w:marRight w:val="0"/>
          <w:marTop w:val="0"/>
          <w:marBottom w:val="0"/>
          <w:divBdr>
            <w:top w:val="none" w:sz="0" w:space="0" w:color="auto"/>
            <w:left w:val="none" w:sz="0" w:space="0" w:color="auto"/>
            <w:bottom w:val="none" w:sz="0" w:space="0" w:color="auto"/>
            <w:right w:val="none" w:sz="0" w:space="0" w:color="auto"/>
          </w:divBdr>
          <w:divsChild>
            <w:div w:id="1936593470">
              <w:marLeft w:val="0"/>
              <w:marRight w:val="0"/>
              <w:marTop w:val="0"/>
              <w:marBottom w:val="0"/>
              <w:divBdr>
                <w:top w:val="none" w:sz="0" w:space="0" w:color="auto"/>
                <w:left w:val="none" w:sz="0" w:space="0" w:color="auto"/>
                <w:bottom w:val="none" w:sz="0" w:space="0" w:color="auto"/>
                <w:right w:val="none" w:sz="0" w:space="0" w:color="auto"/>
              </w:divBdr>
            </w:div>
          </w:divsChild>
        </w:div>
        <w:div w:id="1487091465">
          <w:marLeft w:val="0"/>
          <w:marRight w:val="0"/>
          <w:marTop w:val="0"/>
          <w:marBottom w:val="0"/>
          <w:divBdr>
            <w:top w:val="none" w:sz="0" w:space="0" w:color="auto"/>
            <w:left w:val="none" w:sz="0" w:space="0" w:color="auto"/>
            <w:bottom w:val="none" w:sz="0" w:space="0" w:color="auto"/>
            <w:right w:val="none" w:sz="0" w:space="0" w:color="auto"/>
          </w:divBdr>
          <w:divsChild>
            <w:div w:id="1012220298">
              <w:marLeft w:val="0"/>
              <w:marRight w:val="0"/>
              <w:marTop w:val="0"/>
              <w:marBottom w:val="0"/>
              <w:divBdr>
                <w:top w:val="none" w:sz="0" w:space="0" w:color="auto"/>
                <w:left w:val="none" w:sz="0" w:space="0" w:color="auto"/>
                <w:bottom w:val="none" w:sz="0" w:space="0" w:color="auto"/>
                <w:right w:val="none" w:sz="0" w:space="0" w:color="auto"/>
              </w:divBdr>
            </w:div>
          </w:divsChild>
        </w:div>
        <w:div w:id="1499421494">
          <w:marLeft w:val="0"/>
          <w:marRight w:val="0"/>
          <w:marTop w:val="0"/>
          <w:marBottom w:val="0"/>
          <w:divBdr>
            <w:top w:val="none" w:sz="0" w:space="0" w:color="auto"/>
            <w:left w:val="none" w:sz="0" w:space="0" w:color="auto"/>
            <w:bottom w:val="none" w:sz="0" w:space="0" w:color="auto"/>
            <w:right w:val="none" w:sz="0" w:space="0" w:color="auto"/>
          </w:divBdr>
          <w:divsChild>
            <w:div w:id="935215201">
              <w:marLeft w:val="0"/>
              <w:marRight w:val="0"/>
              <w:marTop w:val="0"/>
              <w:marBottom w:val="0"/>
              <w:divBdr>
                <w:top w:val="none" w:sz="0" w:space="0" w:color="auto"/>
                <w:left w:val="none" w:sz="0" w:space="0" w:color="auto"/>
                <w:bottom w:val="none" w:sz="0" w:space="0" w:color="auto"/>
                <w:right w:val="none" w:sz="0" w:space="0" w:color="auto"/>
              </w:divBdr>
            </w:div>
          </w:divsChild>
        </w:div>
        <w:div w:id="1526753755">
          <w:marLeft w:val="0"/>
          <w:marRight w:val="0"/>
          <w:marTop w:val="0"/>
          <w:marBottom w:val="0"/>
          <w:divBdr>
            <w:top w:val="none" w:sz="0" w:space="0" w:color="auto"/>
            <w:left w:val="none" w:sz="0" w:space="0" w:color="auto"/>
            <w:bottom w:val="none" w:sz="0" w:space="0" w:color="auto"/>
            <w:right w:val="none" w:sz="0" w:space="0" w:color="auto"/>
          </w:divBdr>
          <w:divsChild>
            <w:div w:id="431783006">
              <w:marLeft w:val="0"/>
              <w:marRight w:val="0"/>
              <w:marTop w:val="0"/>
              <w:marBottom w:val="0"/>
              <w:divBdr>
                <w:top w:val="none" w:sz="0" w:space="0" w:color="auto"/>
                <w:left w:val="none" w:sz="0" w:space="0" w:color="auto"/>
                <w:bottom w:val="none" w:sz="0" w:space="0" w:color="auto"/>
                <w:right w:val="none" w:sz="0" w:space="0" w:color="auto"/>
              </w:divBdr>
            </w:div>
          </w:divsChild>
        </w:div>
        <w:div w:id="1528178719">
          <w:marLeft w:val="0"/>
          <w:marRight w:val="0"/>
          <w:marTop w:val="0"/>
          <w:marBottom w:val="0"/>
          <w:divBdr>
            <w:top w:val="none" w:sz="0" w:space="0" w:color="auto"/>
            <w:left w:val="none" w:sz="0" w:space="0" w:color="auto"/>
            <w:bottom w:val="none" w:sz="0" w:space="0" w:color="auto"/>
            <w:right w:val="none" w:sz="0" w:space="0" w:color="auto"/>
          </w:divBdr>
          <w:divsChild>
            <w:div w:id="566183750">
              <w:marLeft w:val="0"/>
              <w:marRight w:val="0"/>
              <w:marTop w:val="0"/>
              <w:marBottom w:val="0"/>
              <w:divBdr>
                <w:top w:val="none" w:sz="0" w:space="0" w:color="auto"/>
                <w:left w:val="none" w:sz="0" w:space="0" w:color="auto"/>
                <w:bottom w:val="none" w:sz="0" w:space="0" w:color="auto"/>
                <w:right w:val="none" w:sz="0" w:space="0" w:color="auto"/>
              </w:divBdr>
            </w:div>
          </w:divsChild>
        </w:div>
        <w:div w:id="1530994147">
          <w:marLeft w:val="0"/>
          <w:marRight w:val="0"/>
          <w:marTop w:val="0"/>
          <w:marBottom w:val="0"/>
          <w:divBdr>
            <w:top w:val="none" w:sz="0" w:space="0" w:color="auto"/>
            <w:left w:val="none" w:sz="0" w:space="0" w:color="auto"/>
            <w:bottom w:val="none" w:sz="0" w:space="0" w:color="auto"/>
            <w:right w:val="none" w:sz="0" w:space="0" w:color="auto"/>
          </w:divBdr>
          <w:divsChild>
            <w:div w:id="556740737">
              <w:marLeft w:val="0"/>
              <w:marRight w:val="0"/>
              <w:marTop w:val="0"/>
              <w:marBottom w:val="0"/>
              <w:divBdr>
                <w:top w:val="none" w:sz="0" w:space="0" w:color="auto"/>
                <w:left w:val="none" w:sz="0" w:space="0" w:color="auto"/>
                <w:bottom w:val="none" w:sz="0" w:space="0" w:color="auto"/>
                <w:right w:val="none" w:sz="0" w:space="0" w:color="auto"/>
              </w:divBdr>
            </w:div>
          </w:divsChild>
        </w:div>
        <w:div w:id="1542546589">
          <w:marLeft w:val="0"/>
          <w:marRight w:val="0"/>
          <w:marTop w:val="0"/>
          <w:marBottom w:val="0"/>
          <w:divBdr>
            <w:top w:val="none" w:sz="0" w:space="0" w:color="auto"/>
            <w:left w:val="none" w:sz="0" w:space="0" w:color="auto"/>
            <w:bottom w:val="none" w:sz="0" w:space="0" w:color="auto"/>
            <w:right w:val="none" w:sz="0" w:space="0" w:color="auto"/>
          </w:divBdr>
          <w:divsChild>
            <w:div w:id="1028067301">
              <w:marLeft w:val="0"/>
              <w:marRight w:val="0"/>
              <w:marTop w:val="0"/>
              <w:marBottom w:val="0"/>
              <w:divBdr>
                <w:top w:val="none" w:sz="0" w:space="0" w:color="auto"/>
                <w:left w:val="none" w:sz="0" w:space="0" w:color="auto"/>
                <w:bottom w:val="none" w:sz="0" w:space="0" w:color="auto"/>
                <w:right w:val="none" w:sz="0" w:space="0" w:color="auto"/>
              </w:divBdr>
            </w:div>
          </w:divsChild>
        </w:div>
        <w:div w:id="1544441621">
          <w:marLeft w:val="0"/>
          <w:marRight w:val="0"/>
          <w:marTop w:val="0"/>
          <w:marBottom w:val="0"/>
          <w:divBdr>
            <w:top w:val="none" w:sz="0" w:space="0" w:color="auto"/>
            <w:left w:val="none" w:sz="0" w:space="0" w:color="auto"/>
            <w:bottom w:val="none" w:sz="0" w:space="0" w:color="auto"/>
            <w:right w:val="none" w:sz="0" w:space="0" w:color="auto"/>
          </w:divBdr>
          <w:divsChild>
            <w:div w:id="2041664934">
              <w:marLeft w:val="0"/>
              <w:marRight w:val="0"/>
              <w:marTop w:val="0"/>
              <w:marBottom w:val="0"/>
              <w:divBdr>
                <w:top w:val="none" w:sz="0" w:space="0" w:color="auto"/>
                <w:left w:val="none" w:sz="0" w:space="0" w:color="auto"/>
                <w:bottom w:val="none" w:sz="0" w:space="0" w:color="auto"/>
                <w:right w:val="none" w:sz="0" w:space="0" w:color="auto"/>
              </w:divBdr>
            </w:div>
          </w:divsChild>
        </w:div>
        <w:div w:id="1544631150">
          <w:marLeft w:val="0"/>
          <w:marRight w:val="0"/>
          <w:marTop w:val="0"/>
          <w:marBottom w:val="0"/>
          <w:divBdr>
            <w:top w:val="none" w:sz="0" w:space="0" w:color="auto"/>
            <w:left w:val="none" w:sz="0" w:space="0" w:color="auto"/>
            <w:bottom w:val="none" w:sz="0" w:space="0" w:color="auto"/>
            <w:right w:val="none" w:sz="0" w:space="0" w:color="auto"/>
          </w:divBdr>
          <w:divsChild>
            <w:div w:id="1309239806">
              <w:marLeft w:val="0"/>
              <w:marRight w:val="0"/>
              <w:marTop w:val="0"/>
              <w:marBottom w:val="0"/>
              <w:divBdr>
                <w:top w:val="none" w:sz="0" w:space="0" w:color="auto"/>
                <w:left w:val="none" w:sz="0" w:space="0" w:color="auto"/>
                <w:bottom w:val="none" w:sz="0" w:space="0" w:color="auto"/>
                <w:right w:val="none" w:sz="0" w:space="0" w:color="auto"/>
              </w:divBdr>
            </w:div>
          </w:divsChild>
        </w:div>
        <w:div w:id="1558321698">
          <w:marLeft w:val="0"/>
          <w:marRight w:val="0"/>
          <w:marTop w:val="0"/>
          <w:marBottom w:val="0"/>
          <w:divBdr>
            <w:top w:val="none" w:sz="0" w:space="0" w:color="auto"/>
            <w:left w:val="none" w:sz="0" w:space="0" w:color="auto"/>
            <w:bottom w:val="none" w:sz="0" w:space="0" w:color="auto"/>
            <w:right w:val="none" w:sz="0" w:space="0" w:color="auto"/>
          </w:divBdr>
          <w:divsChild>
            <w:div w:id="1153453100">
              <w:marLeft w:val="0"/>
              <w:marRight w:val="0"/>
              <w:marTop w:val="0"/>
              <w:marBottom w:val="0"/>
              <w:divBdr>
                <w:top w:val="none" w:sz="0" w:space="0" w:color="auto"/>
                <w:left w:val="none" w:sz="0" w:space="0" w:color="auto"/>
                <w:bottom w:val="none" w:sz="0" w:space="0" w:color="auto"/>
                <w:right w:val="none" w:sz="0" w:space="0" w:color="auto"/>
              </w:divBdr>
            </w:div>
          </w:divsChild>
        </w:div>
        <w:div w:id="1559778517">
          <w:marLeft w:val="0"/>
          <w:marRight w:val="0"/>
          <w:marTop w:val="0"/>
          <w:marBottom w:val="0"/>
          <w:divBdr>
            <w:top w:val="none" w:sz="0" w:space="0" w:color="auto"/>
            <w:left w:val="none" w:sz="0" w:space="0" w:color="auto"/>
            <w:bottom w:val="none" w:sz="0" w:space="0" w:color="auto"/>
            <w:right w:val="none" w:sz="0" w:space="0" w:color="auto"/>
          </w:divBdr>
          <w:divsChild>
            <w:div w:id="807821975">
              <w:marLeft w:val="0"/>
              <w:marRight w:val="0"/>
              <w:marTop w:val="0"/>
              <w:marBottom w:val="0"/>
              <w:divBdr>
                <w:top w:val="none" w:sz="0" w:space="0" w:color="auto"/>
                <w:left w:val="none" w:sz="0" w:space="0" w:color="auto"/>
                <w:bottom w:val="none" w:sz="0" w:space="0" w:color="auto"/>
                <w:right w:val="none" w:sz="0" w:space="0" w:color="auto"/>
              </w:divBdr>
            </w:div>
          </w:divsChild>
        </w:div>
        <w:div w:id="1565919052">
          <w:marLeft w:val="0"/>
          <w:marRight w:val="0"/>
          <w:marTop w:val="0"/>
          <w:marBottom w:val="0"/>
          <w:divBdr>
            <w:top w:val="none" w:sz="0" w:space="0" w:color="auto"/>
            <w:left w:val="none" w:sz="0" w:space="0" w:color="auto"/>
            <w:bottom w:val="none" w:sz="0" w:space="0" w:color="auto"/>
            <w:right w:val="none" w:sz="0" w:space="0" w:color="auto"/>
          </w:divBdr>
          <w:divsChild>
            <w:div w:id="557008736">
              <w:marLeft w:val="0"/>
              <w:marRight w:val="0"/>
              <w:marTop w:val="0"/>
              <w:marBottom w:val="0"/>
              <w:divBdr>
                <w:top w:val="none" w:sz="0" w:space="0" w:color="auto"/>
                <w:left w:val="none" w:sz="0" w:space="0" w:color="auto"/>
                <w:bottom w:val="none" w:sz="0" w:space="0" w:color="auto"/>
                <w:right w:val="none" w:sz="0" w:space="0" w:color="auto"/>
              </w:divBdr>
            </w:div>
          </w:divsChild>
        </w:div>
        <w:div w:id="1567834739">
          <w:marLeft w:val="0"/>
          <w:marRight w:val="0"/>
          <w:marTop w:val="0"/>
          <w:marBottom w:val="0"/>
          <w:divBdr>
            <w:top w:val="none" w:sz="0" w:space="0" w:color="auto"/>
            <w:left w:val="none" w:sz="0" w:space="0" w:color="auto"/>
            <w:bottom w:val="none" w:sz="0" w:space="0" w:color="auto"/>
            <w:right w:val="none" w:sz="0" w:space="0" w:color="auto"/>
          </w:divBdr>
          <w:divsChild>
            <w:div w:id="1230456262">
              <w:marLeft w:val="0"/>
              <w:marRight w:val="0"/>
              <w:marTop w:val="0"/>
              <w:marBottom w:val="0"/>
              <w:divBdr>
                <w:top w:val="none" w:sz="0" w:space="0" w:color="auto"/>
                <w:left w:val="none" w:sz="0" w:space="0" w:color="auto"/>
                <w:bottom w:val="none" w:sz="0" w:space="0" w:color="auto"/>
                <w:right w:val="none" w:sz="0" w:space="0" w:color="auto"/>
              </w:divBdr>
            </w:div>
          </w:divsChild>
        </w:div>
        <w:div w:id="1580408519">
          <w:marLeft w:val="0"/>
          <w:marRight w:val="0"/>
          <w:marTop w:val="0"/>
          <w:marBottom w:val="0"/>
          <w:divBdr>
            <w:top w:val="none" w:sz="0" w:space="0" w:color="auto"/>
            <w:left w:val="none" w:sz="0" w:space="0" w:color="auto"/>
            <w:bottom w:val="none" w:sz="0" w:space="0" w:color="auto"/>
            <w:right w:val="none" w:sz="0" w:space="0" w:color="auto"/>
          </w:divBdr>
          <w:divsChild>
            <w:div w:id="1019160468">
              <w:marLeft w:val="0"/>
              <w:marRight w:val="0"/>
              <w:marTop w:val="0"/>
              <w:marBottom w:val="0"/>
              <w:divBdr>
                <w:top w:val="none" w:sz="0" w:space="0" w:color="auto"/>
                <w:left w:val="none" w:sz="0" w:space="0" w:color="auto"/>
                <w:bottom w:val="none" w:sz="0" w:space="0" w:color="auto"/>
                <w:right w:val="none" w:sz="0" w:space="0" w:color="auto"/>
              </w:divBdr>
            </w:div>
          </w:divsChild>
        </w:div>
        <w:div w:id="1604997858">
          <w:marLeft w:val="0"/>
          <w:marRight w:val="0"/>
          <w:marTop w:val="0"/>
          <w:marBottom w:val="0"/>
          <w:divBdr>
            <w:top w:val="none" w:sz="0" w:space="0" w:color="auto"/>
            <w:left w:val="none" w:sz="0" w:space="0" w:color="auto"/>
            <w:bottom w:val="none" w:sz="0" w:space="0" w:color="auto"/>
            <w:right w:val="none" w:sz="0" w:space="0" w:color="auto"/>
          </w:divBdr>
          <w:divsChild>
            <w:div w:id="1723164738">
              <w:marLeft w:val="0"/>
              <w:marRight w:val="0"/>
              <w:marTop w:val="0"/>
              <w:marBottom w:val="0"/>
              <w:divBdr>
                <w:top w:val="none" w:sz="0" w:space="0" w:color="auto"/>
                <w:left w:val="none" w:sz="0" w:space="0" w:color="auto"/>
                <w:bottom w:val="none" w:sz="0" w:space="0" w:color="auto"/>
                <w:right w:val="none" w:sz="0" w:space="0" w:color="auto"/>
              </w:divBdr>
            </w:div>
          </w:divsChild>
        </w:div>
        <w:div w:id="1606033315">
          <w:marLeft w:val="0"/>
          <w:marRight w:val="0"/>
          <w:marTop w:val="0"/>
          <w:marBottom w:val="0"/>
          <w:divBdr>
            <w:top w:val="none" w:sz="0" w:space="0" w:color="auto"/>
            <w:left w:val="none" w:sz="0" w:space="0" w:color="auto"/>
            <w:bottom w:val="none" w:sz="0" w:space="0" w:color="auto"/>
            <w:right w:val="none" w:sz="0" w:space="0" w:color="auto"/>
          </w:divBdr>
          <w:divsChild>
            <w:div w:id="143089263">
              <w:marLeft w:val="0"/>
              <w:marRight w:val="0"/>
              <w:marTop w:val="0"/>
              <w:marBottom w:val="0"/>
              <w:divBdr>
                <w:top w:val="none" w:sz="0" w:space="0" w:color="auto"/>
                <w:left w:val="none" w:sz="0" w:space="0" w:color="auto"/>
                <w:bottom w:val="none" w:sz="0" w:space="0" w:color="auto"/>
                <w:right w:val="none" w:sz="0" w:space="0" w:color="auto"/>
              </w:divBdr>
            </w:div>
          </w:divsChild>
        </w:div>
        <w:div w:id="1618416215">
          <w:marLeft w:val="0"/>
          <w:marRight w:val="0"/>
          <w:marTop w:val="0"/>
          <w:marBottom w:val="0"/>
          <w:divBdr>
            <w:top w:val="none" w:sz="0" w:space="0" w:color="auto"/>
            <w:left w:val="none" w:sz="0" w:space="0" w:color="auto"/>
            <w:bottom w:val="none" w:sz="0" w:space="0" w:color="auto"/>
            <w:right w:val="none" w:sz="0" w:space="0" w:color="auto"/>
          </w:divBdr>
          <w:divsChild>
            <w:div w:id="1321228450">
              <w:marLeft w:val="0"/>
              <w:marRight w:val="0"/>
              <w:marTop w:val="0"/>
              <w:marBottom w:val="0"/>
              <w:divBdr>
                <w:top w:val="none" w:sz="0" w:space="0" w:color="auto"/>
                <w:left w:val="none" w:sz="0" w:space="0" w:color="auto"/>
                <w:bottom w:val="none" w:sz="0" w:space="0" w:color="auto"/>
                <w:right w:val="none" w:sz="0" w:space="0" w:color="auto"/>
              </w:divBdr>
            </w:div>
          </w:divsChild>
        </w:div>
        <w:div w:id="1623027559">
          <w:marLeft w:val="0"/>
          <w:marRight w:val="0"/>
          <w:marTop w:val="0"/>
          <w:marBottom w:val="0"/>
          <w:divBdr>
            <w:top w:val="none" w:sz="0" w:space="0" w:color="auto"/>
            <w:left w:val="none" w:sz="0" w:space="0" w:color="auto"/>
            <w:bottom w:val="none" w:sz="0" w:space="0" w:color="auto"/>
            <w:right w:val="none" w:sz="0" w:space="0" w:color="auto"/>
          </w:divBdr>
          <w:divsChild>
            <w:div w:id="1482116634">
              <w:marLeft w:val="0"/>
              <w:marRight w:val="0"/>
              <w:marTop w:val="0"/>
              <w:marBottom w:val="0"/>
              <w:divBdr>
                <w:top w:val="none" w:sz="0" w:space="0" w:color="auto"/>
                <w:left w:val="none" w:sz="0" w:space="0" w:color="auto"/>
                <w:bottom w:val="none" w:sz="0" w:space="0" w:color="auto"/>
                <w:right w:val="none" w:sz="0" w:space="0" w:color="auto"/>
              </w:divBdr>
            </w:div>
          </w:divsChild>
        </w:div>
        <w:div w:id="1647776570">
          <w:marLeft w:val="0"/>
          <w:marRight w:val="0"/>
          <w:marTop w:val="0"/>
          <w:marBottom w:val="0"/>
          <w:divBdr>
            <w:top w:val="none" w:sz="0" w:space="0" w:color="auto"/>
            <w:left w:val="none" w:sz="0" w:space="0" w:color="auto"/>
            <w:bottom w:val="none" w:sz="0" w:space="0" w:color="auto"/>
            <w:right w:val="none" w:sz="0" w:space="0" w:color="auto"/>
          </w:divBdr>
          <w:divsChild>
            <w:div w:id="164977383">
              <w:marLeft w:val="0"/>
              <w:marRight w:val="0"/>
              <w:marTop w:val="0"/>
              <w:marBottom w:val="0"/>
              <w:divBdr>
                <w:top w:val="none" w:sz="0" w:space="0" w:color="auto"/>
                <w:left w:val="none" w:sz="0" w:space="0" w:color="auto"/>
                <w:bottom w:val="none" w:sz="0" w:space="0" w:color="auto"/>
                <w:right w:val="none" w:sz="0" w:space="0" w:color="auto"/>
              </w:divBdr>
            </w:div>
          </w:divsChild>
        </w:div>
        <w:div w:id="1647928911">
          <w:marLeft w:val="0"/>
          <w:marRight w:val="0"/>
          <w:marTop w:val="0"/>
          <w:marBottom w:val="0"/>
          <w:divBdr>
            <w:top w:val="none" w:sz="0" w:space="0" w:color="auto"/>
            <w:left w:val="none" w:sz="0" w:space="0" w:color="auto"/>
            <w:bottom w:val="none" w:sz="0" w:space="0" w:color="auto"/>
            <w:right w:val="none" w:sz="0" w:space="0" w:color="auto"/>
          </w:divBdr>
          <w:divsChild>
            <w:div w:id="660504070">
              <w:marLeft w:val="0"/>
              <w:marRight w:val="0"/>
              <w:marTop w:val="0"/>
              <w:marBottom w:val="0"/>
              <w:divBdr>
                <w:top w:val="none" w:sz="0" w:space="0" w:color="auto"/>
                <w:left w:val="none" w:sz="0" w:space="0" w:color="auto"/>
                <w:bottom w:val="none" w:sz="0" w:space="0" w:color="auto"/>
                <w:right w:val="none" w:sz="0" w:space="0" w:color="auto"/>
              </w:divBdr>
            </w:div>
          </w:divsChild>
        </w:div>
        <w:div w:id="1648238575">
          <w:marLeft w:val="0"/>
          <w:marRight w:val="0"/>
          <w:marTop w:val="0"/>
          <w:marBottom w:val="0"/>
          <w:divBdr>
            <w:top w:val="none" w:sz="0" w:space="0" w:color="auto"/>
            <w:left w:val="none" w:sz="0" w:space="0" w:color="auto"/>
            <w:bottom w:val="none" w:sz="0" w:space="0" w:color="auto"/>
            <w:right w:val="none" w:sz="0" w:space="0" w:color="auto"/>
          </w:divBdr>
          <w:divsChild>
            <w:div w:id="2007785555">
              <w:marLeft w:val="0"/>
              <w:marRight w:val="0"/>
              <w:marTop w:val="0"/>
              <w:marBottom w:val="0"/>
              <w:divBdr>
                <w:top w:val="none" w:sz="0" w:space="0" w:color="auto"/>
                <w:left w:val="none" w:sz="0" w:space="0" w:color="auto"/>
                <w:bottom w:val="none" w:sz="0" w:space="0" w:color="auto"/>
                <w:right w:val="none" w:sz="0" w:space="0" w:color="auto"/>
              </w:divBdr>
            </w:div>
          </w:divsChild>
        </w:div>
        <w:div w:id="1648776227">
          <w:marLeft w:val="0"/>
          <w:marRight w:val="0"/>
          <w:marTop w:val="0"/>
          <w:marBottom w:val="0"/>
          <w:divBdr>
            <w:top w:val="none" w:sz="0" w:space="0" w:color="auto"/>
            <w:left w:val="none" w:sz="0" w:space="0" w:color="auto"/>
            <w:bottom w:val="none" w:sz="0" w:space="0" w:color="auto"/>
            <w:right w:val="none" w:sz="0" w:space="0" w:color="auto"/>
          </w:divBdr>
          <w:divsChild>
            <w:div w:id="1031222875">
              <w:marLeft w:val="0"/>
              <w:marRight w:val="0"/>
              <w:marTop w:val="0"/>
              <w:marBottom w:val="0"/>
              <w:divBdr>
                <w:top w:val="none" w:sz="0" w:space="0" w:color="auto"/>
                <w:left w:val="none" w:sz="0" w:space="0" w:color="auto"/>
                <w:bottom w:val="none" w:sz="0" w:space="0" w:color="auto"/>
                <w:right w:val="none" w:sz="0" w:space="0" w:color="auto"/>
              </w:divBdr>
            </w:div>
          </w:divsChild>
        </w:div>
        <w:div w:id="1674987119">
          <w:marLeft w:val="0"/>
          <w:marRight w:val="0"/>
          <w:marTop w:val="0"/>
          <w:marBottom w:val="0"/>
          <w:divBdr>
            <w:top w:val="none" w:sz="0" w:space="0" w:color="auto"/>
            <w:left w:val="none" w:sz="0" w:space="0" w:color="auto"/>
            <w:bottom w:val="none" w:sz="0" w:space="0" w:color="auto"/>
            <w:right w:val="none" w:sz="0" w:space="0" w:color="auto"/>
          </w:divBdr>
          <w:divsChild>
            <w:div w:id="683629096">
              <w:marLeft w:val="0"/>
              <w:marRight w:val="0"/>
              <w:marTop w:val="0"/>
              <w:marBottom w:val="0"/>
              <w:divBdr>
                <w:top w:val="none" w:sz="0" w:space="0" w:color="auto"/>
                <w:left w:val="none" w:sz="0" w:space="0" w:color="auto"/>
                <w:bottom w:val="none" w:sz="0" w:space="0" w:color="auto"/>
                <w:right w:val="none" w:sz="0" w:space="0" w:color="auto"/>
              </w:divBdr>
            </w:div>
          </w:divsChild>
        </w:div>
        <w:div w:id="1676033004">
          <w:marLeft w:val="0"/>
          <w:marRight w:val="0"/>
          <w:marTop w:val="0"/>
          <w:marBottom w:val="0"/>
          <w:divBdr>
            <w:top w:val="none" w:sz="0" w:space="0" w:color="auto"/>
            <w:left w:val="none" w:sz="0" w:space="0" w:color="auto"/>
            <w:bottom w:val="none" w:sz="0" w:space="0" w:color="auto"/>
            <w:right w:val="none" w:sz="0" w:space="0" w:color="auto"/>
          </w:divBdr>
          <w:divsChild>
            <w:div w:id="742065278">
              <w:marLeft w:val="0"/>
              <w:marRight w:val="0"/>
              <w:marTop w:val="0"/>
              <w:marBottom w:val="0"/>
              <w:divBdr>
                <w:top w:val="none" w:sz="0" w:space="0" w:color="auto"/>
                <w:left w:val="none" w:sz="0" w:space="0" w:color="auto"/>
                <w:bottom w:val="none" w:sz="0" w:space="0" w:color="auto"/>
                <w:right w:val="none" w:sz="0" w:space="0" w:color="auto"/>
              </w:divBdr>
            </w:div>
          </w:divsChild>
        </w:div>
        <w:div w:id="1678843645">
          <w:marLeft w:val="0"/>
          <w:marRight w:val="0"/>
          <w:marTop w:val="0"/>
          <w:marBottom w:val="0"/>
          <w:divBdr>
            <w:top w:val="none" w:sz="0" w:space="0" w:color="auto"/>
            <w:left w:val="none" w:sz="0" w:space="0" w:color="auto"/>
            <w:bottom w:val="none" w:sz="0" w:space="0" w:color="auto"/>
            <w:right w:val="none" w:sz="0" w:space="0" w:color="auto"/>
          </w:divBdr>
          <w:divsChild>
            <w:div w:id="1500385053">
              <w:marLeft w:val="0"/>
              <w:marRight w:val="0"/>
              <w:marTop w:val="0"/>
              <w:marBottom w:val="0"/>
              <w:divBdr>
                <w:top w:val="none" w:sz="0" w:space="0" w:color="auto"/>
                <w:left w:val="none" w:sz="0" w:space="0" w:color="auto"/>
                <w:bottom w:val="none" w:sz="0" w:space="0" w:color="auto"/>
                <w:right w:val="none" w:sz="0" w:space="0" w:color="auto"/>
              </w:divBdr>
            </w:div>
          </w:divsChild>
        </w:div>
        <w:div w:id="1692797092">
          <w:marLeft w:val="0"/>
          <w:marRight w:val="0"/>
          <w:marTop w:val="0"/>
          <w:marBottom w:val="0"/>
          <w:divBdr>
            <w:top w:val="none" w:sz="0" w:space="0" w:color="auto"/>
            <w:left w:val="none" w:sz="0" w:space="0" w:color="auto"/>
            <w:bottom w:val="none" w:sz="0" w:space="0" w:color="auto"/>
            <w:right w:val="none" w:sz="0" w:space="0" w:color="auto"/>
          </w:divBdr>
          <w:divsChild>
            <w:div w:id="1455565513">
              <w:marLeft w:val="0"/>
              <w:marRight w:val="0"/>
              <w:marTop w:val="0"/>
              <w:marBottom w:val="0"/>
              <w:divBdr>
                <w:top w:val="none" w:sz="0" w:space="0" w:color="auto"/>
                <w:left w:val="none" w:sz="0" w:space="0" w:color="auto"/>
                <w:bottom w:val="none" w:sz="0" w:space="0" w:color="auto"/>
                <w:right w:val="none" w:sz="0" w:space="0" w:color="auto"/>
              </w:divBdr>
            </w:div>
          </w:divsChild>
        </w:div>
        <w:div w:id="1700088596">
          <w:marLeft w:val="0"/>
          <w:marRight w:val="0"/>
          <w:marTop w:val="0"/>
          <w:marBottom w:val="0"/>
          <w:divBdr>
            <w:top w:val="none" w:sz="0" w:space="0" w:color="auto"/>
            <w:left w:val="none" w:sz="0" w:space="0" w:color="auto"/>
            <w:bottom w:val="none" w:sz="0" w:space="0" w:color="auto"/>
            <w:right w:val="none" w:sz="0" w:space="0" w:color="auto"/>
          </w:divBdr>
          <w:divsChild>
            <w:div w:id="1436173156">
              <w:marLeft w:val="0"/>
              <w:marRight w:val="0"/>
              <w:marTop w:val="0"/>
              <w:marBottom w:val="0"/>
              <w:divBdr>
                <w:top w:val="none" w:sz="0" w:space="0" w:color="auto"/>
                <w:left w:val="none" w:sz="0" w:space="0" w:color="auto"/>
                <w:bottom w:val="none" w:sz="0" w:space="0" w:color="auto"/>
                <w:right w:val="none" w:sz="0" w:space="0" w:color="auto"/>
              </w:divBdr>
            </w:div>
          </w:divsChild>
        </w:div>
        <w:div w:id="1727220122">
          <w:marLeft w:val="0"/>
          <w:marRight w:val="0"/>
          <w:marTop w:val="0"/>
          <w:marBottom w:val="0"/>
          <w:divBdr>
            <w:top w:val="none" w:sz="0" w:space="0" w:color="auto"/>
            <w:left w:val="none" w:sz="0" w:space="0" w:color="auto"/>
            <w:bottom w:val="none" w:sz="0" w:space="0" w:color="auto"/>
            <w:right w:val="none" w:sz="0" w:space="0" w:color="auto"/>
          </w:divBdr>
          <w:divsChild>
            <w:div w:id="1553536511">
              <w:marLeft w:val="0"/>
              <w:marRight w:val="0"/>
              <w:marTop w:val="0"/>
              <w:marBottom w:val="0"/>
              <w:divBdr>
                <w:top w:val="none" w:sz="0" w:space="0" w:color="auto"/>
                <w:left w:val="none" w:sz="0" w:space="0" w:color="auto"/>
                <w:bottom w:val="none" w:sz="0" w:space="0" w:color="auto"/>
                <w:right w:val="none" w:sz="0" w:space="0" w:color="auto"/>
              </w:divBdr>
            </w:div>
          </w:divsChild>
        </w:div>
        <w:div w:id="1736968384">
          <w:marLeft w:val="0"/>
          <w:marRight w:val="0"/>
          <w:marTop w:val="0"/>
          <w:marBottom w:val="0"/>
          <w:divBdr>
            <w:top w:val="none" w:sz="0" w:space="0" w:color="auto"/>
            <w:left w:val="none" w:sz="0" w:space="0" w:color="auto"/>
            <w:bottom w:val="none" w:sz="0" w:space="0" w:color="auto"/>
            <w:right w:val="none" w:sz="0" w:space="0" w:color="auto"/>
          </w:divBdr>
          <w:divsChild>
            <w:div w:id="1760980752">
              <w:marLeft w:val="0"/>
              <w:marRight w:val="0"/>
              <w:marTop w:val="0"/>
              <w:marBottom w:val="0"/>
              <w:divBdr>
                <w:top w:val="none" w:sz="0" w:space="0" w:color="auto"/>
                <w:left w:val="none" w:sz="0" w:space="0" w:color="auto"/>
                <w:bottom w:val="none" w:sz="0" w:space="0" w:color="auto"/>
                <w:right w:val="none" w:sz="0" w:space="0" w:color="auto"/>
              </w:divBdr>
            </w:div>
          </w:divsChild>
        </w:div>
        <w:div w:id="1742557100">
          <w:marLeft w:val="0"/>
          <w:marRight w:val="0"/>
          <w:marTop w:val="0"/>
          <w:marBottom w:val="0"/>
          <w:divBdr>
            <w:top w:val="none" w:sz="0" w:space="0" w:color="auto"/>
            <w:left w:val="none" w:sz="0" w:space="0" w:color="auto"/>
            <w:bottom w:val="none" w:sz="0" w:space="0" w:color="auto"/>
            <w:right w:val="none" w:sz="0" w:space="0" w:color="auto"/>
          </w:divBdr>
          <w:divsChild>
            <w:div w:id="1966111515">
              <w:marLeft w:val="0"/>
              <w:marRight w:val="0"/>
              <w:marTop w:val="0"/>
              <w:marBottom w:val="0"/>
              <w:divBdr>
                <w:top w:val="none" w:sz="0" w:space="0" w:color="auto"/>
                <w:left w:val="none" w:sz="0" w:space="0" w:color="auto"/>
                <w:bottom w:val="none" w:sz="0" w:space="0" w:color="auto"/>
                <w:right w:val="none" w:sz="0" w:space="0" w:color="auto"/>
              </w:divBdr>
            </w:div>
          </w:divsChild>
        </w:div>
        <w:div w:id="1761827772">
          <w:marLeft w:val="0"/>
          <w:marRight w:val="0"/>
          <w:marTop w:val="0"/>
          <w:marBottom w:val="0"/>
          <w:divBdr>
            <w:top w:val="none" w:sz="0" w:space="0" w:color="auto"/>
            <w:left w:val="none" w:sz="0" w:space="0" w:color="auto"/>
            <w:bottom w:val="none" w:sz="0" w:space="0" w:color="auto"/>
            <w:right w:val="none" w:sz="0" w:space="0" w:color="auto"/>
          </w:divBdr>
          <w:divsChild>
            <w:div w:id="445007503">
              <w:marLeft w:val="0"/>
              <w:marRight w:val="0"/>
              <w:marTop w:val="0"/>
              <w:marBottom w:val="0"/>
              <w:divBdr>
                <w:top w:val="none" w:sz="0" w:space="0" w:color="auto"/>
                <w:left w:val="none" w:sz="0" w:space="0" w:color="auto"/>
                <w:bottom w:val="none" w:sz="0" w:space="0" w:color="auto"/>
                <w:right w:val="none" w:sz="0" w:space="0" w:color="auto"/>
              </w:divBdr>
            </w:div>
          </w:divsChild>
        </w:div>
        <w:div w:id="1763988268">
          <w:marLeft w:val="0"/>
          <w:marRight w:val="0"/>
          <w:marTop w:val="0"/>
          <w:marBottom w:val="0"/>
          <w:divBdr>
            <w:top w:val="none" w:sz="0" w:space="0" w:color="auto"/>
            <w:left w:val="none" w:sz="0" w:space="0" w:color="auto"/>
            <w:bottom w:val="none" w:sz="0" w:space="0" w:color="auto"/>
            <w:right w:val="none" w:sz="0" w:space="0" w:color="auto"/>
          </w:divBdr>
          <w:divsChild>
            <w:div w:id="801193054">
              <w:marLeft w:val="0"/>
              <w:marRight w:val="0"/>
              <w:marTop w:val="0"/>
              <w:marBottom w:val="0"/>
              <w:divBdr>
                <w:top w:val="none" w:sz="0" w:space="0" w:color="auto"/>
                <w:left w:val="none" w:sz="0" w:space="0" w:color="auto"/>
                <w:bottom w:val="none" w:sz="0" w:space="0" w:color="auto"/>
                <w:right w:val="none" w:sz="0" w:space="0" w:color="auto"/>
              </w:divBdr>
            </w:div>
          </w:divsChild>
        </w:div>
        <w:div w:id="1769228975">
          <w:marLeft w:val="0"/>
          <w:marRight w:val="0"/>
          <w:marTop w:val="0"/>
          <w:marBottom w:val="0"/>
          <w:divBdr>
            <w:top w:val="none" w:sz="0" w:space="0" w:color="auto"/>
            <w:left w:val="none" w:sz="0" w:space="0" w:color="auto"/>
            <w:bottom w:val="none" w:sz="0" w:space="0" w:color="auto"/>
            <w:right w:val="none" w:sz="0" w:space="0" w:color="auto"/>
          </w:divBdr>
          <w:divsChild>
            <w:div w:id="404686701">
              <w:marLeft w:val="0"/>
              <w:marRight w:val="0"/>
              <w:marTop w:val="0"/>
              <w:marBottom w:val="0"/>
              <w:divBdr>
                <w:top w:val="none" w:sz="0" w:space="0" w:color="auto"/>
                <w:left w:val="none" w:sz="0" w:space="0" w:color="auto"/>
                <w:bottom w:val="none" w:sz="0" w:space="0" w:color="auto"/>
                <w:right w:val="none" w:sz="0" w:space="0" w:color="auto"/>
              </w:divBdr>
            </w:div>
          </w:divsChild>
        </w:div>
        <w:div w:id="1777554202">
          <w:marLeft w:val="0"/>
          <w:marRight w:val="0"/>
          <w:marTop w:val="0"/>
          <w:marBottom w:val="0"/>
          <w:divBdr>
            <w:top w:val="none" w:sz="0" w:space="0" w:color="auto"/>
            <w:left w:val="none" w:sz="0" w:space="0" w:color="auto"/>
            <w:bottom w:val="none" w:sz="0" w:space="0" w:color="auto"/>
            <w:right w:val="none" w:sz="0" w:space="0" w:color="auto"/>
          </w:divBdr>
          <w:divsChild>
            <w:div w:id="1871456328">
              <w:marLeft w:val="0"/>
              <w:marRight w:val="0"/>
              <w:marTop w:val="0"/>
              <w:marBottom w:val="0"/>
              <w:divBdr>
                <w:top w:val="none" w:sz="0" w:space="0" w:color="auto"/>
                <w:left w:val="none" w:sz="0" w:space="0" w:color="auto"/>
                <w:bottom w:val="none" w:sz="0" w:space="0" w:color="auto"/>
                <w:right w:val="none" w:sz="0" w:space="0" w:color="auto"/>
              </w:divBdr>
            </w:div>
          </w:divsChild>
        </w:div>
        <w:div w:id="1782651457">
          <w:marLeft w:val="0"/>
          <w:marRight w:val="0"/>
          <w:marTop w:val="0"/>
          <w:marBottom w:val="0"/>
          <w:divBdr>
            <w:top w:val="none" w:sz="0" w:space="0" w:color="auto"/>
            <w:left w:val="none" w:sz="0" w:space="0" w:color="auto"/>
            <w:bottom w:val="none" w:sz="0" w:space="0" w:color="auto"/>
            <w:right w:val="none" w:sz="0" w:space="0" w:color="auto"/>
          </w:divBdr>
          <w:divsChild>
            <w:div w:id="1322807920">
              <w:marLeft w:val="0"/>
              <w:marRight w:val="0"/>
              <w:marTop w:val="0"/>
              <w:marBottom w:val="0"/>
              <w:divBdr>
                <w:top w:val="none" w:sz="0" w:space="0" w:color="auto"/>
                <w:left w:val="none" w:sz="0" w:space="0" w:color="auto"/>
                <w:bottom w:val="none" w:sz="0" w:space="0" w:color="auto"/>
                <w:right w:val="none" w:sz="0" w:space="0" w:color="auto"/>
              </w:divBdr>
            </w:div>
          </w:divsChild>
        </w:div>
        <w:div w:id="1790855258">
          <w:marLeft w:val="0"/>
          <w:marRight w:val="0"/>
          <w:marTop w:val="0"/>
          <w:marBottom w:val="0"/>
          <w:divBdr>
            <w:top w:val="none" w:sz="0" w:space="0" w:color="auto"/>
            <w:left w:val="none" w:sz="0" w:space="0" w:color="auto"/>
            <w:bottom w:val="none" w:sz="0" w:space="0" w:color="auto"/>
            <w:right w:val="none" w:sz="0" w:space="0" w:color="auto"/>
          </w:divBdr>
          <w:divsChild>
            <w:div w:id="1002707796">
              <w:marLeft w:val="0"/>
              <w:marRight w:val="0"/>
              <w:marTop w:val="0"/>
              <w:marBottom w:val="0"/>
              <w:divBdr>
                <w:top w:val="none" w:sz="0" w:space="0" w:color="auto"/>
                <w:left w:val="none" w:sz="0" w:space="0" w:color="auto"/>
                <w:bottom w:val="none" w:sz="0" w:space="0" w:color="auto"/>
                <w:right w:val="none" w:sz="0" w:space="0" w:color="auto"/>
              </w:divBdr>
            </w:div>
          </w:divsChild>
        </w:div>
        <w:div w:id="1791433991">
          <w:marLeft w:val="0"/>
          <w:marRight w:val="0"/>
          <w:marTop w:val="0"/>
          <w:marBottom w:val="0"/>
          <w:divBdr>
            <w:top w:val="none" w:sz="0" w:space="0" w:color="auto"/>
            <w:left w:val="none" w:sz="0" w:space="0" w:color="auto"/>
            <w:bottom w:val="none" w:sz="0" w:space="0" w:color="auto"/>
            <w:right w:val="none" w:sz="0" w:space="0" w:color="auto"/>
          </w:divBdr>
          <w:divsChild>
            <w:div w:id="2104256802">
              <w:marLeft w:val="0"/>
              <w:marRight w:val="0"/>
              <w:marTop w:val="0"/>
              <w:marBottom w:val="0"/>
              <w:divBdr>
                <w:top w:val="none" w:sz="0" w:space="0" w:color="auto"/>
                <w:left w:val="none" w:sz="0" w:space="0" w:color="auto"/>
                <w:bottom w:val="none" w:sz="0" w:space="0" w:color="auto"/>
                <w:right w:val="none" w:sz="0" w:space="0" w:color="auto"/>
              </w:divBdr>
            </w:div>
          </w:divsChild>
        </w:div>
        <w:div w:id="1794518102">
          <w:marLeft w:val="0"/>
          <w:marRight w:val="0"/>
          <w:marTop w:val="0"/>
          <w:marBottom w:val="0"/>
          <w:divBdr>
            <w:top w:val="none" w:sz="0" w:space="0" w:color="auto"/>
            <w:left w:val="none" w:sz="0" w:space="0" w:color="auto"/>
            <w:bottom w:val="none" w:sz="0" w:space="0" w:color="auto"/>
            <w:right w:val="none" w:sz="0" w:space="0" w:color="auto"/>
          </w:divBdr>
          <w:divsChild>
            <w:div w:id="1314407715">
              <w:marLeft w:val="0"/>
              <w:marRight w:val="0"/>
              <w:marTop w:val="0"/>
              <w:marBottom w:val="0"/>
              <w:divBdr>
                <w:top w:val="none" w:sz="0" w:space="0" w:color="auto"/>
                <w:left w:val="none" w:sz="0" w:space="0" w:color="auto"/>
                <w:bottom w:val="none" w:sz="0" w:space="0" w:color="auto"/>
                <w:right w:val="none" w:sz="0" w:space="0" w:color="auto"/>
              </w:divBdr>
            </w:div>
          </w:divsChild>
        </w:div>
        <w:div w:id="1797481796">
          <w:marLeft w:val="0"/>
          <w:marRight w:val="0"/>
          <w:marTop w:val="0"/>
          <w:marBottom w:val="0"/>
          <w:divBdr>
            <w:top w:val="none" w:sz="0" w:space="0" w:color="auto"/>
            <w:left w:val="none" w:sz="0" w:space="0" w:color="auto"/>
            <w:bottom w:val="none" w:sz="0" w:space="0" w:color="auto"/>
            <w:right w:val="none" w:sz="0" w:space="0" w:color="auto"/>
          </w:divBdr>
          <w:divsChild>
            <w:div w:id="763846592">
              <w:marLeft w:val="0"/>
              <w:marRight w:val="0"/>
              <w:marTop w:val="0"/>
              <w:marBottom w:val="0"/>
              <w:divBdr>
                <w:top w:val="none" w:sz="0" w:space="0" w:color="auto"/>
                <w:left w:val="none" w:sz="0" w:space="0" w:color="auto"/>
                <w:bottom w:val="none" w:sz="0" w:space="0" w:color="auto"/>
                <w:right w:val="none" w:sz="0" w:space="0" w:color="auto"/>
              </w:divBdr>
            </w:div>
          </w:divsChild>
        </w:div>
        <w:div w:id="1800949313">
          <w:marLeft w:val="0"/>
          <w:marRight w:val="0"/>
          <w:marTop w:val="0"/>
          <w:marBottom w:val="0"/>
          <w:divBdr>
            <w:top w:val="none" w:sz="0" w:space="0" w:color="auto"/>
            <w:left w:val="none" w:sz="0" w:space="0" w:color="auto"/>
            <w:bottom w:val="none" w:sz="0" w:space="0" w:color="auto"/>
            <w:right w:val="none" w:sz="0" w:space="0" w:color="auto"/>
          </w:divBdr>
          <w:divsChild>
            <w:div w:id="1328284261">
              <w:marLeft w:val="0"/>
              <w:marRight w:val="0"/>
              <w:marTop w:val="0"/>
              <w:marBottom w:val="0"/>
              <w:divBdr>
                <w:top w:val="none" w:sz="0" w:space="0" w:color="auto"/>
                <w:left w:val="none" w:sz="0" w:space="0" w:color="auto"/>
                <w:bottom w:val="none" w:sz="0" w:space="0" w:color="auto"/>
                <w:right w:val="none" w:sz="0" w:space="0" w:color="auto"/>
              </w:divBdr>
            </w:div>
          </w:divsChild>
        </w:div>
        <w:div w:id="1803304753">
          <w:marLeft w:val="0"/>
          <w:marRight w:val="0"/>
          <w:marTop w:val="0"/>
          <w:marBottom w:val="0"/>
          <w:divBdr>
            <w:top w:val="none" w:sz="0" w:space="0" w:color="auto"/>
            <w:left w:val="none" w:sz="0" w:space="0" w:color="auto"/>
            <w:bottom w:val="none" w:sz="0" w:space="0" w:color="auto"/>
            <w:right w:val="none" w:sz="0" w:space="0" w:color="auto"/>
          </w:divBdr>
          <w:divsChild>
            <w:div w:id="130875805">
              <w:marLeft w:val="0"/>
              <w:marRight w:val="0"/>
              <w:marTop w:val="0"/>
              <w:marBottom w:val="0"/>
              <w:divBdr>
                <w:top w:val="none" w:sz="0" w:space="0" w:color="auto"/>
                <w:left w:val="none" w:sz="0" w:space="0" w:color="auto"/>
                <w:bottom w:val="none" w:sz="0" w:space="0" w:color="auto"/>
                <w:right w:val="none" w:sz="0" w:space="0" w:color="auto"/>
              </w:divBdr>
            </w:div>
          </w:divsChild>
        </w:div>
        <w:div w:id="1829982475">
          <w:marLeft w:val="0"/>
          <w:marRight w:val="0"/>
          <w:marTop w:val="0"/>
          <w:marBottom w:val="0"/>
          <w:divBdr>
            <w:top w:val="none" w:sz="0" w:space="0" w:color="auto"/>
            <w:left w:val="none" w:sz="0" w:space="0" w:color="auto"/>
            <w:bottom w:val="none" w:sz="0" w:space="0" w:color="auto"/>
            <w:right w:val="none" w:sz="0" w:space="0" w:color="auto"/>
          </w:divBdr>
          <w:divsChild>
            <w:div w:id="1609006005">
              <w:marLeft w:val="0"/>
              <w:marRight w:val="0"/>
              <w:marTop w:val="0"/>
              <w:marBottom w:val="0"/>
              <w:divBdr>
                <w:top w:val="none" w:sz="0" w:space="0" w:color="auto"/>
                <w:left w:val="none" w:sz="0" w:space="0" w:color="auto"/>
                <w:bottom w:val="none" w:sz="0" w:space="0" w:color="auto"/>
                <w:right w:val="none" w:sz="0" w:space="0" w:color="auto"/>
              </w:divBdr>
            </w:div>
          </w:divsChild>
        </w:div>
        <w:div w:id="1836452845">
          <w:marLeft w:val="0"/>
          <w:marRight w:val="0"/>
          <w:marTop w:val="0"/>
          <w:marBottom w:val="0"/>
          <w:divBdr>
            <w:top w:val="none" w:sz="0" w:space="0" w:color="auto"/>
            <w:left w:val="none" w:sz="0" w:space="0" w:color="auto"/>
            <w:bottom w:val="none" w:sz="0" w:space="0" w:color="auto"/>
            <w:right w:val="none" w:sz="0" w:space="0" w:color="auto"/>
          </w:divBdr>
          <w:divsChild>
            <w:div w:id="941687974">
              <w:marLeft w:val="0"/>
              <w:marRight w:val="0"/>
              <w:marTop w:val="0"/>
              <w:marBottom w:val="0"/>
              <w:divBdr>
                <w:top w:val="none" w:sz="0" w:space="0" w:color="auto"/>
                <w:left w:val="none" w:sz="0" w:space="0" w:color="auto"/>
                <w:bottom w:val="none" w:sz="0" w:space="0" w:color="auto"/>
                <w:right w:val="none" w:sz="0" w:space="0" w:color="auto"/>
              </w:divBdr>
            </w:div>
          </w:divsChild>
        </w:div>
        <w:div w:id="1840848702">
          <w:marLeft w:val="0"/>
          <w:marRight w:val="0"/>
          <w:marTop w:val="0"/>
          <w:marBottom w:val="0"/>
          <w:divBdr>
            <w:top w:val="none" w:sz="0" w:space="0" w:color="auto"/>
            <w:left w:val="none" w:sz="0" w:space="0" w:color="auto"/>
            <w:bottom w:val="none" w:sz="0" w:space="0" w:color="auto"/>
            <w:right w:val="none" w:sz="0" w:space="0" w:color="auto"/>
          </w:divBdr>
          <w:divsChild>
            <w:div w:id="26562528">
              <w:marLeft w:val="0"/>
              <w:marRight w:val="0"/>
              <w:marTop w:val="0"/>
              <w:marBottom w:val="0"/>
              <w:divBdr>
                <w:top w:val="none" w:sz="0" w:space="0" w:color="auto"/>
                <w:left w:val="none" w:sz="0" w:space="0" w:color="auto"/>
                <w:bottom w:val="none" w:sz="0" w:space="0" w:color="auto"/>
                <w:right w:val="none" w:sz="0" w:space="0" w:color="auto"/>
              </w:divBdr>
            </w:div>
          </w:divsChild>
        </w:div>
        <w:div w:id="1849977500">
          <w:marLeft w:val="0"/>
          <w:marRight w:val="0"/>
          <w:marTop w:val="0"/>
          <w:marBottom w:val="0"/>
          <w:divBdr>
            <w:top w:val="none" w:sz="0" w:space="0" w:color="auto"/>
            <w:left w:val="none" w:sz="0" w:space="0" w:color="auto"/>
            <w:bottom w:val="none" w:sz="0" w:space="0" w:color="auto"/>
            <w:right w:val="none" w:sz="0" w:space="0" w:color="auto"/>
          </w:divBdr>
          <w:divsChild>
            <w:div w:id="1286737937">
              <w:marLeft w:val="0"/>
              <w:marRight w:val="0"/>
              <w:marTop w:val="0"/>
              <w:marBottom w:val="0"/>
              <w:divBdr>
                <w:top w:val="none" w:sz="0" w:space="0" w:color="auto"/>
                <w:left w:val="none" w:sz="0" w:space="0" w:color="auto"/>
                <w:bottom w:val="none" w:sz="0" w:space="0" w:color="auto"/>
                <w:right w:val="none" w:sz="0" w:space="0" w:color="auto"/>
              </w:divBdr>
            </w:div>
          </w:divsChild>
        </w:div>
        <w:div w:id="1861117092">
          <w:marLeft w:val="0"/>
          <w:marRight w:val="0"/>
          <w:marTop w:val="0"/>
          <w:marBottom w:val="0"/>
          <w:divBdr>
            <w:top w:val="none" w:sz="0" w:space="0" w:color="auto"/>
            <w:left w:val="none" w:sz="0" w:space="0" w:color="auto"/>
            <w:bottom w:val="none" w:sz="0" w:space="0" w:color="auto"/>
            <w:right w:val="none" w:sz="0" w:space="0" w:color="auto"/>
          </w:divBdr>
          <w:divsChild>
            <w:div w:id="1522433759">
              <w:marLeft w:val="0"/>
              <w:marRight w:val="0"/>
              <w:marTop w:val="0"/>
              <w:marBottom w:val="0"/>
              <w:divBdr>
                <w:top w:val="none" w:sz="0" w:space="0" w:color="auto"/>
                <w:left w:val="none" w:sz="0" w:space="0" w:color="auto"/>
                <w:bottom w:val="none" w:sz="0" w:space="0" w:color="auto"/>
                <w:right w:val="none" w:sz="0" w:space="0" w:color="auto"/>
              </w:divBdr>
            </w:div>
          </w:divsChild>
        </w:div>
        <w:div w:id="1885018830">
          <w:marLeft w:val="0"/>
          <w:marRight w:val="0"/>
          <w:marTop w:val="0"/>
          <w:marBottom w:val="0"/>
          <w:divBdr>
            <w:top w:val="none" w:sz="0" w:space="0" w:color="auto"/>
            <w:left w:val="none" w:sz="0" w:space="0" w:color="auto"/>
            <w:bottom w:val="none" w:sz="0" w:space="0" w:color="auto"/>
            <w:right w:val="none" w:sz="0" w:space="0" w:color="auto"/>
          </w:divBdr>
          <w:divsChild>
            <w:div w:id="385765378">
              <w:marLeft w:val="0"/>
              <w:marRight w:val="0"/>
              <w:marTop w:val="0"/>
              <w:marBottom w:val="0"/>
              <w:divBdr>
                <w:top w:val="none" w:sz="0" w:space="0" w:color="auto"/>
                <w:left w:val="none" w:sz="0" w:space="0" w:color="auto"/>
                <w:bottom w:val="none" w:sz="0" w:space="0" w:color="auto"/>
                <w:right w:val="none" w:sz="0" w:space="0" w:color="auto"/>
              </w:divBdr>
            </w:div>
          </w:divsChild>
        </w:div>
        <w:div w:id="1886410923">
          <w:marLeft w:val="0"/>
          <w:marRight w:val="0"/>
          <w:marTop w:val="0"/>
          <w:marBottom w:val="0"/>
          <w:divBdr>
            <w:top w:val="none" w:sz="0" w:space="0" w:color="auto"/>
            <w:left w:val="none" w:sz="0" w:space="0" w:color="auto"/>
            <w:bottom w:val="none" w:sz="0" w:space="0" w:color="auto"/>
            <w:right w:val="none" w:sz="0" w:space="0" w:color="auto"/>
          </w:divBdr>
          <w:divsChild>
            <w:div w:id="1602295769">
              <w:marLeft w:val="0"/>
              <w:marRight w:val="0"/>
              <w:marTop w:val="0"/>
              <w:marBottom w:val="0"/>
              <w:divBdr>
                <w:top w:val="none" w:sz="0" w:space="0" w:color="auto"/>
                <w:left w:val="none" w:sz="0" w:space="0" w:color="auto"/>
                <w:bottom w:val="none" w:sz="0" w:space="0" w:color="auto"/>
                <w:right w:val="none" w:sz="0" w:space="0" w:color="auto"/>
              </w:divBdr>
            </w:div>
          </w:divsChild>
        </w:div>
        <w:div w:id="1898474942">
          <w:marLeft w:val="0"/>
          <w:marRight w:val="0"/>
          <w:marTop w:val="0"/>
          <w:marBottom w:val="0"/>
          <w:divBdr>
            <w:top w:val="none" w:sz="0" w:space="0" w:color="auto"/>
            <w:left w:val="none" w:sz="0" w:space="0" w:color="auto"/>
            <w:bottom w:val="none" w:sz="0" w:space="0" w:color="auto"/>
            <w:right w:val="none" w:sz="0" w:space="0" w:color="auto"/>
          </w:divBdr>
          <w:divsChild>
            <w:div w:id="369259437">
              <w:marLeft w:val="0"/>
              <w:marRight w:val="0"/>
              <w:marTop w:val="0"/>
              <w:marBottom w:val="0"/>
              <w:divBdr>
                <w:top w:val="none" w:sz="0" w:space="0" w:color="auto"/>
                <w:left w:val="none" w:sz="0" w:space="0" w:color="auto"/>
                <w:bottom w:val="none" w:sz="0" w:space="0" w:color="auto"/>
                <w:right w:val="none" w:sz="0" w:space="0" w:color="auto"/>
              </w:divBdr>
            </w:div>
          </w:divsChild>
        </w:div>
        <w:div w:id="1899127891">
          <w:marLeft w:val="0"/>
          <w:marRight w:val="0"/>
          <w:marTop w:val="0"/>
          <w:marBottom w:val="0"/>
          <w:divBdr>
            <w:top w:val="none" w:sz="0" w:space="0" w:color="auto"/>
            <w:left w:val="none" w:sz="0" w:space="0" w:color="auto"/>
            <w:bottom w:val="none" w:sz="0" w:space="0" w:color="auto"/>
            <w:right w:val="none" w:sz="0" w:space="0" w:color="auto"/>
          </w:divBdr>
          <w:divsChild>
            <w:div w:id="902058676">
              <w:marLeft w:val="0"/>
              <w:marRight w:val="0"/>
              <w:marTop w:val="0"/>
              <w:marBottom w:val="0"/>
              <w:divBdr>
                <w:top w:val="none" w:sz="0" w:space="0" w:color="auto"/>
                <w:left w:val="none" w:sz="0" w:space="0" w:color="auto"/>
                <w:bottom w:val="none" w:sz="0" w:space="0" w:color="auto"/>
                <w:right w:val="none" w:sz="0" w:space="0" w:color="auto"/>
              </w:divBdr>
            </w:div>
          </w:divsChild>
        </w:div>
        <w:div w:id="1900361591">
          <w:marLeft w:val="0"/>
          <w:marRight w:val="0"/>
          <w:marTop w:val="0"/>
          <w:marBottom w:val="0"/>
          <w:divBdr>
            <w:top w:val="none" w:sz="0" w:space="0" w:color="auto"/>
            <w:left w:val="none" w:sz="0" w:space="0" w:color="auto"/>
            <w:bottom w:val="none" w:sz="0" w:space="0" w:color="auto"/>
            <w:right w:val="none" w:sz="0" w:space="0" w:color="auto"/>
          </w:divBdr>
          <w:divsChild>
            <w:div w:id="682167433">
              <w:marLeft w:val="0"/>
              <w:marRight w:val="0"/>
              <w:marTop w:val="0"/>
              <w:marBottom w:val="0"/>
              <w:divBdr>
                <w:top w:val="none" w:sz="0" w:space="0" w:color="auto"/>
                <w:left w:val="none" w:sz="0" w:space="0" w:color="auto"/>
                <w:bottom w:val="none" w:sz="0" w:space="0" w:color="auto"/>
                <w:right w:val="none" w:sz="0" w:space="0" w:color="auto"/>
              </w:divBdr>
            </w:div>
          </w:divsChild>
        </w:div>
        <w:div w:id="1919754385">
          <w:marLeft w:val="0"/>
          <w:marRight w:val="0"/>
          <w:marTop w:val="0"/>
          <w:marBottom w:val="0"/>
          <w:divBdr>
            <w:top w:val="none" w:sz="0" w:space="0" w:color="auto"/>
            <w:left w:val="none" w:sz="0" w:space="0" w:color="auto"/>
            <w:bottom w:val="none" w:sz="0" w:space="0" w:color="auto"/>
            <w:right w:val="none" w:sz="0" w:space="0" w:color="auto"/>
          </w:divBdr>
          <w:divsChild>
            <w:div w:id="38942884">
              <w:marLeft w:val="0"/>
              <w:marRight w:val="0"/>
              <w:marTop w:val="0"/>
              <w:marBottom w:val="0"/>
              <w:divBdr>
                <w:top w:val="none" w:sz="0" w:space="0" w:color="auto"/>
                <w:left w:val="none" w:sz="0" w:space="0" w:color="auto"/>
                <w:bottom w:val="none" w:sz="0" w:space="0" w:color="auto"/>
                <w:right w:val="none" w:sz="0" w:space="0" w:color="auto"/>
              </w:divBdr>
            </w:div>
          </w:divsChild>
        </w:div>
        <w:div w:id="1927030732">
          <w:marLeft w:val="0"/>
          <w:marRight w:val="0"/>
          <w:marTop w:val="0"/>
          <w:marBottom w:val="0"/>
          <w:divBdr>
            <w:top w:val="none" w:sz="0" w:space="0" w:color="auto"/>
            <w:left w:val="none" w:sz="0" w:space="0" w:color="auto"/>
            <w:bottom w:val="none" w:sz="0" w:space="0" w:color="auto"/>
            <w:right w:val="none" w:sz="0" w:space="0" w:color="auto"/>
          </w:divBdr>
          <w:divsChild>
            <w:div w:id="162015214">
              <w:marLeft w:val="0"/>
              <w:marRight w:val="0"/>
              <w:marTop w:val="0"/>
              <w:marBottom w:val="0"/>
              <w:divBdr>
                <w:top w:val="none" w:sz="0" w:space="0" w:color="auto"/>
                <w:left w:val="none" w:sz="0" w:space="0" w:color="auto"/>
                <w:bottom w:val="none" w:sz="0" w:space="0" w:color="auto"/>
                <w:right w:val="none" w:sz="0" w:space="0" w:color="auto"/>
              </w:divBdr>
            </w:div>
          </w:divsChild>
        </w:div>
        <w:div w:id="1931623073">
          <w:marLeft w:val="0"/>
          <w:marRight w:val="0"/>
          <w:marTop w:val="0"/>
          <w:marBottom w:val="0"/>
          <w:divBdr>
            <w:top w:val="none" w:sz="0" w:space="0" w:color="auto"/>
            <w:left w:val="none" w:sz="0" w:space="0" w:color="auto"/>
            <w:bottom w:val="none" w:sz="0" w:space="0" w:color="auto"/>
            <w:right w:val="none" w:sz="0" w:space="0" w:color="auto"/>
          </w:divBdr>
          <w:divsChild>
            <w:div w:id="1640263787">
              <w:marLeft w:val="0"/>
              <w:marRight w:val="0"/>
              <w:marTop w:val="0"/>
              <w:marBottom w:val="0"/>
              <w:divBdr>
                <w:top w:val="none" w:sz="0" w:space="0" w:color="auto"/>
                <w:left w:val="none" w:sz="0" w:space="0" w:color="auto"/>
                <w:bottom w:val="none" w:sz="0" w:space="0" w:color="auto"/>
                <w:right w:val="none" w:sz="0" w:space="0" w:color="auto"/>
              </w:divBdr>
            </w:div>
          </w:divsChild>
        </w:div>
        <w:div w:id="1945335501">
          <w:marLeft w:val="0"/>
          <w:marRight w:val="0"/>
          <w:marTop w:val="0"/>
          <w:marBottom w:val="0"/>
          <w:divBdr>
            <w:top w:val="none" w:sz="0" w:space="0" w:color="auto"/>
            <w:left w:val="none" w:sz="0" w:space="0" w:color="auto"/>
            <w:bottom w:val="none" w:sz="0" w:space="0" w:color="auto"/>
            <w:right w:val="none" w:sz="0" w:space="0" w:color="auto"/>
          </w:divBdr>
          <w:divsChild>
            <w:div w:id="1709916217">
              <w:marLeft w:val="0"/>
              <w:marRight w:val="0"/>
              <w:marTop w:val="0"/>
              <w:marBottom w:val="0"/>
              <w:divBdr>
                <w:top w:val="none" w:sz="0" w:space="0" w:color="auto"/>
                <w:left w:val="none" w:sz="0" w:space="0" w:color="auto"/>
                <w:bottom w:val="none" w:sz="0" w:space="0" w:color="auto"/>
                <w:right w:val="none" w:sz="0" w:space="0" w:color="auto"/>
              </w:divBdr>
            </w:div>
          </w:divsChild>
        </w:div>
        <w:div w:id="1951355635">
          <w:marLeft w:val="0"/>
          <w:marRight w:val="0"/>
          <w:marTop w:val="0"/>
          <w:marBottom w:val="0"/>
          <w:divBdr>
            <w:top w:val="none" w:sz="0" w:space="0" w:color="auto"/>
            <w:left w:val="none" w:sz="0" w:space="0" w:color="auto"/>
            <w:bottom w:val="none" w:sz="0" w:space="0" w:color="auto"/>
            <w:right w:val="none" w:sz="0" w:space="0" w:color="auto"/>
          </w:divBdr>
          <w:divsChild>
            <w:div w:id="1303538101">
              <w:marLeft w:val="0"/>
              <w:marRight w:val="0"/>
              <w:marTop w:val="0"/>
              <w:marBottom w:val="0"/>
              <w:divBdr>
                <w:top w:val="none" w:sz="0" w:space="0" w:color="auto"/>
                <w:left w:val="none" w:sz="0" w:space="0" w:color="auto"/>
                <w:bottom w:val="none" w:sz="0" w:space="0" w:color="auto"/>
                <w:right w:val="none" w:sz="0" w:space="0" w:color="auto"/>
              </w:divBdr>
            </w:div>
          </w:divsChild>
        </w:div>
        <w:div w:id="1973897473">
          <w:marLeft w:val="0"/>
          <w:marRight w:val="0"/>
          <w:marTop w:val="0"/>
          <w:marBottom w:val="0"/>
          <w:divBdr>
            <w:top w:val="none" w:sz="0" w:space="0" w:color="auto"/>
            <w:left w:val="none" w:sz="0" w:space="0" w:color="auto"/>
            <w:bottom w:val="none" w:sz="0" w:space="0" w:color="auto"/>
            <w:right w:val="none" w:sz="0" w:space="0" w:color="auto"/>
          </w:divBdr>
          <w:divsChild>
            <w:div w:id="987131181">
              <w:marLeft w:val="0"/>
              <w:marRight w:val="0"/>
              <w:marTop w:val="0"/>
              <w:marBottom w:val="0"/>
              <w:divBdr>
                <w:top w:val="none" w:sz="0" w:space="0" w:color="auto"/>
                <w:left w:val="none" w:sz="0" w:space="0" w:color="auto"/>
                <w:bottom w:val="none" w:sz="0" w:space="0" w:color="auto"/>
                <w:right w:val="none" w:sz="0" w:space="0" w:color="auto"/>
              </w:divBdr>
            </w:div>
          </w:divsChild>
        </w:div>
        <w:div w:id="1974405573">
          <w:marLeft w:val="0"/>
          <w:marRight w:val="0"/>
          <w:marTop w:val="0"/>
          <w:marBottom w:val="0"/>
          <w:divBdr>
            <w:top w:val="none" w:sz="0" w:space="0" w:color="auto"/>
            <w:left w:val="none" w:sz="0" w:space="0" w:color="auto"/>
            <w:bottom w:val="none" w:sz="0" w:space="0" w:color="auto"/>
            <w:right w:val="none" w:sz="0" w:space="0" w:color="auto"/>
          </w:divBdr>
          <w:divsChild>
            <w:div w:id="872229657">
              <w:marLeft w:val="0"/>
              <w:marRight w:val="0"/>
              <w:marTop w:val="0"/>
              <w:marBottom w:val="0"/>
              <w:divBdr>
                <w:top w:val="none" w:sz="0" w:space="0" w:color="auto"/>
                <w:left w:val="none" w:sz="0" w:space="0" w:color="auto"/>
                <w:bottom w:val="none" w:sz="0" w:space="0" w:color="auto"/>
                <w:right w:val="none" w:sz="0" w:space="0" w:color="auto"/>
              </w:divBdr>
            </w:div>
          </w:divsChild>
        </w:div>
        <w:div w:id="2000688767">
          <w:marLeft w:val="0"/>
          <w:marRight w:val="0"/>
          <w:marTop w:val="0"/>
          <w:marBottom w:val="0"/>
          <w:divBdr>
            <w:top w:val="none" w:sz="0" w:space="0" w:color="auto"/>
            <w:left w:val="none" w:sz="0" w:space="0" w:color="auto"/>
            <w:bottom w:val="none" w:sz="0" w:space="0" w:color="auto"/>
            <w:right w:val="none" w:sz="0" w:space="0" w:color="auto"/>
          </w:divBdr>
          <w:divsChild>
            <w:div w:id="845823610">
              <w:marLeft w:val="0"/>
              <w:marRight w:val="0"/>
              <w:marTop w:val="0"/>
              <w:marBottom w:val="0"/>
              <w:divBdr>
                <w:top w:val="none" w:sz="0" w:space="0" w:color="auto"/>
                <w:left w:val="none" w:sz="0" w:space="0" w:color="auto"/>
                <w:bottom w:val="none" w:sz="0" w:space="0" w:color="auto"/>
                <w:right w:val="none" w:sz="0" w:space="0" w:color="auto"/>
              </w:divBdr>
            </w:div>
          </w:divsChild>
        </w:div>
        <w:div w:id="2011369710">
          <w:marLeft w:val="0"/>
          <w:marRight w:val="0"/>
          <w:marTop w:val="0"/>
          <w:marBottom w:val="0"/>
          <w:divBdr>
            <w:top w:val="none" w:sz="0" w:space="0" w:color="auto"/>
            <w:left w:val="none" w:sz="0" w:space="0" w:color="auto"/>
            <w:bottom w:val="none" w:sz="0" w:space="0" w:color="auto"/>
            <w:right w:val="none" w:sz="0" w:space="0" w:color="auto"/>
          </w:divBdr>
          <w:divsChild>
            <w:div w:id="20714117">
              <w:marLeft w:val="0"/>
              <w:marRight w:val="0"/>
              <w:marTop w:val="0"/>
              <w:marBottom w:val="0"/>
              <w:divBdr>
                <w:top w:val="none" w:sz="0" w:space="0" w:color="auto"/>
                <w:left w:val="none" w:sz="0" w:space="0" w:color="auto"/>
                <w:bottom w:val="none" w:sz="0" w:space="0" w:color="auto"/>
                <w:right w:val="none" w:sz="0" w:space="0" w:color="auto"/>
              </w:divBdr>
            </w:div>
          </w:divsChild>
        </w:div>
        <w:div w:id="2015261021">
          <w:marLeft w:val="0"/>
          <w:marRight w:val="0"/>
          <w:marTop w:val="0"/>
          <w:marBottom w:val="0"/>
          <w:divBdr>
            <w:top w:val="none" w:sz="0" w:space="0" w:color="auto"/>
            <w:left w:val="none" w:sz="0" w:space="0" w:color="auto"/>
            <w:bottom w:val="none" w:sz="0" w:space="0" w:color="auto"/>
            <w:right w:val="none" w:sz="0" w:space="0" w:color="auto"/>
          </w:divBdr>
          <w:divsChild>
            <w:div w:id="1300958739">
              <w:marLeft w:val="0"/>
              <w:marRight w:val="0"/>
              <w:marTop w:val="0"/>
              <w:marBottom w:val="0"/>
              <w:divBdr>
                <w:top w:val="none" w:sz="0" w:space="0" w:color="auto"/>
                <w:left w:val="none" w:sz="0" w:space="0" w:color="auto"/>
                <w:bottom w:val="none" w:sz="0" w:space="0" w:color="auto"/>
                <w:right w:val="none" w:sz="0" w:space="0" w:color="auto"/>
              </w:divBdr>
            </w:div>
          </w:divsChild>
        </w:div>
        <w:div w:id="2015574580">
          <w:marLeft w:val="0"/>
          <w:marRight w:val="0"/>
          <w:marTop w:val="0"/>
          <w:marBottom w:val="0"/>
          <w:divBdr>
            <w:top w:val="none" w:sz="0" w:space="0" w:color="auto"/>
            <w:left w:val="none" w:sz="0" w:space="0" w:color="auto"/>
            <w:bottom w:val="none" w:sz="0" w:space="0" w:color="auto"/>
            <w:right w:val="none" w:sz="0" w:space="0" w:color="auto"/>
          </w:divBdr>
          <w:divsChild>
            <w:div w:id="1679891351">
              <w:marLeft w:val="0"/>
              <w:marRight w:val="0"/>
              <w:marTop w:val="0"/>
              <w:marBottom w:val="0"/>
              <w:divBdr>
                <w:top w:val="none" w:sz="0" w:space="0" w:color="auto"/>
                <w:left w:val="none" w:sz="0" w:space="0" w:color="auto"/>
                <w:bottom w:val="none" w:sz="0" w:space="0" w:color="auto"/>
                <w:right w:val="none" w:sz="0" w:space="0" w:color="auto"/>
              </w:divBdr>
            </w:div>
          </w:divsChild>
        </w:div>
        <w:div w:id="2017993049">
          <w:marLeft w:val="0"/>
          <w:marRight w:val="0"/>
          <w:marTop w:val="0"/>
          <w:marBottom w:val="0"/>
          <w:divBdr>
            <w:top w:val="none" w:sz="0" w:space="0" w:color="auto"/>
            <w:left w:val="none" w:sz="0" w:space="0" w:color="auto"/>
            <w:bottom w:val="none" w:sz="0" w:space="0" w:color="auto"/>
            <w:right w:val="none" w:sz="0" w:space="0" w:color="auto"/>
          </w:divBdr>
          <w:divsChild>
            <w:div w:id="203562976">
              <w:marLeft w:val="0"/>
              <w:marRight w:val="0"/>
              <w:marTop w:val="0"/>
              <w:marBottom w:val="0"/>
              <w:divBdr>
                <w:top w:val="none" w:sz="0" w:space="0" w:color="auto"/>
                <w:left w:val="none" w:sz="0" w:space="0" w:color="auto"/>
                <w:bottom w:val="none" w:sz="0" w:space="0" w:color="auto"/>
                <w:right w:val="none" w:sz="0" w:space="0" w:color="auto"/>
              </w:divBdr>
            </w:div>
          </w:divsChild>
        </w:div>
        <w:div w:id="2025858488">
          <w:marLeft w:val="0"/>
          <w:marRight w:val="0"/>
          <w:marTop w:val="0"/>
          <w:marBottom w:val="0"/>
          <w:divBdr>
            <w:top w:val="none" w:sz="0" w:space="0" w:color="auto"/>
            <w:left w:val="none" w:sz="0" w:space="0" w:color="auto"/>
            <w:bottom w:val="none" w:sz="0" w:space="0" w:color="auto"/>
            <w:right w:val="none" w:sz="0" w:space="0" w:color="auto"/>
          </w:divBdr>
          <w:divsChild>
            <w:div w:id="1124270473">
              <w:marLeft w:val="0"/>
              <w:marRight w:val="0"/>
              <w:marTop w:val="0"/>
              <w:marBottom w:val="0"/>
              <w:divBdr>
                <w:top w:val="none" w:sz="0" w:space="0" w:color="auto"/>
                <w:left w:val="none" w:sz="0" w:space="0" w:color="auto"/>
                <w:bottom w:val="none" w:sz="0" w:space="0" w:color="auto"/>
                <w:right w:val="none" w:sz="0" w:space="0" w:color="auto"/>
              </w:divBdr>
            </w:div>
          </w:divsChild>
        </w:div>
        <w:div w:id="2030987720">
          <w:marLeft w:val="0"/>
          <w:marRight w:val="0"/>
          <w:marTop w:val="0"/>
          <w:marBottom w:val="0"/>
          <w:divBdr>
            <w:top w:val="none" w:sz="0" w:space="0" w:color="auto"/>
            <w:left w:val="none" w:sz="0" w:space="0" w:color="auto"/>
            <w:bottom w:val="none" w:sz="0" w:space="0" w:color="auto"/>
            <w:right w:val="none" w:sz="0" w:space="0" w:color="auto"/>
          </w:divBdr>
          <w:divsChild>
            <w:div w:id="828982503">
              <w:marLeft w:val="0"/>
              <w:marRight w:val="0"/>
              <w:marTop w:val="0"/>
              <w:marBottom w:val="0"/>
              <w:divBdr>
                <w:top w:val="none" w:sz="0" w:space="0" w:color="auto"/>
                <w:left w:val="none" w:sz="0" w:space="0" w:color="auto"/>
                <w:bottom w:val="none" w:sz="0" w:space="0" w:color="auto"/>
                <w:right w:val="none" w:sz="0" w:space="0" w:color="auto"/>
              </w:divBdr>
            </w:div>
          </w:divsChild>
        </w:div>
        <w:div w:id="2033266078">
          <w:marLeft w:val="0"/>
          <w:marRight w:val="0"/>
          <w:marTop w:val="0"/>
          <w:marBottom w:val="0"/>
          <w:divBdr>
            <w:top w:val="none" w:sz="0" w:space="0" w:color="auto"/>
            <w:left w:val="none" w:sz="0" w:space="0" w:color="auto"/>
            <w:bottom w:val="none" w:sz="0" w:space="0" w:color="auto"/>
            <w:right w:val="none" w:sz="0" w:space="0" w:color="auto"/>
          </w:divBdr>
          <w:divsChild>
            <w:div w:id="181549950">
              <w:marLeft w:val="0"/>
              <w:marRight w:val="0"/>
              <w:marTop w:val="0"/>
              <w:marBottom w:val="0"/>
              <w:divBdr>
                <w:top w:val="none" w:sz="0" w:space="0" w:color="auto"/>
                <w:left w:val="none" w:sz="0" w:space="0" w:color="auto"/>
                <w:bottom w:val="none" w:sz="0" w:space="0" w:color="auto"/>
                <w:right w:val="none" w:sz="0" w:space="0" w:color="auto"/>
              </w:divBdr>
            </w:div>
          </w:divsChild>
        </w:div>
        <w:div w:id="2038695128">
          <w:marLeft w:val="0"/>
          <w:marRight w:val="0"/>
          <w:marTop w:val="0"/>
          <w:marBottom w:val="0"/>
          <w:divBdr>
            <w:top w:val="none" w:sz="0" w:space="0" w:color="auto"/>
            <w:left w:val="none" w:sz="0" w:space="0" w:color="auto"/>
            <w:bottom w:val="none" w:sz="0" w:space="0" w:color="auto"/>
            <w:right w:val="none" w:sz="0" w:space="0" w:color="auto"/>
          </w:divBdr>
          <w:divsChild>
            <w:div w:id="1227570026">
              <w:marLeft w:val="0"/>
              <w:marRight w:val="0"/>
              <w:marTop w:val="0"/>
              <w:marBottom w:val="0"/>
              <w:divBdr>
                <w:top w:val="none" w:sz="0" w:space="0" w:color="auto"/>
                <w:left w:val="none" w:sz="0" w:space="0" w:color="auto"/>
                <w:bottom w:val="none" w:sz="0" w:space="0" w:color="auto"/>
                <w:right w:val="none" w:sz="0" w:space="0" w:color="auto"/>
              </w:divBdr>
            </w:div>
          </w:divsChild>
        </w:div>
        <w:div w:id="2053069247">
          <w:marLeft w:val="0"/>
          <w:marRight w:val="0"/>
          <w:marTop w:val="0"/>
          <w:marBottom w:val="0"/>
          <w:divBdr>
            <w:top w:val="none" w:sz="0" w:space="0" w:color="auto"/>
            <w:left w:val="none" w:sz="0" w:space="0" w:color="auto"/>
            <w:bottom w:val="none" w:sz="0" w:space="0" w:color="auto"/>
            <w:right w:val="none" w:sz="0" w:space="0" w:color="auto"/>
          </w:divBdr>
          <w:divsChild>
            <w:div w:id="1835221680">
              <w:marLeft w:val="0"/>
              <w:marRight w:val="0"/>
              <w:marTop w:val="0"/>
              <w:marBottom w:val="0"/>
              <w:divBdr>
                <w:top w:val="none" w:sz="0" w:space="0" w:color="auto"/>
                <w:left w:val="none" w:sz="0" w:space="0" w:color="auto"/>
                <w:bottom w:val="none" w:sz="0" w:space="0" w:color="auto"/>
                <w:right w:val="none" w:sz="0" w:space="0" w:color="auto"/>
              </w:divBdr>
            </w:div>
          </w:divsChild>
        </w:div>
        <w:div w:id="2076393802">
          <w:marLeft w:val="0"/>
          <w:marRight w:val="0"/>
          <w:marTop w:val="0"/>
          <w:marBottom w:val="0"/>
          <w:divBdr>
            <w:top w:val="none" w:sz="0" w:space="0" w:color="auto"/>
            <w:left w:val="none" w:sz="0" w:space="0" w:color="auto"/>
            <w:bottom w:val="none" w:sz="0" w:space="0" w:color="auto"/>
            <w:right w:val="none" w:sz="0" w:space="0" w:color="auto"/>
          </w:divBdr>
          <w:divsChild>
            <w:div w:id="294793079">
              <w:marLeft w:val="0"/>
              <w:marRight w:val="0"/>
              <w:marTop w:val="0"/>
              <w:marBottom w:val="0"/>
              <w:divBdr>
                <w:top w:val="none" w:sz="0" w:space="0" w:color="auto"/>
                <w:left w:val="none" w:sz="0" w:space="0" w:color="auto"/>
                <w:bottom w:val="none" w:sz="0" w:space="0" w:color="auto"/>
                <w:right w:val="none" w:sz="0" w:space="0" w:color="auto"/>
              </w:divBdr>
            </w:div>
          </w:divsChild>
        </w:div>
        <w:div w:id="2082556231">
          <w:marLeft w:val="0"/>
          <w:marRight w:val="0"/>
          <w:marTop w:val="0"/>
          <w:marBottom w:val="0"/>
          <w:divBdr>
            <w:top w:val="none" w:sz="0" w:space="0" w:color="auto"/>
            <w:left w:val="none" w:sz="0" w:space="0" w:color="auto"/>
            <w:bottom w:val="none" w:sz="0" w:space="0" w:color="auto"/>
            <w:right w:val="none" w:sz="0" w:space="0" w:color="auto"/>
          </w:divBdr>
          <w:divsChild>
            <w:div w:id="1669360807">
              <w:marLeft w:val="0"/>
              <w:marRight w:val="0"/>
              <w:marTop w:val="0"/>
              <w:marBottom w:val="0"/>
              <w:divBdr>
                <w:top w:val="none" w:sz="0" w:space="0" w:color="auto"/>
                <w:left w:val="none" w:sz="0" w:space="0" w:color="auto"/>
                <w:bottom w:val="none" w:sz="0" w:space="0" w:color="auto"/>
                <w:right w:val="none" w:sz="0" w:space="0" w:color="auto"/>
              </w:divBdr>
            </w:div>
          </w:divsChild>
        </w:div>
        <w:div w:id="2087265094">
          <w:marLeft w:val="0"/>
          <w:marRight w:val="0"/>
          <w:marTop w:val="0"/>
          <w:marBottom w:val="0"/>
          <w:divBdr>
            <w:top w:val="none" w:sz="0" w:space="0" w:color="auto"/>
            <w:left w:val="none" w:sz="0" w:space="0" w:color="auto"/>
            <w:bottom w:val="none" w:sz="0" w:space="0" w:color="auto"/>
            <w:right w:val="none" w:sz="0" w:space="0" w:color="auto"/>
          </w:divBdr>
          <w:divsChild>
            <w:div w:id="2063673633">
              <w:marLeft w:val="0"/>
              <w:marRight w:val="0"/>
              <w:marTop w:val="0"/>
              <w:marBottom w:val="0"/>
              <w:divBdr>
                <w:top w:val="none" w:sz="0" w:space="0" w:color="auto"/>
                <w:left w:val="none" w:sz="0" w:space="0" w:color="auto"/>
                <w:bottom w:val="none" w:sz="0" w:space="0" w:color="auto"/>
                <w:right w:val="none" w:sz="0" w:space="0" w:color="auto"/>
              </w:divBdr>
            </w:div>
          </w:divsChild>
        </w:div>
        <w:div w:id="2091197480">
          <w:marLeft w:val="0"/>
          <w:marRight w:val="0"/>
          <w:marTop w:val="0"/>
          <w:marBottom w:val="0"/>
          <w:divBdr>
            <w:top w:val="none" w:sz="0" w:space="0" w:color="auto"/>
            <w:left w:val="none" w:sz="0" w:space="0" w:color="auto"/>
            <w:bottom w:val="none" w:sz="0" w:space="0" w:color="auto"/>
            <w:right w:val="none" w:sz="0" w:space="0" w:color="auto"/>
          </w:divBdr>
          <w:divsChild>
            <w:div w:id="1206140378">
              <w:marLeft w:val="0"/>
              <w:marRight w:val="0"/>
              <w:marTop w:val="0"/>
              <w:marBottom w:val="0"/>
              <w:divBdr>
                <w:top w:val="none" w:sz="0" w:space="0" w:color="auto"/>
                <w:left w:val="none" w:sz="0" w:space="0" w:color="auto"/>
                <w:bottom w:val="none" w:sz="0" w:space="0" w:color="auto"/>
                <w:right w:val="none" w:sz="0" w:space="0" w:color="auto"/>
              </w:divBdr>
            </w:div>
          </w:divsChild>
        </w:div>
        <w:div w:id="2092267397">
          <w:marLeft w:val="0"/>
          <w:marRight w:val="0"/>
          <w:marTop w:val="0"/>
          <w:marBottom w:val="0"/>
          <w:divBdr>
            <w:top w:val="none" w:sz="0" w:space="0" w:color="auto"/>
            <w:left w:val="none" w:sz="0" w:space="0" w:color="auto"/>
            <w:bottom w:val="none" w:sz="0" w:space="0" w:color="auto"/>
            <w:right w:val="none" w:sz="0" w:space="0" w:color="auto"/>
          </w:divBdr>
          <w:divsChild>
            <w:div w:id="1797484275">
              <w:marLeft w:val="0"/>
              <w:marRight w:val="0"/>
              <w:marTop w:val="0"/>
              <w:marBottom w:val="0"/>
              <w:divBdr>
                <w:top w:val="none" w:sz="0" w:space="0" w:color="auto"/>
                <w:left w:val="none" w:sz="0" w:space="0" w:color="auto"/>
                <w:bottom w:val="none" w:sz="0" w:space="0" w:color="auto"/>
                <w:right w:val="none" w:sz="0" w:space="0" w:color="auto"/>
              </w:divBdr>
            </w:div>
          </w:divsChild>
        </w:div>
        <w:div w:id="2112049655">
          <w:marLeft w:val="0"/>
          <w:marRight w:val="0"/>
          <w:marTop w:val="0"/>
          <w:marBottom w:val="0"/>
          <w:divBdr>
            <w:top w:val="none" w:sz="0" w:space="0" w:color="auto"/>
            <w:left w:val="none" w:sz="0" w:space="0" w:color="auto"/>
            <w:bottom w:val="none" w:sz="0" w:space="0" w:color="auto"/>
            <w:right w:val="none" w:sz="0" w:space="0" w:color="auto"/>
          </w:divBdr>
          <w:divsChild>
            <w:div w:id="1292596085">
              <w:marLeft w:val="0"/>
              <w:marRight w:val="0"/>
              <w:marTop w:val="0"/>
              <w:marBottom w:val="0"/>
              <w:divBdr>
                <w:top w:val="none" w:sz="0" w:space="0" w:color="auto"/>
                <w:left w:val="none" w:sz="0" w:space="0" w:color="auto"/>
                <w:bottom w:val="none" w:sz="0" w:space="0" w:color="auto"/>
                <w:right w:val="none" w:sz="0" w:space="0" w:color="auto"/>
              </w:divBdr>
            </w:div>
          </w:divsChild>
        </w:div>
        <w:div w:id="2118599916">
          <w:marLeft w:val="0"/>
          <w:marRight w:val="0"/>
          <w:marTop w:val="0"/>
          <w:marBottom w:val="0"/>
          <w:divBdr>
            <w:top w:val="none" w:sz="0" w:space="0" w:color="auto"/>
            <w:left w:val="none" w:sz="0" w:space="0" w:color="auto"/>
            <w:bottom w:val="none" w:sz="0" w:space="0" w:color="auto"/>
            <w:right w:val="none" w:sz="0" w:space="0" w:color="auto"/>
          </w:divBdr>
          <w:divsChild>
            <w:div w:id="1779106002">
              <w:marLeft w:val="0"/>
              <w:marRight w:val="0"/>
              <w:marTop w:val="0"/>
              <w:marBottom w:val="0"/>
              <w:divBdr>
                <w:top w:val="none" w:sz="0" w:space="0" w:color="auto"/>
                <w:left w:val="none" w:sz="0" w:space="0" w:color="auto"/>
                <w:bottom w:val="none" w:sz="0" w:space="0" w:color="auto"/>
                <w:right w:val="none" w:sz="0" w:space="0" w:color="auto"/>
              </w:divBdr>
            </w:div>
          </w:divsChild>
        </w:div>
        <w:div w:id="2125734153">
          <w:marLeft w:val="0"/>
          <w:marRight w:val="0"/>
          <w:marTop w:val="0"/>
          <w:marBottom w:val="0"/>
          <w:divBdr>
            <w:top w:val="none" w:sz="0" w:space="0" w:color="auto"/>
            <w:left w:val="none" w:sz="0" w:space="0" w:color="auto"/>
            <w:bottom w:val="none" w:sz="0" w:space="0" w:color="auto"/>
            <w:right w:val="none" w:sz="0" w:space="0" w:color="auto"/>
          </w:divBdr>
          <w:divsChild>
            <w:div w:id="170678662">
              <w:marLeft w:val="0"/>
              <w:marRight w:val="0"/>
              <w:marTop w:val="0"/>
              <w:marBottom w:val="0"/>
              <w:divBdr>
                <w:top w:val="none" w:sz="0" w:space="0" w:color="auto"/>
                <w:left w:val="none" w:sz="0" w:space="0" w:color="auto"/>
                <w:bottom w:val="none" w:sz="0" w:space="0" w:color="auto"/>
                <w:right w:val="none" w:sz="0" w:space="0" w:color="auto"/>
              </w:divBdr>
            </w:div>
          </w:divsChild>
        </w:div>
        <w:div w:id="2137022757">
          <w:marLeft w:val="0"/>
          <w:marRight w:val="0"/>
          <w:marTop w:val="0"/>
          <w:marBottom w:val="0"/>
          <w:divBdr>
            <w:top w:val="none" w:sz="0" w:space="0" w:color="auto"/>
            <w:left w:val="none" w:sz="0" w:space="0" w:color="auto"/>
            <w:bottom w:val="none" w:sz="0" w:space="0" w:color="auto"/>
            <w:right w:val="none" w:sz="0" w:space="0" w:color="auto"/>
          </w:divBdr>
          <w:divsChild>
            <w:div w:id="1995210120">
              <w:marLeft w:val="0"/>
              <w:marRight w:val="0"/>
              <w:marTop w:val="0"/>
              <w:marBottom w:val="0"/>
              <w:divBdr>
                <w:top w:val="none" w:sz="0" w:space="0" w:color="auto"/>
                <w:left w:val="none" w:sz="0" w:space="0" w:color="auto"/>
                <w:bottom w:val="none" w:sz="0" w:space="0" w:color="auto"/>
                <w:right w:val="none" w:sz="0" w:space="0" w:color="auto"/>
              </w:divBdr>
            </w:div>
          </w:divsChild>
        </w:div>
        <w:div w:id="2139371677">
          <w:marLeft w:val="0"/>
          <w:marRight w:val="0"/>
          <w:marTop w:val="0"/>
          <w:marBottom w:val="0"/>
          <w:divBdr>
            <w:top w:val="none" w:sz="0" w:space="0" w:color="auto"/>
            <w:left w:val="none" w:sz="0" w:space="0" w:color="auto"/>
            <w:bottom w:val="none" w:sz="0" w:space="0" w:color="auto"/>
            <w:right w:val="none" w:sz="0" w:space="0" w:color="auto"/>
          </w:divBdr>
          <w:divsChild>
            <w:div w:id="1034618643">
              <w:marLeft w:val="0"/>
              <w:marRight w:val="0"/>
              <w:marTop w:val="0"/>
              <w:marBottom w:val="0"/>
              <w:divBdr>
                <w:top w:val="none" w:sz="0" w:space="0" w:color="auto"/>
                <w:left w:val="none" w:sz="0" w:space="0" w:color="auto"/>
                <w:bottom w:val="none" w:sz="0" w:space="0" w:color="auto"/>
                <w:right w:val="none" w:sz="0" w:space="0" w:color="auto"/>
              </w:divBdr>
            </w:div>
          </w:divsChild>
        </w:div>
        <w:div w:id="2144107286">
          <w:marLeft w:val="0"/>
          <w:marRight w:val="0"/>
          <w:marTop w:val="0"/>
          <w:marBottom w:val="0"/>
          <w:divBdr>
            <w:top w:val="none" w:sz="0" w:space="0" w:color="auto"/>
            <w:left w:val="none" w:sz="0" w:space="0" w:color="auto"/>
            <w:bottom w:val="none" w:sz="0" w:space="0" w:color="auto"/>
            <w:right w:val="none" w:sz="0" w:space="0" w:color="auto"/>
          </w:divBdr>
          <w:divsChild>
            <w:div w:id="19495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067823">
      <w:bodyDiv w:val="1"/>
      <w:marLeft w:val="0"/>
      <w:marRight w:val="0"/>
      <w:marTop w:val="0"/>
      <w:marBottom w:val="0"/>
      <w:divBdr>
        <w:top w:val="none" w:sz="0" w:space="0" w:color="auto"/>
        <w:left w:val="none" w:sz="0" w:space="0" w:color="auto"/>
        <w:bottom w:val="none" w:sz="0" w:space="0" w:color="auto"/>
        <w:right w:val="none" w:sz="0" w:space="0" w:color="auto"/>
      </w:divBdr>
    </w:div>
    <w:div w:id="405105956">
      <w:bodyDiv w:val="1"/>
      <w:marLeft w:val="0"/>
      <w:marRight w:val="0"/>
      <w:marTop w:val="0"/>
      <w:marBottom w:val="0"/>
      <w:divBdr>
        <w:top w:val="none" w:sz="0" w:space="0" w:color="auto"/>
        <w:left w:val="none" w:sz="0" w:space="0" w:color="auto"/>
        <w:bottom w:val="none" w:sz="0" w:space="0" w:color="auto"/>
        <w:right w:val="none" w:sz="0" w:space="0" w:color="auto"/>
      </w:divBdr>
      <w:divsChild>
        <w:div w:id="12076064">
          <w:marLeft w:val="0"/>
          <w:marRight w:val="0"/>
          <w:marTop w:val="0"/>
          <w:marBottom w:val="0"/>
          <w:divBdr>
            <w:top w:val="none" w:sz="0" w:space="0" w:color="auto"/>
            <w:left w:val="none" w:sz="0" w:space="0" w:color="auto"/>
            <w:bottom w:val="none" w:sz="0" w:space="0" w:color="auto"/>
            <w:right w:val="none" w:sz="0" w:space="0" w:color="auto"/>
          </w:divBdr>
          <w:divsChild>
            <w:div w:id="2124614220">
              <w:marLeft w:val="0"/>
              <w:marRight w:val="0"/>
              <w:marTop w:val="0"/>
              <w:marBottom w:val="0"/>
              <w:divBdr>
                <w:top w:val="none" w:sz="0" w:space="0" w:color="auto"/>
                <w:left w:val="none" w:sz="0" w:space="0" w:color="auto"/>
                <w:bottom w:val="none" w:sz="0" w:space="0" w:color="auto"/>
                <w:right w:val="none" w:sz="0" w:space="0" w:color="auto"/>
              </w:divBdr>
            </w:div>
          </w:divsChild>
        </w:div>
        <w:div w:id="14549055">
          <w:marLeft w:val="0"/>
          <w:marRight w:val="0"/>
          <w:marTop w:val="0"/>
          <w:marBottom w:val="0"/>
          <w:divBdr>
            <w:top w:val="none" w:sz="0" w:space="0" w:color="auto"/>
            <w:left w:val="none" w:sz="0" w:space="0" w:color="auto"/>
            <w:bottom w:val="none" w:sz="0" w:space="0" w:color="auto"/>
            <w:right w:val="none" w:sz="0" w:space="0" w:color="auto"/>
          </w:divBdr>
          <w:divsChild>
            <w:div w:id="325939858">
              <w:marLeft w:val="0"/>
              <w:marRight w:val="0"/>
              <w:marTop w:val="0"/>
              <w:marBottom w:val="0"/>
              <w:divBdr>
                <w:top w:val="none" w:sz="0" w:space="0" w:color="auto"/>
                <w:left w:val="none" w:sz="0" w:space="0" w:color="auto"/>
                <w:bottom w:val="none" w:sz="0" w:space="0" w:color="auto"/>
                <w:right w:val="none" w:sz="0" w:space="0" w:color="auto"/>
              </w:divBdr>
            </w:div>
          </w:divsChild>
        </w:div>
        <w:div w:id="20210234">
          <w:marLeft w:val="0"/>
          <w:marRight w:val="0"/>
          <w:marTop w:val="0"/>
          <w:marBottom w:val="0"/>
          <w:divBdr>
            <w:top w:val="none" w:sz="0" w:space="0" w:color="auto"/>
            <w:left w:val="none" w:sz="0" w:space="0" w:color="auto"/>
            <w:bottom w:val="none" w:sz="0" w:space="0" w:color="auto"/>
            <w:right w:val="none" w:sz="0" w:space="0" w:color="auto"/>
          </w:divBdr>
          <w:divsChild>
            <w:div w:id="1026980886">
              <w:marLeft w:val="0"/>
              <w:marRight w:val="0"/>
              <w:marTop w:val="0"/>
              <w:marBottom w:val="0"/>
              <w:divBdr>
                <w:top w:val="none" w:sz="0" w:space="0" w:color="auto"/>
                <w:left w:val="none" w:sz="0" w:space="0" w:color="auto"/>
                <w:bottom w:val="none" w:sz="0" w:space="0" w:color="auto"/>
                <w:right w:val="none" w:sz="0" w:space="0" w:color="auto"/>
              </w:divBdr>
            </w:div>
          </w:divsChild>
        </w:div>
        <w:div w:id="23482364">
          <w:marLeft w:val="0"/>
          <w:marRight w:val="0"/>
          <w:marTop w:val="0"/>
          <w:marBottom w:val="0"/>
          <w:divBdr>
            <w:top w:val="none" w:sz="0" w:space="0" w:color="auto"/>
            <w:left w:val="none" w:sz="0" w:space="0" w:color="auto"/>
            <w:bottom w:val="none" w:sz="0" w:space="0" w:color="auto"/>
            <w:right w:val="none" w:sz="0" w:space="0" w:color="auto"/>
          </w:divBdr>
          <w:divsChild>
            <w:div w:id="1744254826">
              <w:marLeft w:val="0"/>
              <w:marRight w:val="0"/>
              <w:marTop w:val="0"/>
              <w:marBottom w:val="0"/>
              <w:divBdr>
                <w:top w:val="none" w:sz="0" w:space="0" w:color="auto"/>
                <w:left w:val="none" w:sz="0" w:space="0" w:color="auto"/>
                <w:bottom w:val="none" w:sz="0" w:space="0" w:color="auto"/>
                <w:right w:val="none" w:sz="0" w:space="0" w:color="auto"/>
              </w:divBdr>
            </w:div>
          </w:divsChild>
        </w:div>
        <w:div w:id="33384303">
          <w:marLeft w:val="0"/>
          <w:marRight w:val="0"/>
          <w:marTop w:val="0"/>
          <w:marBottom w:val="0"/>
          <w:divBdr>
            <w:top w:val="none" w:sz="0" w:space="0" w:color="auto"/>
            <w:left w:val="none" w:sz="0" w:space="0" w:color="auto"/>
            <w:bottom w:val="none" w:sz="0" w:space="0" w:color="auto"/>
            <w:right w:val="none" w:sz="0" w:space="0" w:color="auto"/>
          </w:divBdr>
          <w:divsChild>
            <w:div w:id="14307377">
              <w:marLeft w:val="0"/>
              <w:marRight w:val="0"/>
              <w:marTop w:val="0"/>
              <w:marBottom w:val="0"/>
              <w:divBdr>
                <w:top w:val="none" w:sz="0" w:space="0" w:color="auto"/>
                <w:left w:val="none" w:sz="0" w:space="0" w:color="auto"/>
                <w:bottom w:val="none" w:sz="0" w:space="0" w:color="auto"/>
                <w:right w:val="none" w:sz="0" w:space="0" w:color="auto"/>
              </w:divBdr>
            </w:div>
          </w:divsChild>
        </w:div>
        <w:div w:id="42026502">
          <w:marLeft w:val="0"/>
          <w:marRight w:val="0"/>
          <w:marTop w:val="0"/>
          <w:marBottom w:val="0"/>
          <w:divBdr>
            <w:top w:val="none" w:sz="0" w:space="0" w:color="auto"/>
            <w:left w:val="none" w:sz="0" w:space="0" w:color="auto"/>
            <w:bottom w:val="none" w:sz="0" w:space="0" w:color="auto"/>
            <w:right w:val="none" w:sz="0" w:space="0" w:color="auto"/>
          </w:divBdr>
          <w:divsChild>
            <w:div w:id="517933443">
              <w:marLeft w:val="0"/>
              <w:marRight w:val="0"/>
              <w:marTop w:val="0"/>
              <w:marBottom w:val="0"/>
              <w:divBdr>
                <w:top w:val="none" w:sz="0" w:space="0" w:color="auto"/>
                <w:left w:val="none" w:sz="0" w:space="0" w:color="auto"/>
                <w:bottom w:val="none" w:sz="0" w:space="0" w:color="auto"/>
                <w:right w:val="none" w:sz="0" w:space="0" w:color="auto"/>
              </w:divBdr>
            </w:div>
          </w:divsChild>
        </w:div>
        <w:div w:id="52437426">
          <w:marLeft w:val="0"/>
          <w:marRight w:val="0"/>
          <w:marTop w:val="0"/>
          <w:marBottom w:val="0"/>
          <w:divBdr>
            <w:top w:val="none" w:sz="0" w:space="0" w:color="auto"/>
            <w:left w:val="none" w:sz="0" w:space="0" w:color="auto"/>
            <w:bottom w:val="none" w:sz="0" w:space="0" w:color="auto"/>
            <w:right w:val="none" w:sz="0" w:space="0" w:color="auto"/>
          </w:divBdr>
          <w:divsChild>
            <w:div w:id="596060473">
              <w:marLeft w:val="0"/>
              <w:marRight w:val="0"/>
              <w:marTop w:val="0"/>
              <w:marBottom w:val="0"/>
              <w:divBdr>
                <w:top w:val="none" w:sz="0" w:space="0" w:color="auto"/>
                <w:left w:val="none" w:sz="0" w:space="0" w:color="auto"/>
                <w:bottom w:val="none" w:sz="0" w:space="0" w:color="auto"/>
                <w:right w:val="none" w:sz="0" w:space="0" w:color="auto"/>
              </w:divBdr>
            </w:div>
          </w:divsChild>
        </w:div>
        <w:div w:id="56825134">
          <w:marLeft w:val="0"/>
          <w:marRight w:val="0"/>
          <w:marTop w:val="0"/>
          <w:marBottom w:val="0"/>
          <w:divBdr>
            <w:top w:val="none" w:sz="0" w:space="0" w:color="auto"/>
            <w:left w:val="none" w:sz="0" w:space="0" w:color="auto"/>
            <w:bottom w:val="none" w:sz="0" w:space="0" w:color="auto"/>
            <w:right w:val="none" w:sz="0" w:space="0" w:color="auto"/>
          </w:divBdr>
          <w:divsChild>
            <w:div w:id="82997783">
              <w:marLeft w:val="0"/>
              <w:marRight w:val="0"/>
              <w:marTop w:val="0"/>
              <w:marBottom w:val="0"/>
              <w:divBdr>
                <w:top w:val="none" w:sz="0" w:space="0" w:color="auto"/>
                <w:left w:val="none" w:sz="0" w:space="0" w:color="auto"/>
                <w:bottom w:val="none" w:sz="0" w:space="0" w:color="auto"/>
                <w:right w:val="none" w:sz="0" w:space="0" w:color="auto"/>
              </w:divBdr>
            </w:div>
          </w:divsChild>
        </w:div>
        <w:div w:id="67043589">
          <w:marLeft w:val="0"/>
          <w:marRight w:val="0"/>
          <w:marTop w:val="0"/>
          <w:marBottom w:val="0"/>
          <w:divBdr>
            <w:top w:val="none" w:sz="0" w:space="0" w:color="auto"/>
            <w:left w:val="none" w:sz="0" w:space="0" w:color="auto"/>
            <w:bottom w:val="none" w:sz="0" w:space="0" w:color="auto"/>
            <w:right w:val="none" w:sz="0" w:space="0" w:color="auto"/>
          </w:divBdr>
          <w:divsChild>
            <w:div w:id="2003780119">
              <w:marLeft w:val="0"/>
              <w:marRight w:val="0"/>
              <w:marTop w:val="0"/>
              <w:marBottom w:val="0"/>
              <w:divBdr>
                <w:top w:val="none" w:sz="0" w:space="0" w:color="auto"/>
                <w:left w:val="none" w:sz="0" w:space="0" w:color="auto"/>
                <w:bottom w:val="none" w:sz="0" w:space="0" w:color="auto"/>
                <w:right w:val="none" w:sz="0" w:space="0" w:color="auto"/>
              </w:divBdr>
            </w:div>
          </w:divsChild>
        </w:div>
        <w:div w:id="74401765">
          <w:marLeft w:val="0"/>
          <w:marRight w:val="0"/>
          <w:marTop w:val="0"/>
          <w:marBottom w:val="0"/>
          <w:divBdr>
            <w:top w:val="none" w:sz="0" w:space="0" w:color="auto"/>
            <w:left w:val="none" w:sz="0" w:space="0" w:color="auto"/>
            <w:bottom w:val="none" w:sz="0" w:space="0" w:color="auto"/>
            <w:right w:val="none" w:sz="0" w:space="0" w:color="auto"/>
          </w:divBdr>
          <w:divsChild>
            <w:div w:id="291252540">
              <w:marLeft w:val="0"/>
              <w:marRight w:val="0"/>
              <w:marTop w:val="0"/>
              <w:marBottom w:val="0"/>
              <w:divBdr>
                <w:top w:val="none" w:sz="0" w:space="0" w:color="auto"/>
                <w:left w:val="none" w:sz="0" w:space="0" w:color="auto"/>
                <w:bottom w:val="none" w:sz="0" w:space="0" w:color="auto"/>
                <w:right w:val="none" w:sz="0" w:space="0" w:color="auto"/>
              </w:divBdr>
            </w:div>
          </w:divsChild>
        </w:div>
        <w:div w:id="77558588">
          <w:marLeft w:val="0"/>
          <w:marRight w:val="0"/>
          <w:marTop w:val="0"/>
          <w:marBottom w:val="0"/>
          <w:divBdr>
            <w:top w:val="none" w:sz="0" w:space="0" w:color="auto"/>
            <w:left w:val="none" w:sz="0" w:space="0" w:color="auto"/>
            <w:bottom w:val="none" w:sz="0" w:space="0" w:color="auto"/>
            <w:right w:val="none" w:sz="0" w:space="0" w:color="auto"/>
          </w:divBdr>
          <w:divsChild>
            <w:div w:id="1105423715">
              <w:marLeft w:val="0"/>
              <w:marRight w:val="0"/>
              <w:marTop w:val="0"/>
              <w:marBottom w:val="0"/>
              <w:divBdr>
                <w:top w:val="none" w:sz="0" w:space="0" w:color="auto"/>
                <w:left w:val="none" w:sz="0" w:space="0" w:color="auto"/>
                <w:bottom w:val="none" w:sz="0" w:space="0" w:color="auto"/>
                <w:right w:val="none" w:sz="0" w:space="0" w:color="auto"/>
              </w:divBdr>
            </w:div>
          </w:divsChild>
        </w:div>
        <w:div w:id="86658035">
          <w:marLeft w:val="0"/>
          <w:marRight w:val="0"/>
          <w:marTop w:val="0"/>
          <w:marBottom w:val="0"/>
          <w:divBdr>
            <w:top w:val="none" w:sz="0" w:space="0" w:color="auto"/>
            <w:left w:val="none" w:sz="0" w:space="0" w:color="auto"/>
            <w:bottom w:val="none" w:sz="0" w:space="0" w:color="auto"/>
            <w:right w:val="none" w:sz="0" w:space="0" w:color="auto"/>
          </w:divBdr>
          <w:divsChild>
            <w:div w:id="1894926231">
              <w:marLeft w:val="0"/>
              <w:marRight w:val="0"/>
              <w:marTop w:val="0"/>
              <w:marBottom w:val="0"/>
              <w:divBdr>
                <w:top w:val="none" w:sz="0" w:space="0" w:color="auto"/>
                <w:left w:val="none" w:sz="0" w:space="0" w:color="auto"/>
                <w:bottom w:val="none" w:sz="0" w:space="0" w:color="auto"/>
                <w:right w:val="none" w:sz="0" w:space="0" w:color="auto"/>
              </w:divBdr>
            </w:div>
          </w:divsChild>
        </w:div>
        <w:div w:id="92750262">
          <w:marLeft w:val="0"/>
          <w:marRight w:val="0"/>
          <w:marTop w:val="0"/>
          <w:marBottom w:val="0"/>
          <w:divBdr>
            <w:top w:val="none" w:sz="0" w:space="0" w:color="auto"/>
            <w:left w:val="none" w:sz="0" w:space="0" w:color="auto"/>
            <w:bottom w:val="none" w:sz="0" w:space="0" w:color="auto"/>
            <w:right w:val="none" w:sz="0" w:space="0" w:color="auto"/>
          </w:divBdr>
          <w:divsChild>
            <w:div w:id="1852796302">
              <w:marLeft w:val="0"/>
              <w:marRight w:val="0"/>
              <w:marTop w:val="0"/>
              <w:marBottom w:val="0"/>
              <w:divBdr>
                <w:top w:val="none" w:sz="0" w:space="0" w:color="auto"/>
                <w:left w:val="none" w:sz="0" w:space="0" w:color="auto"/>
                <w:bottom w:val="none" w:sz="0" w:space="0" w:color="auto"/>
                <w:right w:val="none" w:sz="0" w:space="0" w:color="auto"/>
              </w:divBdr>
            </w:div>
          </w:divsChild>
        </w:div>
        <w:div w:id="108401967">
          <w:marLeft w:val="0"/>
          <w:marRight w:val="0"/>
          <w:marTop w:val="0"/>
          <w:marBottom w:val="0"/>
          <w:divBdr>
            <w:top w:val="none" w:sz="0" w:space="0" w:color="auto"/>
            <w:left w:val="none" w:sz="0" w:space="0" w:color="auto"/>
            <w:bottom w:val="none" w:sz="0" w:space="0" w:color="auto"/>
            <w:right w:val="none" w:sz="0" w:space="0" w:color="auto"/>
          </w:divBdr>
          <w:divsChild>
            <w:div w:id="848059579">
              <w:marLeft w:val="0"/>
              <w:marRight w:val="0"/>
              <w:marTop w:val="0"/>
              <w:marBottom w:val="0"/>
              <w:divBdr>
                <w:top w:val="none" w:sz="0" w:space="0" w:color="auto"/>
                <w:left w:val="none" w:sz="0" w:space="0" w:color="auto"/>
                <w:bottom w:val="none" w:sz="0" w:space="0" w:color="auto"/>
                <w:right w:val="none" w:sz="0" w:space="0" w:color="auto"/>
              </w:divBdr>
            </w:div>
          </w:divsChild>
        </w:div>
        <w:div w:id="109782821">
          <w:marLeft w:val="0"/>
          <w:marRight w:val="0"/>
          <w:marTop w:val="0"/>
          <w:marBottom w:val="0"/>
          <w:divBdr>
            <w:top w:val="none" w:sz="0" w:space="0" w:color="auto"/>
            <w:left w:val="none" w:sz="0" w:space="0" w:color="auto"/>
            <w:bottom w:val="none" w:sz="0" w:space="0" w:color="auto"/>
            <w:right w:val="none" w:sz="0" w:space="0" w:color="auto"/>
          </w:divBdr>
          <w:divsChild>
            <w:div w:id="1599176279">
              <w:marLeft w:val="0"/>
              <w:marRight w:val="0"/>
              <w:marTop w:val="0"/>
              <w:marBottom w:val="0"/>
              <w:divBdr>
                <w:top w:val="none" w:sz="0" w:space="0" w:color="auto"/>
                <w:left w:val="none" w:sz="0" w:space="0" w:color="auto"/>
                <w:bottom w:val="none" w:sz="0" w:space="0" w:color="auto"/>
                <w:right w:val="none" w:sz="0" w:space="0" w:color="auto"/>
              </w:divBdr>
            </w:div>
          </w:divsChild>
        </w:div>
        <w:div w:id="121116237">
          <w:marLeft w:val="0"/>
          <w:marRight w:val="0"/>
          <w:marTop w:val="0"/>
          <w:marBottom w:val="0"/>
          <w:divBdr>
            <w:top w:val="none" w:sz="0" w:space="0" w:color="auto"/>
            <w:left w:val="none" w:sz="0" w:space="0" w:color="auto"/>
            <w:bottom w:val="none" w:sz="0" w:space="0" w:color="auto"/>
            <w:right w:val="none" w:sz="0" w:space="0" w:color="auto"/>
          </w:divBdr>
          <w:divsChild>
            <w:div w:id="731542850">
              <w:marLeft w:val="0"/>
              <w:marRight w:val="0"/>
              <w:marTop w:val="0"/>
              <w:marBottom w:val="0"/>
              <w:divBdr>
                <w:top w:val="none" w:sz="0" w:space="0" w:color="auto"/>
                <w:left w:val="none" w:sz="0" w:space="0" w:color="auto"/>
                <w:bottom w:val="none" w:sz="0" w:space="0" w:color="auto"/>
                <w:right w:val="none" w:sz="0" w:space="0" w:color="auto"/>
              </w:divBdr>
            </w:div>
          </w:divsChild>
        </w:div>
        <w:div w:id="156658544">
          <w:marLeft w:val="0"/>
          <w:marRight w:val="0"/>
          <w:marTop w:val="0"/>
          <w:marBottom w:val="0"/>
          <w:divBdr>
            <w:top w:val="none" w:sz="0" w:space="0" w:color="auto"/>
            <w:left w:val="none" w:sz="0" w:space="0" w:color="auto"/>
            <w:bottom w:val="none" w:sz="0" w:space="0" w:color="auto"/>
            <w:right w:val="none" w:sz="0" w:space="0" w:color="auto"/>
          </w:divBdr>
          <w:divsChild>
            <w:div w:id="1064329466">
              <w:marLeft w:val="0"/>
              <w:marRight w:val="0"/>
              <w:marTop w:val="0"/>
              <w:marBottom w:val="0"/>
              <w:divBdr>
                <w:top w:val="none" w:sz="0" w:space="0" w:color="auto"/>
                <w:left w:val="none" w:sz="0" w:space="0" w:color="auto"/>
                <w:bottom w:val="none" w:sz="0" w:space="0" w:color="auto"/>
                <w:right w:val="none" w:sz="0" w:space="0" w:color="auto"/>
              </w:divBdr>
            </w:div>
          </w:divsChild>
        </w:div>
        <w:div w:id="160396127">
          <w:marLeft w:val="0"/>
          <w:marRight w:val="0"/>
          <w:marTop w:val="0"/>
          <w:marBottom w:val="0"/>
          <w:divBdr>
            <w:top w:val="none" w:sz="0" w:space="0" w:color="auto"/>
            <w:left w:val="none" w:sz="0" w:space="0" w:color="auto"/>
            <w:bottom w:val="none" w:sz="0" w:space="0" w:color="auto"/>
            <w:right w:val="none" w:sz="0" w:space="0" w:color="auto"/>
          </w:divBdr>
          <w:divsChild>
            <w:div w:id="661004924">
              <w:marLeft w:val="0"/>
              <w:marRight w:val="0"/>
              <w:marTop w:val="0"/>
              <w:marBottom w:val="0"/>
              <w:divBdr>
                <w:top w:val="none" w:sz="0" w:space="0" w:color="auto"/>
                <w:left w:val="none" w:sz="0" w:space="0" w:color="auto"/>
                <w:bottom w:val="none" w:sz="0" w:space="0" w:color="auto"/>
                <w:right w:val="none" w:sz="0" w:space="0" w:color="auto"/>
              </w:divBdr>
            </w:div>
          </w:divsChild>
        </w:div>
        <w:div w:id="161089994">
          <w:marLeft w:val="0"/>
          <w:marRight w:val="0"/>
          <w:marTop w:val="0"/>
          <w:marBottom w:val="0"/>
          <w:divBdr>
            <w:top w:val="none" w:sz="0" w:space="0" w:color="auto"/>
            <w:left w:val="none" w:sz="0" w:space="0" w:color="auto"/>
            <w:bottom w:val="none" w:sz="0" w:space="0" w:color="auto"/>
            <w:right w:val="none" w:sz="0" w:space="0" w:color="auto"/>
          </w:divBdr>
          <w:divsChild>
            <w:div w:id="371658847">
              <w:marLeft w:val="0"/>
              <w:marRight w:val="0"/>
              <w:marTop w:val="0"/>
              <w:marBottom w:val="0"/>
              <w:divBdr>
                <w:top w:val="none" w:sz="0" w:space="0" w:color="auto"/>
                <w:left w:val="none" w:sz="0" w:space="0" w:color="auto"/>
                <w:bottom w:val="none" w:sz="0" w:space="0" w:color="auto"/>
                <w:right w:val="none" w:sz="0" w:space="0" w:color="auto"/>
              </w:divBdr>
            </w:div>
          </w:divsChild>
        </w:div>
        <w:div w:id="182786744">
          <w:marLeft w:val="0"/>
          <w:marRight w:val="0"/>
          <w:marTop w:val="0"/>
          <w:marBottom w:val="0"/>
          <w:divBdr>
            <w:top w:val="none" w:sz="0" w:space="0" w:color="auto"/>
            <w:left w:val="none" w:sz="0" w:space="0" w:color="auto"/>
            <w:bottom w:val="none" w:sz="0" w:space="0" w:color="auto"/>
            <w:right w:val="none" w:sz="0" w:space="0" w:color="auto"/>
          </w:divBdr>
          <w:divsChild>
            <w:div w:id="555505737">
              <w:marLeft w:val="0"/>
              <w:marRight w:val="0"/>
              <w:marTop w:val="0"/>
              <w:marBottom w:val="0"/>
              <w:divBdr>
                <w:top w:val="none" w:sz="0" w:space="0" w:color="auto"/>
                <w:left w:val="none" w:sz="0" w:space="0" w:color="auto"/>
                <w:bottom w:val="none" w:sz="0" w:space="0" w:color="auto"/>
                <w:right w:val="none" w:sz="0" w:space="0" w:color="auto"/>
              </w:divBdr>
            </w:div>
          </w:divsChild>
        </w:div>
        <w:div w:id="185483376">
          <w:marLeft w:val="0"/>
          <w:marRight w:val="0"/>
          <w:marTop w:val="0"/>
          <w:marBottom w:val="0"/>
          <w:divBdr>
            <w:top w:val="none" w:sz="0" w:space="0" w:color="auto"/>
            <w:left w:val="none" w:sz="0" w:space="0" w:color="auto"/>
            <w:bottom w:val="none" w:sz="0" w:space="0" w:color="auto"/>
            <w:right w:val="none" w:sz="0" w:space="0" w:color="auto"/>
          </w:divBdr>
          <w:divsChild>
            <w:div w:id="134179047">
              <w:marLeft w:val="0"/>
              <w:marRight w:val="0"/>
              <w:marTop w:val="0"/>
              <w:marBottom w:val="0"/>
              <w:divBdr>
                <w:top w:val="none" w:sz="0" w:space="0" w:color="auto"/>
                <w:left w:val="none" w:sz="0" w:space="0" w:color="auto"/>
                <w:bottom w:val="none" w:sz="0" w:space="0" w:color="auto"/>
                <w:right w:val="none" w:sz="0" w:space="0" w:color="auto"/>
              </w:divBdr>
            </w:div>
          </w:divsChild>
        </w:div>
        <w:div w:id="217866314">
          <w:marLeft w:val="0"/>
          <w:marRight w:val="0"/>
          <w:marTop w:val="0"/>
          <w:marBottom w:val="0"/>
          <w:divBdr>
            <w:top w:val="none" w:sz="0" w:space="0" w:color="auto"/>
            <w:left w:val="none" w:sz="0" w:space="0" w:color="auto"/>
            <w:bottom w:val="none" w:sz="0" w:space="0" w:color="auto"/>
            <w:right w:val="none" w:sz="0" w:space="0" w:color="auto"/>
          </w:divBdr>
          <w:divsChild>
            <w:div w:id="1333023079">
              <w:marLeft w:val="0"/>
              <w:marRight w:val="0"/>
              <w:marTop w:val="0"/>
              <w:marBottom w:val="0"/>
              <w:divBdr>
                <w:top w:val="none" w:sz="0" w:space="0" w:color="auto"/>
                <w:left w:val="none" w:sz="0" w:space="0" w:color="auto"/>
                <w:bottom w:val="none" w:sz="0" w:space="0" w:color="auto"/>
                <w:right w:val="none" w:sz="0" w:space="0" w:color="auto"/>
              </w:divBdr>
            </w:div>
          </w:divsChild>
        </w:div>
        <w:div w:id="220487877">
          <w:marLeft w:val="0"/>
          <w:marRight w:val="0"/>
          <w:marTop w:val="0"/>
          <w:marBottom w:val="0"/>
          <w:divBdr>
            <w:top w:val="none" w:sz="0" w:space="0" w:color="auto"/>
            <w:left w:val="none" w:sz="0" w:space="0" w:color="auto"/>
            <w:bottom w:val="none" w:sz="0" w:space="0" w:color="auto"/>
            <w:right w:val="none" w:sz="0" w:space="0" w:color="auto"/>
          </w:divBdr>
          <w:divsChild>
            <w:div w:id="628978129">
              <w:marLeft w:val="0"/>
              <w:marRight w:val="0"/>
              <w:marTop w:val="0"/>
              <w:marBottom w:val="0"/>
              <w:divBdr>
                <w:top w:val="none" w:sz="0" w:space="0" w:color="auto"/>
                <w:left w:val="none" w:sz="0" w:space="0" w:color="auto"/>
                <w:bottom w:val="none" w:sz="0" w:space="0" w:color="auto"/>
                <w:right w:val="none" w:sz="0" w:space="0" w:color="auto"/>
              </w:divBdr>
            </w:div>
          </w:divsChild>
        </w:div>
        <w:div w:id="230428478">
          <w:marLeft w:val="0"/>
          <w:marRight w:val="0"/>
          <w:marTop w:val="0"/>
          <w:marBottom w:val="0"/>
          <w:divBdr>
            <w:top w:val="none" w:sz="0" w:space="0" w:color="auto"/>
            <w:left w:val="none" w:sz="0" w:space="0" w:color="auto"/>
            <w:bottom w:val="none" w:sz="0" w:space="0" w:color="auto"/>
            <w:right w:val="none" w:sz="0" w:space="0" w:color="auto"/>
          </w:divBdr>
          <w:divsChild>
            <w:div w:id="636224089">
              <w:marLeft w:val="0"/>
              <w:marRight w:val="0"/>
              <w:marTop w:val="0"/>
              <w:marBottom w:val="0"/>
              <w:divBdr>
                <w:top w:val="none" w:sz="0" w:space="0" w:color="auto"/>
                <w:left w:val="none" w:sz="0" w:space="0" w:color="auto"/>
                <w:bottom w:val="none" w:sz="0" w:space="0" w:color="auto"/>
                <w:right w:val="none" w:sz="0" w:space="0" w:color="auto"/>
              </w:divBdr>
            </w:div>
          </w:divsChild>
        </w:div>
        <w:div w:id="234634131">
          <w:marLeft w:val="0"/>
          <w:marRight w:val="0"/>
          <w:marTop w:val="0"/>
          <w:marBottom w:val="0"/>
          <w:divBdr>
            <w:top w:val="none" w:sz="0" w:space="0" w:color="auto"/>
            <w:left w:val="none" w:sz="0" w:space="0" w:color="auto"/>
            <w:bottom w:val="none" w:sz="0" w:space="0" w:color="auto"/>
            <w:right w:val="none" w:sz="0" w:space="0" w:color="auto"/>
          </w:divBdr>
          <w:divsChild>
            <w:div w:id="1361275391">
              <w:marLeft w:val="0"/>
              <w:marRight w:val="0"/>
              <w:marTop w:val="0"/>
              <w:marBottom w:val="0"/>
              <w:divBdr>
                <w:top w:val="none" w:sz="0" w:space="0" w:color="auto"/>
                <w:left w:val="none" w:sz="0" w:space="0" w:color="auto"/>
                <w:bottom w:val="none" w:sz="0" w:space="0" w:color="auto"/>
                <w:right w:val="none" w:sz="0" w:space="0" w:color="auto"/>
              </w:divBdr>
            </w:div>
          </w:divsChild>
        </w:div>
        <w:div w:id="237131283">
          <w:marLeft w:val="0"/>
          <w:marRight w:val="0"/>
          <w:marTop w:val="0"/>
          <w:marBottom w:val="0"/>
          <w:divBdr>
            <w:top w:val="none" w:sz="0" w:space="0" w:color="auto"/>
            <w:left w:val="none" w:sz="0" w:space="0" w:color="auto"/>
            <w:bottom w:val="none" w:sz="0" w:space="0" w:color="auto"/>
            <w:right w:val="none" w:sz="0" w:space="0" w:color="auto"/>
          </w:divBdr>
          <w:divsChild>
            <w:div w:id="1269122697">
              <w:marLeft w:val="0"/>
              <w:marRight w:val="0"/>
              <w:marTop w:val="0"/>
              <w:marBottom w:val="0"/>
              <w:divBdr>
                <w:top w:val="none" w:sz="0" w:space="0" w:color="auto"/>
                <w:left w:val="none" w:sz="0" w:space="0" w:color="auto"/>
                <w:bottom w:val="none" w:sz="0" w:space="0" w:color="auto"/>
                <w:right w:val="none" w:sz="0" w:space="0" w:color="auto"/>
              </w:divBdr>
            </w:div>
          </w:divsChild>
        </w:div>
        <w:div w:id="263264613">
          <w:marLeft w:val="0"/>
          <w:marRight w:val="0"/>
          <w:marTop w:val="0"/>
          <w:marBottom w:val="0"/>
          <w:divBdr>
            <w:top w:val="none" w:sz="0" w:space="0" w:color="auto"/>
            <w:left w:val="none" w:sz="0" w:space="0" w:color="auto"/>
            <w:bottom w:val="none" w:sz="0" w:space="0" w:color="auto"/>
            <w:right w:val="none" w:sz="0" w:space="0" w:color="auto"/>
          </w:divBdr>
          <w:divsChild>
            <w:div w:id="698164110">
              <w:marLeft w:val="0"/>
              <w:marRight w:val="0"/>
              <w:marTop w:val="0"/>
              <w:marBottom w:val="0"/>
              <w:divBdr>
                <w:top w:val="none" w:sz="0" w:space="0" w:color="auto"/>
                <w:left w:val="none" w:sz="0" w:space="0" w:color="auto"/>
                <w:bottom w:val="none" w:sz="0" w:space="0" w:color="auto"/>
                <w:right w:val="none" w:sz="0" w:space="0" w:color="auto"/>
              </w:divBdr>
            </w:div>
          </w:divsChild>
        </w:div>
        <w:div w:id="289484213">
          <w:marLeft w:val="0"/>
          <w:marRight w:val="0"/>
          <w:marTop w:val="0"/>
          <w:marBottom w:val="0"/>
          <w:divBdr>
            <w:top w:val="none" w:sz="0" w:space="0" w:color="auto"/>
            <w:left w:val="none" w:sz="0" w:space="0" w:color="auto"/>
            <w:bottom w:val="none" w:sz="0" w:space="0" w:color="auto"/>
            <w:right w:val="none" w:sz="0" w:space="0" w:color="auto"/>
          </w:divBdr>
          <w:divsChild>
            <w:div w:id="233053540">
              <w:marLeft w:val="0"/>
              <w:marRight w:val="0"/>
              <w:marTop w:val="0"/>
              <w:marBottom w:val="0"/>
              <w:divBdr>
                <w:top w:val="none" w:sz="0" w:space="0" w:color="auto"/>
                <w:left w:val="none" w:sz="0" w:space="0" w:color="auto"/>
                <w:bottom w:val="none" w:sz="0" w:space="0" w:color="auto"/>
                <w:right w:val="none" w:sz="0" w:space="0" w:color="auto"/>
              </w:divBdr>
            </w:div>
          </w:divsChild>
        </w:div>
        <w:div w:id="291181181">
          <w:marLeft w:val="0"/>
          <w:marRight w:val="0"/>
          <w:marTop w:val="0"/>
          <w:marBottom w:val="0"/>
          <w:divBdr>
            <w:top w:val="none" w:sz="0" w:space="0" w:color="auto"/>
            <w:left w:val="none" w:sz="0" w:space="0" w:color="auto"/>
            <w:bottom w:val="none" w:sz="0" w:space="0" w:color="auto"/>
            <w:right w:val="none" w:sz="0" w:space="0" w:color="auto"/>
          </w:divBdr>
          <w:divsChild>
            <w:div w:id="1746492833">
              <w:marLeft w:val="0"/>
              <w:marRight w:val="0"/>
              <w:marTop w:val="0"/>
              <w:marBottom w:val="0"/>
              <w:divBdr>
                <w:top w:val="none" w:sz="0" w:space="0" w:color="auto"/>
                <w:left w:val="none" w:sz="0" w:space="0" w:color="auto"/>
                <w:bottom w:val="none" w:sz="0" w:space="0" w:color="auto"/>
                <w:right w:val="none" w:sz="0" w:space="0" w:color="auto"/>
              </w:divBdr>
            </w:div>
          </w:divsChild>
        </w:div>
        <w:div w:id="291832442">
          <w:marLeft w:val="0"/>
          <w:marRight w:val="0"/>
          <w:marTop w:val="0"/>
          <w:marBottom w:val="0"/>
          <w:divBdr>
            <w:top w:val="none" w:sz="0" w:space="0" w:color="auto"/>
            <w:left w:val="none" w:sz="0" w:space="0" w:color="auto"/>
            <w:bottom w:val="none" w:sz="0" w:space="0" w:color="auto"/>
            <w:right w:val="none" w:sz="0" w:space="0" w:color="auto"/>
          </w:divBdr>
          <w:divsChild>
            <w:div w:id="1282956965">
              <w:marLeft w:val="0"/>
              <w:marRight w:val="0"/>
              <w:marTop w:val="0"/>
              <w:marBottom w:val="0"/>
              <w:divBdr>
                <w:top w:val="none" w:sz="0" w:space="0" w:color="auto"/>
                <w:left w:val="none" w:sz="0" w:space="0" w:color="auto"/>
                <w:bottom w:val="none" w:sz="0" w:space="0" w:color="auto"/>
                <w:right w:val="none" w:sz="0" w:space="0" w:color="auto"/>
              </w:divBdr>
            </w:div>
          </w:divsChild>
        </w:div>
        <w:div w:id="304090989">
          <w:marLeft w:val="0"/>
          <w:marRight w:val="0"/>
          <w:marTop w:val="0"/>
          <w:marBottom w:val="0"/>
          <w:divBdr>
            <w:top w:val="none" w:sz="0" w:space="0" w:color="auto"/>
            <w:left w:val="none" w:sz="0" w:space="0" w:color="auto"/>
            <w:bottom w:val="none" w:sz="0" w:space="0" w:color="auto"/>
            <w:right w:val="none" w:sz="0" w:space="0" w:color="auto"/>
          </w:divBdr>
          <w:divsChild>
            <w:div w:id="122122749">
              <w:marLeft w:val="0"/>
              <w:marRight w:val="0"/>
              <w:marTop w:val="0"/>
              <w:marBottom w:val="0"/>
              <w:divBdr>
                <w:top w:val="none" w:sz="0" w:space="0" w:color="auto"/>
                <w:left w:val="none" w:sz="0" w:space="0" w:color="auto"/>
                <w:bottom w:val="none" w:sz="0" w:space="0" w:color="auto"/>
                <w:right w:val="none" w:sz="0" w:space="0" w:color="auto"/>
              </w:divBdr>
            </w:div>
          </w:divsChild>
        </w:div>
        <w:div w:id="311982158">
          <w:marLeft w:val="0"/>
          <w:marRight w:val="0"/>
          <w:marTop w:val="0"/>
          <w:marBottom w:val="0"/>
          <w:divBdr>
            <w:top w:val="none" w:sz="0" w:space="0" w:color="auto"/>
            <w:left w:val="none" w:sz="0" w:space="0" w:color="auto"/>
            <w:bottom w:val="none" w:sz="0" w:space="0" w:color="auto"/>
            <w:right w:val="none" w:sz="0" w:space="0" w:color="auto"/>
          </w:divBdr>
          <w:divsChild>
            <w:div w:id="1513254964">
              <w:marLeft w:val="0"/>
              <w:marRight w:val="0"/>
              <w:marTop w:val="0"/>
              <w:marBottom w:val="0"/>
              <w:divBdr>
                <w:top w:val="none" w:sz="0" w:space="0" w:color="auto"/>
                <w:left w:val="none" w:sz="0" w:space="0" w:color="auto"/>
                <w:bottom w:val="none" w:sz="0" w:space="0" w:color="auto"/>
                <w:right w:val="none" w:sz="0" w:space="0" w:color="auto"/>
              </w:divBdr>
            </w:div>
          </w:divsChild>
        </w:div>
        <w:div w:id="313409865">
          <w:marLeft w:val="0"/>
          <w:marRight w:val="0"/>
          <w:marTop w:val="0"/>
          <w:marBottom w:val="0"/>
          <w:divBdr>
            <w:top w:val="none" w:sz="0" w:space="0" w:color="auto"/>
            <w:left w:val="none" w:sz="0" w:space="0" w:color="auto"/>
            <w:bottom w:val="none" w:sz="0" w:space="0" w:color="auto"/>
            <w:right w:val="none" w:sz="0" w:space="0" w:color="auto"/>
          </w:divBdr>
          <w:divsChild>
            <w:div w:id="1075861457">
              <w:marLeft w:val="0"/>
              <w:marRight w:val="0"/>
              <w:marTop w:val="0"/>
              <w:marBottom w:val="0"/>
              <w:divBdr>
                <w:top w:val="none" w:sz="0" w:space="0" w:color="auto"/>
                <w:left w:val="none" w:sz="0" w:space="0" w:color="auto"/>
                <w:bottom w:val="none" w:sz="0" w:space="0" w:color="auto"/>
                <w:right w:val="none" w:sz="0" w:space="0" w:color="auto"/>
              </w:divBdr>
            </w:div>
          </w:divsChild>
        </w:div>
        <w:div w:id="315109602">
          <w:marLeft w:val="0"/>
          <w:marRight w:val="0"/>
          <w:marTop w:val="0"/>
          <w:marBottom w:val="0"/>
          <w:divBdr>
            <w:top w:val="none" w:sz="0" w:space="0" w:color="auto"/>
            <w:left w:val="none" w:sz="0" w:space="0" w:color="auto"/>
            <w:bottom w:val="none" w:sz="0" w:space="0" w:color="auto"/>
            <w:right w:val="none" w:sz="0" w:space="0" w:color="auto"/>
          </w:divBdr>
          <w:divsChild>
            <w:div w:id="2083212681">
              <w:marLeft w:val="0"/>
              <w:marRight w:val="0"/>
              <w:marTop w:val="0"/>
              <w:marBottom w:val="0"/>
              <w:divBdr>
                <w:top w:val="none" w:sz="0" w:space="0" w:color="auto"/>
                <w:left w:val="none" w:sz="0" w:space="0" w:color="auto"/>
                <w:bottom w:val="none" w:sz="0" w:space="0" w:color="auto"/>
                <w:right w:val="none" w:sz="0" w:space="0" w:color="auto"/>
              </w:divBdr>
            </w:div>
          </w:divsChild>
        </w:div>
        <w:div w:id="316569472">
          <w:marLeft w:val="0"/>
          <w:marRight w:val="0"/>
          <w:marTop w:val="0"/>
          <w:marBottom w:val="0"/>
          <w:divBdr>
            <w:top w:val="none" w:sz="0" w:space="0" w:color="auto"/>
            <w:left w:val="none" w:sz="0" w:space="0" w:color="auto"/>
            <w:bottom w:val="none" w:sz="0" w:space="0" w:color="auto"/>
            <w:right w:val="none" w:sz="0" w:space="0" w:color="auto"/>
          </w:divBdr>
          <w:divsChild>
            <w:div w:id="1683166113">
              <w:marLeft w:val="0"/>
              <w:marRight w:val="0"/>
              <w:marTop w:val="0"/>
              <w:marBottom w:val="0"/>
              <w:divBdr>
                <w:top w:val="none" w:sz="0" w:space="0" w:color="auto"/>
                <w:left w:val="none" w:sz="0" w:space="0" w:color="auto"/>
                <w:bottom w:val="none" w:sz="0" w:space="0" w:color="auto"/>
                <w:right w:val="none" w:sz="0" w:space="0" w:color="auto"/>
              </w:divBdr>
            </w:div>
          </w:divsChild>
        </w:div>
        <w:div w:id="326398953">
          <w:marLeft w:val="0"/>
          <w:marRight w:val="0"/>
          <w:marTop w:val="0"/>
          <w:marBottom w:val="0"/>
          <w:divBdr>
            <w:top w:val="none" w:sz="0" w:space="0" w:color="auto"/>
            <w:left w:val="none" w:sz="0" w:space="0" w:color="auto"/>
            <w:bottom w:val="none" w:sz="0" w:space="0" w:color="auto"/>
            <w:right w:val="none" w:sz="0" w:space="0" w:color="auto"/>
          </w:divBdr>
          <w:divsChild>
            <w:div w:id="714625400">
              <w:marLeft w:val="0"/>
              <w:marRight w:val="0"/>
              <w:marTop w:val="0"/>
              <w:marBottom w:val="0"/>
              <w:divBdr>
                <w:top w:val="none" w:sz="0" w:space="0" w:color="auto"/>
                <w:left w:val="none" w:sz="0" w:space="0" w:color="auto"/>
                <w:bottom w:val="none" w:sz="0" w:space="0" w:color="auto"/>
                <w:right w:val="none" w:sz="0" w:space="0" w:color="auto"/>
              </w:divBdr>
            </w:div>
          </w:divsChild>
        </w:div>
        <w:div w:id="357002489">
          <w:marLeft w:val="0"/>
          <w:marRight w:val="0"/>
          <w:marTop w:val="0"/>
          <w:marBottom w:val="0"/>
          <w:divBdr>
            <w:top w:val="none" w:sz="0" w:space="0" w:color="auto"/>
            <w:left w:val="none" w:sz="0" w:space="0" w:color="auto"/>
            <w:bottom w:val="none" w:sz="0" w:space="0" w:color="auto"/>
            <w:right w:val="none" w:sz="0" w:space="0" w:color="auto"/>
          </w:divBdr>
          <w:divsChild>
            <w:div w:id="1993560330">
              <w:marLeft w:val="0"/>
              <w:marRight w:val="0"/>
              <w:marTop w:val="0"/>
              <w:marBottom w:val="0"/>
              <w:divBdr>
                <w:top w:val="none" w:sz="0" w:space="0" w:color="auto"/>
                <w:left w:val="none" w:sz="0" w:space="0" w:color="auto"/>
                <w:bottom w:val="none" w:sz="0" w:space="0" w:color="auto"/>
                <w:right w:val="none" w:sz="0" w:space="0" w:color="auto"/>
              </w:divBdr>
            </w:div>
          </w:divsChild>
        </w:div>
        <w:div w:id="380642268">
          <w:marLeft w:val="0"/>
          <w:marRight w:val="0"/>
          <w:marTop w:val="0"/>
          <w:marBottom w:val="0"/>
          <w:divBdr>
            <w:top w:val="none" w:sz="0" w:space="0" w:color="auto"/>
            <w:left w:val="none" w:sz="0" w:space="0" w:color="auto"/>
            <w:bottom w:val="none" w:sz="0" w:space="0" w:color="auto"/>
            <w:right w:val="none" w:sz="0" w:space="0" w:color="auto"/>
          </w:divBdr>
          <w:divsChild>
            <w:div w:id="1404521251">
              <w:marLeft w:val="0"/>
              <w:marRight w:val="0"/>
              <w:marTop w:val="0"/>
              <w:marBottom w:val="0"/>
              <w:divBdr>
                <w:top w:val="none" w:sz="0" w:space="0" w:color="auto"/>
                <w:left w:val="none" w:sz="0" w:space="0" w:color="auto"/>
                <w:bottom w:val="none" w:sz="0" w:space="0" w:color="auto"/>
                <w:right w:val="none" w:sz="0" w:space="0" w:color="auto"/>
              </w:divBdr>
            </w:div>
          </w:divsChild>
        </w:div>
        <w:div w:id="403257064">
          <w:marLeft w:val="0"/>
          <w:marRight w:val="0"/>
          <w:marTop w:val="0"/>
          <w:marBottom w:val="0"/>
          <w:divBdr>
            <w:top w:val="none" w:sz="0" w:space="0" w:color="auto"/>
            <w:left w:val="none" w:sz="0" w:space="0" w:color="auto"/>
            <w:bottom w:val="none" w:sz="0" w:space="0" w:color="auto"/>
            <w:right w:val="none" w:sz="0" w:space="0" w:color="auto"/>
          </w:divBdr>
          <w:divsChild>
            <w:div w:id="95028779">
              <w:marLeft w:val="0"/>
              <w:marRight w:val="0"/>
              <w:marTop w:val="0"/>
              <w:marBottom w:val="0"/>
              <w:divBdr>
                <w:top w:val="none" w:sz="0" w:space="0" w:color="auto"/>
                <w:left w:val="none" w:sz="0" w:space="0" w:color="auto"/>
                <w:bottom w:val="none" w:sz="0" w:space="0" w:color="auto"/>
                <w:right w:val="none" w:sz="0" w:space="0" w:color="auto"/>
              </w:divBdr>
            </w:div>
          </w:divsChild>
        </w:div>
        <w:div w:id="423112495">
          <w:marLeft w:val="0"/>
          <w:marRight w:val="0"/>
          <w:marTop w:val="0"/>
          <w:marBottom w:val="0"/>
          <w:divBdr>
            <w:top w:val="none" w:sz="0" w:space="0" w:color="auto"/>
            <w:left w:val="none" w:sz="0" w:space="0" w:color="auto"/>
            <w:bottom w:val="none" w:sz="0" w:space="0" w:color="auto"/>
            <w:right w:val="none" w:sz="0" w:space="0" w:color="auto"/>
          </w:divBdr>
          <w:divsChild>
            <w:div w:id="472334835">
              <w:marLeft w:val="0"/>
              <w:marRight w:val="0"/>
              <w:marTop w:val="0"/>
              <w:marBottom w:val="0"/>
              <w:divBdr>
                <w:top w:val="none" w:sz="0" w:space="0" w:color="auto"/>
                <w:left w:val="none" w:sz="0" w:space="0" w:color="auto"/>
                <w:bottom w:val="none" w:sz="0" w:space="0" w:color="auto"/>
                <w:right w:val="none" w:sz="0" w:space="0" w:color="auto"/>
              </w:divBdr>
            </w:div>
          </w:divsChild>
        </w:div>
        <w:div w:id="455828631">
          <w:marLeft w:val="0"/>
          <w:marRight w:val="0"/>
          <w:marTop w:val="0"/>
          <w:marBottom w:val="0"/>
          <w:divBdr>
            <w:top w:val="none" w:sz="0" w:space="0" w:color="auto"/>
            <w:left w:val="none" w:sz="0" w:space="0" w:color="auto"/>
            <w:bottom w:val="none" w:sz="0" w:space="0" w:color="auto"/>
            <w:right w:val="none" w:sz="0" w:space="0" w:color="auto"/>
          </w:divBdr>
          <w:divsChild>
            <w:div w:id="887227416">
              <w:marLeft w:val="0"/>
              <w:marRight w:val="0"/>
              <w:marTop w:val="0"/>
              <w:marBottom w:val="0"/>
              <w:divBdr>
                <w:top w:val="none" w:sz="0" w:space="0" w:color="auto"/>
                <w:left w:val="none" w:sz="0" w:space="0" w:color="auto"/>
                <w:bottom w:val="none" w:sz="0" w:space="0" w:color="auto"/>
                <w:right w:val="none" w:sz="0" w:space="0" w:color="auto"/>
              </w:divBdr>
            </w:div>
          </w:divsChild>
        </w:div>
        <w:div w:id="457453337">
          <w:marLeft w:val="0"/>
          <w:marRight w:val="0"/>
          <w:marTop w:val="0"/>
          <w:marBottom w:val="0"/>
          <w:divBdr>
            <w:top w:val="none" w:sz="0" w:space="0" w:color="auto"/>
            <w:left w:val="none" w:sz="0" w:space="0" w:color="auto"/>
            <w:bottom w:val="none" w:sz="0" w:space="0" w:color="auto"/>
            <w:right w:val="none" w:sz="0" w:space="0" w:color="auto"/>
          </w:divBdr>
          <w:divsChild>
            <w:div w:id="915357347">
              <w:marLeft w:val="0"/>
              <w:marRight w:val="0"/>
              <w:marTop w:val="0"/>
              <w:marBottom w:val="0"/>
              <w:divBdr>
                <w:top w:val="none" w:sz="0" w:space="0" w:color="auto"/>
                <w:left w:val="none" w:sz="0" w:space="0" w:color="auto"/>
                <w:bottom w:val="none" w:sz="0" w:space="0" w:color="auto"/>
                <w:right w:val="none" w:sz="0" w:space="0" w:color="auto"/>
              </w:divBdr>
            </w:div>
          </w:divsChild>
        </w:div>
        <w:div w:id="461925794">
          <w:marLeft w:val="0"/>
          <w:marRight w:val="0"/>
          <w:marTop w:val="0"/>
          <w:marBottom w:val="0"/>
          <w:divBdr>
            <w:top w:val="none" w:sz="0" w:space="0" w:color="auto"/>
            <w:left w:val="none" w:sz="0" w:space="0" w:color="auto"/>
            <w:bottom w:val="none" w:sz="0" w:space="0" w:color="auto"/>
            <w:right w:val="none" w:sz="0" w:space="0" w:color="auto"/>
          </w:divBdr>
          <w:divsChild>
            <w:div w:id="899823163">
              <w:marLeft w:val="0"/>
              <w:marRight w:val="0"/>
              <w:marTop w:val="0"/>
              <w:marBottom w:val="0"/>
              <w:divBdr>
                <w:top w:val="none" w:sz="0" w:space="0" w:color="auto"/>
                <w:left w:val="none" w:sz="0" w:space="0" w:color="auto"/>
                <w:bottom w:val="none" w:sz="0" w:space="0" w:color="auto"/>
                <w:right w:val="none" w:sz="0" w:space="0" w:color="auto"/>
              </w:divBdr>
            </w:div>
          </w:divsChild>
        </w:div>
        <w:div w:id="465589917">
          <w:marLeft w:val="0"/>
          <w:marRight w:val="0"/>
          <w:marTop w:val="0"/>
          <w:marBottom w:val="0"/>
          <w:divBdr>
            <w:top w:val="none" w:sz="0" w:space="0" w:color="auto"/>
            <w:left w:val="none" w:sz="0" w:space="0" w:color="auto"/>
            <w:bottom w:val="none" w:sz="0" w:space="0" w:color="auto"/>
            <w:right w:val="none" w:sz="0" w:space="0" w:color="auto"/>
          </w:divBdr>
          <w:divsChild>
            <w:div w:id="805514837">
              <w:marLeft w:val="0"/>
              <w:marRight w:val="0"/>
              <w:marTop w:val="0"/>
              <w:marBottom w:val="0"/>
              <w:divBdr>
                <w:top w:val="none" w:sz="0" w:space="0" w:color="auto"/>
                <w:left w:val="none" w:sz="0" w:space="0" w:color="auto"/>
                <w:bottom w:val="none" w:sz="0" w:space="0" w:color="auto"/>
                <w:right w:val="none" w:sz="0" w:space="0" w:color="auto"/>
              </w:divBdr>
            </w:div>
          </w:divsChild>
        </w:div>
        <w:div w:id="480583269">
          <w:marLeft w:val="0"/>
          <w:marRight w:val="0"/>
          <w:marTop w:val="0"/>
          <w:marBottom w:val="0"/>
          <w:divBdr>
            <w:top w:val="none" w:sz="0" w:space="0" w:color="auto"/>
            <w:left w:val="none" w:sz="0" w:space="0" w:color="auto"/>
            <w:bottom w:val="none" w:sz="0" w:space="0" w:color="auto"/>
            <w:right w:val="none" w:sz="0" w:space="0" w:color="auto"/>
          </w:divBdr>
          <w:divsChild>
            <w:div w:id="356389353">
              <w:marLeft w:val="0"/>
              <w:marRight w:val="0"/>
              <w:marTop w:val="0"/>
              <w:marBottom w:val="0"/>
              <w:divBdr>
                <w:top w:val="none" w:sz="0" w:space="0" w:color="auto"/>
                <w:left w:val="none" w:sz="0" w:space="0" w:color="auto"/>
                <w:bottom w:val="none" w:sz="0" w:space="0" w:color="auto"/>
                <w:right w:val="none" w:sz="0" w:space="0" w:color="auto"/>
              </w:divBdr>
            </w:div>
          </w:divsChild>
        </w:div>
        <w:div w:id="487212137">
          <w:marLeft w:val="0"/>
          <w:marRight w:val="0"/>
          <w:marTop w:val="0"/>
          <w:marBottom w:val="0"/>
          <w:divBdr>
            <w:top w:val="none" w:sz="0" w:space="0" w:color="auto"/>
            <w:left w:val="none" w:sz="0" w:space="0" w:color="auto"/>
            <w:bottom w:val="none" w:sz="0" w:space="0" w:color="auto"/>
            <w:right w:val="none" w:sz="0" w:space="0" w:color="auto"/>
          </w:divBdr>
          <w:divsChild>
            <w:div w:id="1401056014">
              <w:marLeft w:val="0"/>
              <w:marRight w:val="0"/>
              <w:marTop w:val="0"/>
              <w:marBottom w:val="0"/>
              <w:divBdr>
                <w:top w:val="none" w:sz="0" w:space="0" w:color="auto"/>
                <w:left w:val="none" w:sz="0" w:space="0" w:color="auto"/>
                <w:bottom w:val="none" w:sz="0" w:space="0" w:color="auto"/>
                <w:right w:val="none" w:sz="0" w:space="0" w:color="auto"/>
              </w:divBdr>
            </w:div>
          </w:divsChild>
        </w:div>
        <w:div w:id="492187871">
          <w:marLeft w:val="0"/>
          <w:marRight w:val="0"/>
          <w:marTop w:val="0"/>
          <w:marBottom w:val="0"/>
          <w:divBdr>
            <w:top w:val="none" w:sz="0" w:space="0" w:color="auto"/>
            <w:left w:val="none" w:sz="0" w:space="0" w:color="auto"/>
            <w:bottom w:val="none" w:sz="0" w:space="0" w:color="auto"/>
            <w:right w:val="none" w:sz="0" w:space="0" w:color="auto"/>
          </w:divBdr>
          <w:divsChild>
            <w:div w:id="1502624669">
              <w:marLeft w:val="0"/>
              <w:marRight w:val="0"/>
              <w:marTop w:val="0"/>
              <w:marBottom w:val="0"/>
              <w:divBdr>
                <w:top w:val="none" w:sz="0" w:space="0" w:color="auto"/>
                <w:left w:val="none" w:sz="0" w:space="0" w:color="auto"/>
                <w:bottom w:val="none" w:sz="0" w:space="0" w:color="auto"/>
                <w:right w:val="none" w:sz="0" w:space="0" w:color="auto"/>
              </w:divBdr>
            </w:div>
          </w:divsChild>
        </w:div>
        <w:div w:id="504174465">
          <w:marLeft w:val="0"/>
          <w:marRight w:val="0"/>
          <w:marTop w:val="0"/>
          <w:marBottom w:val="0"/>
          <w:divBdr>
            <w:top w:val="none" w:sz="0" w:space="0" w:color="auto"/>
            <w:left w:val="none" w:sz="0" w:space="0" w:color="auto"/>
            <w:bottom w:val="none" w:sz="0" w:space="0" w:color="auto"/>
            <w:right w:val="none" w:sz="0" w:space="0" w:color="auto"/>
          </w:divBdr>
          <w:divsChild>
            <w:div w:id="456488662">
              <w:marLeft w:val="0"/>
              <w:marRight w:val="0"/>
              <w:marTop w:val="0"/>
              <w:marBottom w:val="0"/>
              <w:divBdr>
                <w:top w:val="none" w:sz="0" w:space="0" w:color="auto"/>
                <w:left w:val="none" w:sz="0" w:space="0" w:color="auto"/>
                <w:bottom w:val="none" w:sz="0" w:space="0" w:color="auto"/>
                <w:right w:val="none" w:sz="0" w:space="0" w:color="auto"/>
              </w:divBdr>
            </w:div>
          </w:divsChild>
        </w:div>
        <w:div w:id="511800522">
          <w:marLeft w:val="0"/>
          <w:marRight w:val="0"/>
          <w:marTop w:val="0"/>
          <w:marBottom w:val="0"/>
          <w:divBdr>
            <w:top w:val="none" w:sz="0" w:space="0" w:color="auto"/>
            <w:left w:val="none" w:sz="0" w:space="0" w:color="auto"/>
            <w:bottom w:val="none" w:sz="0" w:space="0" w:color="auto"/>
            <w:right w:val="none" w:sz="0" w:space="0" w:color="auto"/>
          </w:divBdr>
          <w:divsChild>
            <w:div w:id="63380906">
              <w:marLeft w:val="0"/>
              <w:marRight w:val="0"/>
              <w:marTop w:val="0"/>
              <w:marBottom w:val="0"/>
              <w:divBdr>
                <w:top w:val="none" w:sz="0" w:space="0" w:color="auto"/>
                <w:left w:val="none" w:sz="0" w:space="0" w:color="auto"/>
                <w:bottom w:val="none" w:sz="0" w:space="0" w:color="auto"/>
                <w:right w:val="none" w:sz="0" w:space="0" w:color="auto"/>
              </w:divBdr>
            </w:div>
          </w:divsChild>
        </w:div>
        <w:div w:id="523058528">
          <w:marLeft w:val="0"/>
          <w:marRight w:val="0"/>
          <w:marTop w:val="0"/>
          <w:marBottom w:val="0"/>
          <w:divBdr>
            <w:top w:val="none" w:sz="0" w:space="0" w:color="auto"/>
            <w:left w:val="none" w:sz="0" w:space="0" w:color="auto"/>
            <w:bottom w:val="none" w:sz="0" w:space="0" w:color="auto"/>
            <w:right w:val="none" w:sz="0" w:space="0" w:color="auto"/>
          </w:divBdr>
          <w:divsChild>
            <w:div w:id="1262880826">
              <w:marLeft w:val="0"/>
              <w:marRight w:val="0"/>
              <w:marTop w:val="0"/>
              <w:marBottom w:val="0"/>
              <w:divBdr>
                <w:top w:val="none" w:sz="0" w:space="0" w:color="auto"/>
                <w:left w:val="none" w:sz="0" w:space="0" w:color="auto"/>
                <w:bottom w:val="none" w:sz="0" w:space="0" w:color="auto"/>
                <w:right w:val="none" w:sz="0" w:space="0" w:color="auto"/>
              </w:divBdr>
            </w:div>
          </w:divsChild>
        </w:div>
        <w:div w:id="523634605">
          <w:marLeft w:val="0"/>
          <w:marRight w:val="0"/>
          <w:marTop w:val="0"/>
          <w:marBottom w:val="0"/>
          <w:divBdr>
            <w:top w:val="none" w:sz="0" w:space="0" w:color="auto"/>
            <w:left w:val="none" w:sz="0" w:space="0" w:color="auto"/>
            <w:bottom w:val="none" w:sz="0" w:space="0" w:color="auto"/>
            <w:right w:val="none" w:sz="0" w:space="0" w:color="auto"/>
          </w:divBdr>
          <w:divsChild>
            <w:div w:id="1315838952">
              <w:marLeft w:val="0"/>
              <w:marRight w:val="0"/>
              <w:marTop w:val="0"/>
              <w:marBottom w:val="0"/>
              <w:divBdr>
                <w:top w:val="none" w:sz="0" w:space="0" w:color="auto"/>
                <w:left w:val="none" w:sz="0" w:space="0" w:color="auto"/>
                <w:bottom w:val="none" w:sz="0" w:space="0" w:color="auto"/>
                <w:right w:val="none" w:sz="0" w:space="0" w:color="auto"/>
              </w:divBdr>
            </w:div>
          </w:divsChild>
        </w:div>
        <w:div w:id="542713687">
          <w:marLeft w:val="0"/>
          <w:marRight w:val="0"/>
          <w:marTop w:val="0"/>
          <w:marBottom w:val="0"/>
          <w:divBdr>
            <w:top w:val="none" w:sz="0" w:space="0" w:color="auto"/>
            <w:left w:val="none" w:sz="0" w:space="0" w:color="auto"/>
            <w:bottom w:val="none" w:sz="0" w:space="0" w:color="auto"/>
            <w:right w:val="none" w:sz="0" w:space="0" w:color="auto"/>
          </w:divBdr>
          <w:divsChild>
            <w:div w:id="1469006199">
              <w:marLeft w:val="0"/>
              <w:marRight w:val="0"/>
              <w:marTop w:val="0"/>
              <w:marBottom w:val="0"/>
              <w:divBdr>
                <w:top w:val="none" w:sz="0" w:space="0" w:color="auto"/>
                <w:left w:val="none" w:sz="0" w:space="0" w:color="auto"/>
                <w:bottom w:val="none" w:sz="0" w:space="0" w:color="auto"/>
                <w:right w:val="none" w:sz="0" w:space="0" w:color="auto"/>
              </w:divBdr>
            </w:div>
          </w:divsChild>
        </w:div>
        <w:div w:id="544374348">
          <w:marLeft w:val="0"/>
          <w:marRight w:val="0"/>
          <w:marTop w:val="0"/>
          <w:marBottom w:val="0"/>
          <w:divBdr>
            <w:top w:val="none" w:sz="0" w:space="0" w:color="auto"/>
            <w:left w:val="none" w:sz="0" w:space="0" w:color="auto"/>
            <w:bottom w:val="none" w:sz="0" w:space="0" w:color="auto"/>
            <w:right w:val="none" w:sz="0" w:space="0" w:color="auto"/>
          </w:divBdr>
          <w:divsChild>
            <w:div w:id="394358682">
              <w:marLeft w:val="0"/>
              <w:marRight w:val="0"/>
              <w:marTop w:val="0"/>
              <w:marBottom w:val="0"/>
              <w:divBdr>
                <w:top w:val="none" w:sz="0" w:space="0" w:color="auto"/>
                <w:left w:val="none" w:sz="0" w:space="0" w:color="auto"/>
                <w:bottom w:val="none" w:sz="0" w:space="0" w:color="auto"/>
                <w:right w:val="none" w:sz="0" w:space="0" w:color="auto"/>
              </w:divBdr>
            </w:div>
          </w:divsChild>
        </w:div>
        <w:div w:id="548228600">
          <w:marLeft w:val="0"/>
          <w:marRight w:val="0"/>
          <w:marTop w:val="0"/>
          <w:marBottom w:val="0"/>
          <w:divBdr>
            <w:top w:val="none" w:sz="0" w:space="0" w:color="auto"/>
            <w:left w:val="none" w:sz="0" w:space="0" w:color="auto"/>
            <w:bottom w:val="none" w:sz="0" w:space="0" w:color="auto"/>
            <w:right w:val="none" w:sz="0" w:space="0" w:color="auto"/>
          </w:divBdr>
          <w:divsChild>
            <w:div w:id="36661530">
              <w:marLeft w:val="0"/>
              <w:marRight w:val="0"/>
              <w:marTop w:val="0"/>
              <w:marBottom w:val="0"/>
              <w:divBdr>
                <w:top w:val="none" w:sz="0" w:space="0" w:color="auto"/>
                <w:left w:val="none" w:sz="0" w:space="0" w:color="auto"/>
                <w:bottom w:val="none" w:sz="0" w:space="0" w:color="auto"/>
                <w:right w:val="none" w:sz="0" w:space="0" w:color="auto"/>
              </w:divBdr>
            </w:div>
          </w:divsChild>
        </w:div>
        <w:div w:id="548685310">
          <w:marLeft w:val="0"/>
          <w:marRight w:val="0"/>
          <w:marTop w:val="0"/>
          <w:marBottom w:val="0"/>
          <w:divBdr>
            <w:top w:val="none" w:sz="0" w:space="0" w:color="auto"/>
            <w:left w:val="none" w:sz="0" w:space="0" w:color="auto"/>
            <w:bottom w:val="none" w:sz="0" w:space="0" w:color="auto"/>
            <w:right w:val="none" w:sz="0" w:space="0" w:color="auto"/>
          </w:divBdr>
          <w:divsChild>
            <w:div w:id="1210267699">
              <w:marLeft w:val="0"/>
              <w:marRight w:val="0"/>
              <w:marTop w:val="0"/>
              <w:marBottom w:val="0"/>
              <w:divBdr>
                <w:top w:val="none" w:sz="0" w:space="0" w:color="auto"/>
                <w:left w:val="none" w:sz="0" w:space="0" w:color="auto"/>
                <w:bottom w:val="none" w:sz="0" w:space="0" w:color="auto"/>
                <w:right w:val="none" w:sz="0" w:space="0" w:color="auto"/>
              </w:divBdr>
            </w:div>
          </w:divsChild>
        </w:div>
        <w:div w:id="566453040">
          <w:marLeft w:val="0"/>
          <w:marRight w:val="0"/>
          <w:marTop w:val="0"/>
          <w:marBottom w:val="0"/>
          <w:divBdr>
            <w:top w:val="none" w:sz="0" w:space="0" w:color="auto"/>
            <w:left w:val="none" w:sz="0" w:space="0" w:color="auto"/>
            <w:bottom w:val="none" w:sz="0" w:space="0" w:color="auto"/>
            <w:right w:val="none" w:sz="0" w:space="0" w:color="auto"/>
          </w:divBdr>
          <w:divsChild>
            <w:div w:id="828447046">
              <w:marLeft w:val="0"/>
              <w:marRight w:val="0"/>
              <w:marTop w:val="0"/>
              <w:marBottom w:val="0"/>
              <w:divBdr>
                <w:top w:val="none" w:sz="0" w:space="0" w:color="auto"/>
                <w:left w:val="none" w:sz="0" w:space="0" w:color="auto"/>
                <w:bottom w:val="none" w:sz="0" w:space="0" w:color="auto"/>
                <w:right w:val="none" w:sz="0" w:space="0" w:color="auto"/>
              </w:divBdr>
            </w:div>
          </w:divsChild>
        </w:div>
        <w:div w:id="577859494">
          <w:marLeft w:val="0"/>
          <w:marRight w:val="0"/>
          <w:marTop w:val="0"/>
          <w:marBottom w:val="0"/>
          <w:divBdr>
            <w:top w:val="none" w:sz="0" w:space="0" w:color="auto"/>
            <w:left w:val="none" w:sz="0" w:space="0" w:color="auto"/>
            <w:bottom w:val="none" w:sz="0" w:space="0" w:color="auto"/>
            <w:right w:val="none" w:sz="0" w:space="0" w:color="auto"/>
          </w:divBdr>
          <w:divsChild>
            <w:div w:id="1421021496">
              <w:marLeft w:val="0"/>
              <w:marRight w:val="0"/>
              <w:marTop w:val="0"/>
              <w:marBottom w:val="0"/>
              <w:divBdr>
                <w:top w:val="none" w:sz="0" w:space="0" w:color="auto"/>
                <w:left w:val="none" w:sz="0" w:space="0" w:color="auto"/>
                <w:bottom w:val="none" w:sz="0" w:space="0" w:color="auto"/>
                <w:right w:val="none" w:sz="0" w:space="0" w:color="auto"/>
              </w:divBdr>
            </w:div>
          </w:divsChild>
        </w:div>
        <w:div w:id="588856149">
          <w:marLeft w:val="0"/>
          <w:marRight w:val="0"/>
          <w:marTop w:val="0"/>
          <w:marBottom w:val="0"/>
          <w:divBdr>
            <w:top w:val="none" w:sz="0" w:space="0" w:color="auto"/>
            <w:left w:val="none" w:sz="0" w:space="0" w:color="auto"/>
            <w:bottom w:val="none" w:sz="0" w:space="0" w:color="auto"/>
            <w:right w:val="none" w:sz="0" w:space="0" w:color="auto"/>
          </w:divBdr>
          <w:divsChild>
            <w:div w:id="1448115960">
              <w:marLeft w:val="0"/>
              <w:marRight w:val="0"/>
              <w:marTop w:val="0"/>
              <w:marBottom w:val="0"/>
              <w:divBdr>
                <w:top w:val="none" w:sz="0" w:space="0" w:color="auto"/>
                <w:left w:val="none" w:sz="0" w:space="0" w:color="auto"/>
                <w:bottom w:val="none" w:sz="0" w:space="0" w:color="auto"/>
                <w:right w:val="none" w:sz="0" w:space="0" w:color="auto"/>
              </w:divBdr>
            </w:div>
          </w:divsChild>
        </w:div>
        <w:div w:id="605694137">
          <w:marLeft w:val="0"/>
          <w:marRight w:val="0"/>
          <w:marTop w:val="0"/>
          <w:marBottom w:val="0"/>
          <w:divBdr>
            <w:top w:val="none" w:sz="0" w:space="0" w:color="auto"/>
            <w:left w:val="none" w:sz="0" w:space="0" w:color="auto"/>
            <w:bottom w:val="none" w:sz="0" w:space="0" w:color="auto"/>
            <w:right w:val="none" w:sz="0" w:space="0" w:color="auto"/>
          </w:divBdr>
          <w:divsChild>
            <w:div w:id="1644387599">
              <w:marLeft w:val="0"/>
              <w:marRight w:val="0"/>
              <w:marTop w:val="0"/>
              <w:marBottom w:val="0"/>
              <w:divBdr>
                <w:top w:val="none" w:sz="0" w:space="0" w:color="auto"/>
                <w:left w:val="none" w:sz="0" w:space="0" w:color="auto"/>
                <w:bottom w:val="none" w:sz="0" w:space="0" w:color="auto"/>
                <w:right w:val="none" w:sz="0" w:space="0" w:color="auto"/>
              </w:divBdr>
            </w:div>
          </w:divsChild>
        </w:div>
        <w:div w:id="621157918">
          <w:marLeft w:val="0"/>
          <w:marRight w:val="0"/>
          <w:marTop w:val="0"/>
          <w:marBottom w:val="0"/>
          <w:divBdr>
            <w:top w:val="none" w:sz="0" w:space="0" w:color="auto"/>
            <w:left w:val="none" w:sz="0" w:space="0" w:color="auto"/>
            <w:bottom w:val="none" w:sz="0" w:space="0" w:color="auto"/>
            <w:right w:val="none" w:sz="0" w:space="0" w:color="auto"/>
          </w:divBdr>
          <w:divsChild>
            <w:div w:id="1372730973">
              <w:marLeft w:val="0"/>
              <w:marRight w:val="0"/>
              <w:marTop w:val="0"/>
              <w:marBottom w:val="0"/>
              <w:divBdr>
                <w:top w:val="none" w:sz="0" w:space="0" w:color="auto"/>
                <w:left w:val="none" w:sz="0" w:space="0" w:color="auto"/>
                <w:bottom w:val="none" w:sz="0" w:space="0" w:color="auto"/>
                <w:right w:val="none" w:sz="0" w:space="0" w:color="auto"/>
              </w:divBdr>
            </w:div>
          </w:divsChild>
        </w:div>
        <w:div w:id="622417749">
          <w:marLeft w:val="0"/>
          <w:marRight w:val="0"/>
          <w:marTop w:val="0"/>
          <w:marBottom w:val="0"/>
          <w:divBdr>
            <w:top w:val="none" w:sz="0" w:space="0" w:color="auto"/>
            <w:left w:val="none" w:sz="0" w:space="0" w:color="auto"/>
            <w:bottom w:val="none" w:sz="0" w:space="0" w:color="auto"/>
            <w:right w:val="none" w:sz="0" w:space="0" w:color="auto"/>
          </w:divBdr>
          <w:divsChild>
            <w:div w:id="312803492">
              <w:marLeft w:val="0"/>
              <w:marRight w:val="0"/>
              <w:marTop w:val="0"/>
              <w:marBottom w:val="0"/>
              <w:divBdr>
                <w:top w:val="none" w:sz="0" w:space="0" w:color="auto"/>
                <w:left w:val="none" w:sz="0" w:space="0" w:color="auto"/>
                <w:bottom w:val="none" w:sz="0" w:space="0" w:color="auto"/>
                <w:right w:val="none" w:sz="0" w:space="0" w:color="auto"/>
              </w:divBdr>
            </w:div>
          </w:divsChild>
        </w:div>
        <w:div w:id="630091858">
          <w:marLeft w:val="0"/>
          <w:marRight w:val="0"/>
          <w:marTop w:val="0"/>
          <w:marBottom w:val="0"/>
          <w:divBdr>
            <w:top w:val="none" w:sz="0" w:space="0" w:color="auto"/>
            <w:left w:val="none" w:sz="0" w:space="0" w:color="auto"/>
            <w:bottom w:val="none" w:sz="0" w:space="0" w:color="auto"/>
            <w:right w:val="none" w:sz="0" w:space="0" w:color="auto"/>
          </w:divBdr>
          <w:divsChild>
            <w:div w:id="869535993">
              <w:marLeft w:val="0"/>
              <w:marRight w:val="0"/>
              <w:marTop w:val="0"/>
              <w:marBottom w:val="0"/>
              <w:divBdr>
                <w:top w:val="none" w:sz="0" w:space="0" w:color="auto"/>
                <w:left w:val="none" w:sz="0" w:space="0" w:color="auto"/>
                <w:bottom w:val="none" w:sz="0" w:space="0" w:color="auto"/>
                <w:right w:val="none" w:sz="0" w:space="0" w:color="auto"/>
              </w:divBdr>
            </w:div>
          </w:divsChild>
        </w:div>
        <w:div w:id="631249269">
          <w:marLeft w:val="0"/>
          <w:marRight w:val="0"/>
          <w:marTop w:val="0"/>
          <w:marBottom w:val="0"/>
          <w:divBdr>
            <w:top w:val="none" w:sz="0" w:space="0" w:color="auto"/>
            <w:left w:val="none" w:sz="0" w:space="0" w:color="auto"/>
            <w:bottom w:val="none" w:sz="0" w:space="0" w:color="auto"/>
            <w:right w:val="none" w:sz="0" w:space="0" w:color="auto"/>
          </w:divBdr>
          <w:divsChild>
            <w:div w:id="543105334">
              <w:marLeft w:val="0"/>
              <w:marRight w:val="0"/>
              <w:marTop w:val="0"/>
              <w:marBottom w:val="0"/>
              <w:divBdr>
                <w:top w:val="none" w:sz="0" w:space="0" w:color="auto"/>
                <w:left w:val="none" w:sz="0" w:space="0" w:color="auto"/>
                <w:bottom w:val="none" w:sz="0" w:space="0" w:color="auto"/>
                <w:right w:val="none" w:sz="0" w:space="0" w:color="auto"/>
              </w:divBdr>
            </w:div>
          </w:divsChild>
        </w:div>
        <w:div w:id="651443419">
          <w:marLeft w:val="0"/>
          <w:marRight w:val="0"/>
          <w:marTop w:val="0"/>
          <w:marBottom w:val="0"/>
          <w:divBdr>
            <w:top w:val="none" w:sz="0" w:space="0" w:color="auto"/>
            <w:left w:val="none" w:sz="0" w:space="0" w:color="auto"/>
            <w:bottom w:val="none" w:sz="0" w:space="0" w:color="auto"/>
            <w:right w:val="none" w:sz="0" w:space="0" w:color="auto"/>
          </w:divBdr>
          <w:divsChild>
            <w:div w:id="2117408770">
              <w:marLeft w:val="0"/>
              <w:marRight w:val="0"/>
              <w:marTop w:val="0"/>
              <w:marBottom w:val="0"/>
              <w:divBdr>
                <w:top w:val="none" w:sz="0" w:space="0" w:color="auto"/>
                <w:left w:val="none" w:sz="0" w:space="0" w:color="auto"/>
                <w:bottom w:val="none" w:sz="0" w:space="0" w:color="auto"/>
                <w:right w:val="none" w:sz="0" w:space="0" w:color="auto"/>
              </w:divBdr>
            </w:div>
          </w:divsChild>
        </w:div>
        <w:div w:id="656230790">
          <w:marLeft w:val="0"/>
          <w:marRight w:val="0"/>
          <w:marTop w:val="0"/>
          <w:marBottom w:val="0"/>
          <w:divBdr>
            <w:top w:val="none" w:sz="0" w:space="0" w:color="auto"/>
            <w:left w:val="none" w:sz="0" w:space="0" w:color="auto"/>
            <w:bottom w:val="none" w:sz="0" w:space="0" w:color="auto"/>
            <w:right w:val="none" w:sz="0" w:space="0" w:color="auto"/>
          </w:divBdr>
          <w:divsChild>
            <w:div w:id="703942075">
              <w:marLeft w:val="0"/>
              <w:marRight w:val="0"/>
              <w:marTop w:val="0"/>
              <w:marBottom w:val="0"/>
              <w:divBdr>
                <w:top w:val="none" w:sz="0" w:space="0" w:color="auto"/>
                <w:left w:val="none" w:sz="0" w:space="0" w:color="auto"/>
                <w:bottom w:val="none" w:sz="0" w:space="0" w:color="auto"/>
                <w:right w:val="none" w:sz="0" w:space="0" w:color="auto"/>
              </w:divBdr>
            </w:div>
          </w:divsChild>
        </w:div>
        <w:div w:id="674067537">
          <w:marLeft w:val="0"/>
          <w:marRight w:val="0"/>
          <w:marTop w:val="0"/>
          <w:marBottom w:val="0"/>
          <w:divBdr>
            <w:top w:val="none" w:sz="0" w:space="0" w:color="auto"/>
            <w:left w:val="none" w:sz="0" w:space="0" w:color="auto"/>
            <w:bottom w:val="none" w:sz="0" w:space="0" w:color="auto"/>
            <w:right w:val="none" w:sz="0" w:space="0" w:color="auto"/>
          </w:divBdr>
          <w:divsChild>
            <w:div w:id="584925940">
              <w:marLeft w:val="0"/>
              <w:marRight w:val="0"/>
              <w:marTop w:val="0"/>
              <w:marBottom w:val="0"/>
              <w:divBdr>
                <w:top w:val="none" w:sz="0" w:space="0" w:color="auto"/>
                <w:left w:val="none" w:sz="0" w:space="0" w:color="auto"/>
                <w:bottom w:val="none" w:sz="0" w:space="0" w:color="auto"/>
                <w:right w:val="none" w:sz="0" w:space="0" w:color="auto"/>
              </w:divBdr>
            </w:div>
          </w:divsChild>
        </w:div>
        <w:div w:id="676273260">
          <w:marLeft w:val="0"/>
          <w:marRight w:val="0"/>
          <w:marTop w:val="0"/>
          <w:marBottom w:val="0"/>
          <w:divBdr>
            <w:top w:val="none" w:sz="0" w:space="0" w:color="auto"/>
            <w:left w:val="none" w:sz="0" w:space="0" w:color="auto"/>
            <w:bottom w:val="none" w:sz="0" w:space="0" w:color="auto"/>
            <w:right w:val="none" w:sz="0" w:space="0" w:color="auto"/>
          </w:divBdr>
          <w:divsChild>
            <w:div w:id="1470442050">
              <w:marLeft w:val="0"/>
              <w:marRight w:val="0"/>
              <w:marTop w:val="0"/>
              <w:marBottom w:val="0"/>
              <w:divBdr>
                <w:top w:val="none" w:sz="0" w:space="0" w:color="auto"/>
                <w:left w:val="none" w:sz="0" w:space="0" w:color="auto"/>
                <w:bottom w:val="none" w:sz="0" w:space="0" w:color="auto"/>
                <w:right w:val="none" w:sz="0" w:space="0" w:color="auto"/>
              </w:divBdr>
            </w:div>
          </w:divsChild>
        </w:div>
        <w:div w:id="694962500">
          <w:marLeft w:val="0"/>
          <w:marRight w:val="0"/>
          <w:marTop w:val="0"/>
          <w:marBottom w:val="0"/>
          <w:divBdr>
            <w:top w:val="none" w:sz="0" w:space="0" w:color="auto"/>
            <w:left w:val="none" w:sz="0" w:space="0" w:color="auto"/>
            <w:bottom w:val="none" w:sz="0" w:space="0" w:color="auto"/>
            <w:right w:val="none" w:sz="0" w:space="0" w:color="auto"/>
          </w:divBdr>
          <w:divsChild>
            <w:div w:id="1573467501">
              <w:marLeft w:val="0"/>
              <w:marRight w:val="0"/>
              <w:marTop w:val="0"/>
              <w:marBottom w:val="0"/>
              <w:divBdr>
                <w:top w:val="none" w:sz="0" w:space="0" w:color="auto"/>
                <w:left w:val="none" w:sz="0" w:space="0" w:color="auto"/>
                <w:bottom w:val="none" w:sz="0" w:space="0" w:color="auto"/>
                <w:right w:val="none" w:sz="0" w:space="0" w:color="auto"/>
              </w:divBdr>
            </w:div>
          </w:divsChild>
        </w:div>
        <w:div w:id="700712217">
          <w:marLeft w:val="0"/>
          <w:marRight w:val="0"/>
          <w:marTop w:val="0"/>
          <w:marBottom w:val="0"/>
          <w:divBdr>
            <w:top w:val="none" w:sz="0" w:space="0" w:color="auto"/>
            <w:left w:val="none" w:sz="0" w:space="0" w:color="auto"/>
            <w:bottom w:val="none" w:sz="0" w:space="0" w:color="auto"/>
            <w:right w:val="none" w:sz="0" w:space="0" w:color="auto"/>
          </w:divBdr>
          <w:divsChild>
            <w:div w:id="428477355">
              <w:marLeft w:val="0"/>
              <w:marRight w:val="0"/>
              <w:marTop w:val="0"/>
              <w:marBottom w:val="0"/>
              <w:divBdr>
                <w:top w:val="none" w:sz="0" w:space="0" w:color="auto"/>
                <w:left w:val="none" w:sz="0" w:space="0" w:color="auto"/>
                <w:bottom w:val="none" w:sz="0" w:space="0" w:color="auto"/>
                <w:right w:val="none" w:sz="0" w:space="0" w:color="auto"/>
              </w:divBdr>
            </w:div>
          </w:divsChild>
        </w:div>
        <w:div w:id="742990023">
          <w:marLeft w:val="0"/>
          <w:marRight w:val="0"/>
          <w:marTop w:val="0"/>
          <w:marBottom w:val="0"/>
          <w:divBdr>
            <w:top w:val="none" w:sz="0" w:space="0" w:color="auto"/>
            <w:left w:val="none" w:sz="0" w:space="0" w:color="auto"/>
            <w:bottom w:val="none" w:sz="0" w:space="0" w:color="auto"/>
            <w:right w:val="none" w:sz="0" w:space="0" w:color="auto"/>
          </w:divBdr>
          <w:divsChild>
            <w:div w:id="2050834181">
              <w:marLeft w:val="0"/>
              <w:marRight w:val="0"/>
              <w:marTop w:val="0"/>
              <w:marBottom w:val="0"/>
              <w:divBdr>
                <w:top w:val="none" w:sz="0" w:space="0" w:color="auto"/>
                <w:left w:val="none" w:sz="0" w:space="0" w:color="auto"/>
                <w:bottom w:val="none" w:sz="0" w:space="0" w:color="auto"/>
                <w:right w:val="none" w:sz="0" w:space="0" w:color="auto"/>
              </w:divBdr>
            </w:div>
          </w:divsChild>
        </w:div>
        <w:div w:id="751050778">
          <w:marLeft w:val="0"/>
          <w:marRight w:val="0"/>
          <w:marTop w:val="0"/>
          <w:marBottom w:val="0"/>
          <w:divBdr>
            <w:top w:val="none" w:sz="0" w:space="0" w:color="auto"/>
            <w:left w:val="none" w:sz="0" w:space="0" w:color="auto"/>
            <w:bottom w:val="none" w:sz="0" w:space="0" w:color="auto"/>
            <w:right w:val="none" w:sz="0" w:space="0" w:color="auto"/>
          </w:divBdr>
          <w:divsChild>
            <w:div w:id="61677968">
              <w:marLeft w:val="0"/>
              <w:marRight w:val="0"/>
              <w:marTop w:val="0"/>
              <w:marBottom w:val="0"/>
              <w:divBdr>
                <w:top w:val="none" w:sz="0" w:space="0" w:color="auto"/>
                <w:left w:val="none" w:sz="0" w:space="0" w:color="auto"/>
                <w:bottom w:val="none" w:sz="0" w:space="0" w:color="auto"/>
                <w:right w:val="none" w:sz="0" w:space="0" w:color="auto"/>
              </w:divBdr>
            </w:div>
          </w:divsChild>
        </w:div>
        <w:div w:id="795566192">
          <w:marLeft w:val="0"/>
          <w:marRight w:val="0"/>
          <w:marTop w:val="0"/>
          <w:marBottom w:val="0"/>
          <w:divBdr>
            <w:top w:val="none" w:sz="0" w:space="0" w:color="auto"/>
            <w:left w:val="none" w:sz="0" w:space="0" w:color="auto"/>
            <w:bottom w:val="none" w:sz="0" w:space="0" w:color="auto"/>
            <w:right w:val="none" w:sz="0" w:space="0" w:color="auto"/>
          </w:divBdr>
          <w:divsChild>
            <w:div w:id="1128624634">
              <w:marLeft w:val="0"/>
              <w:marRight w:val="0"/>
              <w:marTop w:val="0"/>
              <w:marBottom w:val="0"/>
              <w:divBdr>
                <w:top w:val="none" w:sz="0" w:space="0" w:color="auto"/>
                <w:left w:val="none" w:sz="0" w:space="0" w:color="auto"/>
                <w:bottom w:val="none" w:sz="0" w:space="0" w:color="auto"/>
                <w:right w:val="none" w:sz="0" w:space="0" w:color="auto"/>
              </w:divBdr>
            </w:div>
          </w:divsChild>
        </w:div>
        <w:div w:id="804547670">
          <w:marLeft w:val="0"/>
          <w:marRight w:val="0"/>
          <w:marTop w:val="0"/>
          <w:marBottom w:val="0"/>
          <w:divBdr>
            <w:top w:val="none" w:sz="0" w:space="0" w:color="auto"/>
            <w:left w:val="none" w:sz="0" w:space="0" w:color="auto"/>
            <w:bottom w:val="none" w:sz="0" w:space="0" w:color="auto"/>
            <w:right w:val="none" w:sz="0" w:space="0" w:color="auto"/>
          </w:divBdr>
          <w:divsChild>
            <w:div w:id="1355497448">
              <w:marLeft w:val="0"/>
              <w:marRight w:val="0"/>
              <w:marTop w:val="0"/>
              <w:marBottom w:val="0"/>
              <w:divBdr>
                <w:top w:val="none" w:sz="0" w:space="0" w:color="auto"/>
                <w:left w:val="none" w:sz="0" w:space="0" w:color="auto"/>
                <w:bottom w:val="none" w:sz="0" w:space="0" w:color="auto"/>
                <w:right w:val="none" w:sz="0" w:space="0" w:color="auto"/>
              </w:divBdr>
            </w:div>
          </w:divsChild>
        </w:div>
        <w:div w:id="810051306">
          <w:marLeft w:val="0"/>
          <w:marRight w:val="0"/>
          <w:marTop w:val="0"/>
          <w:marBottom w:val="0"/>
          <w:divBdr>
            <w:top w:val="none" w:sz="0" w:space="0" w:color="auto"/>
            <w:left w:val="none" w:sz="0" w:space="0" w:color="auto"/>
            <w:bottom w:val="none" w:sz="0" w:space="0" w:color="auto"/>
            <w:right w:val="none" w:sz="0" w:space="0" w:color="auto"/>
          </w:divBdr>
          <w:divsChild>
            <w:div w:id="1375156369">
              <w:marLeft w:val="0"/>
              <w:marRight w:val="0"/>
              <w:marTop w:val="0"/>
              <w:marBottom w:val="0"/>
              <w:divBdr>
                <w:top w:val="none" w:sz="0" w:space="0" w:color="auto"/>
                <w:left w:val="none" w:sz="0" w:space="0" w:color="auto"/>
                <w:bottom w:val="none" w:sz="0" w:space="0" w:color="auto"/>
                <w:right w:val="none" w:sz="0" w:space="0" w:color="auto"/>
              </w:divBdr>
            </w:div>
          </w:divsChild>
        </w:div>
        <w:div w:id="830367621">
          <w:marLeft w:val="0"/>
          <w:marRight w:val="0"/>
          <w:marTop w:val="0"/>
          <w:marBottom w:val="0"/>
          <w:divBdr>
            <w:top w:val="none" w:sz="0" w:space="0" w:color="auto"/>
            <w:left w:val="none" w:sz="0" w:space="0" w:color="auto"/>
            <w:bottom w:val="none" w:sz="0" w:space="0" w:color="auto"/>
            <w:right w:val="none" w:sz="0" w:space="0" w:color="auto"/>
          </w:divBdr>
          <w:divsChild>
            <w:div w:id="1450851190">
              <w:marLeft w:val="0"/>
              <w:marRight w:val="0"/>
              <w:marTop w:val="0"/>
              <w:marBottom w:val="0"/>
              <w:divBdr>
                <w:top w:val="none" w:sz="0" w:space="0" w:color="auto"/>
                <w:left w:val="none" w:sz="0" w:space="0" w:color="auto"/>
                <w:bottom w:val="none" w:sz="0" w:space="0" w:color="auto"/>
                <w:right w:val="none" w:sz="0" w:space="0" w:color="auto"/>
              </w:divBdr>
            </w:div>
          </w:divsChild>
        </w:div>
        <w:div w:id="834344395">
          <w:marLeft w:val="0"/>
          <w:marRight w:val="0"/>
          <w:marTop w:val="0"/>
          <w:marBottom w:val="0"/>
          <w:divBdr>
            <w:top w:val="none" w:sz="0" w:space="0" w:color="auto"/>
            <w:left w:val="none" w:sz="0" w:space="0" w:color="auto"/>
            <w:bottom w:val="none" w:sz="0" w:space="0" w:color="auto"/>
            <w:right w:val="none" w:sz="0" w:space="0" w:color="auto"/>
          </w:divBdr>
          <w:divsChild>
            <w:div w:id="830293975">
              <w:marLeft w:val="0"/>
              <w:marRight w:val="0"/>
              <w:marTop w:val="0"/>
              <w:marBottom w:val="0"/>
              <w:divBdr>
                <w:top w:val="none" w:sz="0" w:space="0" w:color="auto"/>
                <w:left w:val="none" w:sz="0" w:space="0" w:color="auto"/>
                <w:bottom w:val="none" w:sz="0" w:space="0" w:color="auto"/>
                <w:right w:val="none" w:sz="0" w:space="0" w:color="auto"/>
              </w:divBdr>
            </w:div>
          </w:divsChild>
        </w:div>
        <w:div w:id="847450386">
          <w:marLeft w:val="0"/>
          <w:marRight w:val="0"/>
          <w:marTop w:val="0"/>
          <w:marBottom w:val="0"/>
          <w:divBdr>
            <w:top w:val="none" w:sz="0" w:space="0" w:color="auto"/>
            <w:left w:val="none" w:sz="0" w:space="0" w:color="auto"/>
            <w:bottom w:val="none" w:sz="0" w:space="0" w:color="auto"/>
            <w:right w:val="none" w:sz="0" w:space="0" w:color="auto"/>
          </w:divBdr>
          <w:divsChild>
            <w:div w:id="205026030">
              <w:marLeft w:val="0"/>
              <w:marRight w:val="0"/>
              <w:marTop w:val="0"/>
              <w:marBottom w:val="0"/>
              <w:divBdr>
                <w:top w:val="none" w:sz="0" w:space="0" w:color="auto"/>
                <w:left w:val="none" w:sz="0" w:space="0" w:color="auto"/>
                <w:bottom w:val="none" w:sz="0" w:space="0" w:color="auto"/>
                <w:right w:val="none" w:sz="0" w:space="0" w:color="auto"/>
              </w:divBdr>
            </w:div>
          </w:divsChild>
        </w:div>
        <w:div w:id="864053713">
          <w:marLeft w:val="0"/>
          <w:marRight w:val="0"/>
          <w:marTop w:val="0"/>
          <w:marBottom w:val="0"/>
          <w:divBdr>
            <w:top w:val="none" w:sz="0" w:space="0" w:color="auto"/>
            <w:left w:val="none" w:sz="0" w:space="0" w:color="auto"/>
            <w:bottom w:val="none" w:sz="0" w:space="0" w:color="auto"/>
            <w:right w:val="none" w:sz="0" w:space="0" w:color="auto"/>
          </w:divBdr>
          <w:divsChild>
            <w:div w:id="505556946">
              <w:marLeft w:val="0"/>
              <w:marRight w:val="0"/>
              <w:marTop w:val="0"/>
              <w:marBottom w:val="0"/>
              <w:divBdr>
                <w:top w:val="none" w:sz="0" w:space="0" w:color="auto"/>
                <w:left w:val="none" w:sz="0" w:space="0" w:color="auto"/>
                <w:bottom w:val="none" w:sz="0" w:space="0" w:color="auto"/>
                <w:right w:val="none" w:sz="0" w:space="0" w:color="auto"/>
              </w:divBdr>
            </w:div>
          </w:divsChild>
        </w:div>
        <w:div w:id="884416183">
          <w:marLeft w:val="0"/>
          <w:marRight w:val="0"/>
          <w:marTop w:val="0"/>
          <w:marBottom w:val="0"/>
          <w:divBdr>
            <w:top w:val="none" w:sz="0" w:space="0" w:color="auto"/>
            <w:left w:val="none" w:sz="0" w:space="0" w:color="auto"/>
            <w:bottom w:val="none" w:sz="0" w:space="0" w:color="auto"/>
            <w:right w:val="none" w:sz="0" w:space="0" w:color="auto"/>
          </w:divBdr>
          <w:divsChild>
            <w:div w:id="1453982438">
              <w:marLeft w:val="0"/>
              <w:marRight w:val="0"/>
              <w:marTop w:val="0"/>
              <w:marBottom w:val="0"/>
              <w:divBdr>
                <w:top w:val="none" w:sz="0" w:space="0" w:color="auto"/>
                <w:left w:val="none" w:sz="0" w:space="0" w:color="auto"/>
                <w:bottom w:val="none" w:sz="0" w:space="0" w:color="auto"/>
                <w:right w:val="none" w:sz="0" w:space="0" w:color="auto"/>
              </w:divBdr>
            </w:div>
          </w:divsChild>
        </w:div>
        <w:div w:id="895703832">
          <w:marLeft w:val="0"/>
          <w:marRight w:val="0"/>
          <w:marTop w:val="0"/>
          <w:marBottom w:val="0"/>
          <w:divBdr>
            <w:top w:val="none" w:sz="0" w:space="0" w:color="auto"/>
            <w:left w:val="none" w:sz="0" w:space="0" w:color="auto"/>
            <w:bottom w:val="none" w:sz="0" w:space="0" w:color="auto"/>
            <w:right w:val="none" w:sz="0" w:space="0" w:color="auto"/>
          </w:divBdr>
          <w:divsChild>
            <w:div w:id="498467061">
              <w:marLeft w:val="0"/>
              <w:marRight w:val="0"/>
              <w:marTop w:val="0"/>
              <w:marBottom w:val="0"/>
              <w:divBdr>
                <w:top w:val="none" w:sz="0" w:space="0" w:color="auto"/>
                <w:left w:val="none" w:sz="0" w:space="0" w:color="auto"/>
                <w:bottom w:val="none" w:sz="0" w:space="0" w:color="auto"/>
                <w:right w:val="none" w:sz="0" w:space="0" w:color="auto"/>
              </w:divBdr>
            </w:div>
          </w:divsChild>
        </w:div>
        <w:div w:id="897397479">
          <w:marLeft w:val="0"/>
          <w:marRight w:val="0"/>
          <w:marTop w:val="0"/>
          <w:marBottom w:val="0"/>
          <w:divBdr>
            <w:top w:val="none" w:sz="0" w:space="0" w:color="auto"/>
            <w:left w:val="none" w:sz="0" w:space="0" w:color="auto"/>
            <w:bottom w:val="none" w:sz="0" w:space="0" w:color="auto"/>
            <w:right w:val="none" w:sz="0" w:space="0" w:color="auto"/>
          </w:divBdr>
          <w:divsChild>
            <w:div w:id="2068869970">
              <w:marLeft w:val="0"/>
              <w:marRight w:val="0"/>
              <w:marTop w:val="0"/>
              <w:marBottom w:val="0"/>
              <w:divBdr>
                <w:top w:val="none" w:sz="0" w:space="0" w:color="auto"/>
                <w:left w:val="none" w:sz="0" w:space="0" w:color="auto"/>
                <w:bottom w:val="none" w:sz="0" w:space="0" w:color="auto"/>
                <w:right w:val="none" w:sz="0" w:space="0" w:color="auto"/>
              </w:divBdr>
            </w:div>
          </w:divsChild>
        </w:div>
        <w:div w:id="899054543">
          <w:marLeft w:val="0"/>
          <w:marRight w:val="0"/>
          <w:marTop w:val="0"/>
          <w:marBottom w:val="0"/>
          <w:divBdr>
            <w:top w:val="none" w:sz="0" w:space="0" w:color="auto"/>
            <w:left w:val="none" w:sz="0" w:space="0" w:color="auto"/>
            <w:bottom w:val="none" w:sz="0" w:space="0" w:color="auto"/>
            <w:right w:val="none" w:sz="0" w:space="0" w:color="auto"/>
          </w:divBdr>
          <w:divsChild>
            <w:div w:id="299304752">
              <w:marLeft w:val="0"/>
              <w:marRight w:val="0"/>
              <w:marTop w:val="0"/>
              <w:marBottom w:val="0"/>
              <w:divBdr>
                <w:top w:val="none" w:sz="0" w:space="0" w:color="auto"/>
                <w:left w:val="none" w:sz="0" w:space="0" w:color="auto"/>
                <w:bottom w:val="none" w:sz="0" w:space="0" w:color="auto"/>
                <w:right w:val="none" w:sz="0" w:space="0" w:color="auto"/>
              </w:divBdr>
            </w:div>
          </w:divsChild>
        </w:div>
        <w:div w:id="916017141">
          <w:marLeft w:val="0"/>
          <w:marRight w:val="0"/>
          <w:marTop w:val="0"/>
          <w:marBottom w:val="0"/>
          <w:divBdr>
            <w:top w:val="none" w:sz="0" w:space="0" w:color="auto"/>
            <w:left w:val="none" w:sz="0" w:space="0" w:color="auto"/>
            <w:bottom w:val="none" w:sz="0" w:space="0" w:color="auto"/>
            <w:right w:val="none" w:sz="0" w:space="0" w:color="auto"/>
          </w:divBdr>
          <w:divsChild>
            <w:div w:id="2146309063">
              <w:marLeft w:val="0"/>
              <w:marRight w:val="0"/>
              <w:marTop w:val="0"/>
              <w:marBottom w:val="0"/>
              <w:divBdr>
                <w:top w:val="none" w:sz="0" w:space="0" w:color="auto"/>
                <w:left w:val="none" w:sz="0" w:space="0" w:color="auto"/>
                <w:bottom w:val="none" w:sz="0" w:space="0" w:color="auto"/>
                <w:right w:val="none" w:sz="0" w:space="0" w:color="auto"/>
              </w:divBdr>
            </w:div>
          </w:divsChild>
        </w:div>
        <w:div w:id="923612195">
          <w:marLeft w:val="0"/>
          <w:marRight w:val="0"/>
          <w:marTop w:val="0"/>
          <w:marBottom w:val="0"/>
          <w:divBdr>
            <w:top w:val="none" w:sz="0" w:space="0" w:color="auto"/>
            <w:left w:val="none" w:sz="0" w:space="0" w:color="auto"/>
            <w:bottom w:val="none" w:sz="0" w:space="0" w:color="auto"/>
            <w:right w:val="none" w:sz="0" w:space="0" w:color="auto"/>
          </w:divBdr>
          <w:divsChild>
            <w:div w:id="2066561950">
              <w:marLeft w:val="0"/>
              <w:marRight w:val="0"/>
              <w:marTop w:val="0"/>
              <w:marBottom w:val="0"/>
              <w:divBdr>
                <w:top w:val="none" w:sz="0" w:space="0" w:color="auto"/>
                <w:left w:val="none" w:sz="0" w:space="0" w:color="auto"/>
                <w:bottom w:val="none" w:sz="0" w:space="0" w:color="auto"/>
                <w:right w:val="none" w:sz="0" w:space="0" w:color="auto"/>
              </w:divBdr>
            </w:div>
          </w:divsChild>
        </w:div>
        <w:div w:id="931397864">
          <w:marLeft w:val="0"/>
          <w:marRight w:val="0"/>
          <w:marTop w:val="0"/>
          <w:marBottom w:val="0"/>
          <w:divBdr>
            <w:top w:val="none" w:sz="0" w:space="0" w:color="auto"/>
            <w:left w:val="none" w:sz="0" w:space="0" w:color="auto"/>
            <w:bottom w:val="none" w:sz="0" w:space="0" w:color="auto"/>
            <w:right w:val="none" w:sz="0" w:space="0" w:color="auto"/>
          </w:divBdr>
          <w:divsChild>
            <w:div w:id="138303586">
              <w:marLeft w:val="0"/>
              <w:marRight w:val="0"/>
              <w:marTop w:val="0"/>
              <w:marBottom w:val="0"/>
              <w:divBdr>
                <w:top w:val="none" w:sz="0" w:space="0" w:color="auto"/>
                <w:left w:val="none" w:sz="0" w:space="0" w:color="auto"/>
                <w:bottom w:val="none" w:sz="0" w:space="0" w:color="auto"/>
                <w:right w:val="none" w:sz="0" w:space="0" w:color="auto"/>
              </w:divBdr>
            </w:div>
          </w:divsChild>
        </w:div>
        <w:div w:id="950435565">
          <w:marLeft w:val="0"/>
          <w:marRight w:val="0"/>
          <w:marTop w:val="0"/>
          <w:marBottom w:val="0"/>
          <w:divBdr>
            <w:top w:val="none" w:sz="0" w:space="0" w:color="auto"/>
            <w:left w:val="none" w:sz="0" w:space="0" w:color="auto"/>
            <w:bottom w:val="none" w:sz="0" w:space="0" w:color="auto"/>
            <w:right w:val="none" w:sz="0" w:space="0" w:color="auto"/>
          </w:divBdr>
          <w:divsChild>
            <w:div w:id="91097757">
              <w:marLeft w:val="0"/>
              <w:marRight w:val="0"/>
              <w:marTop w:val="0"/>
              <w:marBottom w:val="0"/>
              <w:divBdr>
                <w:top w:val="none" w:sz="0" w:space="0" w:color="auto"/>
                <w:left w:val="none" w:sz="0" w:space="0" w:color="auto"/>
                <w:bottom w:val="none" w:sz="0" w:space="0" w:color="auto"/>
                <w:right w:val="none" w:sz="0" w:space="0" w:color="auto"/>
              </w:divBdr>
            </w:div>
          </w:divsChild>
        </w:div>
        <w:div w:id="952443343">
          <w:marLeft w:val="0"/>
          <w:marRight w:val="0"/>
          <w:marTop w:val="0"/>
          <w:marBottom w:val="0"/>
          <w:divBdr>
            <w:top w:val="none" w:sz="0" w:space="0" w:color="auto"/>
            <w:left w:val="none" w:sz="0" w:space="0" w:color="auto"/>
            <w:bottom w:val="none" w:sz="0" w:space="0" w:color="auto"/>
            <w:right w:val="none" w:sz="0" w:space="0" w:color="auto"/>
          </w:divBdr>
          <w:divsChild>
            <w:div w:id="203686650">
              <w:marLeft w:val="0"/>
              <w:marRight w:val="0"/>
              <w:marTop w:val="0"/>
              <w:marBottom w:val="0"/>
              <w:divBdr>
                <w:top w:val="none" w:sz="0" w:space="0" w:color="auto"/>
                <w:left w:val="none" w:sz="0" w:space="0" w:color="auto"/>
                <w:bottom w:val="none" w:sz="0" w:space="0" w:color="auto"/>
                <w:right w:val="none" w:sz="0" w:space="0" w:color="auto"/>
              </w:divBdr>
            </w:div>
          </w:divsChild>
        </w:div>
        <w:div w:id="962468961">
          <w:marLeft w:val="0"/>
          <w:marRight w:val="0"/>
          <w:marTop w:val="0"/>
          <w:marBottom w:val="0"/>
          <w:divBdr>
            <w:top w:val="none" w:sz="0" w:space="0" w:color="auto"/>
            <w:left w:val="none" w:sz="0" w:space="0" w:color="auto"/>
            <w:bottom w:val="none" w:sz="0" w:space="0" w:color="auto"/>
            <w:right w:val="none" w:sz="0" w:space="0" w:color="auto"/>
          </w:divBdr>
          <w:divsChild>
            <w:div w:id="20324452">
              <w:marLeft w:val="0"/>
              <w:marRight w:val="0"/>
              <w:marTop w:val="0"/>
              <w:marBottom w:val="0"/>
              <w:divBdr>
                <w:top w:val="none" w:sz="0" w:space="0" w:color="auto"/>
                <w:left w:val="none" w:sz="0" w:space="0" w:color="auto"/>
                <w:bottom w:val="none" w:sz="0" w:space="0" w:color="auto"/>
                <w:right w:val="none" w:sz="0" w:space="0" w:color="auto"/>
              </w:divBdr>
            </w:div>
          </w:divsChild>
        </w:div>
        <w:div w:id="963390736">
          <w:marLeft w:val="0"/>
          <w:marRight w:val="0"/>
          <w:marTop w:val="0"/>
          <w:marBottom w:val="0"/>
          <w:divBdr>
            <w:top w:val="none" w:sz="0" w:space="0" w:color="auto"/>
            <w:left w:val="none" w:sz="0" w:space="0" w:color="auto"/>
            <w:bottom w:val="none" w:sz="0" w:space="0" w:color="auto"/>
            <w:right w:val="none" w:sz="0" w:space="0" w:color="auto"/>
          </w:divBdr>
          <w:divsChild>
            <w:div w:id="1038164022">
              <w:marLeft w:val="0"/>
              <w:marRight w:val="0"/>
              <w:marTop w:val="0"/>
              <w:marBottom w:val="0"/>
              <w:divBdr>
                <w:top w:val="none" w:sz="0" w:space="0" w:color="auto"/>
                <w:left w:val="none" w:sz="0" w:space="0" w:color="auto"/>
                <w:bottom w:val="none" w:sz="0" w:space="0" w:color="auto"/>
                <w:right w:val="none" w:sz="0" w:space="0" w:color="auto"/>
              </w:divBdr>
            </w:div>
          </w:divsChild>
        </w:div>
        <w:div w:id="973287943">
          <w:marLeft w:val="0"/>
          <w:marRight w:val="0"/>
          <w:marTop w:val="0"/>
          <w:marBottom w:val="0"/>
          <w:divBdr>
            <w:top w:val="none" w:sz="0" w:space="0" w:color="auto"/>
            <w:left w:val="none" w:sz="0" w:space="0" w:color="auto"/>
            <w:bottom w:val="none" w:sz="0" w:space="0" w:color="auto"/>
            <w:right w:val="none" w:sz="0" w:space="0" w:color="auto"/>
          </w:divBdr>
          <w:divsChild>
            <w:div w:id="887180235">
              <w:marLeft w:val="0"/>
              <w:marRight w:val="0"/>
              <w:marTop w:val="0"/>
              <w:marBottom w:val="0"/>
              <w:divBdr>
                <w:top w:val="none" w:sz="0" w:space="0" w:color="auto"/>
                <w:left w:val="none" w:sz="0" w:space="0" w:color="auto"/>
                <w:bottom w:val="none" w:sz="0" w:space="0" w:color="auto"/>
                <w:right w:val="none" w:sz="0" w:space="0" w:color="auto"/>
              </w:divBdr>
            </w:div>
          </w:divsChild>
        </w:div>
        <w:div w:id="973828137">
          <w:marLeft w:val="0"/>
          <w:marRight w:val="0"/>
          <w:marTop w:val="0"/>
          <w:marBottom w:val="0"/>
          <w:divBdr>
            <w:top w:val="none" w:sz="0" w:space="0" w:color="auto"/>
            <w:left w:val="none" w:sz="0" w:space="0" w:color="auto"/>
            <w:bottom w:val="none" w:sz="0" w:space="0" w:color="auto"/>
            <w:right w:val="none" w:sz="0" w:space="0" w:color="auto"/>
          </w:divBdr>
          <w:divsChild>
            <w:div w:id="1345355533">
              <w:marLeft w:val="0"/>
              <w:marRight w:val="0"/>
              <w:marTop w:val="0"/>
              <w:marBottom w:val="0"/>
              <w:divBdr>
                <w:top w:val="none" w:sz="0" w:space="0" w:color="auto"/>
                <w:left w:val="none" w:sz="0" w:space="0" w:color="auto"/>
                <w:bottom w:val="none" w:sz="0" w:space="0" w:color="auto"/>
                <w:right w:val="none" w:sz="0" w:space="0" w:color="auto"/>
              </w:divBdr>
            </w:div>
          </w:divsChild>
        </w:div>
        <w:div w:id="976256870">
          <w:marLeft w:val="0"/>
          <w:marRight w:val="0"/>
          <w:marTop w:val="0"/>
          <w:marBottom w:val="0"/>
          <w:divBdr>
            <w:top w:val="none" w:sz="0" w:space="0" w:color="auto"/>
            <w:left w:val="none" w:sz="0" w:space="0" w:color="auto"/>
            <w:bottom w:val="none" w:sz="0" w:space="0" w:color="auto"/>
            <w:right w:val="none" w:sz="0" w:space="0" w:color="auto"/>
          </w:divBdr>
          <w:divsChild>
            <w:div w:id="1399861576">
              <w:marLeft w:val="0"/>
              <w:marRight w:val="0"/>
              <w:marTop w:val="0"/>
              <w:marBottom w:val="0"/>
              <w:divBdr>
                <w:top w:val="none" w:sz="0" w:space="0" w:color="auto"/>
                <w:left w:val="none" w:sz="0" w:space="0" w:color="auto"/>
                <w:bottom w:val="none" w:sz="0" w:space="0" w:color="auto"/>
                <w:right w:val="none" w:sz="0" w:space="0" w:color="auto"/>
              </w:divBdr>
            </w:div>
          </w:divsChild>
        </w:div>
        <w:div w:id="982081561">
          <w:marLeft w:val="0"/>
          <w:marRight w:val="0"/>
          <w:marTop w:val="0"/>
          <w:marBottom w:val="0"/>
          <w:divBdr>
            <w:top w:val="none" w:sz="0" w:space="0" w:color="auto"/>
            <w:left w:val="none" w:sz="0" w:space="0" w:color="auto"/>
            <w:bottom w:val="none" w:sz="0" w:space="0" w:color="auto"/>
            <w:right w:val="none" w:sz="0" w:space="0" w:color="auto"/>
          </w:divBdr>
          <w:divsChild>
            <w:div w:id="808549716">
              <w:marLeft w:val="0"/>
              <w:marRight w:val="0"/>
              <w:marTop w:val="0"/>
              <w:marBottom w:val="0"/>
              <w:divBdr>
                <w:top w:val="none" w:sz="0" w:space="0" w:color="auto"/>
                <w:left w:val="none" w:sz="0" w:space="0" w:color="auto"/>
                <w:bottom w:val="none" w:sz="0" w:space="0" w:color="auto"/>
                <w:right w:val="none" w:sz="0" w:space="0" w:color="auto"/>
              </w:divBdr>
            </w:div>
          </w:divsChild>
        </w:div>
        <w:div w:id="1018459803">
          <w:marLeft w:val="0"/>
          <w:marRight w:val="0"/>
          <w:marTop w:val="0"/>
          <w:marBottom w:val="0"/>
          <w:divBdr>
            <w:top w:val="none" w:sz="0" w:space="0" w:color="auto"/>
            <w:left w:val="none" w:sz="0" w:space="0" w:color="auto"/>
            <w:bottom w:val="none" w:sz="0" w:space="0" w:color="auto"/>
            <w:right w:val="none" w:sz="0" w:space="0" w:color="auto"/>
          </w:divBdr>
          <w:divsChild>
            <w:div w:id="1835948750">
              <w:marLeft w:val="0"/>
              <w:marRight w:val="0"/>
              <w:marTop w:val="0"/>
              <w:marBottom w:val="0"/>
              <w:divBdr>
                <w:top w:val="none" w:sz="0" w:space="0" w:color="auto"/>
                <w:left w:val="none" w:sz="0" w:space="0" w:color="auto"/>
                <w:bottom w:val="none" w:sz="0" w:space="0" w:color="auto"/>
                <w:right w:val="none" w:sz="0" w:space="0" w:color="auto"/>
              </w:divBdr>
            </w:div>
          </w:divsChild>
        </w:div>
        <w:div w:id="1021587729">
          <w:marLeft w:val="0"/>
          <w:marRight w:val="0"/>
          <w:marTop w:val="0"/>
          <w:marBottom w:val="0"/>
          <w:divBdr>
            <w:top w:val="none" w:sz="0" w:space="0" w:color="auto"/>
            <w:left w:val="none" w:sz="0" w:space="0" w:color="auto"/>
            <w:bottom w:val="none" w:sz="0" w:space="0" w:color="auto"/>
            <w:right w:val="none" w:sz="0" w:space="0" w:color="auto"/>
          </w:divBdr>
          <w:divsChild>
            <w:div w:id="1374034470">
              <w:marLeft w:val="0"/>
              <w:marRight w:val="0"/>
              <w:marTop w:val="0"/>
              <w:marBottom w:val="0"/>
              <w:divBdr>
                <w:top w:val="none" w:sz="0" w:space="0" w:color="auto"/>
                <w:left w:val="none" w:sz="0" w:space="0" w:color="auto"/>
                <w:bottom w:val="none" w:sz="0" w:space="0" w:color="auto"/>
                <w:right w:val="none" w:sz="0" w:space="0" w:color="auto"/>
              </w:divBdr>
            </w:div>
          </w:divsChild>
        </w:div>
        <w:div w:id="1025865272">
          <w:marLeft w:val="0"/>
          <w:marRight w:val="0"/>
          <w:marTop w:val="0"/>
          <w:marBottom w:val="0"/>
          <w:divBdr>
            <w:top w:val="none" w:sz="0" w:space="0" w:color="auto"/>
            <w:left w:val="none" w:sz="0" w:space="0" w:color="auto"/>
            <w:bottom w:val="none" w:sz="0" w:space="0" w:color="auto"/>
            <w:right w:val="none" w:sz="0" w:space="0" w:color="auto"/>
          </w:divBdr>
          <w:divsChild>
            <w:div w:id="1461608236">
              <w:marLeft w:val="0"/>
              <w:marRight w:val="0"/>
              <w:marTop w:val="0"/>
              <w:marBottom w:val="0"/>
              <w:divBdr>
                <w:top w:val="none" w:sz="0" w:space="0" w:color="auto"/>
                <w:left w:val="none" w:sz="0" w:space="0" w:color="auto"/>
                <w:bottom w:val="none" w:sz="0" w:space="0" w:color="auto"/>
                <w:right w:val="none" w:sz="0" w:space="0" w:color="auto"/>
              </w:divBdr>
            </w:div>
          </w:divsChild>
        </w:div>
        <w:div w:id="1044449928">
          <w:marLeft w:val="0"/>
          <w:marRight w:val="0"/>
          <w:marTop w:val="0"/>
          <w:marBottom w:val="0"/>
          <w:divBdr>
            <w:top w:val="none" w:sz="0" w:space="0" w:color="auto"/>
            <w:left w:val="none" w:sz="0" w:space="0" w:color="auto"/>
            <w:bottom w:val="none" w:sz="0" w:space="0" w:color="auto"/>
            <w:right w:val="none" w:sz="0" w:space="0" w:color="auto"/>
          </w:divBdr>
          <w:divsChild>
            <w:div w:id="252132811">
              <w:marLeft w:val="0"/>
              <w:marRight w:val="0"/>
              <w:marTop w:val="0"/>
              <w:marBottom w:val="0"/>
              <w:divBdr>
                <w:top w:val="none" w:sz="0" w:space="0" w:color="auto"/>
                <w:left w:val="none" w:sz="0" w:space="0" w:color="auto"/>
                <w:bottom w:val="none" w:sz="0" w:space="0" w:color="auto"/>
                <w:right w:val="none" w:sz="0" w:space="0" w:color="auto"/>
              </w:divBdr>
            </w:div>
          </w:divsChild>
        </w:div>
        <w:div w:id="1045982210">
          <w:marLeft w:val="0"/>
          <w:marRight w:val="0"/>
          <w:marTop w:val="0"/>
          <w:marBottom w:val="0"/>
          <w:divBdr>
            <w:top w:val="none" w:sz="0" w:space="0" w:color="auto"/>
            <w:left w:val="none" w:sz="0" w:space="0" w:color="auto"/>
            <w:bottom w:val="none" w:sz="0" w:space="0" w:color="auto"/>
            <w:right w:val="none" w:sz="0" w:space="0" w:color="auto"/>
          </w:divBdr>
          <w:divsChild>
            <w:div w:id="339240111">
              <w:marLeft w:val="0"/>
              <w:marRight w:val="0"/>
              <w:marTop w:val="0"/>
              <w:marBottom w:val="0"/>
              <w:divBdr>
                <w:top w:val="none" w:sz="0" w:space="0" w:color="auto"/>
                <w:left w:val="none" w:sz="0" w:space="0" w:color="auto"/>
                <w:bottom w:val="none" w:sz="0" w:space="0" w:color="auto"/>
                <w:right w:val="none" w:sz="0" w:space="0" w:color="auto"/>
              </w:divBdr>
            </w:div>
          </w:divsChild>
        </w:div>
        <w:div w:id="1060710218">
          <w:marLeft w:val="0"/>
          <w:marRight w:val="0"/>
          <w:marTop w:val="0"/>
          <w:marBottom w:val="0"/>
          <w:divBdr>
            <w:top w:val="none" w:sz="0" w:space="0" w:color="auto"/>
            <w:left w:val="none" w:sz="0" w:space="0" w:color="auto"/>
            <w:bottom w:val="none" w:sz="0" w:space="0" w:color="auto"/>
            <w:right w:val="none" w:sz="0" w:space="0" w:color="auto"/>
          </w:divBdr>
          <w:divsChild>
            <w:div w:id="1121997137">
              <w:marLeft w:val="0"/>
              <w:marRight w:val="0"/>
              <w:marTop w:val="0"/>
              <w:marBottom w:val="0"/>
              <w:divBdr>
                <w:top w:val="none" w:sz="0" w:space="0" w:color="auto"/>
                <w:left w:val="none" w:sz="0" w:space="0" w:color="auto"/>
                <w:bottom w:val="none" w:sz="0" w:space="0" w:color="auto"/>
                <w:right w:val="none" w:sz="0" w:space="0" w:color="auto"/>
              </w:divBdr>
            </w:div>
          </w:divsChild>
        </w:div>
        <w:div w:id="1062101766">
          <w:marLeft w:val="0"/>
          <w:marRight w:val="0"/>
          <w:marTop w:val="0"/>
          <w:marBottom w:val="0"/>
          <w:divBdr>
            <w:top w:val="none" w:sz="0" w:space="0" w:color="auto"/>
            <w:left w:val="none" w:sz="0" w:space="0" w:color="auto"/>
            <w:bottom w:val="none" w:sz="0" w:space="0" w:color="auto"/>
            <w:right w:val="none" w:sz="0" w:space="0" w:color="auto"/>
          </w:divBdr>
          <w:divsChild>
            <w:div w:id="1040132824">
              <w:marLeft w:val="0"/>
              <w:marRight w:val="0"/>
              <w:marTop w:val="0"/>
              <w:marBottom w:val="0"/>
              <w:divBdr>
                <w:top w:val="none" w:sz="0" w:space="0" w:color="auto"/>
                <w:left w:val="none" w:sz="0" w:space="0" w:color="auto"/>
                <w:bottom w:val="none" w:sz="0" w:space="0" w:color="auto"/>
                <w:right w:val="none" w:sz="0" w:space="0" w:color="auto"/>
              </w:divBdr>
            </w:div>
          </w:divsChild>
        </w:div>
        <w:div w:id="1070272498">
          <w:marLeft w:val="0"/>
          <w:marRight w:val="0"/>
          <w:marTop w:val="0"/>
          <w:marBottom w:val="0"/>
          <w:divBdr>
            <w:top w:val="none" w:sz="0" w:space="0" w:color="auto"/>
            <w:left w:val="none" w:sz="0" w:space="0" w:color="auto"/>
            <w:bottom w:val="none" w:sz="0" w:space="0" w:color="auto"/>
            <w:right w:val="none" w:sz="0" w:space="0" w:color="auto"/>
          </w:divBdr>
          <w:divsChild>
            <w:div w:id="353774356">
              <w:marLeft w:val="0"/>
              <w:marRight w:val="0"/>
              <w:marTop w:val="0"/>
              <w:marBottom w:val="0"/>
              <w:divBdr>
                <w:top w:val="none" w:sz="0" w:space="0" w:color="auto"/>
                <w:left w:val="none" w:sz="0" w:space="0" w:color="auto"/>
                <w:bottom w:val="none" w:sz="0" w:space="0" w:color="auto"/>
                <w:right w:val="none" w:sz="0" w:space="0" w:color="auto"/>
              </w:divBdr>
            </w:div>
          </w:divsChild>
        </w:div>
        <w:div w:id="1073895679">
          <w:marLeft w:val="0"/>
          <w:marRight w:val="0"/>
          <w:marTop w:val="0"/>
          <w:marBottom w:val="0"/>
          <w:divBdr>
            <w:top w:val="none" w:sz="0" w:space="0" w:color="auto"/>
            <w:left w:val="none" w:sz="0" w:space="0" w:color="auto"/>
            <w:bottom w:val="none" w:sz="0" w:space="0" w:color="auto"/>
            <w:right w:val="none" w:sz="0" w:space="0" w:color="auto"/>
          </w:divBdr>
          <w:divsChild>
            <w:div w:id="2074616302">
              <w:marLeft w:val="0"/>
              <w:marRight w:val="0"/>
              <w:marTop w:val="0"/>
              <w:marBottom w:val="0"/>
              <w:divBdr>
                <w:top w:val="none" w:sz="0" w:space="0" w:color="auto"/>
                <w:left w:val="none" w:sz="0" w:space="0" w:color="auto"/>
                <w:bottom w:val="none" w:sz="0" w:space="0" w:color="auto"/>
                <w:right w:val="none" w:sz="0" w:space="0" w:color="auto"/>
              </w:divBdr>
            </w:div>
          </w:divsChild>
        </w:div>
        <w:div w:id="1074011333">
          <w:marLeft w:val="0"/>
          <w:marRight w:val="0"/>
          <w:marTop w:val="0"/>
          <w:marBottom w:val="0"/>
          <w:divBdr>
            <w:top w:val="none" w:sz="0" w:space="0" w:color="auto"/>
            <w:left w:val="none" w:sz="0" w:space="0" w:color="auto"/>
            <w:bottom w:val="none" w:sz="0" w:space="0" w:color="auto"/>
            <w:right w:val="none" w:sz="0" w:space="0" w:color="auto"/>
          </w:divBdr>
          <w:divsChild>
            <w:div w:id="225144708">
              <w:marLeft w:val="0"/>
              <w:marRight w:val="0"/>
              <w:marTop w:val="0"/>
              <w:marBottom w:val="0"/>
              <w:divBdr>
                <w:top w:val="none" w:sz="0" w:space="0" w:color="auto"/>
                <w:left w:val="none" w:sz="0" w:space="0" w:color="auto"/>
                <w:bottom w:val="none" w:sz="0" w:space="0" w:color="auto"/>
                <w:right w:val="none" w:sz="0" w:space="0" w:color="auto"/>
              </w:divBdr>
            </w:div>
          </w:divsChild>
        </w:div>
        <w:div w:id="1091783089">
          <w:marLeft w:val="0"/>
          <w:marRight w:val="0"/>
          <w:marTop w:val="0"/>
          <w:marBottom w:val="0"/>
          <w:divBdr>
            <w:top w:val="none" w:sz="0" w:space="0" w:color="auto"/>
            <w:left w:val="none" w:sz="0" w:space="0" w:color="auto"/>
            <w:bottom w:val="none" w:sz="0" w:space="0" w:color="auto"/>
            <w:right w:val="none" w:sz="0" w:space="0" w:color="auto"/>
          </w:divBdr>
          <w:divsChild>
            <w:div w:id="298611034">
              <w:marLeft w:val="0"/>
              <w:marRight w:val="0"/>
              <w:marTop w:val="0"/>
              <w:marBottom w:val="0"/>
              <w:divBdr>
                <w:top w:val="none" w:sz="0" w:space="0" w:color="auto"/>
                <w:left w:val="none" w:sz="0" w:space="0" w:color="auto"/>
                <w:bottom w:val="none" w:sz="0" w:space="0" w:color="auto"/>
                <w:right w:val="none" w:sz="0" w:space="0" w:color="auto"/>
              </w:divBdr>
            </w:div>
          </w:divsChild>
        </w:div>
        <w:div w:id="1094787114">
          <w:marLeft w:val="0"/>
          <w:marRight w:val="0"/>
          <w:marTop w:val="0"/>
          <w:marBottom w:val="0"/>
          <w:divBdr>
            <w:top w:val="none" w:sz="0" w:space="0" w:color="auto"/>
            <w:left w:val="none" w:sz="0" w:space="0" w:color="auto"/>
            <w:bottom w:val="none" w:sz="0" w:space="0" w:color="auto"/>
            <w:right w:val="none" w:sz="0" w:space="0" w:color="auto"/>
          </w:divBdr>
          <w:divsChild>
            <w:div w:id="504826712">
              <w:marLeft w:val="0"/>
              <w:marRight w:val="0"/>
              <w:marTop w:val="0"/>
              <w:marBottom w:val="0"/>
              <w:divBdr>
                <w:top w:val="none" w:sz="0" w:space="0" w:color="auto"/>
                <w:left w:val="none" w:sz="0" w:space="0" w:color="auto"/>
                <w:bottom w:val="none" w:sz="0" w:space="0" w:color="auto"/>
                <w:right w:val="none" w:sz="0" w:space="0" w:color="auto"/>
              </w:divBdr>
            </w:div>
          </w:divsChild>
        </w:div>
        <w:div w:id="1103108433">
          <w:marLeft w:val="0"/>
          <w:marRight w:val="0"/>
          <w:marTop w:val="0"/>
          <w:marBottom w:val="0"/>
          <w:divBdr>
            <w:top w:val="none" w:sz="0" w:space="0" w:color="auto"/>
            <w:left w:val="none" w:sz="0" w:space="0" w:color="auto"/>
            <w:bottom w:val="none" w:sz="0" w:space="0" w:color="auto"/>
            <w:right w:val="none" w:sz="0" w:space="0" w:color="auto"/>
          </w:divBdr>
          <w:divsChild>
            <w:div w:id="1501240083">
              <w:marLeft w:val="0"/>
              <w:marRight w:val="0"/>
              <w:marTop w:val="0"/>
              <w:marBottom w:val="0"/>
              <w:divBdr>
                <w:top w:val="none" w:sz="0" w:space="0" w:color="auto"/>
                <w:left w:val="none" w:sz="0" w:space="0" w:color="auto"/>
                <w:bottom w:val="none" w:sz="0" w:space="0" w:color="auto"/>
                <w:right w:val="none" w:sz="0" w:space="0" w:color="auto"/>
              </w:divBdr>
            </w:div>
          </w:divsChild>
        </w:div>
        <w:div w:id="1106776831">
          <w:marLeft w:val="0"/>
          <w:marRight w:val="0"/>
          <w:marTop w:val="0"/>
          <w:marBottom w:val="0"/>
          <w:divBdr>
            <w:top w:val="none" w:sz="0" w:space="0" w:color="auto"/>
            <w:left w:val="none" w:sz="0" w:space="0" w:color="auto"/>
            <w:bottom w:val="none" w:sz="0" w:space="0" w:color="auto"/>
            <w:right w:val="none" w:sz="0" w:space="0" w:color="auto"/>
          </w:divBdr>
          <w:divsChild>
            <w:div w:id="1293901312">
              <w:marLeft w:val="0"/>
              <w:marRight w:val="0"/>
              <w:marTop w:val="0"/>
              <w:marBottom w:val="0"/>
              <w:divBdr>
                <w:top w:val="none" w:sz="0" w:space="0" w:color="auto"/>
                <w:left w:val="none" w:sz="0" w:space="0" w:color="auto"/>
                <w:bottom w:val="none" w:sz="0" w:space="0" w:color="auto"/>
                <w:right w:val="none" w:sz="0" w:space="0" w:color="auto"/>
              </w:divBdr>
            </w:div>
          </w:divsChild>
        </w:div>
        <w:div w:id="1108891421">
          <w:marLeft w:val="0"/>
          <w:marRight w:val="0"/>
          <w:marTop w:val="0"/>
          <w:marBottom w:val="0"/>
          <w:divBdr>
            <w:top w:val="none" w:sz="0" w:space="0" w:color="auto"/>
            <w:left w:val="none" w:sz="0" w:space="0" w:color="auto"/>
            <w:bottom w:val="none" w:sz="0" w:space="0" w:color="auto"/>
            <w:right w:val="none" w:sz="0" w:space="0" w:color="auto"/>
          </w:divBdr>
          <w:divsChild>
            <w:div w:id="1977446102">
              <w:marLeft w:val="0"/>
              <w:marRight w:val="0"/>
              <w:marTop w:val="0"/>
              <w:marBottom w:val="0"/>
              <w:divBdr>
                <w:top w:val="none" w:sz="0" w:space="0" w:color="auto"/>
                <w:left w:val="none" w:sz="0" w:space="0" w:color="auto"/>
                <w:bottom w:val="none" w:sz="0" w:space="0" w:color="auto"/>
                <w:right w:val="none" w:sz="0" w:space="0" w:color="auto"/>
              </w:divBdr>
            </w:div>
          </w:divsChild>
        </w:div>
        <w:div w:id="1119958660">
          <w:marLeft w:val="0"/>
          <w:marRight w:val="0"/>
          <w:marTop w:val="0"/>
          <w:marBottom w:val="0"/>
          <w:divBdr>
            <w:top w:val="none" w:sz="0" w:space="0" w:color="auto"/>
            <w:left w:val="none" w:sz="0" w:space="0" w:color="auto"/>
            <w:bottom w:val="none" w:sz="0" w:space="0" w:color="auto"/>
            <w:right w:val="none" w:sz="0" w:space="0" w:color="auto"/>
          </w:divBdr>
          <w:divsChild>
            <w:div w:id="2004894836">
              <w:marLeft w:val="0"/>
              <w:marRight w:val="0"/>
              <w:marTop w:val="0"/>
              <w:marBottom w:val="0"/>
              <w:divBdr>
                <w:top w:val="none" w:sz="0" w:space="0" w:color="auto"/>
                <w:left w:val="none" w:sz="0" w:space="0" w:color="auto"/>
                <w:bottom w:val="none" w:sz="0" w:space="0" w:color="auto"/>
                <w:right w:val="none" w:sz="0" w:space="0" w:color="auto"/>
              </w:divBdr>
            </w:div>
          </w:divsChild>
        </w:div>
        <w:div w:id="1141770697">
          <w:marLeft w:val="0"/>
          <w:marRight w:val="0"/>
          <w:marTop w:val="0"/>
          <w:marBottom w:val="0"/>
          <w:divBdr>
            <w:top w:val="none" w:sz="0" w:space="0" w:color="auto"/>
            <w:left w:val="none" w:sz="0" w:space="0" w:color="auto"/>
            <w:bottom w:val="none" w:sz="0" w:space="0" w:color="auto"/>
            <w:right w:val="none" w:sz="0" w:space="0" w:color="auto"/>
          </w:divBdr>
          <w:divsChild>
            <w:div w:id="1146557300">
              <w:marLeft w:val="0"/>
              <w:marRight w:val="0"/>
              <w:marTop w:val="0"/>
              <w:marBottom w:val="0"/>
              <w:divBdr>
                <w:top w:val="none" w:sz="0" w:space="0" w:color="auto"/>
                <w:left w:val="none" w:sz="0" w:space="0" w:color="auto"/>
                <w:bottom w:val="none" w:sz="0" w:space="0" w:color="auto"/>
                <w:right w:val="none" w:sz="0" w:space="0" w:color="auto"/>
              </w:divBdr>
            </w:div>
          </w:divsChild>
        </w:div>
        <w:div w:id="1149440337">
          <w:marLeft w:val="0"/>
          <w:marRight w:val="0"/>
          <w:marTop w:val="0"/>
          <w:marBottom w:val="0"/>
          <w:divBdr>
            <w:top w:val="none" w:sz="0" w:space="0" w:color="auto"/>
            <w:left w:val="none" w:sz="0" w:space="0" w:color="auto"/>
            <w:bottom w:val="none" w:sz="0" w:space="0" w:color="auto"/>
            <w:right w:val="none" w:sz="0" w:space="0" w:color="auto"/>
          </w:divBdr>
          <w:divsChild>
            <w:div w:id="2037194816">
              <w:marLeft w:val="0"/>
              <w:marRight w:val="0"/>
              <w:marTop w:val="0"/>
              <w:marBottom w:val="0"/>
              <w:divBdr>
                <w:top w:val="none" w:sz="0" w:space="0" w:color="auto"/>
                <w:left w:val="none" w:sz="0" w:space="0" w:color="auto"/>
                <w:bottom w:val="none" w:sz="0" w:space="0" w:color="auto"/>
                <w:right w:val="none" w:sz="0" w:space="0" w:color="auto"/>
              </w:divBdr>
            </w:div>
          </w:divsChild>
        </w:div>
        <w:div w:id="1181553778">
          <w:marLeft w:val="0"/>
          <w:marRight w:val="0"/>
          <w:marTop w:val="0"/>
          <w:marBottom w:val="0"/>
          <w:divBdr>
            <w:top w:val="none" w:sz="0" w:space="0" w:color="auto"/>
            <w:left w:val="none" w:sz="0" w:space="0" w:color="auto"/>
            <w:bottom w:val="none" w:sz="0" w:space="0" w:color="auto"/>
            <w:right w:val="none" w:sz="0" w:space="0" w:color="auto"/>
          </w:divBdr>
          <w:divsChild>
            <w:div w:id="500321040">
              <w:marLeft w:val="0"/>
              <w:marRight w:val="0"/>
              <w:marTop w:val="0"/>
              <w:marBottom w:val="0"/>
              <w:divBdr>
                <w:top w:val="none" w:sz="0" w:space="0" w:color="auto"/>
                <w:left w:val="none" w:sz="0" w:space="0" w:color="auto"/>
                <w:bottom w:val="none" w:sz="0" w:space="0" w:color="auto"/>
                <w:right w:val="none" w:sz="0" w:space="0" w:color="auto"/>
              </w:divBdr>
            </w:div>
          </w:divsChild>
        </w:div>
        <w:div w:id="1189294839">
          <w:marLeft w:val="0"/>
          <w:marRight w:val="0"/>
          <w:marTop w:val="0"/>
          <w:marBottom w:val="0"/>
          <w:divBdr>
            <w:top w:val="none" w:sz="0" w:space="0" w:color="auto"/>
            <w:left w:val="none" w:sz="0" w:space="0" w:color="auto"/>
            <w:bottom w:val="none" w:sz="0" w:space="0" w:color="auto"/>
            <w:right w:val="none" w:sz="0" w:space="0" w:color="auto"/>
          </w:divBdr>
          <w:divsChild>
            <w:div w:id="357775309">
              <w:marLeft w:val="0"/>
              <w:marRight w:val="0"/>
              <w:marTop w:val="0"/>
              <w:marBottom w:val="0"/>
              <w:divBdr>
                <w:top w:val="none" w:sz="0" w:space="0" w:color="auto"/>
                <w:left w:val="none" w:sz="0" w:space="0" w:color="auto"/>
                <w:bottom w:val="none" w:sz="0" w:space="0" w:color="auto"/>
                <w:right w:val="none" w:sz="0" w:space="0" w:color="auto"/>
              </w:divBdr>
            </w:div>
          </w:divsChild>
        </w:div>
        <w:div w:id="1203975405">
          <w:marLeft w:val="0"/>
          <w:marRight w:val="0"/>
          <w:marTop w:val="0"/>
          <w:marBottom w:val="0"/>
          <w:divBdr>
            <w:top w:val="none" w:sz="0" w:space="0" w:color="auto"/>
            <w:left w:val="none" w:sz="0" w:space="0" w:color="auto"/>
            <w:bottom w:val="none" w:sz="0" w:space="0" w:color="auto"/>
            <w:right w:val="none" w:sz="0" w:space="0" w:color="auto"/>
          </w:divBdr>
          <w:divsChild>
            <w:div w:id="413287921">
              <w:marLeft w:val="0"/>
              <w:marRight w:val="0"/>
              <w:marTop w:val="0"/>
              <w:marBottom w:val="0"/>
              <w:divBdr>
                <w:top w:val="none" w:sz="0" w:space="0" w:color="auto"/>
                <w:left w:val="none" w:sz="0" w:space="0" w:color="auto"/>
                <w:bottom w:val="none" w:sz="0" w:space="0" w:color="auto"/>
                <w:right w:val="none" w:sz="0" w:space="0" w:color="auto"/>
              </w:divBdr>
            </w:div>
          </w:divsChild>
        </w:div>
        <w:div w:id="1215043689">
          <w:marLeft w:val="0"/>
          <w:marRight w:val="0"/>
          <w:marTop w:val="0"/>
          <w:marBottom w:val="0"/>
          <w:divBdr>
            <w:top w:val="none" w:sz="0" w:space="0" w:color="auto"/>
            <w:left w:val="none" w:sz="0" w:space="0" w:color="auto"/>
            <w:bottom w:val="none" w:sz="0" w:space="0" w:color="auto"/>
            <w:right w:val="none" w:sz="0" w:space="0" w:color="auto"/>
          </w:divBdr>
          <w:divsChild>
            <w:div w:id="1715420847">
              <w:marLeft w:val="0"/>
              <w:marRight w:val="0"/>
              <w:marTop w:val="0"/>
              <w:marBottom w:val="0"/>
              <w:divBdr>
                <w:top w:val="none" w:sz="0" w:space="0" w:color="auto"/>
                <w:left w:val="none" w:sz="0" w:space="0" w:color="auto"/>
                <w:bottom w:val="none" w:sz="0" w:space="0" w:color="auto"/>
                <w:right w:val="none" w:sz="0" w:space="0" w:color="auto"/>
              </w:divBdr>
            </w:div>
          </w:divsChild>
        </w:div>
        <w:div w:id="1222330937">
          <w:marLeft w:val="0"/>
          <w:marRight w:val="0"/>
          <w:marTop w:val="0"/>
          <w:marBottom w:val="0"/>
          <w:divBdr>
            <w:top w:val="none" w:sz="0" w:space="0" w:color="auto"/>
            <w:left w:val="none" w:sz="0" w:space="0" w:color="auto"/>
            <w:bottom w:val="none" w:sz="0" w:space="0" w:color="auto"/>
            <w:right w:val="none" w:sz="0" w:space="0" w:color="auto"/>
          </w:divBdr>
          <w:divsChild>
            <w:div w:id="972638829">
              <w:marLeft w:val="0"/>
              <w:marRight w:val="0"/>
              <w:marTop w:val="0"/>
              <w:marBottom w:val="0"/>
              <w:divBdr>
                <w:top w:val="none" w:sz="0" w:space="0" w:color="auto"/>
                <w:left w:val="none" w:sz="0" w:space="0" w:color="auto"/>
                <w:bottom w:val="none" w:sz="0" w:space="0" w:color="auto"/>
                <w:right w:val="none" w:sz="0" w:space="0" w:color="auto"/>
              </w:divBdr>
            </w:div>
          </w:divsChild>
        </w:div>
        <w:div w:id="1223324555">
          <w:marLeft w:val="0"/>
          <w:marRight w:val="0"/>
          <w:marTop w:val="0"/>
          <w:marBottom w:val="0"/>
          <w:divBdr>
            <w:top w:val="none" w:sz="0" w:space="0" w:color="auto"/>
            <w:left w:val="none" w:sz="0" w:space="0" w:color="auto"/>
            <w:bottom w:val="none" w:sz="0" w:space="0" w:color="auto"/>
            <w:right w:val="none" w:sz="0" w:space="0" w:color="auto"/>
          </w:divBdr>
          <w:divsChild>
            <w:div w:id="35547819">
              <w:marLeft w:val="0"/>
              <w:marRight w:val="0"/>
              <w:marTop w:val="0"/>
              <w:marBottom w:val="0"/>
              <w:divBdr>
                <w:top w:val="none" w:sz="0" w:space="0" w:color="auto"/>
                <w:left w:val="none" w:sz="0" w:space="0" w:color="auto"/>
                <w:bottom w:val="none" w:sz="0" w:space="0" w:color="auto"/>
                <w:right w:val="none" w:sz="0" w:space="0" w:color="auto"/>
              </w:divBdr>
            </w:div>
          </w:divsChild>
        </w:div>
        <w:div w:id="1229535851">
          <w:marLeft w:val="0"/>
          <w:marRight w:val="0"/>
          <w:marTop w:val="0"/>
          <w:marBottom w:val="0"/>
          <w:divBdr>
            <w:top w:val="none" w:sz="0" w:space="0" w:color="auto"/>
            <w:left w:val="none" w:sz="0" w:space="0" w:color="auto"/>
            <w:bottom w:val="none" w:sz="0" w:space="0" w:color="auto"/>
            <w:right w:val="none" w:sz="0" w:space="0" w:color="auto"/>
          </w:divBdr>
          <w:divsChild>
            <w:div w:id="1241866866">
              <w:marLeft w:val="0"/>
              <w:marRight w:val="0"/>
              <w:marTop w:val="0"/>
              <w:marBottom w:val="0"/>
              <w:divBdr>
                <w:top w:val="none" w:sz="0" w:space="0" w:color="auto"/>
                <w:left w:val="none" w:sz="0" w:space="0" w:color="auto"/>
                <w:bottom w:val="none" w:sz="0" w:space="0" w:color="auto"/>
                <w:right w:val="none" w:sz="0" w:space="0" w:color="auto"/>
              </w:divBdr>
            </w:div>
          </w:divsChild>
        </w:div>
        <w:div w:id="1234856644">
          <w:marLeft w:val="0"/>
          <w:marRight w:val="0"/>
          <w:marTop w:val="0"/>
          <w:marBottom w:val="0"/>
          <w:divBdr>
            <w:top w:val="none" w:sz="0" w:space="0" w:color="auto"/>
            <w:left w:val="none" w:sz="0" w:space="0" w:color="auto"/>
            <w:bottom w:val="none" w:sz="0" w:space="0" w:color="auto"/>
            <w:right w:val="none" w:sz="0" w:space="0" w:color="auto"/>
          </w:divBdr>
          <w:divsChild>
            <w:div w:id="522670645">
              <w:marLeft w:val="0"/>
              <w:marRight w:val="0"/>
              <w:marTop w:val="0"/>
              <w:marBottom w:val="0"/>
              <w:divBdr>
                <w:top w:val="none" w:sz="0" w:space="0" w:color="auto"/>
                <w:left w:val="none" w:sz="0" w:space="0" w:color="auto"/>
                <w:bottom w:val="none" w:sz="0" w:space="0" w:color="auto"/>
                <w:right w:val="none" w:sz="0" w:space="0" w:color="auto"/>
              </w:divBdr>
            </w:div>
          </w:divsChild>
        </w:div>
        <w:div w:id="1236624382">
          <w:marLeft w:val="0"/>
          <w:marRight w:val="0"/>
          <w:marTop w:val="0"/>
          <w:marBottom w:val="0"/>
          <w:divBdr>
            <w:top w:val="none" w:sz="0" w:space="0" w:color="auto"/>
            <w:left w:val="none" w:sz="0" w:space="0" w:color="auto"/>
            <w:bottom w:val="none" w:sz="0" w:space="0" w:color="auto"/>
            <w:right w:val="none" w:sz="0" w:space="0" w:color="auto"/>
          </w:divBdr>
          <w:divsChild>
            <w:div w:id="1451509480">
              <w:marLeft w:val="0"/>
              <w:marRight w:val="0"/>
              <w:marTop w:val="0"/>
              <w:marBottom w:val="0"/>
              <w:divBdr>
                <w:top w:val="none" w:sz="0" w:space="0" w:color="auto"/>
                <w:left w:val="none" w:sz="0" w:space="0" w:color="auto"/>
                <w:bottom w:val="none" w:sz="0" w:space="0" w:color="auto"/>
                <w:right w:val="none" w:sz="0" w:space="0" w:color="auto"/>
              </w:divBdr>
            </w:div>
          </w:divsChild>
        </w:div>
        <w:div w:id="1248882000">
          <w:marLeft w:val="0"/>
          <w:marRight w:val="0"/>
          <w:marTop w:val="0"/>
          <w:marBottom w:val="0"/>
          <w:divBdr>
            <w:top w:val="none" w:sz="0" w:space="0" w:color="auto"/>
            <w:left w:val="none" w:sz="0" w:space="0" w:color="auto"/>
            <w:bottom w:val="none" w:sz="0" w:space="0" w:color="auto"/>
            <w:right w:val="none" w:sz="0" w:space="0" w:color="auto"/>
          </w:divBdr>
          <w:divsChild>
            <w:div w:id="1991136767">
              <w:marLeft w:val="0"/>
              <w:marRight w:val="0"/>
              <w:marTop w:val="0"/>
              <w:marBottom w:val="0"/>
              <w:divBdr>
                <w:top w:val="none" w:sz="0" w:space="0" w:color="auto"/>
                <w:left w:val="none" w:sz="0" w:space="0" w:color="auto"/>
                <w:bottom w:val="none" w:sz="0" w:space="0" w:color="auto"/>
                <w:right w:val="none" w:sz="0" w:space="0" w:color="auto"/>
              </w:divBdr>
            </w:div>
          </w:divsChild>
        </w:div>
        <w:div w:id="1264803987">
          <w:marLeft w:val="0"/>
          <w:marRight w:val="0"/>
          <w:marTop w:val="0"/>
          <w:marBottom w:val="0"/>
          <w:divBdr>
            <w:top w:val="none" w:sz="0" w:space="0" w:color="auto"/>
            <w:left w:val="none" w:sz="0" w:space="0" w:color="auto"/>
            <w:bottom w:val="none" w:sz="0" w:space="0" w:color="auto"/>
            <w:right w:val="none" w:sz="0" w:space="0" w:color="auto"/>
          </w:divBdr>
          <w:divsChild>
            <w:div w:id="299654526">
              <w:marLeft w:val="0"/>
              <w:marRight w:val="0"/>
              <w:marTop w:val="0"/>
              <w:marBottom w:val="0"/>
              <w:divBdr>
                <w:top w:val="none" w:sz="0" w:space="0" w:color="auto"/>
                <w:left w:val="none" w:sz="0" w:space="0" w:color="auto"/>
                <w:bottom w:val="none" w:sz="0" w:space="0" w:color="auto"/>
                <w:right w:val="none" w:sz="0" w:space="0" w:color="auto"/>
              </w:divBdr>
            </w:div>
          </w:divsChild>
        </w:div>
        <w:div w:id="1269197205">
          <w:marLeft w:val="0"/>
          <w:marRight w:val="0"/>
          <w:marTop w:val="0"/>
          <w:marBottom w:val="0"/>
          <w:divBdr>
            <w:top w:val="none" w:sz="0" w:space="0" w:color="auto"/>
            <w:left w:val="none" w:sz="0" w:space="0" w:color="auto"/>
            <w:bottom w:val="none" w:sz="0" w:space="0" w:color="auto"/>
            <w:right w:val="none" w:sz="0" w:space="0" w:color="auto"/>
          </w:divBdr>
          <w:divsChild>
            <w:div w:id="2134664321">
              <w:marLeft w:val="0"/>
              <w:marRight w:val="0"/>
              <w:marTop w:val="0"/>
              <w:marBottom w:val="0"/>
              <w:divBdr>
                <w:top w:val="none" w:sz="0" w:space="0" w:color="auto"/>
                <w:left w:val="none" w:sz="0" w:space="0" w:color="auto"/>
                <w:bottom w:val="none" w:sz="0" w:space="0" w:color="auto"/>
                <w:right w:val="none" w:sz="0" w:space="0" w:color="auto"/>
              </w:divBdr>
            </w:div>
          </w:divsChild>
        </w:div>
        <w:div w:id="1274169147">
          <w:marLeft w:val="0"/>
          <w:marRight w:val="0"/>
          <w:marTop w:val="0"/>
          <w:marBottom w:val="0"/>
          <w:divBdr>
            <w:top w:val="none" w:sz="0" w:space="0" w:color="auto"/>
            <w:left w:val="none" w:sz="0" w:space="0" w:color="auto"/>
            <w:bottom w:val="none" w:sz="0" w:space="0" w:color="auto"/>
            <w:right w:val="none" w:sz="0" w:space="0" w:color="auto"/>
          </w:divBdr>
          <w:divsChild>
            <w:div w:id="349724924">
              <w:marLeft w:val="0"/>
              <w:marRight w:val="0"/>
              <w:marTop w:val="0"/>
              <w:marBottom w:val="0"/>
              <w:divBdr>
                <w:top w:val="none" w:sz="0" w:space="0" w:color="auto"/>
                <w:left w:val="none" w:sz="0" w:space="0" w:color="auto"/>
                <w:bottom w:val="none" w:sz="0" w:space="0" w:color="auto"/>
                <w:right w:val="none" w:sz="0" w:space="0" w:color="auto"/>
              </w:divBdr>
            </w:div>
          </w:divsChild>
        </w:div>
        <w:div w:id="1276212040">
          <w:marLeft w:val="0"/>
          <w:marRight w:val="0"/>
          <w:marTop w:val="0"/>
          <w:marBottom w:val="0"/>
          <w:divBdr>
            <w:top w:val="none" w:sz="0" w:space="0" w:color="auto"/>
            <w:left w:val="none" w:sz="0" w:space="0" w:color="auto"/>
            <w:bottom w:val="none" w:sz="0" w:space="0" w:color="auto"/>
            <w:right w:val="none" w:sz="0" w:space="0" w:color="auto"/>
          </w:divBdr>
          <w:divsChild>
            <w:div w:id="1215048098">
              <w:marLeft w:val="0"/>
              <w:marRight w:val="0"/>
              <w:marTop w:val="0"/>
              <w:marBottom w:val="0"/>
              <w:divBdr>
                <w:top w:val="none" w:sz="0" w:space="0" w:color="auto"/>
                <w:left w:val="none" w:sz="0" w:space="0" w:color="auto"/>
                <w:bottom w:val="none" w:sz="0" w:space="0" w:color="auto"/>
                <w:right w:val="none" w:sz="0" w:space="0" w:color="auto"/>
              </w:divBdr>
            </w:div>
          </w:divsChild>
        </w:div>
        <w:div w:id="1281372764">
          <w:marLeft w:val="0"/>
          <w:marRight w:val="0"/>
          <w:marTop w:val="0"/>
          <w:marBottom w:val="0"/>
          <w:divBdr>
            <w:top w:val="none" w:sz="0" w:space="0" w:color="auto"/>
            <w:left w:val="none" w:sz="0" w:space="0" w:color="auto"/>
            <w:bottom w:val="none" w:sz="0" w:space="0" w:color="auto"/>
            <w:right w:val="none" w:sz="0" w:space="0" w:color="auto"/>
          </w:divBdr>
          <w:divsChild>
            <w:div w:id="202329235">
              <w:marLeft w:val="0"/>
              <w:marRight w:val="0"/>
              <w:marTop w:val="0"/>
              <w:marBottom w:val="0"/>
              <w:divBdr>
                <w:top w:val="none" w:sz="0" w:space="0" w:color="auto"/>
                <w:left w:val="none" w:sz="0" w:space="0" w:color="auto"/>
                <w:bottom w:val="none" w:sz="0" w:space="0" w:color="auto"/>
                <w:right w:val="none" w:sz="0" w:space="0" w:color="auto"/>
              </w:divBdr>
            </w:div>
          </w:divsChild>
        </w:div>
        <w:div w:id="1302929655">
          <w:marLeft w:val="0"/>
          <w:marRight w:val="0"/>
          <w:marTop w:val="0"/>
          <w:marBottom w:val="0"/>
          <w:divBdr>
            <w:top w:val="none" w:sz="0" w:space="0" w:color="auto"/>
            <w:left w:val="none" w:sz="0" w:space="0" w:color="auto"/>
            <w:bottom w:val="none" w:sz="0" w:space="0" w:color="auto"/>
            <w:right w:val="none" w:sz="0" w:space="0" w:color="auto"/>
          </w:divBdr>
          <w:divsChild>
            <w:div w:id="1080325721">
              <w:marLeft w:val="0"/>
              <w:marRight w:val="0"/>
              <w:marTop w:val="0"/>
              <w:marBottom w:val="0"/>
              <w:divBdr>
                <w:top w:val="none" w:sz="0" w:space="0" w:color="auto"/>
                <w:left w:val="none" w:sz="0" w:space="0" w:color="auto"/>
                <w:bottom w:val="none" w:sz="0" w:space="0" w:color="auto"/>
                <w:right w:val="none" w:sz="0" w:space="0" w:color="auto"/>
              </w:divBdr>
            </w:div>
          </w:divsChild>
        </w:div>
        <w:div w:id="1376151559">
          <w:marLeft w:val="0"/>
          <w:marRight w:val="0"/>
          <w:marTop w:val="0"/>
          <w:marBottom w:val="0"/>
          <w:divBdr>
            <w:top w:val="none" w:sz="0" w:space="0" w:color="auto"/>
            <w:left w:val="none" w:sz="0" w:space="0" w:color="auto"/>
            <w:bottom w:val="none" w:sz="0" w:space="0" w:color="auto"/>
            <w:right w:val="none" w:sz="0" w:space="0" w:color="auto"/>
          </w:divBdr>
          <w:divsChild>
            <w:div w:id="1641111671">
              <w:marLeft w:val="0"/>
              <w:marRight w:val="0"/>
              <w:marTop w:val="0"/>
              <w:marBottom w:val="0"/>
              <w:divBdr>
                <w:top w:val="none" w:sz="0" w:space="0" w:color="auto"/>
                <w:left w:val="none" w:sz="0" w:space="0" w:color="auto"/>
                <w:bottom w:val="none" w:sz="0" w:space="0" w:color="auto"/>
                <w:right w:val="none" w:sz="0" w:space="0" w:color="auto"/>
              </w:divBdr>
            </w:div>
          </w:divsChild>
        </w:div>
        <w:div w:id="1381317624">
          <w:marLeft w:val="0"/>
          <w:marRight w:val="0"/>
          <w:marTop w:val="0"/>
          <w:marBottom w:val="0"/>
          <w:divBdr>
            <w:top w:val="none" w:sz="0" w:space="0" w:color="auto"/>
            <w:left w:val="none" w:sz="0" w:space="0" w:color="auto"/>
            <w:bottom w:val="none" w:sz="0" w:space="0" w:color="auto"/>
            <w:right w:val="none" w:sz="0" w:space="0" w:color="auto"/>
          </w:divBdr>
          <w:divsChild>
            <w:div w:id="2029141172">
              <w:marLeft w:val="0"/>
              <w:marRight w:val="0"/>
              <w:marTop w:val="0"/>
              <w:marBottom w:val="0"/>
              <w:divBdr>
                <w:top w:val="none" w:sz="0" w:space="0" w:color="auto"/>
                <w:left w:val="none" w:sz="0" w:space="0" w:color="auto"/>
                <w:bottom w:val="none" w:sz="0" w:space="0" w:color="auto"/>
                <w:right w:val="none" w:sz="0" w:space="0" w:color="auto"/>
              </w:divBdr>
            </w:div>
          </w:divsChild>
        </w:div>
        <w:div w:id="1387101580">
          <w:marLeft w:val="0"/>
          <w:marRight w:val="0"/>
          <w:marTop w:val="0"/>
          <w:marBottom w:val="0"/>
          <w:divBdr>
            <w:top w:val="none" w:sz="0" w:space="0" w:color="auto"/>
            <w:left w:val="none" w:sz="0" w:space="0" w:color="auto"/>
            <w:bottom w:val="none" w:sz="0" w:space="0" w:color="auto"/>
            <w:right w:val="none" w:sz="0" w:space="0" w:color="auto"/>
          </w:divBdr>
          <w:divsChild>
            <w:div w:id="991442243">
              <w:marLeft w:val="0"/>
              <w:marRight w:val="0"/>
              <w:marTop w:val="0"/>
              <w:marBottom w:val="0"/>
              <w:divBdr>
                <w:top w:val="none" w:sz="0" w:space="0" w:color="auto"/>
                <w:left w:val="none" w:sz="0" w:space="0" w:color="auto"/>
                <w:bottom w:val="none" w:sz="0" w:space="0" w:color="auto"/>
                <w:right w:val="none" w:sz="0" w:space="0" w:color="auto"/>
              </w:divBdr>
            </w:div>
          </w:divsChild>
        </w:div>
        <w:div w:id="1394356387">
          <w:marLeft w:val="0"/>
          <w:marRight w:val="0"/>
          <w:marTop w:val="0"/>
          <w:marBottom w:val="0"/>
          <w:divBdr>
            <w:top w:val="none" w:sz="0" w:space="0" w:color="auto"/>
            <w:left w:val="none" w:sz="0" w:space="0" w:color="auto"/>
            <w:bottom w:val="none" w:sz="0" w:space="0" w:color="auto"/>
            <w:right w:val="none" w:sz="0" w:space="0" w:color="auto"/>
          </w:divBdr>
          <w:divsChild>
            <w:div w:id="1826823836">
              <w:marLeft w:val="0"/>
              <w:marRight w:val="0"/>
              <w:marTop w:val="0"/>
              <w:marBottom w:val="0"/>
              <w:divBdr>
                <w:top w:val="none" w:sz="0" w:space="0" w:color="auto"/>
                <w:left w:val="none" w:sz="0" w:space="0" w:color="auto"/>
                <w:bottom w:val="none" w:sz="0" w:space="0" w:color="auto"/>
                <w:right w:val="none" w:sz="0" w:space="0" w:color="auto"/>
              </w:divBdr>
            </w:div>
          </w:divsChild>
        </w:div>
        <w:div w:id="1396202671">
          <w:marLeft w:val="0"/>
          <w:marRight w:val="0"/>
          <w:marTop w:val="0"/>
          <w:marBottom w:val="0"/>
          <w:divBdr>
            <w:top w:val="none" w:sz="0" w:space="0" w:color="auto"/>
            <w:left w:val="none" w:sz="0" w:space="0" w:color="auto"/>
            <w:bottom w:val="none" w:sz="0" w:space="0" w:color="auto"/>
            <w:right w:val="none" w:sz="0" w:space="0" w:color="auto"/>
          </w:divBdr>
          <w:divsChild>
            <w:div w:id="612204085">
              <w:marLeft w:val="0"/>
              <w:marRight w:val="0"/>
              <w:marTop w:val="0"/>
              <w:marBottom w:val="0"/>
              <w:divBdr>
                <w:top w:val="none" w:sz="0" w:space="0" w:color="auto"/>
                <w:left w:val="none" w:sz="0" w:space="0" w:color="auto"/>
                <w:bottom w:val="none" w:sz="0" w:space="0" w:color="auto"/>
                <w:right w:val="none" w:sz="0" w:space="0" w:color="auto"/>
              </w:divBdr>
            </w:div>
          </w:divsChild>
        </w:div>
        <w:div w:id="1413967593">
          <w:marLeft w:val="0"/>
          <w:marRight w:val="0"/>
          <w:marTop w:val="0"/>
          <w:marBottom w:val="0"/>
          <w:divBdr>
            <w:top w:val="none" w:sz="0" w:space="0" w:color="auto"/>
            <w:left w:val="none" w:sz="0" w:space="0" w:color="auto"/>
            <w:bottom w:val="none" w:sz="0" w:space="0" w:color="auto"/>
            <w:right w:val="none" w:sz="0" w:space="0" w:color="auto"/>
          </w:divBdr>
          <w:divsChild>
            <w:div w:id="1561865104">
              <w:marLeft w:val="0"/>
              <w:marRight w:val="0"/>
              <w:marTop w:val="0"/>
              <w:marBottom w:val="0"/>
              <w:divBdr>
                <w:top w:val="none" w:sz="0" w:space="0" w:color="auto"/>
                <w:left w:val="none" w:sz="0" w:space="0" w:color="auto"/>
                <w:bottom w:val="none" w:sz="0" w:space="0" w:color="auto"/>
                <w:right w:val="none" w:sz="0" w:space="0" w:color="auto"/>
              </w:divBdr>
            </w:div>
          </w:divsChild>
        </w:div>
        <w:div w:id="1424452026">
          <w:marLeft w:val="0"/>
          <w:marRight w:val="0"/>
          <w:marTop w:val="0"/>
          <w:marBottom w:val="0"/>
          <w:divBdr>
            <w:top w:val="none" w:sz="0" w:space="0" w:color="auto"/>
            <w:left w:val="none" w:sz="0" w:space="0" w:color="auto"/>
            <w:bottom w:val="none" w:sz="0" w:space="0" w:color="auto"/>
            <w:right w:val="none" w:sz="0" w:space="0" w:color="auto"/>
          </w:divBdr>
          <w:divsChild>
            <w:div w:id="1097093802">
              <w:marLeft w:val="0"/>
              <w:marRight w:val="0"/>
              <w:marTop w:val="0"/>
              <w:marBottom w:val="0"/>
              <w:divBdr>
                <w:top w:val="none" w:sz="0" w:space="0" w:color="auto"/>
                <w:left w:val="none" w:sz="0" w:space="0" w:color="auto"/>
                <w:bottom w:val="none" w:sz="0" w:space="0" w:color="auto"/>
                <w:right w:val="none" w:sz="0" w:space="0" w:color="auto"/>
              </w:divBdr>
            </w:div>
          </w:divsChild>
        </w:div>
        <w:div w:id="1425489789">
          <w:marLeft w:val="0"/>
          <w:marRight w:val="0"/>
          <w:marTop w:val="0"/>
          <w:marBottom w:val="0"/>
          <w:divBdr>
            <w:top w:val="none" w:sz="0" w:space="0" w:color="auto"/>
            <w:left w:val="none" w:sz="0" w:space="0" w:color="auto"/>
            <w:bottom w:val="none" w:sz="0" w:space="0" w:color="auto"/>
            <w:right w:val="none" w:sz="0" w:space="0" w:color="auto"/>
          </w:divBdr>
          <w:divsChild>
            <w:div w:id="918296783">
              <w:marLeft w:val="0"/>
              <w:marRight w:val="0"/>
              <w:marTop w:val="0"/>
              <w:marBottom w:val="0"/>
              <w:divBdr>
                <w:top w:val="none" w:sz="0" w:space="0" w:color="auto"/>
                <w:left w:val="none" w:sz="0" w:space="0" w:color="auto"/>
                <w:bottom w:val="none" w:sz="0" w:space="0" w:color="auto"/>
                <w:right w:val="none" w:sz="0" w:space="0" w:color="auto"/>
              </w:divBdr>
            </w:div>
          </w:divsChild>
        </w:div>
        <w:div w:id="1440762427">
          <w:marLeft w:val="0"/>
          <w:marRight w:val="0"/>
          <w:marTop w:val="0"/>
          <w:marBottom w:val="0"/>
          <w:divBdr>
            <w:top w:val="none" w:sz="0" w:space="0" w:color="auto"/>
            <w:left w:val="none" w:sz="0" w:space="0" w:color="auto"/>
            <w:bottom w:val="none" w:sz="0" w:space="0" w:color="auto"/>
            <w:right w:val="none" w:sz="0" w:space="0" w:color="auto"/>
          </w:divBdr>
          <w:divsChild>
            <w:div w:id="1670596408">
              <w:marLeft w:val="0"/>
              <w:marRight w:val="0"/>
              <w:marTop w:val="0"/>
              <w:marBottom w:val="0"/>
              <w:divBdr>
                <w:top w:val="none" w:sz="0" w:space="0" w:color="auto"/>
                <w:left w:val="none" w:sz="0" w:space="0" w:color="auto"/>
                <w:bottom w:val="none" w:sz="0" w:space="0" w:color="auto"/>
                <w:right w:val="none" w:sz="0" w:space="0" w:color="auto"/>
              </w:divBdr>
            </w:div>
          </w:divsChild>
        </w:div>
        <w:div w:id="1451392769">
          <w:marLeft w:val="0"/>
          <w:marRight w:val="0"/>
          <w:marTop w:val="0"/>
          <w:marBottom w:val="0"/>
          <w:divBdr>
            <w:top w:val="none" w:sz="0" w:space="0" w:color="auto"/>
            <w:left w:val="none" w:sz="0" w:space="0" w:color="auto"/>
            <w:bottom w:val="none" w:sz="0" w:space="0" w:color="auto"/>
            <w:right w:val="none" w:sz="0" w:space="0" w:color="auto"/>
          </w:divBdr>
          <w:divsChild>
            <w:div w:id="220406835">
              <w:marLeft w:val="0"/>
              <w:marRight w:val="0"/>
              <w:marTop w:val="0"/>
              <w:marBottom w:val="0"/>
              <w:divBdr>
                <w:top w:val="none" w:sz="0" w:space="0" w:color="auto"/>
                <w:left w:val="none" w:sz="0" w:space="0" w:color="auto"/>
                <w:bottom w:val="none" w:sz="0" w:space="0" w:color="auto"/>
                <w:right w:val="none" w:sz="0" w:space="0" w:color="auto"/>
              </w:divBdr>
            </w:div>
          </w:divsChild>
        </w:div>
        <w:div w:id="1457328941">
          <w:marLeft w:val="0"/>
          <w:marRight w:val="0"/>
          <w:marTop w:val="0"/>
          <w:marBottom w:val="0"/>
          <w:divBdr>
            <w:top w:val="none" w:sz="0" w:space="0" w:color="auto"/>
            <w:left w:val="none" w:sz="0" w:space="0" w:color="auto"/>
            <w:bottom w:val="none" w:sz="0" w:space="0" w:color="auto"/>
            <w:right w:val="none" w:sz="0" w:space="0" w:color="auto"/>
          </w:divBdr>
          <w:divsChild>
            <w:div w:id="1405957459">
              <w:marLeft w:val="0"/>
              <w:marRight w:val="0"/>
              <w:marTop w:val="0"/>
              <w:marBottom w:val="0"/>
              <w:divBdr>
                <w:top w:val="none" w:sz="0" w:space="0" w:color="auto"/>
                <w:left w:val="none" w:sz="0" w:space="0" w:color="auto"/>
                <w:bottom w:val="none" w:sz="0" w:space="0" w:color="auto"/>
                <w:right w:val="none" w:sz="0" w:space="0" w:color="auto"/>
              </w:divBdr>
            </w:div>
          </w:divsChild>
        </w:div>
        <w:div w:id="1460148388">
          <w:marLeft w:val="0"/>
          <w:marRight w:val="0"/>
          <w:marTop w:val="0"/>
          <w:marBottom w:val="0"/>
          <w:divBdr>
            <w:top w:val="none" w:sz="0" w:space="0" w:color="auto"/>
            <w:left w:val="none" w:sz="0" w:space="0" w:color="auto"/>
            <w:bottom w:val="none" w:sz="0" w:space="0" w:color="auto"/>
            <w:right w:val="none" w:sz="0" w:space="0" w:color="auto"/>
          </w:divBdr>
          <w:divsChild>
            <w:div w:id="1657613521">
              <w:marLeft w:val="0"/>
              <w:marRight w:val="0"/>
              <w:marTop w:val="0"/>
              <w:marBottom w:val="0"/>
              <w:divBdr>
                <w:top w:val="none" w:sz="0" w:space="0" w:color="auto"/>
                <w:left w:val="none" w:sz="0" w:space="0" w:color="auto"/>
                <w:bottom w:val="none" w:sz="0" w:space="0" w:color="auto"/>
                <w:right w:val="none" w:sz="0" w:space="0" w:color="auto"/>
              </w:divBdr>
            </w:div>
          </w:divsChild>
        </w:div>
        <w:div w:id="1467117683">
          <w:marLeft w:val="0"/>
          <w:marRight w:val="0"/>
          <w:marTop w:val="0"/>
          <w:marBottom w:val="0"/>
          <w:divBdr>
            <w:top w:val="none" w:sz="0" w:space="0" w:color="auto"/>
            <w:left w:val="none" w:sz="0" w:space="0" w:color="auto"/>
            <w:bottom w:val="none" w:sz="0" w:space="0" w:color="auto"/>
            <w:right w:val="none" w:sz="0" w:space="0" w:color="auto"/>
          </w:divBdr>
          <w:divsChild>
            <w:div w:id="657542819">
              <w:marLeft w:val="0"/>
              <w:marRight w:val="0"/>
              <w:marTop w:val="0"/>
              <w:marBottom w:val="0"/>
              <w:divBdr>
                <w:top w:val="none" w:sz="0" w:space="0" w:color="auto"/>
                <w:left w:val="none" w:sz="0" w:space="0" w:color="auto"/>
                <w:bottom w:val="none" w:sz="0" w:space="0" w:color="auto"/>
                <w:right w:val="none" w:sz="0" w:space="0" w:color="auto"/>
              </w:divBdr>
            </w:div>
          </w:divsChild>
        </w:div>
        <w:div w:id="1472944631">
          <w:marLeft w:val="0"/>
          <w:marRight w:val="0"/>
          <w:marTop w:val="0"/>
          <w:marBottom w:val="0"/>
          <w:divBdr>
            <w:top w:val="none" w:sz="0" w:space="0" w:color="auto"/>
            <w:left w:val="none" w:sz="0" w:space="0" w:color="auto"/>
            <w:bottom w:val="none" w:sz="0" w:space="0" w:color="auto"/>
            <w:right w:val="none" w:sz="0" w:space="0" w:color="auto"/>
          </w:divBdr>
          <w:divsChild>
            <w:div w:id="468668210">
              <w:marLeft w:val="0"/>
              <w:marRight w:val="0"/>
              <w:marTop w:val="0"/>
              <w:marBottom w:val="0"/>
              <w:divBdr>
                <w:top w:val="none" w:sz="0" w:space="0" w:color="auto"/>
                <w:left w:val="none" w:sz="0" w:space="0" w:color="auto"/>
                <w:bottom w:val="none" w:sz="0" w:space="0" w:color="auto"/>
                <w:right w:val="none" w:sz="0" w:space="0" w:color="auto"/>
              </w:divBdr>
            </w:div>
          </w:divsChild>
        </w:div>
        <w:div w:id="1481268577">
          <w:marLeft w:val="0"/>
          <w:marRight w:val="0"/>
          <w:marTop w:val="0"/>
          <w:marBottom w:val="0"/>
          <w:divBdr>
            <w:top w:val="none" w:sz="0" w:space="0" w:color="auto"/>
            <w:left w:val="none" w:sz="0" w:space="0" w:color="auto"/>
            <w:bottom w:val="none" w:sz="0" w:space="0" w:color="auto"/>
            <w:right w:val="none" w:sz="0" w:space="0" w:color="auto"/>
          </w:divBdr>
          <w:divsChild>
            <w:div w:id="174928505">
              <w:marLeft w:val="0"/>
              <w:marRight w:val="0"/>
              <w:marTop w:val="0"/>
              <w:marBottom w:val="0"/>
              <w:divBdr>
                <w:top w:val="none" w:sz="0" w:space="0" w:color="auto"/>
                <w:left w:val="none" w:sz="0" w:space="0" w:color="auto"/>
                <w:bottom w:val="none" w:sz="0" w:space="0" w:color="auto"/>
                <w:right w:val="none" w:sz="0" w:space="0" w:color="auto"/>
              </w:divBdr>
            </w:div>
          </w:divsChild>
        </w:div>
        <w:div w:id="1494565353">
          <w:marLeft w:val="0"/>
          <w:marRight w:val="0"/>
          <w:marTop w:val="0"/>
          <w:marBottom w:val="0"/>
          <w:divBdr>
            <w:top w:val="none" w:sz="0" w:space="0" w:color="auto"/>
            <w:left w:val="none" w:sz="0" w:space="0" w:color="auto"/>
            <w:bottom w:val="none" w:sz="0" w:space="0" w:color="auto"/>
            <w:right w:val="none" w:sz="0" w:space="0" w:color="auto"/>
          </w:divBdr>
          <w:divsChild>
            <w:div w:id="1173178195">
              <w:marLeft w:val="0"/>
              <w:marRight w:val="0"/>
              <w:marTop w:val="0"/>
              <w:marBottom w:val="0"/>
              <w:divBdr>
                <w:top w:val="none" w:sz="0" w:space="0" w:color="auto"/>
                <w:left w:val="none" w:sz="0" w:space="0" w:color="auto"/>
                <w:bottom w:val="none" w:sz="0" w:space="0" w:color="auto"/>
                <w:right w:val="none" w:sz="0" w:space="0" w:color="auto"/>
              </w:divBdr>
            </w:div>
          </w:divsChild>
        </w:div>
        <w:div w:id="1497109056">
          <w:marLeft w:val="0"/>
          <w:marRight w:val="0"/>
          <w:marTop w:val="0"/>
          <w:marBottom w:val="0"/>
          <w:divBdr>
            <w:top w:val="none" w:sz="0" w:space="0" w:color="auto"/>
            <w:left w:val="none" w:sz="0" w:space="0" w:color="auto"/>
            <w:bottom w:val="none" w:sz="0" w:space="0" w:color="auto"/>
            <w:right w:val="none" w:sz="0" w:space="0" w:color="auto"/>
          </w:divBdr>
          <w:divsChild>
            <w:div w:id="1185434792">
              <w:marLeft w:val="0"/>
              <w:marRight w:val="0"/>
              <w:marTop w:val="0"/>
              <w:marBottom w:val="0"/>
              <w:divBdr>
                <w:top w:val="none" w:sz="0" w:space="0" w:color="auto"/>
                <w:left w:val="none" w:sz="0" w:space="0" w:color="auto"/>
                <w:bottom w:val="none" w:sz="0" w:space="0" w:color="auto"/>
                <w:right w:val="none" w:sz="0" w:space="0" w:color="auto"/>
              </w:divBdr>
            </w:div>
          </w:divsChild>
        </w:div>
        <w:div w:id="1499273854">
          <w:marLeft w:val="0"/>
          <w:marRight w:val="0"/>
          <w:marTop w:val="0"/>
          <w:marBottom w:val="0"/>
          <w:divBdr>
            <w:top w:val="none" w:sz="0" w:space="0" w:color="auto"/>
            <w:left w:val="none" w:sz="0" w:space="0" w:color="auto"/>
            <w:bottom w:val="none" w:sz="0" w:space="0" w:color="auto"/>
            <w:right w:val="none" w:sz="0" w:space="0" w:color="auto"/>
          </w:divBdr>
          <w:divsChild>
            <w:div w:id="701706943">
              <w:marLeft w:val="0"/>
              <w:marRight w:val="0"/>
              <w:marTop w:val="0"/>
              <w:marBottom w:val="0"/>
              <w:divBdr>
                <w:top w:val="none" w:sz="0" w:space="0" w:color="auto"/>
                <w:left w:val="none" w:sz="0" w:space="0" w:color="auto"/>
                <w:bottom w:val="none" w:sz="0" w:space="0" w:color="auto"/>
                <w:right w:val="none" w:sz="0" w:space="0" w:color="auto"/>
              </w:divBdr>
            </w:div>
          </w:divsChild>
        </w:div>
        <w:div w:id="1525901856">
          <w:marLeft w:val="0"/>
          <w:marRight w:val="0"/>
          <w:marTop w:val="0"/>
          <w:marBottom w:val="0"/>
          <w:divBdr>
            <w:top w:val="none" w:sz="0" w:space="0" w:color="auto"/>
            <w:left w:val="none" w:sz="0" w:space="0" w:color="auto"/>
            <w:bottom w:val="none" w:sz="0" w:space="0" w:color="auto"/>
            <w:right w:val="none" w:sz="0" w:space="0" w:color="auto"/>
          </w:divBdr>
          <w:divsChild>
            <w:div w:id="1905292452">
              <w:marLeft w:val="0"/>
              <w:marRight w:val="0"/>
              <w:marTop w:val="0"/>
              <w:marBottom w:val="0"/>
              <w:divBdr>
                <w:top w:val="none" w:sz="0" w:space="0" w:color="auto"/>
                <w:left w:val="none" w:sz="0" w:space="0" w:color="auto"/>
                <w:bottom w:val="none" w:sz="0" w:space="0" w:color="auto"/>
                <w:right w:val="none" w:sz="0" w:space="0" w:color="auto"/>
              </w:divBdr>
            </w:div>
          </w:divsChild>
        </w:div>
        <w:div w:id="1584686263">
          <w:marLeft w:val="0"/>
          <w:marRight w:val="0"/>
          <w:marTop w:val="0"/>
          <w:marBottom w:val="0"/>
          <w:divBdr>
            <w:top w:val="none" w:sz="0" w:space="0" w:color="auto"/>
            <w:left w:val="none" w:sz="0" w:space="0" w:color="auto"/>
            <w:bottom w:val="none" w:sz="0" w:space="0" w:color="auto"/>
            <w:right w:val="none" w:sz="0" w:space="0" w:color="auto"/>
          </w:divBdr>
          <w:divsChild>
            <w:div w:id="117604260">
              <w:marLeft w:val="0"/>
              <w:marRight w:val="0"/>
              <w:marTop w:val="0"/>
              <w:marBottom w:val="0"/>
              <w:divBdr>
                <w:top w:val="none" w:sz="0" w:space="0" w:color="auto"/>
                <w:left w:val="none" w:sz="0" w:space="0" w:color="auto"/>
                <w:bottom w:val="none" w:sz="0" w:space="0" w:color="auto"/>
                <w:right w:val="none" w:sz="0" w:space="0" w:color="auto"/>
              </w:divBdr>
            </w:div>
          </w:divsChild>
        </w:div>
        <w:div w:id="1589072610">
          <w:marLeft w:val="0"/>
          <w:marRight w:val="0"/>
          <w:marTop w:val="0"/>
          <w:marBottom w:val="0"/>
          <w:divBdr>
            <w:top w:val="none" w:sz="0" w:space="0" w:color="auto"/>
            <w:left w:val="none" w:sz="0" w:space="0" w:color="auto"/>
            <w:bottom w:val="none" w:sz="0" w:space="0" w:color="auto"/>
            <w:right w:val="none" w:sz="0" w:space="0" w:color="auto"/>
          </w:divBdr>
          <w:divsChild>
            <w:div w:id="63258998">
              <w:marLeft w:val="0"/>
              <w:marRight w:val="0"/>
              <w:marTop w:val="0"/>
              <w:marBottom w:val="0"/>
              <w:divBdr>
                <w:top w:val="none" w:sz="0" w:space="0" w:color="auto"/>
                <w:left w:val="none" w:sz="0" w:space="0" w:color="auto"/>
                <w:bottom w:val="none" w:sz="0" w:space="0" w:color="auto"/>
                <w:right w:val="none" w:sz="0" w:space="0" w:color="auto"/>
              </w:divBdr>
            </w:div>
          </w:divsChild>
        </w:div>
        <w:div w:id="1590387856">
          <w:marLeft w:val="0"/>
          <w:marRight w:val="0"/>
          <w:marTop w:val="0"/>
          <w:marBottom w:val="0"/>
          <w:divBdr>
            <w:top w:val="none" w:sz="0" w:space="0" w:color="auto"/>
            <w:left w:val="none" w:sz="0" w:space="0" w:color="auto"/>
            <w:bottom w:val="none" w:sz="0" w:space="0" w:color="auto"/>
            <w:right w:val="none" w:sz="0" w:space="0" w:color="auto"/>
          </w:divBdr>
          <w:divsChild>
            <w:div w:id="681513194">
              <w:marLeft w:val="0"/>
              <w:marRight w:val="0"/>
              <w:marTop w:val="0"/>
              <w:marBottom w:val="0"/>
              <w:divBdr>
                <w:top w:val="none" w:sz="0" w:space="0" w:color="auto"/>
                <w:left w:val="none" w:sz="0" w:space="0" w:color="auto"/>
                <w:bottom w:val="none" w:sz="0" w:space="0" w:color="auto"/>
                <w:right w:val="none" w:sz="0" w:space="0" w:color="auto"/>
              </w:divBdr>
            </w:div>
          </w:divsChild>
        </w:div>
        <w:div w:id="1602297756">
          <w:marLeft w:val="0"/>
          <w:marRight w:val="0"/>
          <w:marTop w:val="0"/>
          <w:marBottom w:val="0"/>
          <w:divBdr>
            <w:top w:val="none" w:sz="0" w:space="0" w:color="auto"/>
            <w:left w:val="none" w:sz="0" w:space="0" w:color="auto"/>
            <w:bottom w:val="none" w:sz="0" w:space="0" w:color="auto"/>
            <w:right w:val="none" w:sz="0" w:space="0" w:color="auto"/>
          </w:divBdr>
          <w:divsChild>
            <w:div w:id="1686249263">
              <w:marLeft w:val="0"/>
              <w:marRight w:val="0"/>
              <w:marTop w:val="0"/>
              <w:marBottom w:val="0"/>
              <w:divBdr>
                <w:top w:val="none" w:sz="0" w:space="0" w:color="auto"/>
                <w:left w:val="none" w:sz="0" w:space="0" w:color="auto"/>
                <w:bottom w:val="none" w:sz="0" w:space="0" w:color="auto"/>
                <w:right w:val="none" w:sz="0" w:space="0" w:color="auto"/>
              </w:divBdr>
            </w:div>
          </w:divsChild>
        </w:div>
        <w:div w:id="1604219531">
          <w:marLeft w:val="0"/>
          <w:marRight w:val="0"/>
          <w:marTop w:val="0"/>
          <w:marBottom w:val="0"/>
          <w:divBdr>
            <w:top w:val="none" w:sz="0" w:space="0" w:color="auto"/>
            <w:left w:val="none" w:sz="0" w:space="0" w:color="auto"/>
            <w:bottom w:val="none" w:sz="0" w:space="0" w:color="auto"/>
            <w:right w:val="none" w:sz="0" w:space="0" w:color="auto"/>
          </w:divBdr>
          <w:divsChild>
            <w:div w:id="1022171477">
              <w:marLeft w:val="0"/>
              <w:marRight w:val="0"/>
              <w:marTop w:val="0"/>
              <w:marBottom w:val="0"/>
              <w:divBdr>
                <w:top w:val="none" w:sz="0" w:space="0" w:color="auto"/>
                <w:left w:val="none" w:sz="0" w:space="0" w:color="auto"/>
                <w:bottom w:val="none" w:sz="0" w:space="0" w:color="auto"/>
                <w:right w:val="none" w:sz="0" w:space="0" w:color="auto"/>
              </w:divBdr>
            </w:div>
          </w:divsChild>
        </w:div>
        <w:div w:id="1609196097">
          <w:marLeft w:val="0"/>
          <w:marRight w:val="0"/>
          <w:marTop w:val="0"/>
          <w:marBottom w:val="0"/>
          <w:divBdr>
            <w:top w:val="none" w:sz="0" w:space="0" w:color="auto"/>
            <w:left w:val="none" w:sz="0" w:space="0" w:color="auto"/>
            <w:bottom w:val="none" w:sz="0" w:space="0" w:color="auto"/>
            <w:right w:val="none" w:sz="0" w:space="0" w:color="auto"/>
          </w:divBdr>
          <w:divsChild>
            <w:div w:id="1510484390">
              <w:marLeft w:val="0"/>
              <w:marRight w:val="0"/>
              <w:marTop w:val="0"/>
              <w:marBottom w:val="0"/>
              <w:divBdr>
                <w:top w:val="none" w:sz="0" w:space="0" w:color="auto"/>
                <w:left w:val="none" w:sz="0" w:space="0" w:color="auto"/>
                <w:bottom w:val="none" w:sz="0" w:space="0" w:color="auto"/>
                <w:right w:val="none" w:sz="0" w:space="0" w:color="auto"/>
              </w:divBdr>
            </w:div>
          </w:divsChild>
        </w:div>
        <w:div w:id="1612084119">
          <w:marLeft w:val="0"/>
          <w:marRight w:val="0"/>
          <w:marTop w:val="0"/>
          <w:marBottom w:val="0"/>
          <w:divBdr>
            <w:top w:val="none" w:sz="0" w:space="0" w:color="auto"/>
            <w:left w:val="none" w:sz="0" w:space="0" w:color="auto"/>
            <w:bottom w:val="none" w:sz="0" w:space="0" w:color="auto"/>
            <w:right w:val="none" w:sz="0" w:space="0" w:color="auto"/>
          </w:divBdr>
          <w:divsChild>
            <w:div w:id="2017346217">
              <w:marLeft w:val="0"/>
              <w:marRight w:val="0"/>
              <w:marTop w:val="0"/>
              <w:marBottom w:val="0"/>
              <w:divBdr>
                <w:top w:val="none" w:sz="0" w:space="0" w:color="auto"/>
                <w:left w:val="none" w:sz="0" w:space="0" w:color="auto"/>
                <w:bottom w:val="none" w:sz="0" w:space="0" w:color="auto"/>
                <w:right w:val="none" w:sz="0" w:space="0" w:color="auto"/>
              </w:divBdr>
            </w:div>
          </w:divsChild>
        </w:div>
        <w:div w:id="1615559383">
          <w:marLeft w:val="0"/>
          <w:marRight w:val="0"/>
          <w:marTop w:val="0"/>
          <w:marBottom w:val="0"/>
          <w:divBdr>
            <w:top w:val="none" w:sz="0" w:space="0" w:color="auto"/>
            <w:left w:val="none" w:sz="0" w:space="0" w:color="auto"/>
            <w:bottom w:val="none" w:sz="0" w:space="0" w:color="auto"/>
            <w:right w:val="none" w:sz="0" w:space="0" w:color="auto"/>
          </w:divBdr>
          <w:divsChild>
            <w:div w:id="671180406">
              <w:marLeft w:val="0"/>
              <w:marRight w:val="0"/>
              <w:marTop w:val="0"/>
              <w:marBottom w:val="0"/>
              <w:divBdr>
                <w:top w:val="none" w:sz="0" w:space="0" w:color="auto"/>
                <w:left w:val="none" w:sz="0" w:space="0" w:color="auto"/>
                <w:bottom w:val="none" w:sz="0" w:space="0" w:color="auto"/>
                <w:right w:val="none" w:sz="0" w:space="0" w:color="auto"/>
              </w:divBdr>
            </w:div>
          </w:divsChild>
        </w:div>
        <w:div w:id="1633288363">
          <w:marLeft w:val="0"/>
          <w:marRight w:val="0"/>
          <w:marTop w:val="0"/>
          <w:marBottom w:val="0"/>
          <w:divBdr>
            <w:top w:val="none" w:sz="0" w:space="0" w:color="auto"/>
            <w:left w:val="none" w:sz="0" w:space="0" w:color="auto"/>
            <w:bottom w:val="none" w:sz="0" w:space="0" w:color="auto"/>
            <w:right w:val="none" w:sz="0" w:space="0" w:color="auto"/>
          </w:divBdr>
          <w:divsChild>
            <w:div w:id="1653367547">
              <w:marLeft w:val="0"/>
              <w:marRight w:val="0"/>
              <w:marTop w:val="0"/>
              <w:marBottom w:val="0"/>
              <w:divBdr>
                <w:top w:val="none" w:sz="0" w:space="0" w:color="auto"/>
                <w:left w:val="none" w:sz="0" w:space="0" w:color="auto"/>
                <w:bottom w:val="none" w:sz="0" w:space="0" w:color="auto"/>
                <w:right w:val="none" w:sz="0" w:space="0" w:color="auto"/>
              </w:divBdr>
            </w:div>
          </w:divsChild>
        </w:div>
        <w:div w:id="1646473363">
          <w:marLeft w:val="0"/>
          <w:marRight w:val="0"/>
          <w:marTop w:val="0"/>
          <w:marBottom w:val="0"/>
          <w:divBdr>
            <w:top w:val="none" w:sz="0" w:space="0" w:color="auto"/>
            <w:left w:val="none" w:sz="0" w:space="0" w:color="auto"/>
            <w:bottom w:val="none" w:sz="0" w:space="0" w:color="auto"/>
            <w:right w:val="none" w:sz="0" w:space="0" w:color="auto"/>
          </w:divBdr>
          <w:divsChild>
            <w:div w:id="1004672508">
              <w:marLeft w:val="0"/>
              <w:marRight w:val="0"/>
              <w:marTop w:val="0"/>
              <w:marBottom w:val="0"/>
              <w:divBdr>
                <w:top w:val="none" w:sz="0" w:space="0" w:color="auto"/>
                <w:left w:val="none" w:sz="0" w:space="0" w:color="auto"/>
                <w:bottom w:val="none" w:sz="0" w:space="0" w:color="auto"/>
                <w:right w:val="none" w:sz="0" w:space="0" w:color="auto"/>
              </w:divBdr>
            </w:div>
          </w:divsChild>
        </w:div>
        <w:div w:id="1655987356">
          <w:marLeft w:val="0"/>
          <w:marRight w:val="0"/>
          <w:marTop w:val="0"/>
          <w:marBottom w:val="0"/>
          <w:divBdr>
            <w:top w:val="none" w:sz="0" w:space="0" w:color="auto"/>
            <w:left w:val="none" w:sz="0" w:space="0" w:color="auto"/>
            <w:bottom w:val="none" w:sz="0" w:space="0" w:color="auto"/>
            <w:right w:val="none" w:sz="0" w:space="0" w:color="auto"/>
          </w:divBdr>
          <w:divsChild>
            <w:div w:id="745029672">
              <w:marLeft w:val="0"/>
              <w:marRight w:val="0"/>
              <w:marTop w:val="0"/>
              <w:marBottom w:val="0"/>
              <w:divBdr>
                <w:top w:val="none" w:sz="0" w:space="0" w:color="auto"/>
                <w:left w:val="none" w:sz="0" w:space="0" w:color="auto"/>
                <w:bottom w:val="none" w:sz="0" w:space="0" w:color="auto"/>
                <w:right w:val="none" w:sz="0" w:space="0" w:color="auto"/>
              </w:divBdr>
            </w:div>
          </w:divsChild>
        </w:div>
        <w:div w:id="1661300738">
          <w:marLeft w:val="0"/>
          <w:marRight w:val="0"/>
          <w:marTop w:val="0"/>
          <w:marBottom w:val="0"/>
          <w:divBdr>
            <w:top w:val="none" w:sz="0" w:space="0" w:color="auto"/>
            <w:left w:val="none" w:sz="0" w:space="0" w:color="auto"/>
            <w:bottom w:val="none" w:sz="0" w:space="0" w:color="auto"/>
            <w:right w:val="none" w:sz="0" w:space="0" w:color="auto"/>
          </w:divBdr>
          <w:divsChild>
            <w:div w:id="1886595281">
              <w:marLeft w:val="0"/>
              <w:marRight w:val="0"/>
              <w:marTop w:val="0"/>
              <w:marBottom w:val="0"/>
              <w:divBdr>
                <w:top w:val="none" w:sz="0" w:space="0" w:color="auto"/>
                <w:left w:val="none" w:sz="0" w:space="0" w:color="auto"/>
                <w:bottom w:val="none" w:sz="0" w:space="0" w:color="auto"/>
                <w:right w:val="none" w:sz="0" w:space="0" w:color="auto"/>
              </w:divBdr>
            </w:div>
          </w:divsChild>
        </w:div>
        <w:div w:id="1686712744">
          <w:marLeft w:val="0"/>
          <w:marRight w:val="0"/>
          <w:marTop w:val="0"/>
          <w:marBottom w:val="0"/>
          <w:divBdr>
            <w:top w:val="none" w:sz="0" w:space="0" w:color="auto"/>
            <w:left w:val="none" w:sz="0" w:space="0" w:color="auto"/>
            <w:bottom w:val="none" w:sz="0" w:space="0" w:color="auto"/>
            <w:right w:val="none" w:sz="0" w:space="0" w:color="auto"/>
          </w:divBdr>
          <w:divsChild>
            <w:div w:id="1082022944">
              <w:marLeft w:val="0"/>
              <w:marRight w:val="0"/>
              <w:marTop w:val="0"/>
              <w:marBottom w:val="0"/>
              <w:divBdr>
                <w:top w:val="none" w:sz="0" w:space="0" w:color="auto"/>
                <w:left w:val="none" w:sz="0" w:space="0" w:color="auto"/>
                <w:bottom w:val="none" w:sz="0" w:space="0" w:color="auto"/>
                <w:right w:val="none" w:sz="0" w:space="0" w:color="auto"/>
              </w:divBdr>
            </w:div>
          </w:divsChild>
        </w:div>
        <w:div w:id="1721899511">
          <w:marLeft w:val="0"/>
          <w:marRight w:val="0"/>
          <w:marTop w:val="0"/>
          <w:marBottom w:val="0"/>
          <w:divBdr>
            <w:top w:val="none" w:sz="0" w:space="0" w:color="auto"/>
            <w:left w:val="none" w:sz="0" w:space="0" w:color="auto"/>
            <w:bottom w:val="none" w:sz="0" w:space="0" w:color="auto"/>
            <w:right w:val="none" w:sz="0" w:space="0" w:color="auto"/>
          </w:divBdr>
          <w:divsChild>
            <w:div w:id="746073941">
              <w:marLeft w:val="0"/>
              <w:marRight w:val="0"/>
              <w:marTop w:val="0"/>
              <w:marBottom w:val="0"/>
              <w:divBdr>
                <w:top w:val="none" w:sz="0" w:space="0" w:color="auto"/>
                <w:left w:val="none" w:sz="0" w:space="0" w:color="auto"/>
                <w:bottom w:val="none" w:sz="0" w:space="0" w:color="auto"/>
                <w:right w:val="none" w:sz="0" w:space="0" w:color="auto"/>
              </w:divBdr>
            </w:div>
          </w:divsChild>
        </w:div>
        <w:div w:id="1726951881">
          <w:marLeft w:val="0"/>
          <w:marRight w:val="0"/>
          <w:marTop w:val="0"/>
          <w:marBottom w:val="0"/>
          <w:divBdr>
            <w:top w:val="none" w:sz="0" w:space="0" w:color="auto"/>
            <w:left w:val="none" w:sz="0" w:space="0" w:color="auto"/>
            <w:bottom w:val="none" w:sz="0" w:space="0" w:color="auto"/>
            <w:right w:val="none" w:sz="0" w:space="0" w:color="auto"/>
          </w:divBdr>
          <w:divsChild>
            <w:div w:id="331298996">
              <w:marLeft w:val="0"/>
              <w:marRight w:val="0"/>
              <w:marTop w:val="0"/>
              <w:marBottom w:val="0"/>
              <w:divBdr>
                <w:top w:val="none" w:sz="0" w:space="0" w:color="auto"/>
                <w:left w:val="none" w:sz="0" w:space="0" w:color="auto"/>
                <w:bottom w:val="none" w:sz="0" w:space="0" w:color="auto"/>
                <w:right w:val="none" w:sz="0" w:space="0" w:color="auto"/>
              </w:divBdr>
            </w:div>
          </w:divsChild>
        </w:div>
        <w:div w:id="1731612526">
          <w:marLeft w:val="0"/>
          <w:marRight w:val="0"/>
          <w:marTop w:val="0"/>
          <w:marBottom w:val="0"/>
          <w:divBdr>
            <w:top w:val="none" w:sz="0" w:space="0" w:color="auto"/>
            <w:left w:val="none" w:sz="0" w:space="0" w:color="auto"/>
            <w:bottom w:val="none" w:sz="0" w:space="0" w:color="auto"/>
            <w:right w:val="none" w:sz="0" w:space="0" w:color="auto"/>
          </w:divBdr>
          <w:divsChild>
            <w:div w:id="310718513">
              <w:marLeft w:val="0"/>
              <w:marRight w:val="0"/>
              <w:marTop w:val="0"/>
              <w:marBottom w:val="0"/>
              <w:divBdr>
                <w:top w:val="none" w:sz="0" w:space="0" w:color="auto"/>
                <w:left w:val="none" w:sz="0" w:space="0" w:color="auto"/>
                <w:bottom w:val="none" w:sz="0" w:space="0" w:color="auto"/>
                <w:right w:val="none" w:sz="0" w:space="0" w:color="auto"/>
              </w:divBdr>
            </w:div>
          </w:divsChild>
        </w:div>
        <w:div w:id="1734766868">
          <w:marLeft w:val="0"/>
          <w:marRight w:val="0"/>
          <w:marTop w:val="0"/>
          <w:marBottom w:val="0"/>
          <w:divBdr>
            <w:top w:val="none" w:sz="0" w:space="0" w:color="auto"/>
            <w:left w:val="none" w:sz="0" w:space="0" w:color="auto"/>
            <w:bottom w:val="none" w:sz="0" w:space="0" w:color="auto"/>
            <w:right w:val="none" w:sz="0" w:space="0" w:color="auto"/>
          </w:divBdr>
          <w:divsChild>
            <w:div w:id="731122655">
              <w:marLeft w:val="0"/>
              <w:marRight w:val="0"/>
              <w:marTop w:val="0"/>
              <w:marBottom w:val="0"/>
              <w:divBdr>
                <w:top w:val="none" w:sz="0" w:space="0" w:color="auto"/>
                <w:left w:val="none" w:sz="0" w:space="0" w:color="auto"/>
                <w:bottom w:val="none" w:sz="0" w:space="0" w:color="auto"/>
                <w:right w:val="none" w:sz="0" w:space="0" w:color="auto"/>
              </w:divBdr>
            </w:div>
          </w:divsChild>
        </w:div>
        <w:div w:id="1762140719">
          <w:marLeft w:val="0"/>
          <w:marRight w:val="0"/>
          <w:marTop w:val="0"/>
          <w:marBottom w:val="0"/>
          <w:divBdr>
            <w:top w:val="none" w:sz="0" w:space="0" w:color="auto"/>
            <w:left w:val="none" w:sz="0" w:space="0" w:color="auto"/>
            <w:bottom w:val="none" w:sz="0" w:space="0" w:color="auto"/>
            <w:right w:val="none" w:sz="0" w:space="0" w:color="auto"/>
          </w:divBdr>
          <w:divsChild>
            <w:div w:id="10836050">
              <w:marLeft w:val="0"/>
              <w:marRight w:val="0"/>
              <w:marTop w:val="0"/>
              <w:marBottom w:val="0"/>
              <w:divBdr>
                <w:top w:val="none" w:sz="0" w:space="0" w:color="auto"/>
                <w:left w:val="none" w:sz="0" w:space="0" w:color="auto"/>
                <w:bottom w:val="none" w:sz="0" w:space="0" w:color="auto"/>
                <w:right w:val="none" w:sz="0" w:space="0" w:color="auto"/>
              </w:divBdr>
            </w:div>
          </w:divsChild>
        </w:div>
        <w:div w:id="1775052488">
          <w:marLeft w:val="0"/>
          <w:marRight w:val="0"/>
          <w:marTop w:val="0"/>
          <w:marBottom w:val="0"/>
          <w:divBdr>
            <w:top w:val="none" w:sz="0" w:space="0" w:color="auto"/>
            <w:left w:val="none" w:sz="0" w:space="0" w:color="auto"/>
            <w:bottom w:val="none" w:sz="0" w:space="0" w:color="auto"/>
            <w:right w:val="none" w:sz="0" w:space="0" w:color="auto"/>
          </w:divBdr>
          <w:divsChild>
            <w:div w:id="143592041">
              <w:marLeft w:val="0"/>
              <w:marRight w:val="0"/>
              <w:marTop w:val="0"/>
              <w:marBottom w:val="0"/>
              <w:divBdr>
                <w:top w:val="none" w:sz="0" w:space="0" w:color="auto"/>
                <w:left w:val="none" w:sz="0" w:space="0" w:color="auto"/>
                <w:bottom w:val="none" w:sz="0" w:space="0" w:color="auto"/>
                <w:right w:val="none" w:sz="0" w:space="0" w:color="auto"/>
              </w:divBdr>
            </w:div>
          </w:divsChild>
        </w:div>
        <w:div w:id="1786194914">
          <w:marLeft w:val="0"/>
          <w:marRight w:val="0"/>
          <w:marTop w:val="0"/>
          <w:marBottom w:val="0"/>
          <w:divBdr>
            <w:top w:val="none" w:sz="0" w:space="0" w:color="auto"/>
            <w:left w:val="none" w:sz="0" w:space="0" w:color="auto"/>
            <w:bottom w:val="none" w:sz="0" w:space="0" w:color="auto"/>
            <w:right w:val="none" w:sz="0" w:space="0" w:color="auto"/>
          </w:divBdr>
          <w:divsChild>
            <w:div w:id="2100561723">
              <w:marLeft w:val="0"/>
              <w:marRight w:val="0"/>
              <w:marTop w:val="0"/>
              <w:marBottom w:val="0"/>
              <w:divBdr>
                <w:top w:val="none" w:sz="0" w:space="0" w:color="auto"/>
                <w:left w:val="none" w:sz="0" w:space="0" w:color="auto"/>
                <w:bottom w:val="none" w:sz="0" w:space="0" w:color="auto"/>
                <w:right w:val="none" w:sz="0" w:space="0" w:color="auto"/>
              </w:divBdr>
            </w:div>
          </w:divsChild>
        </w:div>
        <w:div w:id="1786580799">
          <w:marLeft w:val="0"/>
          <w:marRight w:val="0"/>
          <w:marTop w:val="0"/>
          <w:marBottom w:val="0"/>
          <w:divBdr>
            <w:top w:val="none" w:sz="0" w:space="0" w:color="auto"/>
            <w:left w:val="none" w:sz="0" w:space="0" w:color="auto"/>
            <w:bottom w:val="none" w:sz="0" w:space="0" w:color="auto"/>
            <w:right w:val="none" w:sz="0" w:space="0" w:color="auto"/>
          </w:divBdr>
          <w:divsChild>
            <w:div w:id="222444664">
              <w:marLeft w:val="0"/>
              <w:marRight w:val="0"/>
              <w:marTop w:val="0"/>
              <w:marBottom w:val="0"/>
              <w:divBdr>
                <w:top w:val="none" w:sz="0" w:space="0" w:color="auto"/>
                <w:left w:val="none" w:sz="0" w:space="0" w:color="auto"/>
                <w:bottom w:val="none" w:sz="0" w:space="0" w:color="auto"/>
                <w:right w:val="none" w:sz="0" w:space="0" w:color="auto"/>
              </w:divBdr>
            </w:div>
          </w:divsChild>
        </w:div>
        <w:div w:id="1790318551">
          <w:marLeft w:val="0"/>
          <w:marRight w:val="0"/>
          <w:marTop w:val="0"/>
          <w:marBottom w:val="0"/>
          <w:divBdr>
            <w:top w:val="none" w:sz="0" w:space="0" w:color="auto"/>
            <w:left w:val="none" w:sz="0" w:space="0" w:color="auto"/>
            <w:bottom w:val="none" w:sz="0" w:space="0" w:color="auto"/>
            <w:right w:val="none" w:sz="0" w:space="0" w:color="auto"/>
          </w:divBdr>
          <w:divsChild>
            <w:div w:id="1749383459">
              <w:marLeft w:val="0"/>
              <w:marRight w:val="0"/>
              <w:marTop w:val="0"/>
              <w:marBottom w:val="0"/>
              <w:divBdr>
                <w:top w:val="none" w:sz="0" w:space="0" w:color="auto"/>
                <w:left w:val="none" w:sz="0" w:space="0" w:color="auto"/>
                <w:bottom w:val="none" w:sz="0" w:space="0" w:color="auto"/>
                <w:right w:val="none" w:sz="0" w:space="0" w:color="auto"/>
              </w:divBdr>
            </w:div>
          </w:divsChild>
        </w:div>
        <w:div w:id="1812163278">
          <w:marLeft w:val="0"/>
          <w:marRight w:val="0"/>
          <w:marTop w:val="0"/>
          <w:marBottom w:val="0"/>
          <w:divBdr>
            <w:top w:val="none" w:sz="0" w:space="0" w:color="auto"/>
            <w:left w:val="none" w:sz="0" w:space="0" w:color="auto"/>
            <w:bottom w:val="none" w:sz="0" w:space="0" w:color="auto"/>
            <w:right w:val="none" w:sz="0" w:space="0" w:color="auto"/>
          </w:divBdr>
          <w:divsChild>
            <w:div w:id="561597515">
              <w:marLeft w:val="0"/>
              <w:marRight w:val="0"/>
              <w:marTop w:val="0"/>
              <w:marBottom w:val="0"/>
              <w:divBdr>
                <w:top w:val="none" w:sz="0" w:space="0" w:color="auto"/>
                <w:left w:val="none" w:sz="0" w:space="0" w:color="auto"/>
                <w:bottom w:val="none" w:sz="0" w:space="0" w:color="auto"/>
                <w:right w:val="none" w:sz="0" w:space="0" w:color="auto"/>
              </w:divBdr>
            </w:div>
          </w:divsChild>
        </w:div>
        <w:div w:id="1819764696">
          <w:marLeft w:val="0"/>
          <w:marRight w:val="0"/>
          <w:marTop w:val="0"/>
          <w:marBottom w:val="0"/>
          <w:divBdr>
            <w:top w:val="none" w:sz="0" w:space="0" w:color="auto"/>
            <w:left w:val="none" w:sz="0" w:space="0" w:color="auto"/>
            <w:bottom w:val="none" w:sz="0" w:space="0" w:color="auto"/>
            <w:right w:val="none" w:sz="0" w:space="0" w:color="auto"/>
          </w:divBdr>
          <w:divsChild>
            <w:div w:id="1944803791">
              <w:marLeft w:val="0"/>
              <w:marRight w:val="0"/>
              <w:marTop w:val="0"/>
              <w:marBottom w:val="0"/>
              <w:divBdr>
                <w:top w:val="none" w:sz="0" w:space="0" w:color="auto"/>
                <w:left w:val="none" w:sz="0" w:space="0" w:color="auto"/>
                <w:bottom w:val="none" w:sz="0" w:space="0" w:color="auto"/>
                <w:right w:val="none" w:sz="0" w:space="0" w:color="auto"/>
              </w:divBdr>
            </w:div>
          </w:divsChild>
        </w:div>
        <w:div w:id="1831480570">
          <w:marLeft w:val="0"/>
          <w:marRight w:val="0"/>
          <w:marTop w:val="0"/>
          <w:marBottom w:val="0"/>
          <w:divBdr>
            <w:top w:val="none" w:sz="0" w:space="0" w:color="auto"/>
            <w:left w:val="none" w:sz="0" w:space="0" w:color="auto"/>
            <w:bottom w:val="none" w:sz="0" w:space="0" w:color="auto"/>
            <w:right w:val="none" w:sz="0" w:space="0" w:color="auto"/>
          </w:divBdr>
          <w:divsChild>
            <w:div w:id="2139371113">
              <w:marLeft w:val="0"/>
              <w:marRight w:val="0"/>
              <w:marTop w:val="0"/>
              <w:marBottom w:val="0"/>
              <w:divBdr>
                <w:top w:val="none" w:sz="0" w:space="0" w:color="auto"/>
                <w:left w:val="none" w:sz="0" w:space="0" w:color="auto"/>
                <w:bottom w:val="none" w:sz="0" w:space="0" w:color="auto"/>
                <w:right w:val="none" w:sz="0" w:space="0" w:color="auto"/>
              </w:divBdr>
            </w:div>
          </w:divsChild>
        </w:div>
        <w:div w:id="1833370444">
          <w:marLeft w:val="0"/>
          <w:marRight w:val="0"/>
          <w:marTop w:val="0"/>
          <w:marBottom w:val="0"/>
          <w:divBdr>
            <w:top w:val="none" w:sz="0" w:space="0" w:color="auto"/>
            <w:left w:val="none" w:sz="0" w:space="0" w:color="auto"/>
            <w:bottom w:val="none" w:sz="0" w:space="0" w:color="auto"/>
            <w:right w:val="none" w:sz="0" w:space="0" w:color="auto"/>
          </w:divBdr>
          <w:divsChild>
            <w:div w:id="925116468">
              <w:marLeft w:val="0"/>
              <w:marRight w:val="0"/>
              <w:marTop w:val="0"/>
              <w:marBottom w:val="0"/>
              <w:divBdr>
                <w:top w:val="none" w:sz="0" w:space="0" w:color="auto"/>
                <w:left w:val="none" w:sz="0" w:space="0" w:color="auto"/>
                <w:bottom w:val="none" w:sz="0" w:space="0" w:color="auto"/>
                <w:right w:val="none" w:sz="0" w:space="0" w:color="auto"/>
              </w:divBdr>
            </w:div>
          </w:divsChild>
        </w:div>
        <w:div w:id="1869445371">
          <w:marLeft w:val="0"/>
          <w:marRight w:val="0"/>
          <w:marTop w:val="0"/>
          <w:marBottom w:val="0"/>
          <w:divBdr>
            <w:top w:val="none" w:sz="0" w:space="0" w:color="auto"/>
            <w:left w:val="none" w:sz="0" w:space="0" w:color="auto"/>
            <w:bottom w:val="none" w:sz="0" w:space="0" w:color="auto"/>
            <w:right w:val="none" w:sz="0" w:space="0" w:color="auto"/>
          </w:divBdr>
          <w:divsChild>
            <w:div w:id="2123761684">
              <w:marLeft w:val="0"/>
              <w:marRight w:val="0"/>
              <w:marTop w:val="0"/>
              <w:marBottom w:val="0"/>
              <w:divBdr>
                <w:top w:val="none" w:sz="0" w:space="0" w:color="auto"/>
                <w:left w:val="none" w:sz="0" w:space="0" w:color="auto"/>
                <w:bottom w:val="none" w:sz="0" w:space="0" w:color="auto"/>
                <w:right w:val="none" w:sz="0" w:space="0" w:color="auto"/>
              </w:divBdr>
            </w:div>
          </w:divsChild>
        </w:div>
        <w:div w:id="1879507682">
          <w:marLeft w:val="0"/>
          <w:marRight w:val="0"/>
          <w:marTop w:val="0"/>
          <w:marBottom w:val="0"/>
          <w:divBdr>
            <w:top w:val="none" w:sz="0" w:space="0" w:color="auto"/>
            <w:left w:val="none" w:sz="0" w:space="0" w:color="auto"/>
            <w:bottom w:val="none" w:sz="0" w:space="0" w:color="auto"/>
            <w:right w:val="none" w:sz="0" w:space="0" w:color="auto"/>
          </w:divBdr>
          <w:divsChild>
            <w:div w:id="105390305">
              <w:marLeft w:val="0"/>
              <w:marRight w:val="0"/>
              <w:marTop w:val="0"/>
              <w:marBottom w:val="0"/>
              <w:divBdr>
                <w:top w:val="none" w:sz="0" w:space="0" w:color="auto"/>
                <w:left w:val="none" w:sz="0" w:space="0" w:color="auto"/>
                <w:bottom w:val="none" w:sz="0" w:space="0" w:color="auto"/>
                <w:right w:val="none" w:sz="0" w:space="0" w:color="auto"/>
              </w:divBdr>
            </w:div>
          </w:divsChild>
        </w:div>
        <w:div w:id="1893689164">
          <w:marLeft w:val="0"/>
          <w:marRight w:val="0"/>
          <w:marTop w:val="0"/>
          <w:marBottom w:val="0"/>
          <w:divBdr>
            <w:top w:val="none" w:sz="0" w:space="0" w:color="auto"/>
            <w:left w:val="none" w:sz="0" w:space="0" w:color="auto"/>
            <w:bottom w:val="none" w:sz="0" w:space="0" w:color="auto"/>
            <w:right w:val="none" w:sz="0" w:space="0" w:color="auto"/>
          </w:divBdr>
          <w:divsChild>
            <w:div w:id="14356027">
              <w:marLeft w:val="0"/>
              <w:marRight w:val="0"/>
              <w:marTop w:val="0"/>
              <w:marBottom w:val="0"/>
              <w:divBdr>
                <w:top w:val="none" w:sz="0" w:space="0" w:color="auto"/>
                <w:left w:val="none" w:sz="0" w:space="0" w:color="auto"/>
                <w:bottom w:val="none" w:sz="0" w:space="0" w:color="auto"/>
                <w:right w:val="none" w:sz="0" w:space="0" w:color="auto"/>
              </w:divBdr>
            </w:div>
          </w:divsChild>
        </w:div>
        <w:div w:id="1897164043">
          <w:marLeft w:val="0"/>
          <w:marRight w:val="0"/>
          <w:marTop w:val="0"/>
          <w:marBottom w:val="0"/>
          <w:divBdr>
            <w:top w:val="none" w:sz="0" w:space="0" w:color="auto"/>
            <w:left w:val="none" w:sz="0" w:space="0" w:color="auto"/>
            <w:bottom w:val="none" w:sz="0" w:space="0" w:color="auto"/>
            <w:right w:val="none" w:sz="0" w:space="0" w:color="auto"/>
          </w:divBdr>
          <w:divsChild>
            <w:div w:id="681130004">
              <w:marLeft w:val="0"/>
              <w:marRight w:val="0"/>
              <w:marTop w:val="0"/>
              <w:marBottom w:val="0"/>
              <w:divBdr>
                <w:top w:val="none" w:sz="0" w:space="0" w:color="auto"/>
                <w:left w:val="none" w:sz="0" w:space="0" w:color="auto"/>
                <w:bottom w:val="none" w:sz="0" w:space="0" w:color="auto"/>
                <w:right w:val="none" w:sz="0" w:space="0" w:color="auto"/>
              </w:divBdr>
            </w:div>
          </w:divsChild>
        </w:div>
        <w:div w:id="1910455999">
          <w:marLeft w:val="0"/>
          <w:marRight w:val="0"/>
          <w:marTop w:val="0"/>
          <w:marBottom w:val="0"/>
          <w:divBdr>
            <w:top w:val="none" w:sz="0" w:space="0" w:color="auto"/>
            <w:left w:val="none" w:sz="0" w:space="0" w:color="auto"/>
            <w:bottom w:val="none" w:sz="0" w:space="0" w:color="auto"/>
            <w:right w:val="none" w:sz="0" w:space="0" w:color="auto"/>
          </w:divBdr>
          <w:divsChild>
            <w:div w:id="1728916553">
              <w:marLeft w:val="0"/>
              <w:marRight w:val="0"/>
              <w:marTop w:val="0"/>
              <w:marBottom w:val="0"/>
              <w:divBdr>
                <w:top w:val="none" w:sz="0" w:space="0" w:color="auto"/>
                <w:left w:val="none" w:sz="0" w:space="0" w:color="auto"/>
                <w:bottom w:val="none" w:sz="0" w:space="0" w:color="auto"/>
                <w:right w:val="none" w:sz="0" w:space="0" w:color="auto"/>
              </w:divBdr>
            </w:div>
          </w:divsChild>
        </w:div>
        <w:div w:id="1937520715">
          <w:marLeft w:val="0"/>
          <w:marRight w:val="0"/>
          <w:marTop w:val="0"/>
          <w:marBottom w:val="0"/>
          <w:divBdr>
            <w:top w:val="none" w:sz="0" w:space="0" w:color="auto"/>
            <w:left w:val="none" w:sz="0" w:space="0" w:color="auto"/>
            <w:bottom w:val="none" w:sz="0" w:space="0" w:color="auto"/>
            <w:right w:val="none" w:sz="0" w:space="0" w:color="auto"/>
          </w:divBdr>
          <w:divsChild>
            <w:div w:id="353774488">
              <w:marLeft w:val="0"/>
              <w:marRight w:val="0"/>
              <w:marTop w:val="0"/>
              <w:marBottom w:val="0"/>
              <w:divBdr>
                <w:top w:val="none" w:sz="0" w:space="0" w:color="auto"/>
                <w:left w:val="none" w:sz="0" w:space="0" w:color="auto"/>
                <w:bottom w:val="none" w:sz="0" w:space="0" w:color="auto"/>
                <w:right w:val="none" w:sz="0" w:space="0" w:color="auto"/>
              </w:divBdr>
            </w:div>
          </w:divsChild>
        </w:div>
        <w:div w:id="1946037473">
          <w:marLeft w:val="0"/>
          <w:marRight w:val="0"/>
          <w:marTop w:val="0"/>
          <w:marBottom w:val="0"/>
          <w:divBdr>
            <w:top w:val="none" w:sz="0" w:space="0" w:color="auto"/>
            <w:left w:val="none" w:sz="0" w:space="0" w:color="auto"/>
            <w:bottom w:val="none" w:sz="0" w:space="0" w:color="auto"/>
            <w:right w:val="none" w:sz="0" w:space="0" w:color="auto"/>
          </w:divBdr>
          <w:divsChild>
            <w:div w:id="494541418">
              <w:marLeft w:val="0"/>
              <w:marRight w:val="0"/>
              <w:marTop w:val="0"/>
              <w:marBottom w:val="0"/>
              <w:divBdr>
                <w:top w:val="none" w:sz="0" w:space="0" w:color="auto"/>
                <w:left w:val="none" w:sz="0" w:space="0" w:color="auto"/>
                <w:bottom w:val="none" w:sz="0" w:space="0" w:color="auto"/>
                <w:right w:val="none" w:sz="0" w:space="0" w:color="auto"/>
              </w:divBdr>
            </w:div>
          </w:divsChild>
        </w:div>
        <w:div w:id="1946957083">
          <w:marLeft w:val="0"/>
          <w:marRight w:val="0"/>
          <w:marTop w:val="0"/>
          <w:marBottom w:val="0"/>
          <w:divBdr>
            <w:top w:val="none" w:sz="0" w:space="0" w:color="auto"/>
            <w:left w:val="none" w:sz="0" w:space="0" w:color="auto"/>
            <w:bottom w:val="none" w:sz="0" w:space="0" w:color="auto"/>
            <w:right w:val="none" w:sz="0" w:space="0" w:color="auto"/>
          </w:divBdr>
          <w:divsChild>
            <w:div w:id="1348680955">
              <w:marLeft w:val="0"/>
              <w:marRight w:val="0"/>
              <w:marTop w:val="0"/>
              <w:marBottom w:val="0"/>
              <w:divBdr>
                <w:top w:val="none" w:sz="0" w:space="0" w:color="auto"/>
                <w:left w:val="none" w:sz="0" w:space="0" w:color="auto"/>
                <w:bottom w:val="none" w:sz="0" w:space="0" w:color="auto"/>
                <w:right w:val="none" w:sz="0" w:space="0" w:color="auto"/>
              </w:divBdr>
            </w:div>
          </w:divsChild>
        </w:div>
        <w:div w:id="1953780736">
          <w:marLeft w:val="0"/>
          <w:marRight w:val="0"/>
          <w:marTop w:val="0"/>
          <w:marBottom w:val="0"/>
          <w:divBdr>
            <w:top w:val="none" w:sz="0" w:space="0" w:color="auto"/>
            <w:left w:val="none" w:sz="0" w:space="0" w:color="auto"/>
            <w:bottom w:val="none" w:sz="0" w:space="0" w:color="auto"/>
            <w:right w:val="none" w:sz="0" w:space="0" w:color="auto"/>
          </w:divBdr>
          <w:divsChild>
            <w:div w:id="1753240398">
              <w:marLeft w:val="0"/>
              <w:marRight w:val="0"/>
              <w:marTop w:val="0"/>
              <w:marBottom w:val="0"/>
              <w:divBdr>
                <w:top w:val="none" w:sz="0" w:space="0" w:color="auto"/>
                <w:left w:val="none" w:sz="0" w:space="0" w:color="auto"/>
                <w:bottom w:val="none" w:sz="0" w:space="0" w:color="auto"/>
                <w:right w:val="none" w:sz="0" w:space="0" w:color="auto"/>
              </w:divBdr>
            </w:div>
          </w:divsChild>
        </w:div>
        <w:div w:id="1975598090">
          <w:marLeft w:val="0"/>
          <w:marRight w:val="0"/>
          <w:marTop w:val="0"/>
          <w:marBottom w:val="0"/>
          <w:divBdr>
            <w:top w:val="none" w:sz="0" w:space="0" w:color="auto"/>
            <w:left w:val="none" w:sz="0" w:space="0" w:color="auto"/>
            <w:bottom w:val="none" w:sz="0" w:space="0" w:color="auto"/>
            <w:right w:val="none" w:sz="0" w:space="0" w:color="auto"/>
          </w:divBdr>
          <w:divsChild>
            <w:div w:id="1363507785">
              <w:marLeft w:val="0"/>
              <w:marRight w:val="0"/>
              <w:marTop w:val="0"/>
              <w:marBottom w:val="0"/>
              <w:divBdr>
                <w:top w:val="none" w:sz="0" w:space="0" w:color="auto"/>
                <w:left w:val="none" w:sz="0" w:space="0" w:color="auto"/>
                <w:bottom w:val="none" w:sz="0" w:space="0" w:color="auto"/>
                <w:right w:val="none" w:sz="0" w:space="0" w:color="auto"/>
              </w:divBdr>
            </w:div>
          </w:divsChild>
        </w:div>
        <w:div w:id="1982733621">
          <w:marLeft w:val="0"/>
          <w:marRight w:val="0"/>
          <w:marTop w:val="0"/>
          <w:marBottom w:val="0"/>
          <w:divBdr>
            <w:top w:val="none" w:sz="0" w:space="0" w:color="auto"/>
            <w:left w:val="none" w:sz="0" w:space="0" w:color="auto"/>
            <w:bottom w:val="none" w:sz="0" w:space="0" w:color="auto"/>
            <w:right w:val="none" w:sz="0" w:space="0" w:color="auto"/>
          </w:divBdr>
          <w:divsChild>
            <w:div w:id="1685284207">
              <w:marLeft w:val="0"/>
              <w:marRight w:val="0"/>
              <w:marTop w:val="0"/>
              <w:marBottom w:val="0"/>
              <w:divBdr>
                <w:top w:val="none" w:sz="0" w:space="0" w:color="auto"/>
                <w:left w:val="none" w:sz="0" w:space="0" w:color="auto"/>
                <w:bottom w:val="none" w:sz="0" w:space="0" w:color="auto"/>
                <w:right w:val="none" w:sz="0" w:space="0" w:color="auto"/>
              </w:divBdr>
            </w:div>
          </w:divsChild>
        </w:div>
        <w:div w:id="1995135967">
          <w:marLeft w:val="0"/>
          <w:marRight w:val="0"/>
          <w:marTop w:val="0"/>
          <w:marBottom w:val="0"/>
          <w:divBdr>
            <w:top w:val="none" w:sz="0" w:space="0" w:color="auto"/>
            <w:left w:val="none" w:sz="0" w:space="0" w:color="auto"/>
            <w:bottom w:val="none" w:sz="0" w:space="0" w:color="auto"/>
            <w:right w:val="none" w:sz="0" w:space="0" w:color="auto"/>
          </w:divBdr>
          <w:divsChild>
            <w:div w:id="2025470569">
              <w:marLeft w:val="0"/>
              <w:marRight w:val="0"/>
              <w:marTop w:val="0"/>
              <w:marBottom w:val="0"/>
              <w:divBdr>
                <w:top w:val="none" w:sz="0" w:space="0" w:color="auto"/>
                <w:left w:val="none" w:sz="0" w:space="0" w:color="auto"/>
                <w:bottom w:val="none" w:sz="0" w:space="0" w:color="auto"/>
                <w:right w:val="none" w:sz="0" w:space="0" w:color="auto"/>
              </w:divBdr>
            </w:div>
          </w:divsChild>
        </w:div>
        <w:div w:id="2000689564">
          <w:marLeft w:val="0"/>
          <w:marRight w:val="0"/>
          <w:marTop w:val="0"/>
          <w:marBottom w:val="0"/>
          <w:divBdr>
            <w:top w:val="none" w:sz="0" w:space="0" w:color="auto"/>
            <w:left w:val="none" w:sz="0" w:space="0" w:color="auto"/>
            <w:bottom w:val="none" w:sz="0" w:space="0" w:color="auto"/>
            <w:right w:val="none" w:sz="0" w:space="0" w:color="auto"/>
          </w:divBdr>
          <w:divsChild>
            <w:div w:id="218633414">
              <w:marLeft w:val="0"/>
              <w:marRight w:val="0"/>
              <w:marTop w:val="0"/>
              <w:marBottom w:val="0"/>
              <w:divBdr>
                <w:top w:val="none" w:sz="0" w:space="0" w:color="auto"/>
                <w:left w:val="none" w:sz="0" w:space="0" w:color="auto"/>
                <w:bottom w:val="none" w:sz="0" w:space="0" w:color="auto"/>
                <w:right w:val="none" w:sz="0" w:space="0" w:color="auto"/>
              </w:divBdr>
            </w:div>
          </w:divsChild>
        </w:div>
        <w:div w:id="2001614312">
          <w:marLeft w:val="0"/>
          <w:marRight w:val="0"/>
          <w:marTop w:val="0"/>
          <w:marBottom w:val="0"/>
          <w:divBdr>
            <w:top w:val="none" w:sz="0" w:space="0" w:color="auto"/>
            <w:left w:val="none" w:sz="0" w:space="0" w:color="auto"/>
            <w:bottom w:val="none" w:sz="0" w:space="0" w:color="auto"/>
            <w:right w:val="none" w:sz="0" w:space="0" w:color="auto"/>
          </w:divBdr>
          <w:divsChild>
            <w:div w:id="307395529">
              <w:marLeft w:val="0"/>
              <w:marRight w:val="0"/>
              <w:marTop w:val="0"/>
              <w:marBottom w:val="0"/>
              <w:divBdr>
                <w:top w:val="none" w:sz="0" w:space="0" w:color="auto"/>
                <w:left w:val="none" w:sz="0" w:space="0" w:color="auto"/>
                <w:bottom w:val="none" w:sz="0" w:space="0" w:color="auto"/>
                <w:right w:val="none" w:sz="0" w:space="0" w:color="auto"/>
              </w:divBdr>
            </w:div>
          </w:divsChild>
        </w:div>
        <w:div w:id="2006012880">
          <w:marLeft w:val="0"/>
          <w:marRight w:val="0"/>
          <w:marTop w:val="0"/>
          <w:marBottom w:val="0"/>
          <w:divBdr>
            <w:top w:val="none" w:sz="0" w:space="0" w:color="auto"/>
            <w:left w:val="none" w:sz="0" w:space="0" w:color="auto"/>
            <w:bottom w:val="none" w:sz="0" w:space="0" w:color="auto"/>
            <w:right w:val="none" w:sz="0" w:space="0" w:color="auto"/>
          </w:divBdr>
          <w:divsChild>
            <w:div w:id="114300903">
              <w:marLeft w:val="0"/>
              <w:marRight w:val="0"/>
              <w:marTop w:val="0"/>
              <w:marBottom w:val="0"/>
              <w:divBdr>
                <w:top w:val="none" w:sz="0" w:space="0" w:color="auto"/>
                <w:left w:val="none" w:sz="0" w:space="0" w:color="auto"/>
                <w:bottom w:val="none" w:sz="0" w:space="0" w:color="auto"/>
                <w:right w:val="none" w:sz="0" w:space="0" w:color="auto"/>
              </w:divBdr>
            </w:div>
          </w:divsChild>
        </w:div>
        <w:div w:id="2009096768">
          <w:marLeft w:val="0"/>
          <w:marRight w:val="0"/>
          <w:marTop w:val="0"/>
          <w:marBottom w:val="0"/>
          <w:divBdr>
            <w:top w:val="none" w:sz="0" w:space="0" w:color="auto"/>
            <w:left w:val="none" w:sz="0" w:space="0" w:color="auto"/>
            <w:bottom w:val="none" w:sz="0" w:space="0" w:color="auto"/>
            <w:right w:val="none" w:sz="0" w:space="0" w:color="auto"/>
          </w:divBdr>
          <w:divsChild>
            <w:div w:id="1018778863">
              <w:marLeft w:val="0"/>
              <w:marRight w:val="0"/>
              <w:marTop w:val="0"/>
              <w:marBottom w:val="0"/>
              <w:divBdr>
                <w:top w:val="none" w:sz="0" w:space="0" w:color="auto"/>
                <w:left w:val="none" w:sz="0" w:space="0" w:color="auto"/>
                <w:bottom w:val="none" w:sz="0" w:space="0" w:color="auto"/>
                <w:right w:val="none" w:sz="0" w:space="0" w:color="auto"/>
              </w:divBdr>
            </w:div>
          </w:divsChild>
        </w:div>
        <w:div w:id="2009867293">
          <w:marLeft w:val="0"/>
          <w:marRight w:val="0"/>
          <w:marTop w:val="0"/>
          <w:marBottom w:val="0"/>
          <w:divBdr>
            <w:top w:val="none" w:sz="0" w:space="0" w:color="auto"/>
            <w:left w:val="none" w:sz="0" w:space="0" w:color="auto"/>
            <w:bottom w:val="none" w:sz="0" w:space="0" w:color="auto"/>
            <w:right w:val="none" w:sz="0" w:space="0" w:color="auto"/>
          </w:divBdr>
          <w:divsChild>
            <w:div w:id="2116636127">
              <w:marLeft w:val="0"/>
              <w:marRight w:val="0"/>
              <w:marTop w:val="0"/>
              <w:marBottom w:val="0"/>
              <w:divBdr>
                <w:top w:val="none" w:sz="0" w:space="0" w:color="auto"/>
                <w:left w:val="none" w:sz="0" w:space="0" w:color="auto"/>
                <w:bottom w:val="none" w:sz="0" w:space="0" w:color="auto"/>
                <w:right w:val="none" w:sz="0" w:space="0" w:color="auto"/>
              </w:divBdr>
            </w:div>
          </w:divsChild>
        </w:div>
        <w:div w:id="2027441527">
          <w:marLeft w:val="0"/>
          <w:marRight w:val="0"/>
          <w:marTop w:val="0"/>
          <w:marBottom w:val="0"/>
          <w:divBdr>
            <w:top w:val="none" w:sz="0" w:space="0" w:color="auto"/>
            <w:left w:val="none" w:sz="0" w:space="0" w:color="auto"/>
            <w:bottom w:val="none" w:sz="0" w:space="0" w:color="auto"/>
            <w:right w:val="none" w:sz="0" w:space="0" w:color="auto"/>
          </w:divBdr>
          <w:divsChild>
            <w:div w:id="57753114">
              <w:marLeft w:val="0"/>
              <w:marRight w:val="0"/>
              <w:marTop w:val="0"/>
              <w:marBottom w:val="0"/>
              <w:divBdr>
                <w:top w:val="none" w:sz="0" w:space="0" w:color="auto"/>
                <w:left w:val="none" w:sz="0" w:space="0" w:color="auto"/>
                <w:bottom w:val="none" w:sz="0" w:space="0" w:color="auto"/>
                <w:right w:val="none" w:sz="0" w:space="0" w:color="auto"/>
              </w:divBdr>
            </w:div>
          </w:divsChild>
        </w:div>
        <w:div w:id="2033993096">
          <w:marLeft w:val="0"/>
          <w:marRight w:val="0"/>
          <w:marTop w:val="0"/>
          <w:marBottom w:val="0"/>
          <w:divBdr>
            <w:top w:val="none" w:sz="0" w:space="0" w:color="auto"/>
            <w:left w:val="none" w:sz="0" w:space="0" w:color="auto"/>
            <w:bottom w:val="none" w:sz="0" w:space="0" w:color="auto"/>
            <w:right w:val="none" w:sz="0" w:space="0" w:color="auto"/>
          </w:divBdr>
          <w:divsChild>
            <w:div w:id="915744147">
              <w:marLeft w:val="0"/>
              <w:marRight w:val="0"/>
              <w:marTop w:val="0"/>
              <w:marBottom w:val="0"/>
              <w:divBdr>
                <w:top w:val="none" w:sz="0" w:space="0" w:color="auto"/>
                <w:left w:val="none" w:sz="0" w:space="0" w:color="auto"/>
                <w:bottom w:val="none" w:sz="0" w:space="0" w:color="auto"/>
                <w:right w:val="none" w:sz="0" w:space="0" w:color="auto"/>
              </w:divBdr>
            </w:div>
          </w:divsChild>
        </w:div>
        <w:div w:id="2053840985">
          <w:marLeft w:val="0"/>
          <w:marRight w:val="0"/>
          <w:marTop w:val="0"/>
          <w:marBottom w:val="0"/>
          <w:divBdr>
            <w:top w:val="none" w:sz="0" w:space="0" w:color="auto"/>
            <w:left w:val="none" w:sz="0" w:space="0" w:color="auto"/>
            <w:bottom w:val="none" w:sz="0" w:space="0" w:color="auto"/>
            <w:right w:val="none" w:sz="0" w:space="0" w:color="auto"/>
          </w:divBdr>
          <w:divsChild>
            <w:div w:id="2000575207">
              <w:marLeft w:val="0"/>
              <w:marRight w:val="0"/>
              <w:marTop w:val="0"/>
              <w:marBottom w:val="0"/>
              <w:divBdr>
                <w:top w:val="none" w:sz="0" w:space="0" w:color="auto"/>
                <w:left w:val="none" w:sz="0" w:space="0" w:color="auto"/>
                <w:bottom w:val="none" w:sz="0" w:space="0" w:color="auto"/>
                <w:right w:val="none" w:sz="0" w:space="0" w:color="auto"/>
              </w:divBdr>
            </w:div>
          </w:divsChild>
        </w:div>
        <w:div w:id="2063408198">
          <w:marLeft w:val="0"/>
          <w:marRight w:val="0"/>
          <w:marTop w:val="0"/>
          <w:marBottom w:val="0"/>
          <w:divBdr>
            <w:top w:val="none" w:sz="0" w:space="0" w:color="auto"/>
            <w:left w:val="none" w:sz="0" w:space="0" w:color="auto"/>
            <w:bottom w:val="none" w:sz="0" w:space="0" w:color="auto"/>
            <w:right w:val="none" w:sz="0" w:space="0" w:color="auto"/>
          </w:divBdr>
          <w:divsChild>
            <w:div w:id="1184251154">
              <w:marLeft w:val="0"/>
              <w:marRight w:val="0"/>
              <w:marTop w:val="0"/>
              <w:marBottom w:val="0"/>
              <w:divBdr>
                <w:top w:val="none" w:sz="0" w:space="0" w:color="auto"/>
                <w:left w:val="none" w:sz="0" w:space="0" w:color="auto"/>
                <w:bottom w:val="none" w:sz="0" w:space="0" w:color="auto"/>
                <w:right w:val="none" w:sz="0" w:space="0" w:color="auto"/>
              </w:divBdr>
            </w:div>
          </w:divsChild>
        </w:div>
        <w:div w:id="2071228768">
          <w:marLeft w:val="0"/>
          <w:marRight w:val="0"/>
          <w:marTop w:val="0"/>
          <w:marBottom w:val="0"/>
          <w:divBdr>
            <w:top w:val="none" w:sz="0" w:space="0" w:color="auto"/>
            <w:left w:val="none" w:sz="0" w:space="0" w:color="auto"/>
            <w:bottom w:val="none" w:sz="0" w:space="0" w:color="auto"/>
            <w:right w:val="none" w:sz="0" w:space="0" w:color="auto"/>
          </w:divBdr>
          <w:divsChild>
            <w:div w:id="46151393">
              <w:marLeft w:val="0"/>
              <w:marRight w:val="0"/>
              <w:marTop w:val="0"/>
              <w:marBottom w:val="0"/>
              <w:divBdr>
                <w:top w:val="none" w:sz="0" w:space="0" w:color="auto"/>
                <w:left w:val="none" w:sz="0" w:space="0" w:color="auto"/>
                <w:bottom w:val="none" w:sz="0" w:space="0" w:color="auto"/>
                <w:right w:val="none" w:sz="0" w:space="0" w:color="auto"/>
              </w:divBdr>
            </w:div>
          </w:divsChild>
        </w:div>
        <w:div w:id="2071879710">
          <w:marLeft w:val="0"/>
          <w:marRight w:val="0"/>
          <w:marTop w:val="0"/>
          <w:marBottom w:val="0"/>
          <w:divBdr>
            <w:top w:val="none" w:sz="0" w:space="0" w:color="auto"/>
            <w:left w:val="none" w:sz="0" w:space="0" w:color="auto"/>
            <w:bottom w:val="none" w:sz="0" w:space="0" w:color="auto"/>
            <w:right w:val="none" w:sz="0" w:space="0" w:color="auto"/>
          </w:divBdr>
          <w:divsChild>
            <w:div w:id="515776481">
              <w:marLeft w:val="0"/>
              <w:marRight w:val="0"/>
              <w:marTop w:val="0"/>
              <w:marBottom w:val="0"/>
              <w:divBdr>
                <w:top w:val="none" w:sz="0" w:space="0" w:color="auto"/>
                <w:left w:val="none" w:sz="0" w:space="0" w:color="auto"/>
                <w:bottom w:val="none" w:sz="0" w:space="0" w:color="auto"/>
                <w:right w:val="none" w:sz="0" w:space="0" w:color="auto"/>
              </w:divBdr>
            </w:div>
          </w:divsChild>
        </w:div>
        <w:div w:id="2082091700">
          <w:marLeft w:val="0"/>
          <w:marRight w:val="0"/>
          <w:marTop w:val="0"/>
          <w:marBottom w:val="0"/>
          <w:divBdr>
            <w:top w:val="none" w:sz="0" w:space="0" w:color="auto"/>
            <w:left w:val="none" w:sz="0" w:space="0" w:color="auto"/>
            <w:bottom w:val="none" w:sz="0" w:space="0" w:color="auto"/>
            <w:right w:val="none" w:sz="0" w:space="0" w:color="auto"/>
          </w:divBdr>
          <w:divsChild>
            <w:div w:id="1984693899">
              <w:marLeft w:val="0"/>
              <w:marRight w:val="0"/>
              <w:marTop w:val="0"/>
              <w:marBottom w:val="0"/>
              <w:divBdr>
                <w:top w:val="none" w:sz="0" w:space="0" w:color="auto"/>
                <w:left w:val="none" w:sz="0" w:space="0" w:color="auto"/>
                <w:bottom w:val="none" w:sz="0" w:space="0" w:color="auto"/>
                <w:right w:val="none" w:sz="0" w:space="0" w:color="auto"/>
              </w:divBdr>
            </w:div>
          </w:divsChild>
        </w:div>
        <w:div w:id="2084334317">
          <w:marLeft w:val="0"/>
          <w:marRight w:val="0"/>
          <w:marTop w:val="0"/>
          <w:marBottom w:val="0"/>
          <w:divBdr>
            <w:top w:val="none" w:sz="0" w:space="0" w:color="auto"/>
            <w:left w:val="none" w:sz="0" w:space="0" w:color="auto"/>
            <w:bottom w:val="none" w:sz="0" w:space="0" w:color="auto"/>
            <w:right w:val="none" w:sz="0" w:space="0" w:color="auto"/>
          </w:divBdr>
          <w:divsChild>
            <w:div w:id="593781026">
              <w:marLeft w:val="0"/>
              <w:marRight w:val="0"/>
              <w:marTop w:val="0"/>
              <w:marBottom w:val="0"/>
              <w:divBdr>
                <w:top w:val="none" w:sz="0" w:space="0" w:color="auto"/>
                <w:left w:val="none" w:sz="0" w:space="0" w:color="auto"/>
                <w:bottom w:val="none" w:sz="0" w:space="0" w:color="auto"/>
                <w:right w:val="none" w:sz="0" w:space="0" w:color="auto"/>
              </w:divBdr>
            </w:div>
          </w:divsChild>
        </w:div>
        <w:div w:id="2087215990">
          <w:marLeft w:val="0"/>
          <w:marRight w:val="0"/>
          <w:marTop w:val="0"/>
          <w:marBottom w:val="0"/>
          <w:divBdr>
            <w:top w:val="none" w:sz="0" w:space="0" w:color="auto"/>
            <w:left w:val="none" w:sz="0" w:space="0" w:color="auto"/>
            <w:bottom w:val="none" w:sz="0" w:space="0" w:color="auto"/>
            <w:right w:val="none" w:sz="0" w:space="0" w:color="auto"/>
          </w:divBdr>
          <w:divsChild>
            <w:div w:id="1362852015">
              <w:marLeft w:val="0"/>
              <w:marRight w:val="0"/>
              <w:marTop w:val="0"/>
              <w:marBottom w:val="0"/>
              <w:divBdr>
                <w:top w:val="none" w:sz="0" w:space="0" w:color="auto"/>
                <w:left w:val="none" w:sz="0" w:space="0" w:color="auto"/>
                <w:bottom w:val="none" w:sz="0" w:space="0" w:color="auto"/>
                <w:right w:val="none" w:sz="0" w:space="0" w:color="auto"/>
              </w:divBdr>
            </w:div>
          </w:divsChild>
        </w:div>
        <w:div w:id="2113629022">
          <w:marLeft w:val="0"/>
          <w:marRight w:val="0"/>
          <w:marTop w:val="0"/>
          <w:marBottom w:val="0"/>
          <w:divBdr>
            <w:top w:val="none" w:sz="0" w:space="0" w:color="auto"/>
            <w:left w:val="none" w:sz="0" w:space="0" w:color="auto"/>
            <w:bottom w:val="none" w:sz="0" w:space="0" w:color="auto"/>
            <w:right w:val="none" w:sz="0" w:space="0" w:color="auto"/>
          </w:divBdr>
          <w:divsChild>
            <w:div w:id="1012687222">
              <w:marLeft w:val="0"/>
              <w:marRight w:val="0"/>
              <w:marTop w:val="0"/>
              <w:marBottom w:val="0"/>
              <w:divBdr>
                <w:top w:val="none" w:sz="0" w:space="0" w:color="auto"/>
                <w:left w:val="none" w:sz="0" w:space="0" w:color="auto"/>
                <w:bottom w:val="none" w:sz="0" w:space="0" w:color="auto"/>
                <w:right w:val="none" w:sz="0" w:space="0" w:color="auto"/>
              </w:divBdr>
            </w:div>
          </w:divsChild>
        </w:div>
        <w:div w:id="2129539993">
          <w:marLeft w:val="0"/>
          <w:marRight w:val="0"/>
          <w:marTop w:val="0"/>
          <w:marBottom w:val="0"/>
          <w:divBdr>
            <w:top w:val="none" w:sz="0" w:space="0" w:color="auto"/>
            <w:left w:val="none" w:sz="0" w:space="0" w:color="auto"/>
            <w:bottom w:val="none" w:sz="0" w:space="0" w:color="auto"/>
            <w:right w:val="none" w:sz="0" w:space="0" w:color="auto"/>
          </w:divBdr>
          <w:divsChild>
            <w:div w:id="1422487009">
              <w:marLeft w:val="0"/>
              <w:marRight w:val="0"/>
              <w:marTop w:val="0"/>
              <w:marBottom w:val="0"/>
              <w:divBdr>
                <w:top w:val="none" w:sz="0" w:space="0" w:color="auto"/>
                <w:left w:val="none" w:sz="0" w:space="0" w:color="auto"/>
                <w:bottom w:val="none" w:sz="0" w:space="0" w:color="auto"/>
                <w:right w:val="none" w:sz="0" w:space="0" w:color="auto"/>
              </w:divBdr>
            </w:div>
          </w:divsChild>
        </w:div>
        <w:div w:id="2137675815">
          <w:marLeft w:val="0"/>
          <w:marRight w:val="0"/>
          <w:marTop w:val="0"/>
          <w:marBottom w:val="0"/>
          <w:divBdr>
            <w:top w:val="none" w:sz="0" w:space="0" w:color="auto"/>
            <w:left w:val="none" w:sz="0" w:space="0" w:color="auto"/>
            <w:bottom w:val="none" w:sz="0" w:space="0" w:color="auto"/>
            <w:right w:val="none" w:sz="0" w:space="0" w:color="auto"/>
          </w:divBdr>
          <w:divsChild>
            <w:div w:id="193301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824051">
      <w:bodyDiv w:val="1"/>
      <w:marLeft w:val="0"/>
      <w:marRight w:val="0"/>
      <w:marTop w:val="0"/>
      <w:marBottom w:val="0"/>
      <w:divBdr>
        <w:top w:val="none" w:sz="0" w:space="0" w:color="auto"/>
        <w:left w:val="none" w:sz="0" w:space="0" w:color="auto"/>
        <w:bottom w:val="none" w:sz="0" w:space="0" w:color="auto"/>
        <w:right w:val="none" w:sz="0" w:space="0" w:color="auto"/>
      </w:divBdr>
      <w:divsChild>
        <w:div w:id="199167223">
          <w:marLeft w:val="0"/>
          <w:marRight w:val="0"/>
          <w:marTop w:val="0"/>
          <w:marBottom w:val="0"/>
          <w:divBdr>
            <w:top w:val="none" w:sz="0" w:space="0" w:color="auto"/>
            <w:left w:val="none" w:sz="0" w:space="0" w:color="auto"/>
            <w:bottom w:val="none" w:sz="0" w:space="0" w:color="auto"/>
            <w:right w:val="none" w:sz="0" w:space="0" w:color="auto"/>
          </w:divBdr>
          <w:divsChild>
            <w:div w:id="875656694">
              <w:marLeft w:val="-75"/>
              <w:marRight w:val="0"/>
              <w:marTop w:val="30"/>
              <w:marBottom w:val="30"/>
              <w:divBdr>
                <w:top w:val="none" w:sz="0" w:space="0" w:color="auto"/>
                <w:left w:val="none" w:sz="0" w:space="0" w:color="auto"/>
                <w:bottom w:val="none" w:sz="0" w:space="0" w:color="auto"/>
                <w:right w:val="none" w:sz="0" w:space="0" w:color="auto"/>
              </w:divBdr>
              <w:divsChild>
                <w:div w:id="2323656">
                  <w:marLeft w:val="0"/>
                  <w:marRight w:val="0"/>
                  <w:marTop w:val="0"/>
                  <w:marBottom w:val="0"/>
                  <w:divBdr>
                    <w:top w:val="none" w:sz="0" w:space="0" w:color="auto"/>
                    <w:left w:val="none" w:sz="0" w:space="0" w:color="auto"/>
                    <w:bottom w:val="none" w:sz="0" w:space="0" w:color="auto"/>
                    <w:right w:val="none" w:sz="0" w:space="0" w:color="auto"/>
                  </w:divBdr>
                  <w:divsChild>
                    <w:div w:id="1998264165">
                      <w:marLeft w:val="0"/>
                      <w:marRight w:val="0"/>
                      <w:marTop w:val="0"/>
                      <w:marBottom w:val="0"/>
                      <w:divBdr>
                        <w:top w:val="none" w:sz="0" w:space="0" w:color="auto"/>
                        <w:left w:val="none" w:sz="0" w:space="0" w:color="auto"/>
                        <w:bottom w:val="none" w:sz="0" w:space="0" w:color="auto"/>
                        <w:right w:val="none" w:sz="0" w:space="0" w:color="auto"/>
                      </w:divBdr>
                    </w:div>
                  </w:divsChild>
                </w:div>
                <w:div w:id="3560451">
                  <w:marLeft w:val="0"/>
                  <w:marRight w:val="0"/>
                  <w:marTop w:val="0"/>
                  <w:marBottom w:val="0"/>
                  <w:divBdr>
                    <w:top w:val="none" w:sz="0" w:space="0" w:color="auto"/>
                    <w:left w:val="none" w:sz="0" w:space="0" w:color="auto"/>
                    <w:bottom w:val="none" w:sz="0" w:space="0" w:color="auto"/>
                    <w:right w:val="none" w:sz="0" w:space="0" w:color="auto"/>
                  </w:divBdr>
                  <w:divsChild>
                    <w:div w:id="947813888">
                      <w:marLeft w:val="0"/>
                      <w:marRight w:val="0"/>
                      <w:marTop w:val="0"/>
                      <w:marBottom w:val="0"/>
                      <w:divBdr>
                        <w:top w:val="none" w:sz="0" w:space="0" w:color="auto"/>
                        <w:left w:val="none" w:sz="0" w:space="0" w:color="auto"/>
                        <w:bottom w:val="none" w:sz="0" w:space="0" w:color="auto"/>
                        <w:right w:val="none" w:sz="0" w:space="0" w:color="auto"/>
                      </w:divBdr>
                    </w:div>
                  </w:divsChild>
                </w:div>
                <w:div w:id="15734403">
                  <w:marLeft w:val="0"/>
                  <w:marRight w:val="0"/>
                  <w:marTop w:val="0"/>
                  <w:marBottom w:val="0"/>
                  <w:divBdr>
                    <w:top w:val="none" w:sz="0" w:space="0" w:color="auto"/>
                    <w:left w:val="none" w:sz="0" w:space="0" w:color="auto"/>
                    <w:bottom w:val="none" w:sz="0" w:space="0" w:color="auto"/>
                    <w:right w:val="none" w:sz="0" w:space="0" w:color="auto"/>
                  </w:divBdr>
                  <w:divsChild>
                    <w:div w:id="1799058440">
                      <w:marLeft w:val="0"/>
                      <w:marRight w:val="0"/>
                      <w:marTop w:val="0"/>
                      <w:marBottom w:val="0"/>
                      <w:divBdr>
                        <w:top w:val="none" w:sz="0" w:space="0" w:color="auto"/>
                        <w:left w:val="none" w:sz="0" w:space="0" w:color="auto"/>
                        <w:bottom w:val="none" w:sz="0" w:space="0" w:color="auto"/>
                        <w:right w:val="none" w:sz="0" w:space="0" w:color="auto"/>
                      </w:divBdr>
                    </w:div>
                  </w:divsChild>
                </w:div>
                <w:div w:id="31929748">
                  <w:marLeft w:val="0"/>
                  <w:marRight w:val="0"/>
                  <w:marTop w:val="0"/>
                  <w:marBottom w:val="0"/>
                  <w:divBdr>
                    <w:top w:val="none" w:sz="0" w:space="0" w:color="auto"/>
                    <w:left w:val="none" w:sz="0" w:space="0" w:color="auto"/>
                    <w:bottom w:val="none" w:sz="0" w:space="0" w:color="auto"/>
                    <w:right w:val="none" w:sz="0" w:space="0" w:color="auto"/>
                  </w:divBdr>
                  <w:divsChild>
                    <w:div w:id="1059402896">
                      <w:marLeft w:val="0"/>
                      <w:marRight w:val="0"/>
                      <w:marTop w:val="0"/>
                      <w:marBottom w:val="0"/>
                      <w:divBdr>
                        <w:top w:val="none" w:sz="0" w:space="0" w:color="auto"/>
                        <w:left w:val="none" w:sz="0" w:space="0" w:color="auto"/>
                        <w:bottom w:val="none" w:sz="0" w:space="0" w:color="auto"/>
                        <w:right w:val="none" w:sz="0" w:space="0" w:color="auto"/>
                      </w:divBdr>
                    </w:div>
                  </w:divsChild>
                </w:div>
                <w:div w:id="79446461">
                  <w:marLeft w:val="0"/>
                  <w:marRight w:val="0"/>
                  <w:marTop w:val="0"/>
                  <w:marBottom w:val="0"/>
                  <w:divBdr>
                    <w:top w:val="none" w:sz="0" w:space="0" w:color="auto"/>
                    <w:left w:val="none" w:sz="0" w:space="0" w:color="auto"/>
                    <w:bottom w:val="none" w:sz="0" w:space="0" w:color="auto"/>
                    <w:right w:val="none" w:sz="0" w:space="0" w:color="auto"/>
                  </w:divBdr>
                  <w:divsChild>
                    <w:div w:id="443113245">
                      <w:marLeft w:val="0"/>
                      <w:marRight w:val="0"/>
                      <w:marTop w:val="0"/>
                      <w:marBottom w:val="0"/>
                      <w:divBdr>
                        <w:top w:val="none" w:sz="0" w:space="0" w:color="auto"/>
                        <w:left w:val="none" w:sz="0" w:space="0" w:color="auto"/>
                        <w:bottom w:val="none" w:sz="0" w:space="0" w:color="auto"/>
                        <w:right w:val="none" w:sz="0" w:space="0" w:color="auto"/>
                      </w:divBdr>
                    </w:div>
                  </w:divsChild>
                </w:div>
                <w:div w:id="87888400">
                  <w:marLeft w:val="0"/>
                  <w:marRight w:val="0"/>
                  <w:marTop w:val="0"/>
                  <w:marBottom w:val="0"/>
                  <w:divBdr>
                    <w:top w:val="none" w:sz="0" w:space="0" w:color="auto"/>
                    <w:left w:val="none" w:sz="0" w:space="0" w:color="auto"/>
                    <w:bottom w:val="none" w:sz="0" w:space="0" w:color="auto"/>
                    <w:right w:val="none" w:sz="0" w:space="0" w:color="auto"/>
                  </w:divBdr>
                  <w:divsChild>
                    <w:div w:id="56513722">
                      <w:marLeft w:val="0"/>
                      <w:marRight w:val="0"/>
                      <w:marTop w:val="0"/>
                      <w:marBottom w:val="0"/>
                      <w:divBdr>
                        <w:top w:val="none" w:sz="0" w:space="0" w:color="auto"/>
                        <w:left w:val="none" w:sz="0" w:space="0" w:color="auto"/>
                        <w:bottom w:val="none" w:sz="0" w:space="0" w:color="auto"/>
                        <w:right w:val="none" w:sz="0" w:space="0" w:color="auto"/>
                      </w:divBdr>
                    </w:div>
                  </w:divsChild>
                </w:div>
                <w:div w:id="91975003">
                  <w:marLeft w:val="0"/>
                  <w:marRight w:val="0"/>
                  <w:marTop w:val="0"/>
                  <w:marBottom w:val="0"/>
                  <w:divBdr>
                    <w:top w:val="none" w:sz="0" w:space="0" w:color="auto"/>
                    <w:left w:val="none" w:sz="0" w:space="0" w:color="auto"/>
                    <w:bottom w:val="none" w:sz="0" w:space="0" w:color="auto"/>
                    <w:right w:val="none" w:sz="0" w:space="0" w:color="auto"/>
                  </w:divBdr>
                  <w:divsChild>
                    <w:div w:id="1379819990">
                      <w:marLeft w:val="0"/>
                      <w:marRight w:val="0"/>
                      <w:marTop w:val="0"/>
                      <w:marBottom w:val="0"/>
                      <w:divBdr>
                        <w:top w:val="none" w:sz="0" w:space="0" w:color="auto"/>
                        <w:left w:val="none" w:sz="0" w:space="0" w:color="auto"/>
                        <w:bottom w:val="none" w:sz="0" w:space="0" w:color="auto"/>
                        <w:right w:val="none" w:sz="0" w:space="0" w:color="auto"/>
                      </w:divBdr>
                    </w:div>
                  </w:divsChild>
                </w:div>
                <w:div w:id="96289592">
                  <w:marLeft w:val="0"/>
                  <w:marRight w:val="0"/>
                  <w:marTop w:val="0"/>
                  <w:marBottom w:val="0"/>
                  <w:divBdr>
                    <w:top w:val="none" w:sz="0" w:space="0" w:color="auto"/>
                    <w:left w:val="none" w:sz="0" w:space="0" w:color="auto"/>
                    <w:bottom w:val="none" w:sz="0" w:space="0" w:color="auto"/>
                    <w:right w:val="none" w:sz="0" w:space="0" w:color="auto"/>
                  </w:divBdr>
                  <w:divsChild>
                    <w:div w:id="373434184">
                      <w:marLeft w:val="0"/>
                      <w:marRight w:val="0"/>
                      <w:marTop w:val="0"/>
                      <w:marBottom w:val="0"/>
                      <w:divBdr>
                        <w:top w:val="none" w:sz="0" w:space="0" w:color="auto"/>
                        <w:left w:val="none" w:sz="0" w:space="0" w:color="auto"/>
                        <w:bottom w:val="none" w:sz="0" w:space="0" w:color="auto"/>
                        <w:right w:val="none" w:sz="0" w:space="0" w:color="auto"/>
                      </w:divBdr>
                    </w:div>
                  </w:divsChild>
                </w:div>
                <w:div w:id="100494416">
                  <w:marLeft w:val="0"/>
                  <w:marRight w:val="0"/>
                  <w:marTop w:val="0"/>
                  <w:marBottom w:val="0"/>
                  <w:divBdr>
                    <w:top w:val="none" w:sz="0" w:space="0" w:color="auto"/>
                    <w:left w:val="none" w:sz="0" w:space="0" w:color="auto"/>
                    <w:bottom w:val="none" w:sz="0" w:space="0" w:color="auto"/>
                    <w:right w:val="none" w:sz="0" w:space="0" w:color="auto"/>
                  </w:divBdr>
                  <w:divsChild>
                    <w:div w:id="509414638">
                      <w:marLeft w:val="0"/>
                      <w:marRight w:val="0"/>
                      <w:marTop w:val="0"/>
                      <w:marBottom w:val="0"/>
                      <w:divBdr>
                        <w:top w:val="none" w:sz="0" w:space="0" w:color="auto"/>
                        <w:left w:val="none" w:sz="0" w:space="0" w:color="auto"/>
                        <w:bottom w:val="none" w:sz="0" w:space="0" w:color="auto"/>
                        <w:right w:val="none" w:sz="0" w:space="0" w:color="auto"/>
                      </w:divBdr>
                    </w:div>
                  </w:divsChild>
                </w:div>
                <w:div w:id="111167505">
                  <w:marLeft w:val="0"/>
                  <w:marRight w:val="0"/>
                  <w:marTop w:val="0"/>
                  <w:marBottom w:val="0"/>
                  <w:divBdr>
                    <w:top w:val="none" w:sz="0" w:space="0" w:color="auto"/>
                    <w:left w:val="none" w:sz="0" w:space="0" w:color="auto"/>
                    <w:bottom w:val="none" w:sz="0" w:space="0" w:color="auto"/>
                    <w:right w:val="none" w:sz="0" w:space="0" w:color="auto"/>
                  </w:divBdr>
                  <w:divsChild>
                    <w:div w:id="1157723528">
                      <w:marLeft w:val="0"/>
                      <w:marRight w:val="0"/>
                      <w:marTop w:val="0"/>
                      <w:marBottom w:val="0"/>
                      <w:divBdr>
                        <w:top w:val="none" w:sz="0" w:space="0" w:color="auto"/>
                        <w:left w:val="none" w:sz="0" w:space="0" w:color="auto"/>
                        <w:bottom w:val="none" w:sz="0" w:space="0" w:color="auto"/>
                        <w:right w:val="none" w:sz="0" w:space="0" w:color="auto"/>
                      </w:divBdr>
                    </w:div>
                  </w:divsChild>
                </w:div>
                <w:div w:id="119150324">
                  <w:marLeft w:val="0"/>
                  <w:marRight w:val="0"/>
                  <w:marTop w:val="0"/>
                  <w:marBottom w:val="0"/>
                  <w:divBdr>
                    <w:top w:val="none" w:sz="0" w:space="0" w:color="auto"/>
                    <w:left w:val="none" w:sz="0" w:space="0" w:color="auto"/>
                    <w:bottom w:val="none" w:sz="0" w:space="0" w:color="auto"/>
                    <w:right w:val="none" w:sz="0" w:space="0" w:color="auto"/>
                  </w:divBdr>
                  <w:divsChild>
                    <w:div w:id="2120369894">
                      <w:marLeft w:val="0"/>
                      <w:marRight w:val="0"/>
                      <w:marTop w:val="0"/>
                      <w:marBottom w:val="0"/>
                      <w:divBdr>
                        <w:top w:val="none" w:sz="0" w:space="0" w:color="auto"/>
                        <w:left w:val="none" w:sz="0" w:space="0" w:color="auto"/>
                        <w:bottom w:val="none" w:sz="0" w:space="0" w:color="auto"/>
                        <w:right w:val="none" w:sz="0" w:space="0" w:color="auto"/>
                      </w:divBdr>
                    </w:div>
                  </w:divsChild>
                </w:div>
                <w:div w:id="122043757">
                  <w:marLeft w:val="0"/>
                  <w:marRight w:val="0"/>
                  <w:marTop w:val="0"/>
                  <w:marBottom w:val="0"/>
                  <w:divBdr>
                    <w:top w:val="none" w:sz="0" w:space="0" w:color="auto"/>
                    <w:left w:val="none" w:sz="0" w:space="0" w:color="auto"/>
                    <w:bottom w:val="none" w:sz="0" w:space="0" w:color="auto"/>
                    <w:right w:val="none" w:sz="0" w:space="0" w:color="auto"/>
                  </w:divBdr>
                  <w:divsChild>
                    <w:div w:id="474175978">
                      <w:marLeft w:val="0"/>
                      <w:marRight w:val="0"/>
                      <w:marTop w:val="0"/>
                      <w:marBottom w:val="0"/>
                      <w:divBdr>
                        <w:top w:val="none" w:sz="0" w:space="0" w:color="auto"/>
                        <w:left w:val="none" w:sz="0" w:space="0" w:color="auto"/>
                        <w:bottom w:val="none" w:sz="0" w:space="0" w:color="auto"/>
                        <w:right w:val="none" w:sz="0" w:space="0" w:color="auto"/>
                      </w:divBdr>
                    </w:div>
                  </w:divsChild>
                </w:div>
                <w:div w:id="150870397">
                  <w:marLeft w:val="0"/>
                  <w:marRight w:val="0"/>
                  <w:marTop w:val="0"/>
                  <w:marBottom w:val="0"/>
                  <w:divBdr>
                    <w:top w:val="none" w:sz="0" w:space="0" w:color="auto"/>
                    <w:left w:val="none" w:sz="0" w:space="0" w:color="auto"/>
                    <w:bottom w:val="none" w:sz="0" w:space="0" w:color="auto"/>
                    <w:right w:val="none" w:sz="0" w:space="0" w:color="auto"/>
                  </w:divBdr>
                  <w:divsChild>
                    <w:div w:id="2012173405">
                      <w:marLeft w:val="0"/>
                      <w:marRight w:val="0"/>
                      <w:marTop w:val="0"/>
                      <w:marBottom w:val="0"/>
                      <w:divBdr>
                        <w:top w:val="none" w:sz="0" w:space="0" w:color="auto"/>
                        <w:left w:val="none" w:sz="0" w:space="0" w:color="auto"/>
                        <w:bottom w:val="none" w:sz="0" w:space="0" w:color="auto"/>
                        <w:right w:val="none" w:sz="0" w:space="0" w:color="auto"/>
                      </w:divBdr>
                    </w:div>
                  </w:divsChild>
                </w:div>
                <w:div w:id="162012390">
                  <w:marLeft w:val="0"/>
                  <w:marRight w:val="0"/>
                  <w:marTop w:val="0"/>
                  <w:marBottom w:val="0"/>
                  <w:divBdr>
                    <w:top w:val="none" w:sz="0" w:space="0" w:color="auto"/>
                    <w:left w:val="none" w:sz="0" w:space="0" w:color="auto"/>
                    <w:bottom w:val="none" w:sz="0" w:space="0" w:color="auto"/>
                    <w:right w:val="none" w:sz="0" w:space="0" w:color="auto"/>
                  </w:divBdr>
                  <w:divsChild>
                    <w:div w:id="1786735033">
                      <w:marLeft w:val="0"/>
                      <w:marRight w:val="0"/>
                      <w:marTop w:val="0"/>
                      <w:marBottom w:val="0"/>
                      <w:divBdr>
                        <w:top w:val="none" w:sz="0" w:space="0" w:color="auto"/>
                        <w:left w:val="none" w:sz="0" w:space="0" w:color="auto"/>
                        <w:bottom w:val="none" w:sz="0" w:space="0" w:color="auto"/>
                        <w:right w:val="none" w:sz="0" w:space="0" w:color="auto"/>
                      </w:divBdr>
                    </w:div>
                  </w:divsChild>
                </w:div>
                <w:div w:id="169367848">
                  <w:marLeft w:val="0"/>
                  <w:marRight w:val="0"/>
                  <w:marTop w:val="0"/>
                  <w:marBottom w:val="0"/>
                  <w:divBdr>
                    <w:top w:val="none" w:sz="0" w:space="0" w:color="auto"/>
                    <w:left w:val="none" w:sz="0" w:space="0" w:color="auto"/>
                    <w:bottom w:val="none" w:sz="0" w:space="0" w:color="auto"/>
                    <w:right w:val="none" w:sz="0" w:space="0" w:color="auto"/>
                  </w:divBdr>
                  <w:divsChild>
                    <w:div w:id="2029067019">
                      <w:marLeft w:val="0"/>
                      <w:marRight w:val="0"/>
                      <w:marTop w:val="0"/>
                      <w:marBottom w:val="0"/>
                      <w:divBdr>
                        <w:top w:val="none" w:sz="0" w:space="0" w:color="auto"/>
                        <w:left w:val="none" w:sz="0" w:space="0" w:color="auto"/>
                        <w:bottom w:val="none" w:sz="0" w:space="0" w:color="auto"/>
                        <w:right w:val="none" w:sz="0" w:space="0" w:color="auto"/>
                      </w:divBdr>
                    </w:div>
                  </w:divsChild>
                </w:div>
                <w:div w:id="206992190">
                  <w:marLeft w:val="0"/>
                  <w:marRight w:val="0"/>
                  <w:marTop w:val="0"/>
                  <w:marBottom w:val="0"/>
                  <w:divBdr>
                    <w:top w:val="none" w:sz="0" w:space="0" w:color="auto"/>
                    <w:left w:val="none" w:sz="0" w:space="0" w:color="auto"/>
                    <w:bottom w:val="none" w:sz="0" w:space="0" w:color="auto"/>
                    <w:right w:val="none" w:sz="0" w:space="0" w:color="auto"/>
                  </w:divBdr>
                  <w:divsChild>
                    <w:div w:id="166098999">
                      <w:marLeft w:val="0"/>
                      <w:marRight w:val="0"/>
                      <w:marTop w:val="0"/>
                      <w:marBottom w:val="0"/>
                      <w:divBdr>
                        <w:top w:val="none" w:sz="0" w:space="0" w:color="auto"/>
                        <w:left w:val="none" w:sz="0" w:space="0" w:color="auto"/>
                        <w:bottom w:val="none" w:sz="0" w:space="0" w:color="auto"/>
                        <w:right w:val="none" w:sz="0" w:space="0" w:color="auto"/>
                      </w:divBdr>
                    </w:div>
                  </w:divsChild>
                </w:div>
                <w:div w:id="210730222">
                  <w:marLeft w:val="0"/>
                  <w:marRight w:val="0"/>
                  <w:marTop w:val="0"/>
                  <w:marBottom w:val="0"/>
                  <w:divBdr>
                    <w:top w:val="none" w:sz="0" w:space="0" w:color="auto"/>
                    <w:left w:val="none" w:sz="0" w:space="0" w:color="auto"/>
                    <w:bottom w:val="none" w:sz="0" w:space="0" w:color="auto"/>
                    <w:right w:val="none" w:sz="0" w:space="0" w:color="auto"/>
                  </w:divBdr>
                  <w:divsChild>
                    <w:div w:id="1512136044">
                      <w:marLeft w:val="0"/>
                      <w:marRight w:val="0"/>
                      <w:marTop w:val="0"/>
                      <w:marBottom w:val="0"/>
                      <w:divBdr>
                        <w:top w:val="none" w:sz="0" w:space="0" w:color="auto"/>
                        <w:left w:val="none" w:sz="0" w:space="0" w:color="auto"/>
                        <w:bottom w:val="none" w:sz="0" w:space="0" w:color="auto"/>
                        <w:right w:val="none" w:sz="0" w:space="0" w:color="auto"/>
                      </w:divBdr>
                    </w:div>
                  </w:divsChild>
                </w:div>
                <w:div w:id="214044679">
                  <w:marLeft w:val="0"/>
                  <w:marRight w:val="0"/>
                  <w:marTop w:val="0"/>
                  <w:marBottom w:val="0"/>
                  <w:divBdr>
                    <w:top w:val="none" w:sz="0" w:space="0" w:color="auto"/>
                    <w:left w:val="none" w:sz="0" w:space="0" w:color="auto"/>
                    <w:bottom w:val="none" w:sz="0" w:space="0" w:color="auto"/>
                    <w:right w:val="none" w:sz="0" w:space="0" w:color="auto"/>
                  </w:divBdr>
                  <w:divsChild>
                    <w:div w:id="179440794">
                      <w:marLeft w:val="0"/>
                      <w:marRight w:val="0"/>
                      <w:marTop w:val="0"/>
                      <w:marBottom w:val="0"/>
                      <w:divBdr>
                        <w:top w:val="none" w:sz="0" w:space="0" w:color="auto"/>
                        <w:left w:val="none" w:sz="0" w:space="0" w:color="auto"/>
                        <w:bottom w:val="none" w:sz="0" w:space="0" w:color="auto"/>
                        <w:right w:val="none" w:sz="0" w:space="0" w:color="auto"/>
                      </w:divBdr>
                    </w:div>
                  </w:divsChild>
                </w:div>
                <w:div w:id="221717323">
                  <w:marLeft w:val="0"/>
                  <w:marRight w:val="0"/>
                  <w:marTop w:val="0"/>
                  <w:marBottom w:val="0"/>
                  <w:divBdr>
                    <w:top w:val="none" w:sz="0" w:space="0" w:color="auto"/>
                    <w:left w:val="none" w:sz="0" w:space="0" w:color="auto"/>
                    <w:bottom w:val="none" w:sz="0" w:space="0" w:color="auto"/>
                    <w:right w:val="none" w:sz="0" w:space="0" w:color="auto"/>
                  </w:divBdr>
                  <w:divsChild>
                    <w:div w:id="1478498519">
                      <w:marLeft w:val="0"/>
                      <w:marRight w:val="0"/>
                      <w:marTop w:val="0"/>
                      <w:marBottom w:val="0"/>
                      <w:divBdr>
                        <w:top w:val="none" w:sz="0" w:space="0" w:color="auto"/>
                        <w:left w:val="none" w:sz="0" w:space="0" w:color="auto"/>
                        <w:bottom w:val="none" w:sz="0" w:space="0" w:color="auto"/>
                        <w:right w:val="none" w:sz="0" w:space="0" w:color="auto"/>
                      </w:divBdr>
                    </w:div>
                  </w:divsChild>
                </w:div>
                <w:div w:id="227232961">
                  <w:marLeft w:val="0"/>
                  <w:marRight w:val="0"/>
                  <w:marTop w:val="0"/>
                  <w:marBottom w:val="0"/>
                  <w:divBdr>
                    <w:top w:val="none" w:sz="0" w:space="0" w:color="auto"/>
                    <w:left w:val="none" w:sz="0" w:space="0" w:color="auto"/>
                    <w:bottom w:val="none" w:sz="0" w:space="0" w:color="auto"/>
                    <w:right w:val="none" w:sz="0" w:space="0" w:color="auto"/>
                  </w:divBdr>
                  <w:divsChild>
                    <w:div w:id="1660186832">
                      <w:marLeft w:val="0"/>
                      <w:marRight w:val="0"/>
                      <w:marTop w:val="0"/>
                      <w:marBottom w:val="0"/>
                      <w:divBdr>
                        <w:top w:val="none" w:sz="0" w:space="0" w:color="auto"/>
                        <w:left w:val="none" w:sz="0" w:space="0" w:color="auto"/>
                        <w:bottom w:val="none" w:sz="0" w:space="0" w:color="auto"/>
                        <w:right w:val="none" w:sz="0" w:space="0" w:color="auto"/>
                      </w:divBdr>
                    </w:div>
                  </w:divsChild>
                </w:div>
                <w:div w:id="239172116">
                  <w:marLeft w:val="0"/>
                  <w:marRight w:val="0"/>
                  <w:marTop w:val="0"/>
                  <w:marBottom w:val="0"/>
                  <w:divBdr>
                    <w:top w:val="none" w:sz="0" w:space="0" w:color="auto"/>
                    <w:left w:val="none" w:sz="0" w:space="0" w:color="auto"/>
                    <w:bottom w:val="none" w:sz="0" w:space="0" w:color="auto"/>
                    <w:right w:val="none" w:sz="0" w:space="0" w:color="auto"/>
                  </w:divBdr>
                  <w:divsChild>
                    <w:div w:id="912740555">
                      <w:marLeft w:val="0"/>
                      <w:marRight w:val="0"/>
                      <w:marTop w:val="0"/>
                      <w:marBottom w:val="0"/>
                      <w:divBdr>
                        <w:top w:val="none" w:sz="0" w:space="0" w:color="auto"/>
                        <w:left w:val="none" w:sz="0" w:space="0" w:color="auto"/>
                        <w:bottom w:val="none" w:sz="0" w:space="0" w:color="auto"/>
                        <w:right w:val="none" w:sz="0" w:space="0" w:color="auto"/>
                      </w:divBdr>
                    </w:div>
                  </w:divsChild>
                </w:div>
                <w:div w:id="255478894">
                  <w:marLeft w:val="0"/>
                  <w:marRight w:val="0"/>
                  <w:marTop w:val="0"/>
                  <w:marBottom w:val="0"/>
                  <w:divBdr>
                    <w:top w:val="none" w:sz="0" w:space="0" w:color="auto"/>
                    <w:left w:val="none" w:sz="0" w:space="0" w:color="auto"/>
                    <w:bottom w:val="none" w:sz="0" w:space="0" w:color="auto"/>
                    <w:right w:val="none" w:sz="0" w:space="0" w:color="auto"/>
                  </w:divBdr>
                  <w:divsChild>
                    <w:div w:id="9141290">
                      <w:marLeft w:val="0"/>
                      <w:marRight w:val="0"/>
                      <w:marTop w:val="0"/>
                      <w:marBottom w:val="0"/>
                      <w:divBdr>
                        <w:top w:val="none" w:sz="0" w:space="0" w:color="auto"/>
                        <w:left w:val="none" w:sz="0" w:space="0" w:color="auto"/>
                        <w:bottom w:val="none" w:sz="0" w:space="0" w:color="auto"/>
                        <w:right w:val="none" w:sz="0" w:space="0" w:color="auto"/>
                      </w:divBdr>
                    </w:div>
                  </w:divsChild>
                </w:div>
                <w:div w:id="266814932">
                  <w:marLeft w:val="0"/>
                  <w:marRight w:val="0"/>
                  <w:marTop w:val="0"/>
                  <w:marBottom w:val="0"/>
                  <w:divBdr>
                    <w:top w:val="none" w:sz="0" w:space="0" w:color="auto"/>
                    <w:left w:val="none" w:sz="0" w:space="0" w:color="auto"/>
                    <w:bottom w:val="none" w:sz="0" w:space="0" w:color="auto"/>
                    <w:right w:val="none" w:sz="0" w:space="0" w:color="auto"/>
                  </w:divBdr>
                  <w:divsChild>
                    <w:div w:id="1902137016">
                      <w:marLeft w:val="0"/>
                      <w:marRight w:val="0"/>
                      <w:marTop w:val="0"/>
                      <w:marBottom w:val="0"/>
                      <w:divBdr>
                        <w:top w:val="none" w:sz="0" w:space="0" w:color="auto"/>
                        <w:left w:val="none" w:sz="0" w:space="0" w:color="auto"/>
                        <w:bottom w:val="none" w:sz="0" w:space="0" w:color="auto"/>
                        <w:right w:val="none" w:sz="0" w:space="0" w:color="auto"/>
                      </w:divBdr>
                    </w:div>
                  </w:divsChild>
                </w:div>
                <w:div w:id="281307103">
                  <w:marLeft w:val="0"/>
                  <w:marRight w:val="0"/>
                  <w:marTop w:val="0"/>
                  <w:marBottom w:val="0"/>
                  <w:divBdr>
                    <w:top w:val="none" w:sz="0" w:space="0" w:color="auto"/>
                    <w:left w:val="none" w:sz="0" w:space="0" w:color="auto"/>
                    <w:bottom w:val="none" w:sz="0" w:space="0" w:color="auto"/>
                    <w:right w:val="none" w:sz="0" w:space="0" w:color="auto"/>
                  </w:divBdr>
                  <w:divsChild>
                    <w:div w:id="1844660576">
                      <w:marLeft w:val="0"/>
                      <w:marRight w:val="0"/>
                      <w:marTop w:val="0"/>
                      <w:marBottom w:val="0"/>
                      <w:divBdr>
                        <w:top w:val="none" w:sz="0" w:space="0" w:color="auto"/>
                        <w:left w:val="none" w:sz="0" w:space="0" w:color="auto"/>
                        <w:bottom w:val="none" w:sz="0" w:space="0" w:color="auto"/>
                        <w:right w:val="none" w:sz="0" w:space="0" w:color="auto"/>
                      </w:divBdr>
                    </w:div>
                  </w:divsChild>
                </w:div>
                <w:div w:id="302345759">
                  <w:marLeft w:val="0"/>
                  <w:marRight w:val="0"/>
                  <w:marTop w:val="0"/>
                  <w:marBottom w:val="0"/>
                  <w:divBdr>
                    <w:top w:val="none" w:sz="0" w:space="0" w:color="auto"/>
                    <w:left w:val="none" w:sz="0" w:space="0" w:color="auto"/>
                    <w:bottom w:val="none" w:sz="0" w:space="0" w:color="auto"/>
                    <w:right w:val="none" w:sz="0" w:space="0" w:color="auto"/>
                  </w:divBdr>
                  <w:divsChild>
                    <w:div w:id="1565066034">
                      <w:marLeft w:val="0"/>
                      <w:marRight w:val="0"/>
                      <w:marTop w:val="0"/>
                      <w:marBottom w:val="0"/>
                      <w:divBdr>
                        <w:top w:val="none" w:sz="0" w:space="0" w:color="auto"/>
                        <w:left w:val="none" w:sz="0" w:space="0" w:color="auto"/>
                        <w:bottom w:val="none" w:sz="0" w:space="0" w:color="auto"/>
                        <w:right w:val="none" w:sz="0" w:space="0" w:color="auto"/>
                      </w:divBdr>
                    </w:div>
                  </w:divsChild>
                </w:div>
                <w:div w:id="342557837">
                  <w:marLeft w:val="0"/>
                  <w:marRight w:val="0"/>
                  <w:marTop w:val="0"/>
                  <w:marBottom w:val="0"/>
                  <w:divBdr>
                    <w:top w:val="none" w:sz="0" w:space="0" w:color="auto"/>
                    <w:left w:val="none" w:sz="0" w:space="0" w:color="auto"/>
                    <w:bottom w:val="none" w:sz="0" w:space="0" w:color="auto"/>
                    <w:right w:val="none" w:sz="0" w:space="0" w:color="auto"/>
                  </w:divBdr>
                  <w:divsChild>
                    <w:div w:id="1546215278">
                      <w:marLeft w:val="0"/>
                      <w:marRight w:val="0"/>
                      <w:marTop w:val="0"/>
                      <w:marBottom w:val="0"/>
                      <w:divBdr>
                        <w:top w:val="none" w:sz="0" w:space="0" w:color="auto"/>
                        <w:left w:val="none" w:sz="0" w:space="0" w:color="auto"/>
                        <w:bottom w:val="none" w:sz="0" w:space="0" w:color="auto"/>
                        <w:right w:val="none" w:sz="0" w:space="0" w:color="auto"/>
                      </w:divBdr>
                    </w:div>
                  </w:divsChild>
                </w:div>
                <w:div w:id="349574892">
                  <w:marLeft w:val="0"/>
                  <w:marRight w:val="0"/>
                  <w:marTop w:val="0"/>
                  <w:marBottom w:val="0"/>
                  <w:divBdr>
                    <w:top w:val="none" w:sz="0" w:space="0" w:color="auto"/>
                    <w:left w:val="none" w:sz="0" w:space="0" w:color="auto"/>
                    <w:bottom w:val="none" w:sz="0" w:space="0" w:color="auto"/>
                    <w:right w:val="none" w:sz="0" w:space="0" w:color="auto"/>
                  </w:divBdr>
                  <w:divsChild>
                    <w:div w:id="1830441453">
                      <w:marLeft w:val="0"/>
                      <w:marRight w:val="0"/>
                      <w:marTop w:val="0"/>
                      <w:marBottom w:val="0"/>
                      <w:divBdr>
                        <w:top w:val="none" w:sz="0" w:space="0" w:color="auto"/>
                        <w:left w:val="none" w:sz="0" w:space="0" w:color="auto"/>
                        <w:bottom w:val="none" w:sz="0" w:space="0" w:color="auto"/>
                        <w:right w:val="none" w:sz="0" w:space="0" w:color="auto"/>
                      </w:divBdr>
                    </w:div>
                  </w:divsChild>
                </w:div>
                <w:div w:id="350450939">
                  <w:marLeft w:val="0"/>
                  <w:marRight w:val="0"/>
                  <w:marTop w:val="0"/>
                  <w:marBottom w:val="0"/>
                  <w:divBdr>
                    <w:top w:val="none" w:sz="0" w:space="0" w:color="auto"/>
                    <w:left w:val="none" w:sz="0" w:space="0" w:color="auto"/>
                    <w:bottom w:val="none" w:sz="0" w:space="0" w:color="auto"/>
                    <w:right w:val="none" w:sz="0" w:space="0" w:color="auto"/>
                  </w:divBdr>
                  <w:divsChild>
                    <w:div w:id="1534920792">
                      <w:marLeft w:val="0"/>
                      <w:marRight w:val="0"/>
                      <w:marTop w:val="0"/>
                      <w:marBottom w:val="0"/>
                      <w:divBdr>
                        <w:top w:val="none" w:sz="0" w:space="0" w:color="auto"/>
                        <w:left w:val="none" w:sz="0" w:space="0" w:color="auto"/>
                        <w:bottom w:val="none" w:sz="0" w:space="0" w:color="auto"/>
                        <w:right w:val="none" w:sz="0" w:space="0" w:color="auto"/>
                      </w:divBdr>
                    </w:div>
                  </w:divsChild>
                </w:div>
                <w:div w:id="362363456">
                  <w:marLeft w:val="0"/>
                  <w:marRight w:val="0"/>
                  <w:marTop w:val="0"/>
                  <w:marBottom w:val="0"/>
                  <w:divBdr>
                    <w:top w:val="none" w:sz="0" w:space="0" w:color="auto"/>
                    <w:left w:val="none" w:sz="0" w:space="0" w:color="auto"/>
                    <w:bottom w:val="none" w:sz="0" w:space="0" w:color="auto"/>
                    <w:right w:val="none" w:sz="0" w:space="0" w:color="auto"/>
                  </w:divBdr>
                  <w:divsChild>
                    <w:div w:id="1201476510">
                      <w:marLeft w:val="0"/>
                      <w:marRight w:val="0"/>
                      <w:marTop w:val="0"/>
                      <w:marBottom w:val="0"/>
                      <w:divBdr>
                        <w:top w:val="none" w:sz="0" w:space="0" w:color="auto"/>
                        <w:left w:val="none" w:sz="0" w:space="0" w:color="auto"/>
                        <w:bottom w:val="none" w:sz="0" w:space="0" w:color="auto"/>
                        <w:right w:val="none" w:sz="0" w:space="0" w:color="auto"/>
                      </w:divBdr>
                    </w:div>
                  </w:divsChild>
                </w:div>
                <w:div w:id="367532747">
                  <w:marLeft w:val="0"/>
                  <w:marRight w:val="0"/>
                  <w:marTop w:val="0"/>
                  <w:marBottom w:val="0"/>
                  <w:divBdr>
                    <w:top w:val="none" w:sz="0" w:space="0" w:color="auto"/>
                    <w:left w:val="none" w:sz="0" w:space="0" w:color="auto"/>
                    <w:bottom w:val="none" w:sz="0" w:space="0" w:color="auto"/>
                    <w:right w:val="none" w:sz="0" w:space="0" w:color="auto"/>
                  </w:divBdr>
                  <w:divsChild>
                    <w:div w:id="587228057">
                      <w:marLeft w:val="0"/>
                      <w:marRight w:val="0"/>
                      <w:marTop w:val="0"/>
                      <w:marBottom w:val="0"/>
                      <w:divBdr>
                        <w:top w:val="none" w:sz="0" w:space="0" w:color="auto"/>
                        <w:left w:val="none" w:sz="0" w:space="0" w:color="auto"/>
                        <w:bottom w:val="none" w:sz="0" w:space="0" w:color="auto"/>
                        <w:right w:val="none" w:sz="0" w:space="0" w:color="auto"/>
                      </w:divBdr>
                    </w:div>
                  </w:divsChild>
                </w:div>
                <w:div w:id="383648697">
                  <w:marLeft w:val="0"/>
                  <w:marRight w:val="0"/>
                  <w:marTop w:val="0"/>
                  <w:marBottom w:val="0"/>
                  <w:divBdr>
                    <w:top w:val="none" w:sz="0" w:space="0" w:color="auto"/>
                    <w:left w:val="none" w:sz="0" w:space="0" w:color="auto"/>
                    <w:bottom w:val="none" w:sz="0" w:space="0" w:color="auto"/>
                    <w:right w:val="none" w:sz="0" w:space="0" w:color="auto"/>
                  </w:divBdr>
                  <w:divsChild>
                    <w:div w:id="1531989698">
                      <w:marLeft w:val="0"/>
                      <w:marRight w:val="0"/>
                      <w:marTop w:val="0"/>
                      <w:marBottom w:val="0"/>
                      <w:divBdr>
                        <w:top w:val="none" w:sz="0" w:space="0" w:color="auto"/>
                        <w:left w:val="none" w:sz="0" w:space="0" w:color="auto"/>
                        <w:bottom w:val="none" w:sz="0" w:space="0" w:color="auto"/>
                        <w:right w:val="none" w:sz="0" w:space="0" w:color="auto"/>
                      </w:divBdr>
                    </w:div>
                  </w:divsChild>
                </w:div>
                <w:div w:id="395932112">
                  <w:marLeft w:val="0"/>
                  <w:marRight w:val="0"/>
                  <w:marTop w:val="0"/>
                  <w:marBottom w:val="0"/>
                  <w:divBdr>
                    <w:top w:val="none" w:sz="0" w:space="0" w:color="auto"/>
                    <w:left w:val="none" w:sz="0" w:space="0" w:color="auto"/>
                    <w:bottom w:val="none" w:sz="0" w:space="0" w:color="auto"/>
                    <w:right w:val="none" w:sz="0" w:space="0" w:color="auto"/>
                  </w:divBdr>
                  <w:divsChild>
                    <w:div w:id="825586853">
                      <w:marLeft w:val="0"/>
                      <w:marRight w:val="0"/>
                      <w:marTop w:val="0"/>
                      <w:marBottom w:val="0"/>
                      <w:divBdr>
                        <w:top w:val="none" w:sz="0" w:space="0" w:color="auto"/>
                        <w:left w:val="none" w:sz="0" w:space="0" w:color="auto"/>
                        <w:bottom w:val="none" w:sz="0" w:space="0" w:color="auto"/>
                        <w:right w:val="none" w:sz="0" w:space="0" w:color="auto"/>
                      </w:divBdr>
                    </w:div>
                  </w:divsChild>
                </w:div>
                <w:div w:id="398334231">
                  <w:marLeft w:val="0"/>
                  <w:marRight w:val="0"/>
                  <w:marTop w:val="0"/>
                  <w:marBottom w:val="0"/>
                  <w:divBdr>
                    <w:top w:val="none" w:sz="0" w:space="0" w:color="auto"/>
                    <w:left w:val="none" w:sz="0" w:space="0" w:color="auto"/>
                    <w:bottom w:val="none" w:sz="0" w:space="0" w:color="auto"/>
                    <w:right w:val="none" w:sz="0" w:space="0" w:color="auto"/>
                  </w:divBdr>
                  <w:divsChild>
                    <w:div w:id="298805686">
                      <w:marLeft w:val="0"/>
                      <w:marRight w:val="0"/>
                      <w:marTop w:val="0"/>
                      <w:marBottom w:val="0"/>
                      <w:divBdr>
                        <w:top w:val="none" w:sz="0" w:space="0" w:color="auto"/>
                        <w:left w:val="none" w:sz="0" w:space="0" w:color="auto"/>
                        <w:bottom w:val="none" w:sz="0" w:space="0" w:color="auto"/>
                        <w:right w:val="none" w:sz="0" w:space="0" w:color="auto"/>
                      </w:divBdr>
                    </w:div>
                  </w:divsChild>
                </w:div>
                <w:div w:id="402063994">
                  <w:marLeft w:val="0"/>
                  <w:marRight w:val="0"/>
                  <w:marTop w:val="0"/>
                  <w:marBottom w:val="0"/>
                  <w:divBdr>
                    <w:top w:val="none" w:sz="0" w:space="0" w:color="auto"/>
                    <w:left w:val="none" w:sz="0" w:space="0" w:color="auto"/>
                    <w:bottom w:val="none" w:sz="0" w:space="0" w:color="auto"/>
                    <w:right w:val="none" w:sz="0" w:space="0" w:color="auto"/>
                  </w:divBdr>
                  <w:divsChild>
                    <w:div w:id="778722785">
                      <w:marLeft w:val="0"/>
                      <w:marRight w:val="0"/>
                      <w:marTop w:val="0"/>
                      <w:marBottom w:val="0"/>
                      <w:divBdr>
                        <w:top w:val="none" w:sz="0" w:space="0" w:color="auto"/>
                        <w:left w:val="none" w:sz="0" w:space="0" w:color="auto"/>
                        <w:bottom w:val="none" w:sz="0" w:space="0" w:color="auto"/>
                        <w:right w:val="none" w:sz="0" w:space="0" w:color="auto"/>
                      </w:divBdr>
                    </w:div>
                  </w:divsChild>
                </w:div>
                <w:div w:id="402795431">
                  <w:marLeft w:val="0"/>
                  <w:marRight w:val="0"/>
                  <w:marTop w:val="0"/>
                  <w:marBottom w:val="0"/>
                  <w:divBdr>
                    <w:top w:val="none" w:sz="0" w:space="0" w:color="auto"/>
                    <w:left w:val="none" w:sz="0" w:space="0" w:color="auto"/>
                    <w:bottom w:val="none" w:sz="0" w:space="0" w:color="auto"/>
                    <w:right w:val="none" w:sz="0" w:space="0" w:color="auto"/>
                  </w:divBdr>
                  <w:divsChild>
                    <w:div w:id="946431244">
                      <w:marLeft w:val="0"/>
                      <w:marRight w:val="0"/>
                      <w:marTop w:val="0"/>
                      <w:marBottom w:val="0"/>
                      <w:divBdr>
                        <w:top w:val="none" w:sz="0" w:space="0" w:color="auto"/>
                        <w:left w:val="none" w:sz="0" w:space="0" w:color="auto"/>
                        <w:bottom w:val="none" w:sz="0" w:space="0" w:color="auto"/>
                        <w:right w:val="none" w:sz="0" w:space="0" w:color="auto"/>
                      </w:divBdr>
                    </w:div>
                  </w:divsChild>
                </w:div>
                <w:div w:id="410469790">
                  <w:marLeft w:val="0"/>
                  <w:marRight w:val="0"/>
                  <w:marTop w:val="0"/>
                  <w:marBottom w:val="0"/>
                  <w:divBdr>
                    <w:top w:val="none" w:sz="0" w:space="0" w:color="auto"/>
                    <w:left w:val="none" w:sz="0" w:space="0" w:color="auto"/>
                    <w:bottom w:val="none" w:sz="0" w:space="0" w:color="auto"/>
                    <w:right w:val="none" w:sz="0" w:space="0" w:color="auto"/>
                  </w:divBdr>
                  <w:divsChild>
                    <w:div w:id="989090148">
                      <w:marLeft w:val="0"/>
                      <w:marRight w:val="0"/>
                      <w:marTop w:val="0"/>
                      <w:marBottom w:val="0"/>
                      <w:divBdr>
                        <w:top w:val="none" w:sz="0" w:space="0" w:color="auto"/>
                        <w:left w:val="none" w:sz="0" w:space="0" w:color="auto"/>
                        <w:bottom w:val="none" w:sz="0" w:space="0" w:color="auto"/>
                        <w:right w:val="none" w:sz="0" w:space="0" w:color="auto"/>
                      </w:divBdr>
                    </w:div>
                  </w:divsChild>
                </w:div>
                <w:div w:id="445661869">
                  <w:marLeft w:val="0"/>
                  <w:marRight w:val="0"/>
                  <w:marTop w:val="0"/>
                  <w:marBottom w:val="0"/>
                  <w:divBdr>
                    <w:top w:val="none" w:sz="0" w:space="0" w:color="auto"/>
                    <w:left w:val="none" w:sz="0" w:space="0" w:color="auto"/>
                    <w:bottom w:val="none" w:sz="0" w:space="0" w:color="auto"/>
                    <w:right w:val="none" w:sz="0" w:space="0" w:color="auto"/>
                  </w:divBdr>
                  <w:divsChild>
                    <w:div w:id="1389186051">
                      <w:marLeft w:val="0"/>
                      <w:marRight w:val="0"/>
                      <w:marTop w:val="0"/>
                      <w:marBottom w:val="0"/>
                      <w:divBdr>
                        <w:top w:val="none" w:sz="0" w:space="0" w:color="auto"/>
                        <w:left w:val="none" w:sz="0" w:space="0" w:color="auto"/>
                        <w:bottom w:val="none" w:sz="0" w:space="0" w:color="auto"/>
                        <w:right w:val="none" w:sz="0" w:space="0" w:color="auto"/>
                      </w:divBdr>
                    </w:div>
                  </w:divsChild>
                </w:div>
                <w:div w:id="450560099">
                  <w:marLeft w:val="0"/>
                  <w:marRight w:val="0"/>
                  <w:marTop w:val="0"/>
                  <w:marBottom w:val="0"/>
                  <w:divBdr>
                    <w:top w:val="none" w:sz="0" w:space="0" w:color="auto"/>
                    <w:left w:val="none" w:sz="0" w:space="0" w:color="auto"/>
                    <w:bottom w:val="none" w:sz="0" w:space="0" w:color="auto"/>
                    <w:right w:val="none" w:sz="0" w:space="0" w:color="auto"/>
                  </w:divBdr>
                  <w:divsChild>
                    <w:div w:id="2079670150">
                      <w:marLeft w:val="0"/>
                      <w:marRight w:val="0"/>
                      <w:marTop w:val="0"/>
                      <w:marBottom w:val="0"/>
                      <w:divBdr>
                        <w:top w:val="none" w:sz="0" w:space="0" w:color="auto"/>
                        <w:left w:val="none" w:sz="0" w:space="0" w:color="auto"/>
                        <w:bottom w:val="none" w:sz="0" w:space="0" w:color="auto"/>
                        <w:right w:val="none" w:sz="0" w:space="0" w:color="auto"/>
                      </w:divBdr>
                    </w:div>
                  </w:divsChild>
                </w:div>
                <w:div w:id="456028535">
                  <w:marLeft w:val="0"/>
                  <w:marRight w:val="0"/>
                  <w:marTop w:val="0"/>
                  <w:marBottom w:val="0"/>
                  <w:divBdr>
                    <w:top w:val="none" w:sz="0" w:space="0" w:color="auto"/>
                    <w:left w:val="none" w:sz="0" w:space="0" w:color="auto"/>
                    <w:bottom w:val="none" w:sz="0" w:space="0" w:color="auto"/>
                    <w:right w:val="none" w:sz="0" w:space="0" w:color="auto"/>
                  </w:divBdr>
                  <w:divsChild>
                    <w:div w:id="33505078">
                      <w:marLeft w:val="0"/>
                      <w:marRight w:val="0"/>
                      <w:marTop w:val="0"/>
                      <w:marBottom w:val="0"/>
                      <w:divBdr>
                        <w:top w:val="none" w:sz="0" w:space="0" w:color="auto"/>
                        <w:left w:val="none" w:sz="0" w:space="0" w:color="auto"/>
                        <w:bottom w:val="none" w:sz="0" w:space="0" w:color="auto"/>
                        <w:right w:val="none" w:sz="0" w:space="0" w:color="auto"/>
                      </w:divBdr>
                    </w:div>
                  </w:divsChild>
                </w:div>
                <w:div w:id="459887564">
                  <w:marLeft w:val="0"/>
                  <w:marRight w:val="0"/>
                  <w:marTop w:val="0"/>
                  <w:marBottom w:val="0"/>
                  <w:divBdr>
                    <w:top w:val="none" w:sz="0" w:space="0" w:color="auto"/>
                    <w:left w:val="none" w:sz="0" w:space="0" w:color="auto"/>
                    <w:bottom w:val="none" w:sz="0" w:space="0" w:color="auto"/>
                    <w:right w:val="none" w:sz="0" w:space="0" w:color="auto"/>
                  </w:divBdr>
                  <w:divsChild>
                    <w:div w:id="1776318523">
                      <w:marLeft w:val="0"/>
                      <w:marRight w:val="0"/>
                      <w:marTop w:val="0"/>
                      <w:marBottom w:val="0"/>
                      <w:divBdr>
                        <w:top w:val="none" w:sz="0" w:space="0" w:color="auto"/>
                        <w:left w:val="none" w:sz="0" w:space="0" w:color="auto"/>
                        <w:bottom w:val="none" w:sz="0" w:space="0" w:color="auto"/>
                        <w:right w:val="none" w:sz="0" w:space="0" w:color="auto"/>
                      </w:divBdr>
                    </w:div>
                  </w:divsChild>
                </w:div>
                <w:div w:id="460155748">
                  <w:marLeft w:val="0"/>
                  <w:marRight w:val="0"/>
                  <w:marTop w:val="0"/>
                  <w:marBottom w:val="0"/>
                  <w:divBdr>
                    <w:top w:val="none" w:sz="0" w:space="0" w:color="auto"/>
                    <w:left w:val="none" w:sz="0" w:space="0" w:color="auto"/>
                    <w:bottom w:val="none" w:sz="0" w:space="0" w:color="auto"/>
                    <w:right w:val="none" w:sz="0" w:space="0" w:color="auto"/>
                  </w:divBdr>
                  <w:divsChild>
                    <w:div w:id="1791313108">
                      <w:marLeft w:val="0"/>
                      <w:marRight w:val="0"/>
                      <w:marTop w:val="0"/>
                      <w:marBottom w:val="0"/>
                      <w:divBdr>
                        <w:top w:val="none" w:sz="0" w:space="0" w:color="auto"/>
                        <w:left w:val="none" w:sz="0" w:space="0" w:color="auto"/>
                        <w:bottom w:val="none" w:sz="0" w:space="0" w:color="auto"/>
                        <w:right w:val="none" w:sz="0" w:space="0" w:color="auto"/>
                      </w:divBdr>
                    </w:div>
                  </w:divsChild>
                </w:div>
                <w:div w:id="469631930">
                  <w:marLeft w:val="0"/>
                  <w:marRight w:val="0"/>
                  <w:marTop w:val="0"/>
                  <w:marBottom w:val="0"/>
                  <w:divBdr>
                    <w:top w:val="none" w:sz="0" w:space="0" w:color="auto"/>
                    <w:left w:val="none" w:sz="0" w:space="0" w:color="auto"/>
                    <w:bottom w:val="none" w:sz="0" w:space="0" w:color="auto"/>
                    <w:right w:val="none" w:sz="0" w:space="0" w:color="auto"/>
                  </w:divBdr>
                  <w:divsChild>
                    <w:div w:id="1383215375">
                      <w:marLeft w:val="0"/>
                      <w:marRight w:val="0"/>
                      <w:marTop w:val="0"/>
                      <w:marBottom w:val="0"/>
                      <w:divBdr>
                        <w:top w:val="none" w:sz="0" w:space="0" w:color="auto"/>
                        <w:left w:val="none" w:sz="0" w:space="0" w:color="auto"/>
                        <w:bottom w:val="none" w:sz="0" w:space="0" w:color="auto"/>
                        <w:right w:val="none" w:sz="0" w:space="0" w:color="auto"/>
                      </w:divBdr>
                    </w:div>
                  </w:divsChild>
                </w:div>
                <w:div w:id="486942358">
                  <w:marLeft w:val="0"/>
                  <w:marRight w:val="0"/>
                  <w:marTop w:val="0"/>
                  <w:marBottom w:val="0"/>
                  <w:divBdr>
                    <w:top w:val="none" w:sz="0" w:space="0" w:color="auto"/>
                    <w:left w:val="none" w:sz="0" w:space="0" w:color="auto"/>
                    <w:bottom w:val="none" w:sz="0" w:space="0" w:color="auto"/>
                    <w:right w:val="none" w:sz="0" w:space="0" w:color="auto"/>
                  </w:divBdr>
                  <w:divsChild>
                    <w:div w:id="45180879">
                      <w:marLeft w:val="0"/>
                      <w:marRight w:val="0"/>
                      <w:marTop w:val="0"/>
                      <w:marBottom w:val="0"/>
                      <w:divBdr>
                        <w:top w:val="none" w:sz="0" w:space="0" w:color="auto"/>
                        <w:left w:val="none" w:sz="0" w:space="0" w:color="auto"/>
                        <w:bottom w:val="none" w:sz="0" w:space="0" w:color="auto"/>
                        <w:right w:val="none" w:sz="0" w:space="0" w:color="auto"/>
                      </w:divBdr>
                    </w:div>
                  </w:divsChild>
                </w:div>
                <w:div w:id="498813445">
                  <w:marLeft w:val="0"/>
                  <w:marRight w:val="0"/>
                  <w:marTop w:val="0"/>
                  <w:marBottom w:val="0"/>
                  <w:divBdr>
                    <w:top w:val="none" w:sz="0" w:space="0" w:color="auto"/>
                    <w:left w:val="none" w:sz="0" w:space="0" w:color="auto"/>
                    <w:bottom w:val="none" w:sz="0" w:space="0" w:color="auto"/>
                    <w:right w:val="none" w:sz="0" w:space="0" w:color="auto"/>
                  </w:divBdr>
                  <w:divsChild>
                    <w:div w:id="455487575">
                      <w:marLeft w:val="0"/>
                      <w:marRight w:val="0"/>
                      <w:marTop w:val="0"/>
                      <w:marBottom w:val="0"/>
                      <w:divBdr>
                        <w:top w:val="none" w:sz="0" w:space="0" w:color="auto"/>
                        <w:left w:val="none" w:sz="0" w:space="0" w:color="auto"/>
                        <w:bottom w:val="none" w:sz="0" w:space="0" w:color="auto"/>
                        <w:right w:val="none" w:sz="0" w:space="0" w:color="auto"/>
                      </w:divBdr>
                    </w:div>
                  </w:divsChild>
                </w:div>
                <w:div w:id="534730421">
                  <w:marLeft w:val="0"/>
                  <w:marRight w:val="0"/>
                  <w:marTop w:val="0"/>
                  <w:marBottom w:val="0"/>
                  <w:divBdr>
                    <w:top w:val="none" w:sz="0" w:space="0" w:color="auto"/>
                    <w:left w:val="none" w:sz="0" w:space="0" w:color="auto"/>
                    <w:bottom w:val="none" w:sz="0" w:space="0" w:color="auto"/>
                    <w:right w:val="none" w:sz="0" w:space="0" w:color="auto"/>
                  </w:divBdr>
                  <w:divsChild>
                    <w:div w:id="225848157">
                      <w:marLeft w:val="0"/>
                      <w:marRight w:val="0"/>
                      <w:marTop w:val="0"/>
                      <w:marBottom w:val="0"/>
                      <w:divBdr>
                        <w:top w:val="none" w:sz="0" w:space="0" w:color="auto"/>
                        <w:left w:val="none" w:sz="0" w:space="0" w:color="auto"/>
                        <w:bottom w:val="none" w:sz="0" w:space="0" w:color="auto"/>
                        <w:right w:val="none" w:sz="0" w:space="0" w:color="auto"/>
                      </w:divBdr>
                    </w:div>
                  </w:divsChild>
                </w:div>
                <w:div w:id="541331801">
                  <w:marLeft w:val="0"/>
                  <w:marRight w:val="0"/>
                  <w:marTop w:val="0"/>
                  <w:marBottom w:val="0"/>
                  <w:divBdr>
                    <w:top w:val="none" w:sz="0" w:space="0" w:color="auto"/>
                    <w:left w:val="none" w:sz="0" w:space="0" w:color="auto"/>
                    <w:bottom w:val="none" w:sz="0" w:space="0" w:color="auto"/>
                    <w:right w:val="none" w:sz="0" w:space="0" w:color="auto"/>
                  </w:divBdr>
                  <w:divsChild>
                    <w:div w:id="859246364">
                      <w:marLeft w:val="0"/>
                      <w:marRight w:val="0"/>
                      <w:marTop w:val="0"/>
                      <w:marBottom w:val="0"/>
                      <w:divBdr>
                        <w:top w:val="none" w:sz="0" w:space="0" w:color="auto"/>
                        <w:left w:val="none" w:sz="0" w:space="0" w:color="auto"/>
                        <w:bottom w:val="none" w:sz="0" w:space="0" w:color="auto"/>
                        <w:right w:val="none" w:sz="0" w:space="0" w:color="auto"/>
                      </w:divBdr>
                    </w:div>
                  </w:divsChild>
                </w:div>
                <w:div w:id="544828689">
                  <w:marLeft w:val="0"/>
                  <w:marRight w:val="0"/>
                  <w:marTop w:val="0"/>
                  <w:marBottom w:val="0"/>
                  <w:divBdr>
                    <w:top w:val="none" w:sz="0" w:space="0" w:color="auto"/>
                    <w:left w:val="none" w:sz="0" w:space="0" w:color="auto"/>
                    <w:bottom w:val="none" w:sz="0" w:space="0" w:color="auto"/>
                    <w:right w:val="none" w:sz="0" w:space="0" w:color="auto"/>
                  </w:divBdr>
                  <w:divsChild>
                    <w:div w:id="534929475">
                      <w:marLeft w:val="0"/>
                      <w:marRight w:val="0"/>
                      <w:marTop w:val="0"/>
                      <w:marBottom w:val="0"/>
                      <w:divBdr>
                        <w:top w:val="none" w:sz="0" w:space="0" w:color="auto"/>
                        <w:left w:val="none" w:sz="0" w:space="0" w:color="auto"/>
                        <w:bottom w:val="none" w:sz="0" w:space="0" w:color="auto"/>
                        <w:right w:val="none" w:sz="0" w:space="0" w:color="auto"/>
                      </w:divBdr>
                    </w:div>
                  </w:divsChild>
                </w:div>
                <w:div w:id="564611178">
                  <w:marLeft w:val="0"/>
                  <w:marRight w:val="0"/>
                  <w:marTop w:val="0"/>
                  <w:marBottom w:val="0"/>
                  <w:divBdr>
                    <w:top w:val="none" w:sz="0" w:space="0" w:color="auto"/>
                    <w:left w:val="none" w:sz="0" w:space="0" w:color="auto"/>
                    <w:bottom w:val="none" w:sz="0" w:space="0" w:color="auto"/>
                    <w:right w:val="none" w:sz="0" w:space="0" w:color="auto"/>
                  </w:divBdr>
                  <w:divsChild>
                    <w:div w:id="1389955867">
                      <w:marLeft w:val="0"/>
                      <w:marRight w:val="0"/>
                      <w:marTop w:val="0"/>
                      <w:marBottom w:val="0"/>
                      <w:divBdr>
                        <w:top w:val="none" w:sz="0" w:space="0" w:color="auto"/>
                        <w:left w:val="none" w:sz="0" w:space="0" w:color="auto"/>
                        <w:bottom w:val="none" w:sz="0" w:space="0" w:color="auto"/>
                        <w:right w:val="none" w:sz="0" w:space="0" w:color="auto"/>
                      </w:divBdr>
                    </w:div>
                  </w:divsChild>
                </w:div>
                <w:div w:id="578099657">
                  <w:marLeft w:val="0"/>
                  <w:marRight w:val="0"/>
                  <w:marTop w:val="0"/>
                  <w:marBottom w:val="0"/>
                  <w:divBdr>
                    <w:top w:val="none" w:sz="0" w:space="0" w:color="auto"/>
                    <w:left w:val="none" w:sz="0" w:space="0" w:color="auto"/>
                    <w:bottom w:val="none" w:sz="0" w:space="0" w:color="auto"/>
                    <w:right w:val="none" w:sz="0" w:space="0" w:color="auto"/>
                  </w:divBdr>
                  <w:divsChild>
                    <w:div w:id="206570594">
                      <w:marLeft w:val="0"/>
                      <w:marRight w:val="0"/>
                      <w:marTop w:val="0"/>
                      <w:marBottom w:val="0"/>
                      <w:divBdr>
                        <w:top w:val="none" w:sz="0" w:space="0" w:color="auto"/>
                        <w:left w:val="none" w:sz="0" w:space="0" w:color="auto"/>
                        <w:bottom w:val="none" w:sz="0" w:space="0" w:color="auto"/>
                        <w:right w:val="none" w:sz="0" w:space="0" w:color="auto"/>
                      </w:divBdr>
                    </w:div>
                  </w:divsChild>
                </w:div>
                <w:div w:id="595554642">
                  <w:marLeft w:val="0"/>
                  <w:marRight w:val="0"/>
                  <w:marTop w:val="0"/>
                  <w:marBottom w:val="0"/>
                  <w:divBdr>
                    <w:top w:val="none" w:sz="0" w:space="0" w:color="auto"/>
                    <w:left w:val="none" w:sz="0" w:space="0" w:color="auto"/>
                    <w:bottom w:val="none" w:sz="0" w:space="0" w:color="auto"/>
                    <w:right w:val="none" w:sz="0" w:space="0" w:color="auto"/>
                  </w:divBdr>
                  <w:divsChild>
                    <w:div w:id="235938866">
                      <w:marLeft w:val="0"/>
                      <w:marRight w:val="0"/>
                      <w:marTop w:val="0"/>
                      <w:marBottom w:val="0"/>
                      <w:divBdr>
                        <w:top w:val="none" w:sz="0" w:space="0" w:color="auto"/>
                        <w:left w:val="none" w:sz="0" w:space="0" w:color="auto"/>
                        <w:bottom w:val="none" w:sz="0" w:space="0" w:color="auto"/>
                        <w:right w:val="none" w:sz="0" w:space="0" w:color="auto"/>
                      </w:divBdr>
                    </w:div>
                  </w:divsChild>
                </w:div>
                <w:div w:id="595984958">
                  <w:marLeft w:val="0"/>
                  <w:marRight w:val="0"/>
                  <w:marTop w:val="0"/>
                  <w:marBottom w:val="0"/>
                  <w:divBdr>
                    <w:top w:val="none" w:sz="0" w:space="0" w:color="auto"/>
                    <w:left w:val="none" w:sz="0" w:space="0" w:color="auto"/>
                    <w:bottom w:val="none" w:sz="0" w:space="0" w:color="auto"/>
                    <w:right w:val="none" w:sz="0" w:space="0" w:color="auto"/>
                  </w:divBdr>
                  <w:divsChild>
                    <w:div w:id="398093164">
                      <w:marLeft w:val="0"/>
                      <w:marRight w:val="0"/>
                      <w:marTop w:val="0"/>
                      <w:marBottom w:val="0"/>
                      <w:divBdr>
                        <w:top w:val="none" w:sz="0" w:space="0" w:color="auto"/>
                        <w:left w:val="none" w:sz="0" w:space="0" w:color="auto"/>
                        <w:bottom w:val="none" w:sz="0" w:space="0" w:color="auto"/>
                        <w:right w:val="none" w:sz="0" w:space="0" w:color="auto"/>
                      </w:divBdr>
                    </w:div>
                  </w:divsChild>
                </w:div>
                <w:div w:id="604314074">
                  <w:marLeft w:val="0"/>
                  <w:marRight w:val="0"/>
                  <w:marTop w:val="0"/>
                  <w:marBottom w:val="0"/>
                  <w:divBdr>
                    <w:top w:val="none" w:sz="0" w:space="0" w:color="auto"/>
                    <w:left w:val="none" w:sz="0" w:space="0" w:color="auto"/>
                    <w:bottom w:val="none" w:sz="0" w:space="0" w:color="auto"/>
                    <w:right w:val="none" w:sz="0" w:space="0" w:color="auto"/>
                  </w:divBdr>
                  <w:divsChild>
                    <w:div w:id="1040515793">
                      <w:marLeft w:val="0"/>
                      <w:marRight w:val="0"/>
                      <w:marTop w:val="0"/>
                      <w:marBottom w:val="0"/>
                      <w:divBdr>
                        <w:top w:val="none" w:sz="0" w:space="0" w:color="auto"/>
                        <w:left w:val="none" w:sz="0" w:space="0" w:color="auto"/>
                        <w:bottom w:val="none" w:sz="0" w:space="0" w:color="auto"/>
                        <w:right w:val="none" w:sz="0" w:space="0" w:color="auto"/>
                      </w:divBdr>
                    </w:div>
                  </w:divsChild>
                </w:div>
                <w:div w:id="606350367">
                  <w:marLeft w:val="0"/>
                  <w:marRight w:val="0"/>
                  <w:marTop w:val="0"/>
                  <w:marBottom w:val="0"/>
                  <w:divBdr>
                    <w:top w:val="none" w:sz="0" w:space="0" w:color="auto"/>
                    <w:left w:val="none" w:sz="0" w:space="0" w:color="auto"/>
                    <w:bottom w:val="none" w:sz="0" w:space="0" w:color="auto"/>
                    <w:right w:val="none" w:sz="0" w:space="0" w:color="auto"/>
                  </w:divBdr>
                  <w:divsChild>
                    <w:div w:id="2134058838">
                      <w:marLeft w:val="0"/>
                      <w:marRight w:val="0"/>
                      <w:marTop w:val="0"/>
                      <w:marBottom w:val="0"/>
                      <w:divBdr>
                        <w:top w:val="none" w:sz="0" w:space="0" w:color="auto"/>
                        <w:left w:val="none" w:sz="0" w:space="0" w:color="auto"/>
                        <w:bottom w:val="none" w:sz="0" w:space="0" w:color="auto"/>
                        <w:right w:val="none" w:sz="0" w:space="0" w:color="auto"/>
                      </w:divBdr>
                    </w:div>
                  </w:divsChild>
                </w:div>
                <w:div w:id="623999737">
                  <w:marLeft w:val="0"/>
                  <w:marRight w:val="0"/>
                  <w:marTop w:val="0"/>
                  <w:marBottom w:val="0"/>
                  <w:divBdr>
                    <w:top w:val="none" w:sz="0" w:space="0" w:color="auto"/>
                    <w:left w:val="none" w:sz="0" w:space="0" w:color="auto"/>
                    <w:bottom w:val="none" w:sz="0" w:space="0" w:color="auto"/>
                    <w:right w:val="none" w:sz="0" w:space="0" w:color="auto"/>
                  </w:divBdr>
                  <w:divsChild>
                    <w:div w:id="907303960">
                      <w:marLeft w:val="0"/>
                      <w:marRight w:val="0"/>
                      <w:marTop w:val="0"/>
                      <w:marBottom w:val="0"/>
                      <w:divBdr>
                        <w:top w:val="none" w:sz="0" w:space="0" w:color="auto"/>
                        <w:left w:val="none" w:sz="0" w:space="0" w:color="auto"/>
                        <w:bottom w:val="none" w:sz="0" w:space="0" w:color="auto"/>
                        <w:right w:val="none" w:sz="0" w:space="0" w:color="auto"/>
                      </w:divBdr>
                    </w:div>
                  </w:divsChild>
                </w:div>
                <w:div w:id="646861581">
                  <w:marLeft w:val="0"/>
                  <w:marRight w:val="0"/>
                  <w:marTop w:val="0"/>
                  <w:marBottom w:val="0"/>
                  <w:divBdr>
                    <w:top w:val="none" w:sz="0" w:space="0" w:color="auto"/>
                    <w:left w:val="none" w:sz="0" w:space="0" w:color="auto"/>
                    <w:bottom w:val="none" w:sz="0" w:space="0" w:color="auto"/>
                    <w:right w:val="none" w:sz="0" w:space="0" w:color="auto"/>
                  </w:divBdr>
                  <w:divsChild>
                    <w:div w:id="2129737776">
                      <w:marLeft w:val="0"/>
                      <w:marRight w:val="0"/>
                      <w:marTop w:val="0"/>
                      <w:marBottom w:val="0"/>
                      <w:divBdr>
                        <w:top w:val="none" w:sz="0" w:space="0" w:color="auto"/>
                        <w:left w:val="none" w:sz="0" w:space="0" w:color="auto"/>
                        <w:bottom w:val="none" w:sz="0" w:space="0" w:color="auto"/>
                        <w:right w:val="none" w:sz="0" w:space="0" w:color="auto"/>
                      </w:divBdr>
                    </w:div>
                  </w:divsChild>
                </w:div>
                <w:div w:id="648485680">
                  <w:marLeft w:val="0"/>
                  <w:marRight w:val="0"/>
                  <w:marTop w:val="0"/>
                  <w:marBottom w:val="0"/>
                  <w:divBdr>
                    <w:top w:val="none" w:sz="0" w:space="0" w:color="auto"/>
                    <w:left w:val="none" w:sz="0" w:space="0" w:color="auto"/>
                    <w:bottom w:val="none" w:sz="0" w:space="0" w:color="auto"/>
                    <w:right w:val="none" w:sz="0" w:space="0" w:color="auto"/>
                  </w:divBdr>
                  <w:divsChild>
                    <w:div w:id="388841851">
                      <w:marLeft w:val="0"/>
                      <w:marRight w:val="0"/>
                      <w:marTop w:val="0"/>
                      <w:marBottom w:val="0"/>
                      <w:divBdr>
                        <w:top w:val="none" w:sz="0" w:space="0" w:color="auto"/>
                        <w:left w:val="none" w:sz="0" w:space="0" w:color="auto"/>
                        <w:bottom w:val="none" w:sz="0" w:space="0" w:color="auto"/>
                        <w:right w:val="none" w:sz="0" w:space="0" w:color="auto"/>
                      </w:divBdr>
                    </w:div>
                  </w:divsChild>
                </w:div>
                <w:div w:id="656039000">
                  <w:marLeft w:val="0"/>
                  <w:marRight w:val="0"/>
                  <w:marTop w:val="0"/>
                  <w:marBottom w:val="0"/>
                  <w:divBdr>
                    <w:top w:val="none" w:sz="0" w:space="0" w:color="auto"/>
                    <w:left w:val="none" w:sz="0" w:space="0" w:color="auto"/>
                    <w:bottom w:val="none" w:sz="0" w:space="0" w:color="auto"/>
                    <w:right w:val="none" w:sz="0" w:space="0" w:color="auto"/>
                  </w:divBdr>
                  <w:divsChild>
                    <w:div w:id="1259216255">
                      <w:marLeft w:val="0"/>
                      <w:marRight w:val="0"/>
                      <w:marTop w:val="0"/>
                      <w:marBottom w:val="0"/>
                      <w:divBdr>
                        <w:top w:val="none" w:sz="0" w:space="0" w:color="auto"/>
                        <w:left w:val="none" w:sz="0" w:space="0" w:color="auto"/>
                        <w:bottom w:val="none" w:sz="0" w:space="0" w:color="auto"/>
                        <w:right w:val="none" w:sz="0" w:space="0" w:color="auto"/>
                      </w:divBdr>
                    </w:div>
                  </w:divsChild>
                </w:div>
                <w:div w:id="661394290">
                  <w:marLeft w:val="0"/>
                  <w:marRight w:val="0"/>
                  <w:marTop w:val="0"/>
                  <w:marBottom w:val="0"/>
                  <w:divBdr>
                    <w:top w:val="none" w:sz="0" w:space="0" w:color="auto"/>
                    <w:left w:val="none" w:sz="0" w:space="0" w:color="auto"/>
                    <w:bottom w:val="none" w:sz="0" w:space="0" w:color="auto"/>
                    <w:right w:val="none" w:sz="0" w:space="0" w:color="auto"/>
                  </w:divBdr>
                  <w:divsChild>
                    <w:div w:id="1483892477">
                      <w:marLeft w:val="0"/>
                      <w:marRight w:val="0"/>
                      <w:marTop w:val="0"/>
                      <w:marBottom w:val="0"/>
                      <w:divBdr>
                        <w:top w:val="none" w:sz="0" w:space="0" w:color="auto"/>
                        <w:left w:val="none" w:sz="0" w:space="0" w:color="auto"/>
                        <w:bottom w:val="none" w:sz="0" w:space="0" w:color="auto"/>
                        <w:right w:val="none" w:sz="0" w:space="0" w:color="auto"/>
                      </w:divBdr>
                    </w:div>
                  </w:divsChild>
                </w:div>
                <w:div w:id="664632246">
                  <w:marLeft w:val="0"/>
                  <w:marRight w:val="0"/>
                  <w:marTop w:val="0"/>
                  <w:marBottom w:val="0"/>
                  <w:divBdr>
                    <w:top w:val="none" w:sz="0" w:space="0" w:color="auto"/>
                    <w:left w:val="none" w:sz="0" w:space="0" w:color="auto"/>
                    <w:bottom w:val="none" w:sz="0" w:space="0" w:color="auto"/>
                    <w:right w:val="none" w:sz="0" w:space="0" w:color="auto"/>
                  </w:divBdr>
                  <w:divsChild>
                    <w:div w:id="1317874215">
                      <w:marLeft w:val="0"/>
                      <w:marRight w:val="0"/>
                      <w:marTop w:val="0"/>
                      <w:marBottom w:val="0"/>
                      <w:divBdr>
                        <w:top w:val="none" w:sz="0" w:space="0" w:color="auto"/>
                        <w:left w:val="none" w:sz="0" w:space="0" w:color="auto"/>
                        <w:bottom w:val="none" w:sz="0" w:space="0" w:color="auto"/>
                        <w:right w:val="none" w:sz="0" w:space="0" w:color="auto"/>
                      </w:divBdr>
                    </w:div>
                  </w:divsChild>
                </w:div>
                <w:div w:id="669799857">
                  <w:marLeft w:val="0"/>
                  <w:marRight w:val="0"/>
                  <w:marTop w:val="0"/>
                  <w:marBottom w:val="0"/>
                  <w:divBdr>
                    <w:top w:val="none" w:sz="0" w:space="0" w:color="auto"/>
                    <w:left w:val="none" w:sz="0" w:space="0" w:color="auto"/>
                    <w:bottom w:val="none" w:sz="0" w:space="0" w:color="auto"/>
                    <w:right w:val="none" w:sz="0" w:space="0" w:color="auto"/>
                  </w:divBdr>
                  <w:divsChild>
                    <w:div w:id="1382360171">
                      <w:marLeft w:val="0"/>
                      <w:marRight w:val="0"/>
                      <w:marTop w:val="0"/>
                      <w:marBottom w:val="0"/>
                      <w:divBdr>
                        <w:top w:val="none" w:sz="0" w:space="0" w:color="auto"/>
                        <w:left w:val="none" w:sz="0" w:space="0" w:color="auto"/>
                        <w:bottom w:val="none" w:sz="0" w:space="0" w:color="auto"/>
                        <w:right w:val="none" w:sz="0" w:space="0" w:color="auto"/>
                      </w:divBdr>
                    </w:div>
                  </w:divsChild>
                </w:div>
                <w:div w:id="671222775">
                  <w:marLeft w:val="0"/>
                  <w:marRight w:val="0"/>
                  <w:marTop w:val="0"/>
                  <w:marBottom w:val="0"/>
                  <w:divBdr>
                    <w:top w:val="none" w:sz="0" w:space="0" w:color="auto"/>
                    <w:left w:val="none" w:sz="0" w:space="0" w:color="auto"/>
                    <w:bottom w:val="none" w:sz="0" w:space="0" w:color="auto"/>
                    <w:right w:val="none" w:sz="0" w:space="0" w:color="auto"/>
                  </w:divBdr>
                  <w:divsChild>
                    <w:div w:id="243227819">
                      <w:marLeft w:val="0"/>
                      <w:marRight w:val="0"/>
                      <w:marTop w:val="0"/>
                      <w:marBottom w:val="0"/>
                      <w:divBdr>
                        <w:top w:val="none" w:sz="0" w:space="0" w:color="auto"/>
                        <w:left w:val="none" w:sz="0" w:space="0" w:color="auto"/>
                        <w:bottom w:val="none" w:sz="0" w:space="0" w:color="auto"/>
                        <w:right w:val="none" w:sz="0" w:space="0" w:color="auto"/>
                      </w:divBdr>
                    </w:div>
                  </w:divsChild>
                </w:div>
                <w:div w:id="677922511">
                  <w:marLeft w:val="0"/>
                  <w:marRight w:val="0"/>
                  <w:marTop w:val="0"/>
                  <w:marBottom w:val="0"/>
                  <w:divBdr>
                    <w:top w:val="none" w:sz="0" w:space="0" w:color="auto"/>
                    <w:left w:val="none" w:sz="0" w:space="0" w:color="auto"/>
                    <w:bottom w:val="none" w:sz="0" w:space="0" w:color="auto"/>
                    <w:right w:val="none" w:sz="0" w:space="0" w:color="auto"/>
                  </w:divBdr>
                  <w:divsChild>
                    <w:div w:id="1729180837">
                      <w:marLeft w:val="0"/>
                      <w:marRight w:val="0"/>
                      <w:marTop w:val="0"/>
                      <w:marBottom w:val="0"/>
                      <w:divBdr>
                        <w:top w:val="none" w:sz="0" w:space="0" w:color="auto"/>
                        <w:left w:val="none" w:sz="0" w:space="0" w:color="auto"/>
                        <w:bottom w:val="none" w:sz="0" w:space="0" w:color="auto"/>
                        <w:right w:val="none" w:sz="0" w:space="0" w:color="auto"/>
                      </w:divBdr>
                    </w:div>
                  </w:divsChild>
                </w:div>
                <w:div w:id="684556084">
                  <w:marLeft w:val="0"/>
                  <w:marRight w:val="0"/>
                  <w:marTop w:val="0"/>
                  <w:marBottom w:val="0"/>
                  <w:divBdr>
                    <w:top w:val="none" w:sz="0" w:space="0" w:color="auto"/>
                    <w:left w:val="none" w:sz="0" w:space="0" w:color="auto"/>
                    <w:bottom w:val="none" w:sz="0" w:space="0" w:color="auto"/>
                    <w:right w:val="none" w:sz="0" w:space="0" w:color="auto"/>
                  </w:divBdr>
                  <w:divsChild>
                    <w:div w:id="1314601886">
                      <w:marLeft w:val="0"/>
                      <w:marRight w:val="0"/>
                      <w:marTop w:val="0"/>
                      <w:marBottom w:val="0"/>
                      <w:divBdr>
                        <w:top w:val="none" w:sz="0" w:space="0" w:color="auto"/>
                        <w:left w:val="none" w:sz="0" w:space="0" w:color="auto"/>
                        <w:bottom w:val="none" w:sz="0" w:space="0" w:color="auto"/>
                        <w:right w:val="none" w:sz="0" w:space="0" w:color="auto"/>
                      </w:divBdr>
                    </w:div>
                  </w:divsChild>
                </w:div>
                <w:div w:id="687482939">
                  <w:marLeft w:val="0"/>
                  <w:marRight w:val="0"/>
                  <w:marTop w:val="0"/>
                  <w:marBottom w:val="0"/>
                  <w:divBdr>
                    <w:top w:val="none" w:sz="0" w:space="0" w:color="auto"/>
                    <w:left w:val="none" w:sz="0" w:space="0" w:color="auto"/>
                    <w:bottom w:val="none" w:sz="0" w:space="0" w:color="auto"/>
                    <w:right w:val="none" w:sz="0" w:space="0" w:color="auto"/>
                  </w:divBdr>
                  <w:divsChild>
                    <w:div w:id="893397066">
                      <w:marLeft w:val="0"/>
                      <w:marRight w:val="0"/>
                      <w:marTop w:val="0"/>
                      <w:marBottom w:val="0"/>
                      <w:divBdr>
                        <w:top w:val="none" w:sz="0" w:space="0" w:color="auto"/>
                        <w:left w:val="none" w:sz="0" w:space="0" w:color="auto"/>
                        <w:bottom w:val="none" w:sz="0" w:space="0" w:color="auto"/>
                        <w:right w:val="none" w:sz="0" w:space="0" w:color="auto"/>
                      </w:divBdr>
                    </w:div>
                  </w:divsChild>
                </w:div>
                <w:div w:id="693310759">
                  <w:marLeft w:val="0"/>
                  <w:marRight w:val="0"/>
                  <w:marTop w:val="0"/>
                  <w:marBottom w:val="0"/>
                  <w:divBdr>
                    <w:top w:val="none" w:sz="0" w:space="0" w:color="auto"/>
                    <w:left w:val="none" w:sz="0" w:space="0" w:color="auto"/>
                    <w:bottom w:val="none" w:sz="0" w:space="0" w:color="auto"/>
                    <w:right w:val="none" w:sz="0" w:space="0" w:color="auto"/>
                  </w:divBdr>
                  <w:divsChild>
                    <w:div w:id="1471096852">
                      <w:marLeft w:val="0"/>
                      <w:marRight w:val="0"/>
                      <w:marTop w:val="0"/>
                      <w:marBottom w:val="0"/>
                      <w:divBdr>
                        <w:top w:val="none" w:sz="0" w:space="0" w:color="auto"/>
                        <w:left w:val="none" w:sz="0" w:space="0" w:color="auto"/>
                        <w:bottom w:val="none" w:sz="0" w:space="0" w:color="auto"/>
                        <w:right w:val="none" w:sz="0" w:space="0" w:color="auto"/>
                      </w:divBdr>
                    </w:div>
                  </w:divsChild>
                </w:div>
                <w:div w:id="702561125">
                  <w:marLeft w:val="0"/>
                  <w:marRight w:val="0"/>
                  <w:marTop w:val="0"/>
                  <w:marBottom w:val="0"/>
                  <w:divBdr>
                    <w:top w:val="none" w:sz="0" w:space="0" w:color="auto"/>
                    <w:left w:val="none" w:sz="0" w:space="0" w:color="auto"/>
                    <w:bottom w:val="none" w:sz="0" w:space="0" w:color="auto"/>
                    <w:right w:val="none" w:sz="0" w:space="0" w:color="auto"/>
                  </w:divBdr>
                  <w:divsChild>
                    <w:div w:id="1251963036">
                      <w:marLeft w:val="0"/>
                      <w:marRight w:val="0"/>
                      <w:marTop w:val="0"/>
                      <w:marBottom w:val="0"/>
                      <w:divBdr>
                        <w:top w:val="none" w:sz="0" w:space="0" w:color="auto"/>
                        <w:left w:val="none" w:sz="0" w:space="0" w:color="auto"/>
                        <w:bottom w:val="none" w:sz="0" w:space="0" w:color="auto"/>
                        <w:right w:val="none" w:sz="0" w:space="0" w:color="auto"/>
                      </w:divBdr>
                    </w:div>
                  </w:divsChild>
                </w:div>
                <w:div w:id="705328731">
                  <w:marLeft w:val="0"/>
                  <w:marRight w:val="0"/>
                  <w:marTop w:val="0"/>
                  <w:marBottom w:val="0"/>
                  <w:divBdr>
                    <w:top w:val="none" w:sz="0" w:space="0" w:color="auto"/>
                    <w:left w:val="none" w:sz="0" w:space="0" w:color="auto"/>
                    <w:bottom w:val="none" w:sz="0" w:space="0" w:color="auto"/>
                    <w:right w:val="none" w:sz="0" w:space="0" w:color="auto"/>
                  </w:divBdr>
                  <w:divsChild>
                    <w:div w:id="1501240410">
                      <w:marLeft w:val="0"/>
                      <w:marRight w:val="0"/>
                      <w:marTop w:val="0"/>
                      <w:marBottom w:val="0"/>
                      <w:divBdr>
                        <w:top w:val="none" w:sz="0" w:space="0" w:color="auto"/>
                        <w:left w:val="none" w:sz="0" w:space="0" w:color="auto"/>
                        <w:bottom w:val="none" w:sz="0" w:space="0" w:color="auto"/>
                        <w:right w:val="none" w:sz="0" w:space="0" w:color="auto"/>
                      </w:divBdr>
                    </w:div>
                  </w:divsChild>
                </w:div>
                <w:div w:id="739016402">
                  <w:marLeft w:val="0"/>
                  <w:marRight w:val="0"/>
                  <w:marTop w:val="0"/>
                  <w:marBottom w:val="0"/>
                  <w:divBdr>
                    <w:top w:val="none" w:sz="0" w:space="0" w:color="auto"/>
                    <w:left w:val="none" w:sz="0" w:space="0" w:color="auto"/>
                    <w:bottom w:val="none" w:sz="0" w:space="0" w:color="auto"/>
                    <w:right w:val="none" w:sz="0" w:space="0" w:color="auto"/>
                  </w:divBdr>
                  <w:divsChild>
                    <w:div w:id="948197787">
                      <w:marLeft w:val="0"/>
                      <w:marRight w:val="0"/>
                      <w:marTop w:val="0"/>
                      <w:marBottom w:val="0"/>
                      <w:divBdr>
                        <w:top w:val="none" w:sz="0" w:space="0" w:color="auto"/>
                        <w:left w:val="none" w:sz="0" w:space="0" w:color="auto"/>
                        <w:bottom w:val="none" w:sz="0" w:space="0" w:color="auto"/>
                        <w:right w:val="none" w:sz="0" w:space="0" w:color="auto"/>
                      </w:divBdr>
                    </w:div>
                  </w:divsChild>
                </w:div>
                <w:div w:id="746727415">
                  <w:marLeft w:val="0"/>
                  <w:marRight w:val="0"/>
                  <w:marTop w:val="0"/>
                  <w:marBottom w:val="0"/>
                  <w:divBdr>
                    <w:top w:val="none" w:sz="0" w:space="0" w:color="auto"/>
                    <w:left w:val="none" w:sz="0" w:space="0" w:color="auto"/>
                    <w:bottom w:val="none" w:sz="0" w:space="0" w:color="auto"/>
                    <w:right w:val="none" w:sz="0" w:space="0" w:color="auto"/>
                  </w:divBdr>
                  <w:divsChild>
                    <w:div w:id="120925472">
                      <w:marLeft w:val="0"/>
                      <w:marRight w:val="0"/>
                      <w:marTop w:val="0"/>
                      <w:marBottom w:val="0"/>
                      <w:divBdr>
                        <w:top w:val="none" w:sz="0" w:space="0" w:color="auto"/>
                        <w:left w:val="none" w:sz="0" w:space="0" w:color="auto"/>
                        <w:bottom w:val="none" w:sz="0" w:space="0" w:color="auto"/>
                        <w:right w:val="none" w:sz="0" w:space="0" w:color="auto"/>
                      </w:divBdr>
                    </w:div>
                  </w:divsChild>
                </w:div>
                <w:div w:id="749960118">
                  <w:marLeft w:val="0"/>
                  <w:marRight w:val="0"/>
                  <w:marTop w:val="0"/>
                  <w:marBottom w:val="0"/>
                  <w:divBdr>
                    <w:top w:val="none" w:sz="0" w:space="0" w:color="auto"/>
                    <w:left w:val="none" w:sz="0" w:space="0" w:color="auto"/>
                    <w:bottom w:val="none" w:sz="0" w:space="0" w:color="auto"/>
                    <w:right w:val="none" w:sz="0" w:space="0" w:color="auto"/>
                  </w:divBdr>
                  <w:divsChild>
                    <w:div w:id="1692796219">
                      <w:marLeft w:val="0"/>
                      <w:marRight w:val="0"/>
                      <w:marTop w:val="0"/>
                      <w:marBottom w:val="0"/>
                      <w:divBdr>
                        <w:top w:val="none" w:sz="0" w:space="0" w:color="auto"/>
                        <w:left w:val="none" w:sz="0" w:space="0" w:color="auto"/>
                        <w:bottom w:val="none" w:sz="0" w:space="0" w:color="auto"/>
                        <w:right w:val="none" w:sz="0" w:space="0" w:color="auto"/>
                      </w:divBdr>
                    </w:div>
                  </w:divsChild>
                </w:div>
                <w:div w:id="802700809">
                  <w:marLeft w:val="0"/>
                  <w:marRight w:val="0"/>
                  <w:marTop w:val="0"/>
                  <w:marBottom w:val="0"/>
                  <w:divBdr>
                    <w:top w:val="none" w:sz="0" w:space="0" w:color="auto"/>
                    <w:left w:val="none" w:sz="0" w:space="0" w:color="auto"/>
                    <w:bottom w:val="none" w:sz="0" w:space="0" w:color="auto"/>
                    <w:right w:val="none" w:sz="0" w:space="0" w:color="auto"/>
                  </w:divBdr>
                  <w:divsChild>
                    <w:div w:id="1465342566">
                      <w:marLeft w:val="0"/>
                      <w:marRight w:val="0"/>
                      <w:marTop w:val="0"/>
                      <w:marBottom w:val="0"/>
                      <w:divBdr>
                        <w:top w:val="none" w:sz="0" w:space="0" w:color="auto"/>
                        <w:left w:val="none" w:sz="0" w:space="0" w:color="auto"/>
                        <w:bottom w:val="none" w:sz="0" w:space="0" w:color="auto"/>
                        <w:right w:val="none" w:sz="0" w:space="0" w:color="auto"/>
                      </w:divBdr>
                    </w:div>
                  </w:divsChild>
                </w:div>
                <w:div w:id="825364476">
                  <w:marLeft w:val="0"/>
                  <w:marRight w:val="0"/>
                  <w:marTop w:val="0"/>
                  <w:marBottom w:val="0"/>
                  <w:divBdr>
                    <w:top w:val="none" w:sz="0" w:space="0" w:color="auto"/>
                    <w:left w:val="none" w:sz="0" w:space="0" w:color="auto"/>
                    <w:bottom w:val="none" w:sz="0" w:space="0" w:color="auto"/>
                    <w:right w:val="none" w:sz="0" w:space="0" w:color="auto"/>
                  </w:divBdr>
                  <w:divsChild>
                    <w:div w:id="1175270795">
                      <w:marLeft w:val="0"/>
                      <w:marRight w:val="0"/>
                      <w:marTop w:val="0"/>
                      <w:marBottom w:val="0"/>
                      <w:divBdr>
                        <w:top w:val="none" w:sz="0" w:space="0" w:color="auto"/>
                        <w:left w:val="none" w:sz="0" w:space="0" w:color="auto"/>
                        <w:bottom w:val="none" w:sz="0" w:space="0" w:color="auto"/>
                        <w:right w:val="none" w:sz="0" w:space="0" w:color="auto"/>
                      </w:divBdr>
                    </w:div>
                  </w:divsChild>
                </w:div>
                <w:div w:id="827745944">
                  <w:marLeft w:val="0"/>
                  <w:marRight w:val="0"/>
                  <w:marTop w:val="0"/>
                  <w:marBottom w:val="0"/>
                  <w:divBdr>
                    <w:top w:val="none" w:sz="0" w:space="0" w:color="auto"/>
                    <w:left w:val="none" w:sz="0" w:space="0" w:color="auto"/>
                    <w:bottom w:val="none" w:sz="0" w:space="0" w:color="auto"/>
                    <w:right w:val="none" w:sz="0" w:space="0" w:color="auto"/>
                  </w:divBdr>
                  <w:divsChild>
                    <w:div w:id="1941793691">
                      <w:marLeft w:val="0"/>
                      <w:marRight w:val="0"/>
                      <w:marTop w:val="0"/>
                      <w:marBottom w:val="0"/>
                      <w:divBdr>
                        <w:top w:val="none" w:sz="0" w:space="0" w:color="auto"/>
                        <w:left w:val="none" w:sz="0" w:space="0" w:color="auto"/>
                        <w:bottom w:val="none" w:sz="0" w:space="0" w:color="auto"/>
                        <w:right w:val="none" w:sz="0" w:space="0" w:color="auto"/>
                      </w:divBdr>
                    </w:div>
                  </w:divsChild>
                </w:div>
                <w:div w:id="827787516">
                  <w:marLeft w:val="0"/>
                  <w:marRight w:val="0"/>
                  <w:marTop w:val="0"/>
                  <w:marBottom w:val="0"/>
                  <w:divBdr>
                    <w:top w:val="none" w:sz="0" w:space="0" w:color="auto"/>
                    <w:left w:val="none" w:sz="0" w:space="0" w:color="auto"/>
                    <w:bottom w:val="none" w:sz="0" w:space="0" w:color="auto"/>
                    <w:right w:val="none" w:sz="0" w:space="0" w:color="auto"/>
                  </w:divBdr>
                  <w:divsChild>
                    <w:div w:id="588538678">
                      <w:marLeft w:val="0"/>
                      <w:marRight w:val="0"/>
                      <w:marTop w:val="0"/>
                      <w:marBottom w:val="0"/>
                      <w:divBdr>
                        <w:top w:val="none" w:sz="0" w:space="0" w:color="auto"/>
                        <w:left w:val="none" w:sz="0" w:space="0" w:color="auto"/>
                        <w:bottom w:val="none" w:sz="0" w:space="0" w:color="auto"/>
                        <w:right w:val="none" w:sz="0" w:space="0" w:color="auto"/>
                      </w:divBdr>
                    </w:div>
                  </w:divsChild>
                </w:div>
                <w:div w:id="837842822">
                  <w:marLeft w:val="0"/>
                  <w:marRight w:val="0"/>
                  <w:marTop w:val="0"/>
                  <w:marBottom w:val="0"/>
                  <w:divBdr>
                    <w:top w:val="none" w:sz="0" w:space="0" w:color="auto"/>
                    <w:left w:val="none" w:sz="0" w:space="0" w:color="auto"/>
                    <w:bottom w:val="none" w:sz="0" w:space="0" w:color="auto"/>
                    <w:right w:val="none" w:sz="0" w:space="0" w:color="auto"/>
                  </w:divBdr>
                  <w:divsChild>
                    <w:div w:id="757487423">
                      <w:marLeft w:val="0"/>
                      <w:marRight w:val="0"/>
                      <w:marTop w:val="0"/>
                      <w:marBottom w:val="0"/>
                      <w:divBdr>
                        <w:top w:val="none" w:sz="0" w:space="0" w:color="auto"/>
                        <w:left w:val="none" w:sz="0" w:space="0" w:color="auto"/>
                        <w:bottom w:val="none" w:sz="0" w:space="0" w:color="auto"/>
                        <w:right w:val="none" w:sz="0" w:space="0" w:color="auto"/>
                      </w:divBdr>
                    </w:div>
                  </w:divsChild>
                </w:div>
                <w:div w:id="844636915">
                  <w:marLeft w:val="0"/>
                  <w:marRight w:val="0"/>
                  <w:marTop w:val="0"/>
                  <w:marBottom w:val="0"/>
                  <w:divBdr>
                    <w:top w:val="none" w:sz="0" w:space="0" w:color="auto"/>
                    <w:left w:val="none" w:sz="0" w:space="0" w:color="auto"/>
                    <w:bottom w:val="none" w:sz="0" w:space="0" w:color="auto"/>
                    <w:right w:val="none" w:sz="0" w:space="0" w:color="auto"/>
                  </w:divBdr>
                  <w:divsChild>
                    <w:div w:id="1839415859">
                      <w:marLeft w:val="0"/>
                      <w:marRight w:val="0"/>
                      <w:marTop w:val="0"/>
                      <w:marBottom w:val="0"/>
                      <w:divBdr>
                        <w:top w:val="none" w:sz="0" w:space="0" w:color="auto"/>
                        <w:left w:val="none" w:sz="0" w:space="0" w:color="auto"/>
                        <w:bottom w:val="none" w:sz="0" w:space="0" w:color="auto"/>
                        <w:right w:val="none" w:sz="0" w:space="0" w:color="auto"/>
                      </w:divBdr>
                    </w:div>
                  </w:divsChild>
                </w:div>
                <w:div w:id="850726293">
                  <w:marLeft w:val="0"/>
                  <w:marRight w:val="0"/>
                  <w:marTop w:val="0"/>
                  <w:marBottom w:val="0"/>
                  <w:divBdr>
                    <w:top w:val="none" w:sz="0" w:space="0" w:color="auto"/>
                    <w:left w:val="none" w:sz="0" w:space="0" w:color="auto"/>
                    <w:bottom w:val="none" w:sz="0" w:space="0" w:color="auto"/>
                    <w:right w:val="none" w:sz="0" w:space="0" w:color="auto"/>
                  </w:divBdr>
                  <w:divsChild>
                    <w:div w:id="1065376739">
                      <w:marLeft w:val="0"/>
                      <w:marRight w:val="0"/>
                      <w:marTop w:val="0"/>
                      <w:marBottom w:val="0"/>
                      <w:divBdr>
                        <w:top w:val="none" w:sz="0" w:space="0" w:color="auto"/>
                        <w:left w:val="none" w:sz="0" w:space="0" w:color="auto"/>
                        <w:bottom w:val="none" w:sz="0" w:space="0" w:color="auto"/>
                        <w:right w:val="none" w:sz="0" w:space="0" w:color="auto"/>
                      </w:divBdr>
                    </w:div>
                  </w:divsChild>
                </w:div>
                <w:div w:id="873932072">
                  <w:marLeft w:val="0"/>
                  <w:marRight w:val="0"/>
                  <w:marTop w:val="0"/>
                  <w:marBottom w:val="0"/>
                  <w:divBdr>
                    <w:top w:val="none" w:sz="0" w:space="0" w:color="auto"/>
                    <w:left w:val="none" w:sz="0" w:space="0" w:color="auto"/>
                    <w:bottom w:val="none" w:sz="0" w:space="0" w:color="auto"/>
                    <w:right w:val="none" w:sz="0" w:space="0" w:color="auto"/>
                  </w:divBdr>
                  <w:divsChild>
                    <w:div w:id="116729420">
                      <w:marLeft w:val="0"/>
                      <w:marRight w:val="0"/>
                      <w:marTop w:val="0"/>
                      <w:marBottom w:val="0"/>
                      <w:divBdr>
                        <w:top w:val="none" w:sz="0" w:space="0" w:color="auto"/>
                        <w:left w:val="none" w:sz="0" w:space="0" w:color="auto"/>
                        <w:bottom w:val="none" w:sz="0" w:space="0" w:color="auto"/>
                        <w:right w:val="none" w:sz="0" w:space="0" w:color="auto"/>
                      </w:divBdr>
                    </w:div>
                  </w:divsChild>
                </w:div>
                <w:div w:id="876162115">
                  <w:marLeft w:val="0"/>
                  <w:marRight w:val="0"/>
                  <w:marTop w:val="0"/>
                  <w:marBottom w:val="0"/>
                  <w:divBdr>
                    <w:top w:val="none" w:sz="0" w:space="0" w:color="auto"/>
                    <w:left w:val="none" w:sz="0" w:space="0" w:color="auto"/>
                    <w:bottom w:val="none" w:sz="0" w:space="0" w:color="auto"/>
                    <w:right w:val="none" w:sz="0" w:space="0" w:color="auto"/>
                  </w:divBdr>
                  <w:divsChild>
                    <w:div w:id="309142942">
                      <w:marLeft w:val="0"/>
                      <w:marRight w:val="0"/>
                      <w:marTop w:val="0"/>
                      <w:marBottom w:val="0"/>
                      <w:divBdr>
                        <w:top w:val="none" w:sz="0" w:space="0" w:color="auto"/>
                        <w:left w:val="none" w:sz="0" w:space="0" w:color="auto"/>
                        <w:bottom w:val="none" w:sz="0" w:space="0" w:color="auto"/>
                        <w:right w:val="none" w:sz="0" w:space="0" w:color="auto"/>
                      </w:divBdr>
                    </w:div>
                  </w:divsChild>
                </w:div>
                <w:div w:id="884948018">
                  <w:marLeft w:val="0"/>
                  <w:marRight w:val="0"/>
                  <w:marTop w:val="0"/>
                  <w:marBottom w:val="0"/>
                  <w:divBdr>
                    <w:top w:val="none" w:sz="0" w:space="0" w:color="auto"/>
                    <w:left w:val="none" w:sz="0" w:space="0" w:color="auto"/>
                    <w:bottom w:val="none" w:sz="0" w:space="0" w:color="auto"/>
                    <w:right w:val="none" w:sz="0" w:space="0" w:color="auto"/>
                  </w:divBdr>
                  <w:divsChild>
                    <w:div w:id="549683000">
                      <w:marLeft w:val="0"/>
                      <w:marRight w:val="0"/>
                      <w:marTop w:val="0"/>
                      <w:marBottom w:val="0"/>
                      <w:divBdr>
                        <w:top w:val="none" w:sz="0" w:space="0" w:color="auto"/>
                        <w:left w:val="none" w:sz="0" w:space="0" w:color="auto"/>
                        <w:bottom w:val="none" w:sz="0" w:space="0" w:color="auto"/>
                        <w:right w:val="none" w:sz="0" w:space="0" w:color="auto"/>
                      </w:divBdr>
                    </w:div>
                  </w:divsChild>
                </w:div>
                <w:div w:id="887182145">
                  <w:marLeft w:val="0"/>
                  <w:marRight w:val="0"/>
                  <w:marTop w:val="0"/>
                  <w:marBottom w:val="0"/>
                  <w:divBdr>
                    <w:top w:val="none" w:sz="0" w:space="0" w:color="auto"/>
                    <w:left w:val="none" w:sz="0" w:space="0" w:color="auto"/>
                    <w:bottom w:val="none" w:sz="0" w:space="0" w:color="auto"/>
                    <w:right w:val="none" w:sz="0" w:space="0" w:color="auto"/>
                  </w:divBdr>
                  <w:divsChild>
                    <w:div w:id="726806666">
                      <w:marLeft w:val="0"/>
                      <w:marRight w:val="0"/>
                      <w:marTop w:val="0"/>
                      <w:marBottom w:val="0"/>
                      <w:divBdr>
                        <w:top w:val="none" w:sz="0" w:space="0" w:color="auto"/>
                        <w:left w:val="none" w:sz="0" w:space="0" w:color="auto"/>
                        <w:bottom w:val="none" w:sz="0" w:space="0" w:color="auto"/>
                        <w:right w:val="none" w:sz="0" w:space="0" w:color="auto"/>
                      </w:divBdr>
                    </w:div>
                  </w:divsChild>
                </w:div>
                <w:div w:id="920605753">
                  <w:marLeft w:val="0"/>
                  <w:marRight w:val="0"/>
                  <w:marTop w:val="0"/>
                  <w:marBottom w:val="0"/>
                  <w:divBdr>
                    <w:top w:val="none" w:sz="0" w:space="0" w:color="auto"/>
                    <w:left w:val="none" w:sz="0" w:space="0" w:color="auto"/>
                    <w:bottom w:val="none" w:sz="0" w:space="0" w:color="auto"/>
                    <w:right w:val="none" w:sz="0" w:space="0" w:color="auto"/>
                  </w:divBdr>
                  <w:divsChild>
                    <w:div w:id="862862735">
                      <w:marLeft w:val="0"/>
                      <w:marRight w:val="0"/>
                      <w:marTop w:val="0"/>
                      <w:marBottom w:val="0"/>
                      <w:divBdr>
                        <w:top w:val="none" w:sz="0" w:space="0" w:color="auto"/>
                        <w:left w:val="none" w:sz="0" w:space="0" w:color="auto"/>
                        <w:bottom w:val="none" w:sz="0" w:space="0" w:color="auto"/>
                        <w:right w:val="none" w:sz="0" w:space="0" w:color="auto"/>
                      </w:divBdr>
                    </w:div>
                  </w:divsChild>
                </w:div>
                <w:div w:id="922685412">
                  <w:marLeft w:val="0"/>
                  <w:marRight w:val="0"/>
                  <w:marTop w:val="0"/>
                  <w:marBottom w:val="0"/>
                  <w:divBdr>
                    <w:top w:val="none" w:sz="0" w:space="0" w:color="auto"/>
                    <w:left w:val="none" w:sz="0" w:space="0" w:color="auto"/>
                    <w:bottom w:val="none" w:sz="0" w:space="0" w:color="auto"/>
                    <w:right w:val="none" w:sz="0" w:space="0" w:color="auto"/>
                  </w:divBdr>
                  <w:divsChild>
                    <w:div w:id="1986860742">
                      <w:marLeft w:val="0"/>
                      <w:marRight w:val="0"/>
                      <w:marTop w:val="0"/>
                      <w:marBottom w:val="0"/>
                      <w:divBdr>
                        <w:top w:val="none" w:sz="0" w:space="0" w:color="auto"/>
                        <w:left w:val="none" w:sz="0" w:space="0" w:color="auto"/>
                        <w:bottom w:val="none" w:sz="0" w:space="0" w:color="auto"/>
                        <w:right w:val="none" w:sz="0" w:space="0" w:color="auto"/>
                      </w:divBdr>
                    </w:div>
                  </w:divsChild>
                </w:div>
                <w:div w:id="931859055">
                  <w:marLeft w:val="0"/>
                  <w:marRight w:val="0"/>
                  <w:marTop w:val="0"/>
                  <w:marBottom w:val="0"/>
                  <w:divBdr>
                    <w:top w:val="none" w:sz="0" w:space="0" w:color="auto"/>
                    <w:left w:val="none" w:sz="0" w:space="0" w:color="auto"/>
                    <w:bottom w:val="none" w:sz="0" w:space="0" w:color="auto"/>
                    <w:right w:val="none" w:sz="0" w:space="0" w:color="auto"/>
                  </w:divBdr>
                  <w:divsChild>
                    <w:div w:id="22022990">
                      <w:marLeft w:val="0"/>
                      <w:marRight w:val="0"/>
                      <w:marTop w:val="0"/>
                      <w:marBottom w:val="0"/>
                      <w:divBdr>
                        <w:top w:val="none" w:sz="0" w:space="0" w:color="auto"/>
                        <w:left w:val="none" w:sz="0" w:space="0" w:color="auto"/>
                        <w:bottom w:val="none" w:sz="0" w:space="0" w:color="auto"/>
                        <w:right w:val="none" w:sz="0" w:space="0" w:color="auto"/>
                      </w:divBdr>
                    </w:div>
                  </w:divsChild>
                </w:div>
                <w:div w:id="932206009">
                  <w:marLeft w:val="0"/>
                  <w:marRight w:val="0"/>
                  <w:marTop w:val="0"/>
                  <w:marBottom w:val="0"/>
                  <w:divBdr>
                    <w:top w:val="none" w:sz="0" w:space="0" w:color="auto"/>
                    <w:left w:val="none" w:sz="0" w:space="0" w:color="auto"/>
                    <w:bottom w:val="none" w:sz="0" w:space="0" w:color="auto"/>
                    <w:right w:val="none" w:sz="0" w:space="0" w:color="auto"/>
                  </w:divBdr>
                  <w:divsChild>
                    <w:div w:id="335110636">
                      <w:marLeft w:val="0"/>
                      <w:marRight w:val="0"/>
                      <w:marTop w:val="0"/>
                      <w:marBottom w:val="0"/>
                      <w:divBdr>
                        <w:top w:val="none" w:sz="0" w:space="0" w:color="auto"/>
                        <w:left w:val="none" w:sz="0" w:space="0" w:color="auto"/>
                        <w:bottom w:val="none" w:sz="0" w:space="0" w:color="auto"/>
                        <w:right w:val="none" w:sz="0" w:space="0" w:color="auto"/>
                      </w:divBdr>
                    </w:div>
                  </w:divsChild>
                </w:div>
                <w:div w:id="935870617">
                  <w:marLeft w:val="0"/>
                  <w:marRight w:val="0"/>
                  <w:marTop w:val="0"/>
                  <w:marBottom w:val="0"/>
                  <w:divBdr>
                    <w:top w:val="none" w:sz="0" w:space="0" w:color="auto"/>
                    <w:left w:val="none" w:sz="0" w:space="0" w:color="auto"/>
                    <w:bottom w:val="none" w:sz="0" w:space="0" w:color="auto"/>
                    <w:right w:val="none" w:sz="0" w:space="0" w:color="auto"/>
                  </w:divBdr>
                  <w:divsChild>
                    <w:div w:id="1902055490">
                      <w:marLeft w:val="0"/>
                      <w:marRight w:val="0"/>
                      <w:marTop w:val="0"/>
                      <w:marBottom w:val="0"/>
                      <w:divBdr>
                        <w:top w:val="none" w:sz="0" w:space="0" w:color="auto"/>
                        <w:left w:val="none" w:sz="0" w:space="0" w:color="auto"/>
                        <w:bottom w:val="none" w:sz="0" w:space="0" w:color="auto"/>
                        <w:right w:val="none" w:sz="0" w:space="0" w:color="auto"/>
                      </w:divBdr>
                    </w:div>
                  </w:divsChild>
                </w:div>
                <w:div w:id="939920357">
                  <w:marLeft w:val="0"/>
                  <w:marRight w:val="0"/>
                  <w:marTop w:val="0"/>
                  <w:marBottom w:val="0"/>
                  <w:divBdr>
                    <w:top w:val="none" w:sz="0" w:space="0" w:color="auto"/>
                    <w:left w:val="none" w:sz="0" w:space="0" w:color="auto"/>
                    <w:bottom w:val="none" w:sz="0" w:space="0" w:color="auto"/>
                    <w:right w:val="none" w:sz="0" w:space="0" w:color="auto"/>
                  </w:divBdr>
                  <w:divsChild>
                    <w:div w:id="542835730">
                      <w:marLeft w:val="0"/>
                      <w:marRight w:val="0"/>
                      <w:marTop w:val="0"/>
                      <w:marBottom w:val="0"/>
                      <w:divBdr>
                        <w:top w:val="none" w:sz="0" w:space="0" w:color="auto"/>
                        <w:left w:val="none" w:sz="0" w:space="0" w:color="auto"/>
                        <w:bottom w:val="none" w:sz="0" w:space="0" w:color="auto"/>
                        <w:right w:val="none" w:sz="0" w:space="0" w:color="auto"/>
                      </w:divBdr>
                    </w:div>
                  </w:divsChild>
                </w:div>
                <w:div w:id="948270505">
                  <w:marLeft w:val="0"/>
                  <w:marRight w:val="0"/>
                  <w:marTop w:val="0"/>
                  <w:marBottom w:val="0"/>
                  <w:divBdr>
                    <w:top w:val="none" w:sz="0" w:space="0" w:color="auto"/>
                    <w:left w:val="none" w:sz="0" w:space="0" w:color="auto"/>
                    <w:bottom w:val="none" w:sz="0" w:space="0" w:color="auto"/>
                    <w:right w:val="none" w:sz="0" w:space="0" w:color="auto"/>
                  </w:divBdr>
                  <w:divsChild>
                    <w:div w:id="1432512878">
                      <w:marLeft w:val="0"/>
                      <w:marRight w:val="0"/>
                      <w:marTop w:val="0"/>
                      <w:marBottom w:val="0"/>
                      <w:divBdr>
                        <w:top w:val="none" w:sz="0" w:space="0" w:color="auto"/>
                        <w:left w:val="none" w:sz="0" w:space="0" w:color="auto"/>
                        <w:bottom w:val="none" w:sz="0" w:space="0" w:color="auto"/>
                        <w:right w:val="none" w:sz="0" w:space="0" w:color="auto"/>
                      </w:divBdr>
                    </w:div>
                  </w:divsChild>
                </w:div>
                <w:div w:id="969240590">
                  <w:marLeft w:val="0"/>
                  <w:marRight w:val="0"/>
                  <w:marTop w:val="0"/>
                  <w:marBottom w:val="0"/>
                  <w:divBdr>
                    <w:top w:val="none" w:sz="0" w:space="0" w:color="auto"/>
                    <w:left w:val="none" w:sz="0" w:space="0" w:color="auto"/>
                    <w:bottom w:val="none" w:sz="0" w:space="0" w:color="auto"/>
                    <w:right w:val="none" w:sz="0" w:space="0" w:color="auto"/>
                  </w:divBdr>
                  <w:divsChild>
                    <w:div w:id="268323079">
                      <w:marLeft w:val="0"/>
                      <w:marRight w:val="0"/>
                      <w:marTop w:val="0"/>
                      <w:marBottom w:val="0"/>
                      <w:divBdr>
                        <w:top w:val="none" w:sz="0" w:space="0" w:color="auto"/>
                        <w:left w:val="none" w:sz="0" w:space="0" w:color="auto"/>
                        <w:bottom w:val="none" w:sz="0" w:space="0" w:color="auto"/>
                        <w:right w:val="none" w:sz="0" w:space="0" w:color="auto"/>
                      </w:divBdr>
                    </w:div>
                  </w:divsChild>
                </w:div>
                <w:div w:id="972367447">
                  <w:marLeft w:val="0"/>
                  <w:marRight w:val="0"/>
                  <w:marTop w:val="0"/>
                  <w:marBottom w:val="0"/>
                  <w:divBdr>
                    <w:top w:val="none" w:sz="0" w:space="0" w:color="auto"/>
                    <w:left w:val="none" w:sz="0" w:space="0" w:color="auto"/>
                    <w:bottom w:val="none" w:sz="0" w:space="0" w:color="auto"/>
                    <w:right w:val="none" w:sz="0" w:space="0" w:color="auto"/>
                  </w:divBdr>
                  <w:divsChild>
                    <w:div w:id="528494510">
                      <w:marLeft w:val="0"/>
                      <w:marRight w:val="0"/>
                      <w:marTop w:val="0"/>
                      <w:marBottom w:val="0"/>
                      <w:divBdr>
                        <w:top w:val="none" w:sz="0" w:space="0" w:color="auto"/>
                        <w:left w:val="none" w:sz="0" w:space="0" w:color="auto"/>
                        <w:bottom w:val="none" w:sz="0" w:space="0" w:color="auto"/>
                        <w:right w:val="none" w:sz="0" w:space="0" w:color="auto"/>
                      </w:divBdr>
                    </w:div>
                  </w:divsChild>
                </w:div>
                <w:div w:id="985357061">
                  <w:marLeft w:val="0"/>
                  <w:marRight w:val="0"/>
                  <w:marTop w:val="0"/>
                  <w:marBottom w:val="0"/>
                  <w:divBdr>
                    <w:top w:val="none" w:sz="0" w:space="0" w:color="auto"/>
                    <w:left w:val="none" w:sz="0" w:space="0" w:color="auto"/>
                    <w:bottom w:val="none" w:sz="0" w:space="0" w:color="auto"/>
                    <w:right w:val="none" w:sz="0" w:space="0" w:color="auto"/>
                  </w:divBdr>
                  <w:divsChild>
                    <w:div w:id="1652827300">
                      <w:marLeft w:val="0"/>
                      <w:marRight w:val="0"/>
                      <w:marTop w:val="0"/>
                      <w:marBottom w:val="0"/>
                      <w:divBdr>
                        <w:top w:val="none" w:sz="0" w:space="0" w:color="auto"/>
                        <w:left w:val="none" w:sz="0" w:space="0" w:color="auto"/>
                        <w:bottom w:val="none" w:sz="0" w:space="0" w:color="auto"/>
                        <w:right w:val="none" w:sz="0" w:space="0" w:color="auto"/>
                      </w:divBdr>
                    </w:div>
                  </w:divsChild>
                </w:div>
                <w:div w:id="990864485">
                  <w:marLeft w:val="0"/>
                  <w:marRight w:val="0"/>
                  <w:marTop w:val="0"/>
                  <w:marBottom w:val="0"/>
                  <w:divBdr>
                    <w:top w:val="none" w:sz="0" w:space="0" w:color="auto"/>
                    <w:left w:val="none" w:sz="0" w:space="0" w:color="auto"/>
                    <w:bottom w:val="none" w:sz="0" w:space="0" w:color="auto"/>
                    <w:right w:val="none" w:sz="0" w:space="0" w:color="auto"/>
                  </w:divBdr>
                  <w:divsChild>
                    <w:div w:id="267739418">
                      <w:marLeft w:val="0"/>
                      <w:marRight w:val="0"/>
                      <w:marTop w:val="0"/>
                      <w:marBottom w:val="0"/>
                      <w:divBdr>
                        <w:top w:val="none" w:sz="0" w:space="0" w:color="auto"/>
                        <w:left w:val="none" w:sz="0" w:space="0" w:color="auto"/>
                        <w:bottom w:val="none" w:sz="0" w:space="0" w:color="auto"/>
                        <w:right w:val="none" w:sz="0" w:space="0" w:color="auto"/>
                      </w:divBdr>
                    </w:div>
                  </w:divsChild>
                </w:div>
                <w:div w:id="995568128">
                  <w:marLeft w:val="0"/>
                  <w:marRight w:val="0"/>
                  <w:marTop w:val="0"/>
                  <w:marBottom w:val="0"/>
                  <w:divBdr>
                    <w:top w:val="none" w:sz="0" w:space="0" w:color="auto"/>
                    <w:left w:val="none" w:sz="0" w:space="0" w:color="auto"/>
                    <w:bottom w:val="none" w:sz="0" w:space="0" w:color="auto"/>
                    <w:right w:val="none" w:sz="0" w:space="0" w:color="auto"/>
                  </w:divBdr>
                  <w:divsChild>
                    <w:div w:id="607273156">
                      <w:marLeft w:val="0"/>
                      <w:marRight w:val="0"/>
                      <w:marTop w:val="0"/>
                      <w:marBottom w:val="0"/>
                      <w:divBdr>
                        <w:top w:val="none" w:sz="0" w:space="0" w:color="auto"/>
                        <w:left w:val="none" w:sz="0" w:space="0" w:color="auto"/>
                        <w:bottom w:val="none" w:sz="0" w:space="0" w:color="auto"/>
                        <w:right w:val="none" w:sz="0" w:space="0" w:color="auto"/>
                      </w:divBdr>
                    </w:div>
                  </w:divsChild>
                </w:div>
                <w:div w:id="996765336">
                  <w:marLeft w:val="0"/>
                  <w:marRight w:val="0"/>
                  <w:marTop w:val="0"/>
                  <w:marBottom w:val="0"/>
                  <w:divBdr>
                    <w:top w:val="none" w:sz="0" w:space="0" w:color="auto"/>
                    <w:left w:val="none" w:sz="0" w:space="0" w:color="auto"/>
                    <w:bottom w:val="none" w:sz="0" w:space="0" w:color="auto"/>
                    <w:right w:val="none" w:sz="0" w:space="0" w:color="auto"/>
                  </w:divBdr>
                  <w:divsChild>
                    <w:div w:id="753353988">
                      <w:marLeft w:val="0"/>
                      <w:marRight w:val="0"/>
                      <w:marTop w:val="0"/>
                      <w:marBottom w:val="0"/>
                      <w:divBdr>
                        <w:top w:val="none" w:sz="0" w:space="0" w:color="auto"/>
                        <w:left w:val="none" w:sz="0" w:space="0" w:color="auto"/>
                        <w:bottom w:val="none" w:sz="0" w:space="0" w:color="auto"/>
                        <w:right w:val="none" w:sz="0" w:space="0" w:color="auto"/>
                      </w:divBdr>
                    </w:div>
                  </w:divsChild>
                </w:div>
                <w:div w:id="1017922196">
                  <w:marLeft w:val="0"/>
                  <w:marRight w:val="0"/>
                  <w:marTop w:val="0"/>
                  <w:marBottom w:val="0"/>
                  <w:divBdr>
                    <w:top w:val="none" w:sz="0" w:space="0" w:color="auto"/>
                    <w:left w:val="none" w:sz="0" w:space="0" w:color="auto"/>
                    <w:bottom w:val="none" w:sz="0" w:space="0" w:color="auto"/>
                    <w:right w:val="none" w:sz="0" w:space="0" w:color="auto"/>
                  </w:divBdr>
                  <w:divsChild>
                    <w:div w:id="866874651">
                      <w:marLeft w:val="0"/>
                      <w:marRight w:val="0"/>
                      <w:marTop w:val="0"/>
                      <w:marBottom w:val="0"/>
                      <w:divBdr>
                        <w:top w:val="none" w:sz="0" w:space="0" w:color="auto"/>
                        <w:left w:val="none" w:sz="0" w:space="0" w:color="auto"/>
                        <w:bottom w:val="none" w:sz="0" w:space="0" w:color="auto"/>
                        <w:right w:val="none" w:sz="0" w:space="0" w:color="auto"/>
                      </w:divBdr>
                    </w:div>
                  </w:divsChild>
                </w:div>
                <w:div w:id="1021131372">
                  <w:marLeft w:val="0"/>
                  <w:marRight w:val="0"/>
                  <w:marTop w:val="0"/>
                  <w:marBottom w:val="0"/>
                  <w:divBdr>
                    <w:top w:val="none" w:sz="0" w:space="0" w:color="auto"/>
                    <w:left w:val="none" w:sz="0" w:space="0" w:color="auto"/>
                    <w:bottom w:val="none" w:sz="0" w:space="0" w:color="auto"/>
                    <w:right w:val="none" w:sz="0" w:space="0" w:color="auto"/>
                  </w:divBdr>
                  <w:divsChild>
                    <w:div w:id="2017921670">
                      <w:marLeft w:val="0"/>
                      <w:marRight w:val="0"/>
                      <w:marTop w:val="0"/>
                      <w:marBottom w:val="0"/>
                      <w:divBdr>
                        <w:top w:val="none" w:sz="0" w:space="0" w:color="auto"/>
                        <w:left w:val="none" w:sz="0" w:space="0" w:color="auto"/>
                        <w:bottom w:val="none" w:sz="0" w:space="0" w:color="auto"/>
                        <w:right w:val="none" w:sz="0" w:space="0" w:color="auto"/>
                      </w:divBdr>
                    </w:div>
                  </w:divsChild>
                </w:div>
                <w:div w:id="1028457822">
                  <w:marLeft w:val="0"/>
                  <w:marRight w:val="0"/>
                  <w:marTop w:val="0"/>
                  <w:marBottom w:val="0"/>
                  <w:divBdr>
                    <w:top w:val="none" w:sz="0" w:space="0" w:color="auto"/>
                    <w:left w:val="none" w:sz="0" w:space="0" w:color="auto"/>
                    <w:bottom w:val="none" w:sz="0" w:space="0" w:color="auto"/>
                    <w:right w:val="none" w:sz="0" w:space="0" w:color="auto"/>
                  </w:divBdr>
                  <w:divsChild>
                    <w:div w:id="1133057994">
                      <w:marLeft w:val="0"/>
                      <w:marRight w:val="0"/>
                      <w:marTop w:val="0"/>
                      <w:marBottom w:val="0"/>
                      <w:divBdr>
                        <w:top w:val="none" w:sz="0" w:space="0" w:color="auto"/>
                        <w:left w:val="none" w:sz="0" w:space="0" w:color="auto"/>
                        <w:bottom w:val="none" w:sz="0" w:space="0" w:color="auto"/>
                        <w:right w:val="none" w:sz="0" w:space="0" w:color="auto"/>
                      </w:divBdr>
                    </w:div>
                  </w:divsChild>
                </w:div>
                <w:div w:id="1032270576">
                  <w:marLeft w:val="0"/>
                  <w:marRight w:val="0"/>
                  <w:marTop w:val="0"/>
                  <w:marBottom w:val="0"/>
                  <w:divBdr>
                    <w:top w:val="none" w:sz="0" w:space="0" w:color="auto"/>
                    <w:left w:val="none" w:sz="0" w:space="0" w:color="auto"/>
                    <w:bottom w:val="none" w:sz="0" w:space="0" w:color="auto"/>
                    <w:right w:val="none" w:sz="0" w:space="0" w:color="auto"/>
                  </w:divBdr>
                  <w:divsChild>
                    <w:div w:id="1282806293">
                      <w:marLeft w:val="0"/>
                      <w:marRight w:val="0"/>
                      <w:marTop w:val="0"/>
                      <w:marBottom w:val="0"/>
                      <w:divBdr>
                        <w:top w:val="none" w:sz="0" w:space="0" w:color="auto"/>
                        <w:left w:val="none" w:sz="0" w:space="0" w:color="auto"/>
                        <w:bottom w:val="none" w:sz="0" w:space="0" w:color="auto"/>
                        <w:right w:val="none" w:sz="0" w:space="0" w:color="auto"/>
                      </w:divBdr>
                    </w:div>
                  </w:divsChild>
                </w:div>
                <w:div w:id="1065033183">
                  <w:marLeft w:val="0"/>
                  <w:marRight w:val="0"/>
                  <w:marTop w:val="0"/>
                  <w:marBottom w:val="0"/>
                  <w:divBdr>
                    <w:top w:val="none" w:sz="0" w:space="0" w:color="auto"/>
                    <w:left w:val="none" w:sz="0" w:space="0" w:color="auto"/>
                    <w:bottom w:val="none" w:sz="0" w:space="0" w:color="auto"/>
                    <w:right w:val="none" w:sz="0" w:space="0" w:color="auto"/>
                  </w:divBdr>
                  <w:divsChild>
                    <w:div w:id="1898541819">
                      <w:marLeft w:val="0"/>
                      <w:marRight w:val="0"/>
                      <w:marTop w:val="0"/>
                      <w:marBottom w:val="0"/>
                      <w:divBdr>
                        <w:top w:val="none" w:sz="0" w:space="0" w:color="auto"/>
                        <w:left w:val="none" w:sz="0" w:space="0" w:color="auto"/>
                        <w:bottom w:val="none" w:sz="0" w:space="0" w:color="auto"/>
                        <w:right w:val="none" w:sz="0" w:space="0" w:color="auto"/>
                      </w:divBdr>
                    </w:div>
                  </w:divsChild>
                </w:div>
                <w:div w:id="1066028532">
                  <w:marLeft w:val="0"/>
                  <w:marRight w:val="0"/>
                  <w:marTop w:val="0"/>
                  <w:marBottom w:val="0"/>
                  <w:divBdr>
                    <w:top w:val="none" w:sz="0" w:space="0" w:color="auto"/>
                    <w:left w:val="none" w:sz="0" w:space="0" w:color="auto"/>
                    <w:bottom w:val="none" w:sz="0" w:space="0" w:color="auto"/>
                    <w:right w:val="none" w:sz="0" w:space="0" w:color="auto"/>
                  </w:divBdr>
                  <w:divsChild>
                    <w:div w:id="293566020">
                      <w:marLeft w:val="0"/>
                      <w:marRight w:val="0"/>
                      <w:marTop w:val="0"/>
                      <w:marBottom w:val="0"/>
                      <w:divBdr>
                        <w:top w:val="none" w:sz="0" w:space="0" w:color="auto"/>
                        <w:left w:val="none" w:sz="0" w:space="0" w:color="auto"/>
                        <w:bottom w:val="none" w:sz="0" w:space="0" w:color="auto"/>
                        <w:right w:val="none" w:sz="0" w:space="0" w:color="auto"/>
                      </w:divBdr>
                    </w:div>
                  </w:divsChild>
                </w:div>
                <w:div w:id="1066688034">
                  <w:marLeft w:val="0"/>
                  <w:marRight w:val="0"/>
                  <w:marTop w:val="0"/>
                  <w:marBottom w:val="0"/>
                  <w:divBdr>
                    <w:top w:val="none" w:sz="0" w:space="0" w:color="auto"/>
                    <w:left w:val="none" w:sz="0" w:space="0" w:color="auto"/>
                    <w:bottom w:val="none" w:sz="0" w:space="0" w:color="auto"/>
                    <w:right w:val="none" w:sz="0" w:space="0" w:color="auto"/>
                  </w:divBdr>
                  <w:divsChild>
                    <w:div w:id="1962686192">
                      <w:marLeft w:val="0"/>
                      <w:marRight w:val="0"/>
                      <w:marTop w:val="0"/>
                      <w:marBottom w:val="0"/>
                      <w:divBdr>
                        <w:top w:val="none" w:sz="0" w:space="0" w:color="auto"/>
                        <w:left w:val="none" w:sz="0" w:space="0" w:color="auto"/>
                        <w:bottom w:val="none" w:sz="0" w:space="0" w:color="auto"/>
                        <w:right w:val="none" w:sz="0" w:space="0" w:color="auto"/>
                      </w:divBdr>
                    </w:div>
                  </w:divsChild>
                </w:div>
                <w:div w:id="1099105889">
                  <w:marLeft w:val="0"/>
                  <w:marRight w:val="0"/>
                  <w:marTop w:val="0"/>
                  <w:marBottom w:val="0"/>
                  <w:divBdr>
                    <w:top w:val="none" w:sz="0" w:space="0" w:color="auto"/>
                    <w:left w:val="none" w:sz="0" w:space="0" w:color="auto"/>
                    <w:bottom w:val="none" w:sz="0" w:space="0" w:color="auto"/>
                    <w:right w:val="none" w:sz="0" w:space="0" w:color="auto"/>
                  </w:divBdr>
                  <w:divsChild>
                    <w:div w:id="409615773">
                      <w:marLeft w:val="0"/>
                      <w:marRight w:val="0"/>
                      <w:marTop w:val="0"/>
                      <w:marBottom w:val="0"/>
                      <w:divBdr>
                        <w:top w:val="none" w:sz="0" w:space="0" w:color="auto"/>
                        <w:left w:val="none" w:sz="0" w:space="0" w:color="auto"/>
                        <w:bottom w:val="none" w:sz="0" w:space="0" w:color="auto"/>
                        <w:right w:val="none" w:sz="0" w:space="0" w:color="auto"/>
                      </w:divBdr>
                    </w:div>
                  </w:divsChild>
                </w:div>
                <w:div w:id="1100100350">
                  <w:marLeft w:val="0"/>
                  <w:marRight w:val="0"/>
                  <w:marTop w:val="0"/>
                  <w:marBottom w:val="0"/>
                  <w:divBdr>
                    <w:top w:val="none" w:sz="0" w:space="0" w:color="auto"/>
                    <w:left w:val="none" w:sz="0" w:space="0" w:color="auto"/>
                    <w:bottom w:val="none" w:sz="0" w:space="0" w:color="auto"/>
                    <w:right w:val="none" w:sz="0" w:space="0" w:color="auto"/>
                  </w:divBdr>
                  <w:divsChild>
                    <w:div w:id="1552882158">
                      <w:marLeft w:val="0"/>
                      <w:marRight w:val="0"/>
                      <w:marTop w:val="0"/>
                      <w:marBottom w:val="0"/>
                      <w:divBdr>
                        <w:top w:val="none" w:sz="0" w:space="0" w:color="auto"/>
                        <w:left w:val="none" w:sz="0" w:space="0" w:color="auto"/>
                        <w:bottom w:val="none" w:sz="0" w:space="0" w:color="auto"/>
                        <w:right w:val="none" w:sz="0" w:space="0" w:color="auto"/>
                      </w:divBdr>
                    </w:div>
                  </w:divsChild>
                </w:div>
                <w:div w:id="1103572892">
                  <w:marLeft w:val="0"/>
                  <w:marRight w:val="0"/>
                  <w:marTop w:val="0"/>
                  <w:marBottom w:val="0"/>
                  <w:divBdr>
                    <w:top w:val="none" w:sz="0" w:space="0" w:color="auto"/>
                    <w:left w:val="none" w:sz="0" w:space="0" w:color="auto"/>
                    <w:bottom w:val="none" w:sz="0" w:space="0" w:color="auto"/>
                    <w:right w:val="none" w:sz="0" w:space="0" w:color="auto"/>
                  </w:divBdr>
                  <w:divsChild>
                    <w:div w:id="1413315034">
                      <w:marLeft w:val="0"/>
                      <w:marRight w:val="0"/>
                      <w:marTop w:val="0"/>
                      <w:marBottom w:val="0"/>
                      <w:divBdr>
                        <w:top w:val="none" w:sz="0" w:space="0" w:color="auto"/>
                        <w:left w:val="none" w:sz="0" w:space="0" w:color="auto"/>
                        <w:bottom w:val="none" w:sz="0" w:space="0" w:color="auto"/>
                        <w:right w:val="none" w:sz="0" w:space="0" w:color="auto"/>
                      </w:divBdr>
                    </w:div>
                  </w:divsChild>
                </w:div>
                <w:div w:id="1105462509">
                  <w:marLeft w:val="0"/>
                  <w:marRight w:val="0"/>
                  <w:marTop w:val="0"/>
                  <w:marBottom w:val="0"/>
                  <w:divBdr>
                    <w:top w:val="none" w:sz="0" w:space="0" w:color="auto"/>
                    <w:left w:val="none" w:sz="0" w:space="0" w:color="auto"/>
                    <w:bottom w:val="none" w:sz="0" w:space="0" w:color="auto"/>
                    <w:right w:val="none" w:sz="0" w:space="0" w:color="auto"/>
                  </w:divBdr>
                  <w:divsChild>
                    <w:div w:id="525757012">
                      <w:marLeft w:val="0"/>
                      <w:marRight w:val="0"/>
                      <w:marTop w:val="0"/>
                      <w:marBottom w:val="0"/>
                      <w:divBdr>
                        <w:top w:val="none" w:sz="0" w:space="0" w:color="auto"/>
                        <w:left w:val="none" w:sz="0" w:space="0" w:color="auto"/>
                        <w:bottom w:val="none" w:sz="0" w:space="0" w:color="auto"/>
                        <w:right w:val="none" w:sz="0" w:space="0" w:color="auto"/>
                      </w:divBdr>
                    </w:div>
                  </w:divsChild>
                </w:div>
                <w:div w:id="1125197225">
                  <w:marLeft w:val="0"/>
                  <w:marRight w:val="0"/>
                  <w:marTop w:val="0"/>
                  <w:marBottom w:val="0"/>
                  <w:divBdr>
                    <w:top w:val="none" w:sz="0" w:space="0" w:color="auto"/>
                    <w:left w:val="none" w:sz="0" w:space="0" w:color="auto"/>
                    <w:bottom w:val="none" w:sz="0" w:space="0" w:color="auto"/>
                    <w:right w:val="none" w:sz="0" w:space="0" w:color="auto"/>
                  </w:divBdr>
                  <w:divsChild>
                    <w:div w:id="1215504081">
                      <w:marLeft w:val="0"/>
                      <w:marRight w:val="0"/>
                      <w:marTop w:val="0"/>
                      <w:marBottom w:val="0"/>
                      <w:divBdr>
                        <w:top w:val="none" w:sz="0" w:space="0" w:color="auto"/>
                        <w:left w:val="none" w:sz="0" w:space="0" w:color="auto"/>
                        <w:bottom w:val="none" w:sz="0" w:space="0" w:color="auto"/>
                        <w:right w:val="none" w:sz="0" w:space="0" w:color="auto"/>
                      </w:divBdr>
                    </w:div>
                  </w:divsChild>
                </w:div>
                <w:div w:id="1125465290">
                  <w:marLeft w:val="0"/>
                  <w:marRight w:val="0"/>
                  <w:marTop w:val="0"/>
                  <w:marBottom w:val="0"/>
                  <w:divBdr>
                    <w:top w:val="none" w:sz="0" w:space="0" w:color="auto"/>
                    <w:left w:val="none" w:sz="0" w:space="0" w:color="auto"/>
                    <w:bottom w:val="none" w:sz="0" w:space="0" w:color="auto"/>
                    <w:right w:val="none" w:sz="0" w:space="0" w:color="auto"/>
                  </w:divBdr>
                  <w:divsChild>
                    <w:div w:id="2023898658">
                      <w:marLeft w:val="0"/>
                      <w:marRight w:val="0"/>
                      <w:marTop w:val="0"/>
                      <w:marBottom w:val="0"/>
                      <w:divBdr>
                        <w:top w:val="none" w:sz="0" w:space="0" w:color="auto"/>
                        <w:left w:val="none" w:sz="0" w:space="0" w:color="auto"/>
                        <w:bottom w:val="none" w:sz="0" w:space="0" w:color="auto"/>
                        <w:right w:val="none" w:sz="0" w:space="0" w:color="auto"/>
                      </w:divBdr>
                    </w:div>
                  </w:divsChild>
                </w:div>
                <w:div w:id="1127356857">
                  <w:marLeft w:val="0"/>
                  <w:marRight w:val="0"/>
                  <w:marTop w:val="0"/>
                  <w:marBottom w:val="0"/>
                  <w:divBdr>
                    <w:top w:val="none" w:sz="0" w:space="0" w:color="auto"/>
                    <w:left w:val="none" w:sz="0" w:space="0" w:color="auto"/>
                    <w:bottom w:val="none" w:sz="0" w:space="0" w:color="auto"/>
                    <w:right w:val="none" w:sz="0" w:space="0" w:color="auto"/>
                  </w:divBdr>
                  <w:divsChild>
                    <w:div w:id="783115176">
                      <w:marLeft w:val="0"/>
                      <w:marRight w:val="0"/>
                      <w:marTop w:val="0"/>
                      <w:marBottom w:val="0"/>
                      <w:divBdr>
                        <w:top w:val="none" w:sz="0" w:space="0" w:color="auto"/>
                        <w:left w:val="none" w:sz="0" w:space="0" w:color="auto"/>
                        <w:bottom w:val="none" w:sz="0" w:space="0" w:color="auto"/>
                        <w:right w:val="none" w:sz="0" w:space="0" w:color="auto"/>
                      </w:divBdr>
                    </w:div>
                  </w:divsChild>
                </w:div>
                <w:div w:id="1144657979">
                  <w:marLeft w:val="0"/>
                  <w:marRight w:val="0"/>
                  <w:marTop w:val="0"/>
                  <w:marBottom w:val="0"/>
                  <w:divBdr>
                    <w:top w:val="none" w:sz="0" w:space="0" w:color="auto"/>
                    <w:left w:val="none" w:sz="0" w:space="0" w:color="auto"/>
                    <w:bottom w:val="none" w:sz="0" w:space="0" w:color="auto"/>
                    <w:right w:val="none" w:sz="0" w:space="0" w:color="auto"/>
                  </w:divBdr>
                  <w:divsChild>
                    <w:div w:id="362826282">
                      <w:marLeft w:val="0"/>
                      <w:marRight w:val="0"/>
                      <w:marTop w:val="0"/>
                      <w:marBottom w:val="0"/>
                      <w:divBdr>
                        <w:top w:val="none" w:sz="0" w:space="0" w:color="auto"/>
                        <w:left w:val="none" w:sz="0" w:space="0" w:color="auto"/>
                        <w:bottom w:val="none" w:sz="0" w:space="0" w:color="auto"/>
                        <w:right w:val="none" w:sz="0" w:space="0" w:color="auto"/>
                      </w:divBdr>
                    </w:div>
                  </w:divsChild>
                </w:div>
                <w:div w:id="1162509623">
                  <w:marLeft w:val="0"/>
                  <w:marRight w:val="0"/>
                  <w:marTop w:val="0"/>
                  <w:marBottom w:val="0"/>
                  <w:divBdr>
                    <w:top w:val="none" w:sz="0" w:space="0" w:color="auto"/>
                    <w:left w:val="none" w:sz="0" w:space="0" w:color="auto"/>
                    <w:bottom w:val="none" w:sz="0" w:space="0" w:color="auto"/>
                    <w:right w:val="none" w:sz="0" w:space="0" w:color="auto"/>
                  </w:divBdr>
                  <w:divsChild>
                    <w:div w:id="280721365">
                      <w:marLeft w:val="0"/>
                      <w:marRight w:val="0"/>
                      <w:marTop w:val="0"/>
                      <w:marBottom w:val="0"/>
                      <w:divBdr>
                        <w:top w:val="none" w:sz="0" w:space="0" w:color="auto"/>
                        <w:left w:val="none" w:sz="0" w:space="0" w:color="auto"/>
                        <w:bottom w:val="none" w:sz="0" w:space="0" w:color="auto"/>
                        <w:right w:val="none" w:sz="0" w:space="0" w:color="auto"/>
                      </w:divBdr>
                    </w:div>
                  </w:divsChild>
                </w:div>
                <w:div w:id="1170099845">
                  <w:marLeft w:val="0"/>
                  <w:marRight w:val="0"/>
                  <w:marTop w:val="0"/>
                  <w:marBottom w:val="0"/>
                  <w:divBdr>
                    <w:top w:val="none" w:sz="0" w:space="0" w:color="auto"/>
                    <w:left w:val="none" w:sz="0" w:space="0" w:color="auto"/>
                    <w:bottom w:val="none" w:sz="0" w:space="0" w:color="auto"/>
                    <w:right w:val="none" w:sz="0" w:space="0" w:color="auto"/>
                  </w:divBdr>
                  <w:divsChild>
                    <w:div w:id="872620596">
                      <w:marLeft w:val="0"/>
                      <w:marRight w:val="0"/>
                      <w:marTop w:val="0"/>
                      <w:marBottom w:val="0"/>
                      <w:divBdr>
                        <w:top w:val="none" w:sz="0" w:space="0" w:color="auto"/>
                        <w:left w:val="none" w:sz="0" w:space="0" w:color="auto"/>
                        <w:bottom w:val="none" w:sz="0" w:space="0" w:color="auto"/>
                        <w:right w:val="none" w:sz="0" w:space="0" w:color="auto"/>
                      </w:divBdr>
                    </w:div>
                  </w:divsChild>
                </w:div>
                <w:div w:id="1181818920">
                  <w:marLeft w:val="0"/>
                  <w:marRight w:val="0"/>
                  <w:marTop w:val="0"/>
                  <w:marBottom w:val="0"/>
                  <w:divBdr>
                    <w:top w:val="none" w:sz="0" w:space="0" w:color="auto"/>
                    <w:left w:val="none" w:sz="0" w:space="0" w:color="auto"/>
                    <w:bottom w:val="none" w:sz="0" w:space="0" w:color="auto"/>
                    <w:right w:val="none" w:sz="0" w:space="0" w:color="auto"/>
                  </w:divBdr>
                  <w:divsChild>
                    <w:div w:id="850411610">
                      <w:marLeft w:val="0"/>
                      <w:marRight w:val="0"/>
                      <w:marTop w:val="0"/>
                      <w:marBottom w:val="0"/>
                      <w:divBdr>
                        <w:top w:val="none" w:sz="0" w:space="0" w:color="auto"/>
                        <w:left w:val="none" w:sz="0" w:space="0" w:color="auto"/>
                        <w:bottom w:val="none" w:sz="0" w:space="0" w:color="auto"/>
                        <w:right w:val="none" w:sz="0" w:space="0" w:color="auto"/>
                      </w:divBdr>
                    </w:div>
                  </w:divsChild>
                </w:div>
                <w:div w:id="1195656741">
                  <w:marLeft w:val="0"/>
                  <w:marRight w:val="0"/>
                  <w:marTop w:val="0"/>
                  <w:marBottom w:val="0"/>
                  <w:divBdr>
                    <w:top w:val="none" w:sz="0" w:space="0" w:color="auto"/>
                    <w:left w:val="none" w:sz="0" w:space="0" w:color="auto"/>
                    <w:bottom w:val="none" w:sz="0" w:space="0" w:color="auto"/>
                    <w:right w:val="none" w:sz="0" w:space="0" w:color="auto"/>
                  </w:divBdr>
                  <w:divsChild>
                    <w:div w:id="1140224480">
                      <w:marLeft w:val="0"/>
                      <w:marRight w:val="0"/>
                      <w:marTop w:val="0"/>
                      <w:marBottom w:val="0"/>
                      <w:divBdr>
                        <w:top w:val="none" w:sz="0" w:space="0" w:color="auto"/>
                        <w:left w:val="none" w:sz="0" w:space="0" w:color="auto"/>
                        <w:bottom w:val="none" w:sz="0" w:space="0" w:color="auto"/>
                        <w:right w:val="none" w:sz="0" w:space="0" w:color="auto"/>
                      </w:divBdr>
                    </w:div>
                  </w:divsChild>
                </w:div>
                <w:div w:id="1214659868">
                  <w:marLeft w:val="0"/>
                  <w:marRight w:val="0"/>
                  <w:marTop w:val="0"/>
                  <w:marBottom w:val="0"/>
                  <w:divBdr>
                    <w:top w:val="none" w:sz="0" w:space="0" w:color="auto"/>
                    <w:left w:val="none" w:sz="0" w:space="0" w:color="auto"/>
                    <w:bottom w:val="none" w:sz="0" w:space="0" w:color="auto"/>
                    <w:right w:val="none" w:sz="0" w:space="0" w:color="auto"/>
                  </w:divBdr>
                  <w:divsChild>
                    <w:div w:id="990985202">
                      <w:marLeft w:val="0"/>
                      <w:marRight w:val="0"/>
                      <w:marTop w:val="0"/>
                      <w:marBottom w:val="0"/>
                      <w:divBdr>
                        <w:top w:val="none" w:sz="0" w:space="0" w:color="auto"/>
                        <w:left w:val="none" w:sz="0" w:space="0" w:color="auto"/>
                        <w:bottom w:val="none" w:sz="0" w:space="0" w:color="auto"/>
                        <w:right w:val="none" w:sz="0" w:space="0" w:color="auto"/>
                      </w:divBdr>
                    </w:div>
                  </w:divsChild>
                </w:div>
                <w:div w:id="1238399299">
                  <w:marLeft w:val="0"/>
                  <w:marRight w:val="0"/>
                  <w:marTop w:val="0"/>
                  <w:marBottom w:val="0"/>
                  <w:divBdr>
                    <w:top w:val="none" w:sz="0" w:space="0" w:color="auto"/>
                    <w:left w:val="none" w:sz="0" w:space="0" w:color="auto"/>
                    <w:bottom w:val="none" w:sz="0" w:space="0" w:color="auto"/>
                    <w:right w:val="none" w:sz="0" w:space="0" w:color="auto"/>
                  </w:divBdr>
                  <w:divsChild>
                    <w:div w:id="675159170">
                      <w:marLeft w:val="0"/>
                      <w:marRight w:val="0"/>
                      <w:marTop w:val="0"/>
                      <w:marBottom w:val="0"/>
                      <w:divBdr>
                        <w:top w:val="none" w:sz="0" w:space="0" w:color="auto"/>
                        <w:left w:val="none" w:sz="0" w:space="0" w:color="auto"/>
                        <w:bottom w:val="none" w:sz="0" w:space="0" w:color="auto"/>
                        <w:right w:val="none" w:sz="0" w:space="0" w:color="auto"/>
                      </w:divBdr>
                    </w:div>
                  </w:divsChild>
                </w:div>
                <w:div w:id="1238980922">
                  <w:marLeft w:val="0"/>
                  <w:marRight w:val="0"/>
                  <w:marTop w:val="0"/>
                  <w:marBottom w:val="0"/>
                  <w:divBdr>
                    <w:top w:val="none" w:sz="0" w:space="0" w:color="auto"/>
                    <w:left w:val="none" w:sz="0" w:space="0" w:color="auto"/>
                    <w:bottom w:val="none" w:sz="0" w:space="0" w:color="auto"/>
                    <w:right w:val="none" w:sz="0" w:space="0" w:color="auto"/>
                  </w:divBdr>
                  <w:divsChild>
                    <w:div w:id="1815561826">
                      <w:marLeft w:val="0"/>
                      <w:marRight w:val="0"/>
                      <w:marTop w:val="0"/>
                      <w:marBottom w:val="0"/>
                      <w:divBdr>
                        <w:top w:val="none" w:sz="0" w:space="0" w:color="auto"/>
                        <w:left w:val="none" w:sz="0" w:space="0" w:color="auto"/>
                        <w:bottom w:val="none" w:sz="0" w:space="0" w:color="auto"/>
                        <w:right w:val="none" w:sz="0" w:space="0" w:color="auto"/>
                      </w:divBdr>
                    </w:div>
                  </w:divsChild>
                </w:div>
                <w:div w:id="1248226583">
                  <w:marLeft w:val="0"/>
                  <w:marRight w:val="0"/>
                  <w:marTop w:val="0"/>
                  <w:marBottom w:val="0"/>
                  <w:divBdr>
                    <w:top w:val="none" w:sz="0" w:space="0" w:color="auto"/>
                    <w:left w:val="none" w:sz="0" w:space="0" w:color="auto"/>
                    <w:bottom w:val="none" w:sz="0" w:space="0" w:color="auto"/>
                    <w:right w:val="none" w:sz="0" w:space="0" w:color="auto"/>
                  </w:divBdr>
                  <w:divsChild>
                    <w:div w:id="1455170601">
                      <w:marLeft w:val="0"/>
                      <w:marRight w:val="0"/>
                      <w:marTop w:val="0"/>
                      <w:marBottom w:val="0"/>
                      <w:divBdr>
                        <w:top w:val="none" w:sz="0" w:space="0" w:color="auto"/>
                        <w:left w:val="none" w:sz="0" w:space="0" w:color="auto"/>
                        <w:bottom w:val="none" w:sz="0" w:space="0" w:color="auto"/>
                        <w:right w:val="none" w:sz="0" w:space="0" w:color="auto"/>
                      </w:divBdr>
                    </w:div>
                  </w:divsChild>
                </w:div>
                <w:div w:id="1268928633">
                  <w:marLeft w:val="0"/>
                  <w:marRight w:val="0"/>
                  <w:marTop w:val="0"/>
                  <w:marBottom w:val="0"/>
                  <w:divBdr>
                    <w:top w:val="none" w:sz="0" w:space="0" w:color="auto"/>
                    <w:left w:val="none" w:sz="0" w:space="0" w:color="auto"/>
                    <w:bottom w:val="none" w:sz="0" w:space="0" w:color="auto"/>
                    <w:right w:val="none" w:sz="0" w:space="0" w:color="auto"/>
                  </w:divBdr>
                  <w:divsChild>
                    <w:div w:id="842861704">
                      <w:marLeft w:val="0"/>
                      <w:marRight w:val="0"/>
                      <w:marTop w:val="0"/>
                      <w:marBottom w:val="0"/>
                      <w:divBdr>
                        <w:top w:val="none" w:sz="0" w:space="0" w:color="auto"/>
                        <w:left w:val="none" w:sz="0" w:space="0" w:color="auto"/>
                        <w:bottom w:val="none" w:sz="0" w:space="0" w:color="auto"/>
                        <w:right w:val="none" w:sz="0" w:space="0" w:color="auto"/>
                      </w:divBdr>
                    </w:div>
                  </w:divsChild>
                </w:div>
                <w:div w:id="1271938419">
                  <w:marLeft w:val="0"/>
                  <w:marRight w:val="0"/>
                  <w:marTop w:val="0"/>
                  <w:marBottom w:val="0"/>
                  <w:divBdr>
                    <w:top w:val="none" w:sz="0" w:space="0" w:color="auto"/>
                    <w:left w:val="none" w:sz="0" w:space="0" w:color="auto"/>
                    <w:bottom w:val="none" w:sz="0" w:space="0" w:color="auto"/>
                    <w:right w:val="none" w:sz="0" w:space="0" w:color="auto"/>
                  </w:divBdr>
                  <w:divsChild>
                    <w:div w:id="1000887240">
                      <w:marLeft w:val="0"/>
                      <w:marRight w:val="0"/>
                      <w:marTop w:val="0"/>
                      <w:marBottom w:val="0"/>
                      <w:divBdr>
                        <w:top w:val="none" w:sz="0" w:space="0" w:color="auto"/>
                        <w:left w:val="none" w:sz="0" w:space="0" w:color="auto"/>
                        <w:bottom w:val="none" w:sz="0" w:space="0" w:color="auto"/>
                        <w:right w:val="none" w:sz="0" w:space="0" w:color="auto"/>
                      </w:divBdr>
                    </w:div>
                  </w:divsChild>
                </w:div>
                <w:div w:id="1273391541">
                  <w:marLeft w:val="0"/>
                  <w:marRight w:val="0"/>
                  <w:marTop w:val="0"/>
                  <w:marBottom w:val="0"/>
                  <w:divBdr>
                    <w:top w:val="none" w:sz="0" w:space="0" w:color="auto"/>
                    <w:left w:val="none" w:sz="0" w:space="0" w:color="auto"/>
                    <w:bottom w:val="none" w:sz="0" w:space="0" w:color="auto"/>
                    <w:right w:val="none" w:sz="0" w:space="0" w:color="auto"/>
                  </w:divBdr>
                  <w:divsChild>
                    <w:div w:id="2062093868">
                      <w:marLeft w:val="0"/>
                      <w:marRight w:val="0"/>
                      <w:marTop w:val="0"/>
                      <w:marBottom w:val="0"/>
                      <w:divBdr>
                        <w:top w:val="none" w:sz="0" w:space="0" w:color="auto"/>
                        <w:left w:val="none" w:sz="0" w:space="0" w:color="auto"/>
                        <w:bottom w:val="none" w:sz="0" w:space="0" w:color="auto"/>
                        <w:right w:val="none" w:sz="0" w:space="0" w:color="auto"/>
                      </w:divBdr>
                    </w:div>
                  </w:divsChild>
                </w:div>
                <w:div w:id="1288315907">
                  <w:marLeft w:val="0"/>
                  <w:marRight w:val="0"/>
                  <w:marTop w:val="0"/>
                  <w:marBottom w:val="0"/>
                  <w:divBdr>
                    <w:top w:val="none" w:sz="0" w:space="0" w:color="auto"/>
                    <w:left w:val="none" w:sz="0" w:space="0" w:color="auto"/>
                    <w:bottom w:val="none" w:sz="0" w:space="0" w:color="auto"/>
                    <w:right w:val="none" w:sz="0" w:space="0" w:color="auto"/>
                  </w:divBdr>
                  <w:divsChild>
                    <w:div w:id="214704559">
                      <w:marLeft w:val="0"/>
                      <w:marRight w:val="0"/>
                      <w:marTop w:val="0"/>
                      <w:marBottom w:val="0"/>
                      <w:divBdr>
                        <w:top w:val="none" w:sz="0" w:space="0" w:color="auto"/>
                        <w:left w:val="none" w:sz="0" w:space="0" w:color="auto"/>
                        <w:bottom w:val="none" w:sz="0" w:space="0" w:color="auto"/>
                        <w:right w:val="none" w:sz="0" w:space="0" w:color="auto"/>
                      </w:divBdr>
                    </w:div>
                  </w:divsChild>
                </w:div>
                <w:div w:id="1309937168">
                  <w:marLeft w:val="0"/>
                  <w:marRight w:val="0"/>
                  <w:marTop w:val="0"/>
                  <w:marBottom w:val="0"/>
                  <w:divBdr>
                    <w:top w:val="none" w:sz="0" w:space="0" w:color="auto"/>
                    <w:left w:val="none" w:sz="0" w:space="0" w:color="auto"/>
                    <w:bottom w:val="none" w:sz="0" w:space="0" w:color="auto"/>
                    <w:right w:val="none" w:sz="0" w:space="0" w:color="auto"/>
                  </w:divBdr>
                  <w:divsChild>
                    <w:div w:id="487526840">
                      <w:marLeft w:val="0"/>
                      <w:marRight w:val="0"/>
                      <w:marTop w:val="0"/>
                      <w:marBottom w:val="0"/>
                      <w:divBdr>
                        <w:top w:val="none" w:sz="0" w:space="0" w:color="auto"/>
                        <w:left w:val="none" w:sz="0" w:space="0" w:color="auto"/>
                        <w:bottom w:val="none" w:sz="0" w:space="0" w:color="auto"/>
                        <w:right w:val="none" w:sz="0" w:space="0" w:color="auto"/>
                      </w:divBdr>
                    </w:div>
                  </w:divsChild>
                </w:div>
                <w:div w:id="1344553610">
                  <w:marLeft w:val="0"/>
                  <w:marRight w:val="0"/>
                  <w:marTop w:val="0"/>
                  <w:marBottom w:val="0"/>
                  <w:divBdr>
                    <w:top w:val="none" w:sz="0" w:space="0" w:color="auto"/>
                    <w:left w:val="none" w:sz="0" w:space="0" w:color="auto"/>
                    <w:bottom w:val="none" w:sz="0" w:space="0" w:color="auto"/>
                    <w:right w:val="none" w:sz="0" w:space="0" w:color="auto"/>
                  </w:divBdr>
                  <w:divsChild>
                    <w:div w:id="154535161">
                      <w:marLeft w:val="0"/>
                      <w:marRight w:val="0"/>
                      <w:marTop w:val="0"/>
                      <w:marBottom w:val="0"/>
                      <w:divBdr>
                        <w:top w:val="none" w:sz="0" w:space="0" w:color="auto"/>
                        <w:left w:val="none" w:sz="0" w:space="0" w:color="auto"/>
                        <w:bottom w:val="none" w:sz="0" w:space="0" w:color="auto"/>
                        <w:right w:val="none" w:sz="0" w:space="0" w:color="auto"/>
                      </w:divBdr>
                    </w:div>
                  </w:divsChild>
                </w:div>
                <w:div w:id="1369447422">
                  <w:marLeft w:val="0"/>
                  <w:marRight w:val="0"/>
                  <w:marTop w:val="0"/>
                  <w:marBottom w:val="0"/>
                  <w:divBdr>
                    <w:top w:val="none" w:sz="0" w:space="0" w:color="auto"/>
                    <w:left w:val="none" w:sz="0" w:space="0" w:color="auto"/>
                    <w:bottom w:val="none" w:sz="0" w:space="0" w:color="auto"/>
                    <w:right w:val="none" w:sz="0" w:space="0" w:color="auto"/>
                  </w:divBdr>
                  <w:divsChild>
                    <w:div w:id="2069185626">
                      <w:marLeft w:val="0"/>
                      <w:marRight w:val="0"/>
                      <w:marTop w:val="0"/>
                      <w:marBottom w:val="0"/>
                      <w:divBdr>
                        <w:top w:val="none" w:sz="0" w:space="0" w:color="auto"/>
                        <w:left w:val="none" w:sz="0" w:space="0" w:color="auto"/>
                        <w:bottom w:val="none" w:sz="0" w:space="0" w:color="auto"/>
                        <w:right w:val="none" w:sz="0" w:space="0" w:color="auto"/>
                      </w:divBdr>
                    </w:div>
                  </w:divsChild>
                </w:div>
                <w:div w:id="1383485636">
                  <w:marLeft w:val="0"/>
                  <w:marRight w:val="0"/>
                  <w:marTop w:val="0"/>
                  <w:marBottom w:val="0"/>
                  <w:divBdr>
                    <w:top w:val="none" w:sz="0" w:space="0" w:color="auto"/>
                    <w:left w:val="none" w:sz="0" w:space="0" w:color="auto"/>
                    <w:bottom w:val="none" w:sz="0" w:space="0" w:color="auto"/>
                    <w:right w:val="none" w:sz="0" w:space="0" w:color="auto"/>
                  </w:divBdr>
                  <w:divsChild>
                    <w:div w:id="774398988">
                      <w:marLeft w:val="0"/>
                      <w:marRight w:val="0"/>
                      <w:marTop w:val="0"/>
                      <w:marBottom w:val="0"/>
                      <w:divBdr>
                        <w:top w:val="none" w:sz="0" w:space="0" w:color="auto"/>
                        <w:left w:val="none" w:sz="0" w:space="0" w:color="auto"/>
                        <w:bottom w:val="none" w:sz="0" w:space="0" w:color="auto"/>
                        <w:right w:val="none" w:sz="0" w:space="0" w:color="auto"/>
                      </w:divBdr>
                    </w:div>
                  </w:divsChild>
                </w:div>
                <w:div w:id="1385181084">
                  <w:marLeft w:val="0"/>
                  <w:marRight w:val="0"/>
                  <w:marTop w:val="0"/>
                  <w:marBottom w:val="0"/>
                  <w:divBdr>
                    <w:top w:val="none" w:sz="0" w:space="0" w:color="auto"/>
                    <w:left w:val="none" w:sz="0" w:space="0" w:color="auto"/>
                    <w:bottom w:val="none" w:sz="0" w:space="0" w:color="auto"/>
                    <w:right w:val="none" w:sz="0" w:space="0" w:color="auto"/>
                  </w:divBdr>
                  <w:divsChild>
                    <w:div w:id="1381897326">
                      <w:marLeft w:val="0"/>
                      <w:marRight w:val="0"/>
                      <w:marTop w:val="0"/>
                      <w:marBottom w:val="0"/>
                      <w:divBdr>
                        <w:top w:val="none" w:sz="0" w:space="0" w:color="auto"/>
                        <w:left w:val="none" w:sz="0" w:space="0" w:color="auto"/>
                        <w:bottom w:val="none" w:sz="0" w:space="0" w:color="auto"/>
                        <w:right w:val="none" w:sz="0" w:space="0" w:color="auto"/>
                      </w:divBdr>
                    </w:div>
                  </w:divsChild>
                </w:div>
                <w:div w:id="1385522821">
                  <w:marLeft w:val="0"/>
                  <w:marRight w:val="0"/>
                  <w:marTop w:val="0"/>
                  <w:marBottom w:val="0"/>
                  <w:divBdr>
                    <w:top w:val="none" w:sz="0" w:space="0" w:color="auto"/>
                    <w:left w:val="none" w:sz="0" w:space="0" w:color="auto"/>
                    <w:bottom w:val="none" w:sz="0" w:space="0" w:color="auto"/>
                    <w:right w:val="none" w:sz="0" w:space="0" w:color="auto"/>
                  </w:divBdr>
                  <w:divsChild>
                    <w:div w:id="578566227">
                      <w:marLeft w:val="0"/>
                      <w:marRight w:val="0"/>
                      <w:marTop w:val="0"/>
                      <w:marBottom w:val="0"/>
                      <w:divBdr>
                        <w:top w:val="none" w:sz="0" w:space="0" w:color="auto"/>
                        <w:left w:val="none" w:sz="0" w:space="0" w:color="auto"/>
                        <w:bottom w:val="none" w:sz="0" w:space="0" w:color="auto"/>
                        <w:right w:val="none" w:sz="0" w:space="0" w:color="auto"/>
                      </w:divBdr>
                    </w:div>
                  </w:divsChild>
                </w:div>
                <w:div w:id="1393305816">
                  <w:marLeft w:val="0"/>
                  <w:marRight w:val="0"/>
                  <w:marTop w:val="0"/>
                  <w:marBottom w:val="0"/>
                  <w:divBdr>
                    <w:top w:val="none" w:sz="0" w:space="0" w:color="auto"/>
                    <w:left w:val="none" w:sz="0" w:space="0" w:color="auto"/>
                    <w:bottom w:val="none" w:sz="0" w:space="0" w:color="auto"/>
                    <w:right w:val="none" w:sz="0" w:space="0" w:color="auto"/>
                  </w:divBdr>
                  <w:divsChild>
                    <w:div w:id="1160775803">
                      <w:marLeft w:val="0"/>
                      <w:marRight w:val="0"/>
                      <w:marTop w:val="0"/>
                      <w:marBottom w:val="0"/>
                      <w:divBdr>
                        <w:top w:val="none" w:sz="0" w:space="0" w:color="auto"/>
                        <w:left w:val="none" w:sz="0" w:space="0" w:color="auto"/>
                        <w:bottom w:val="none" w:sz="0" w:space="0" w:color="auto"/>
                        <w:right w:val="none" w:sz="0" w:space="0" w:color="auto"/>
                      </w:divBdr>
                    </w:div>
                  </w:divsChild>
                </w:div>
                <w:div w:id="1403454369">
                  <w:marLeft w:val="0"/>
                  <w:marRight w:val="0"/>
                  <w:marTop w:val="0"/>
                  <w:marBottom w:val="0"/>
                  <w:divBdr>
                    <w:top w:val="none" w:sz="0" w:space="0" w:color="auto"/>
                    <w:left w:val="none" w:sz="0" w:space="0" w:color="auto"/>
                    <w:bottom w:val="none" w:sz="0" w:space="0" w:color="auto"/>
                    <w:right w:val="none" w:sz="0" w:space="0" w:color="auto"/>
                  </w:divBdr>
                  <w:divsChild>
                    <w:div w:id="751125461">
                      <w:marLeft w:val="0"/>
                      <w:marRight w:val="0"/>
                      <w:marTop w:val="0"/>
                      <w:marBottom w:val="0"/>
                      <w:divBdr>
                        <w:top w:val="none" w:sz="0" w:space="0" w:color="auto"/>
                        <w:left w:val="none" w:sz="0" w:space="0" w:color="auto"/>
                        <w:bottom w:val="none" w:sz="0" w:space="0" w:color="auto"/>
                        <w:right w:val="none" w:sz="0" w:space="0" w:color="auto"/>
                      </w:divBdr>
                    </w:div>
                  </w:divsChild>
                </w:div>
                <w:div w:id="1412239426">
                  <w:marLeft w:val="0"/>
                  <w:marRight w:val="0"/>
                  <w:marTop w:val="0"/>
                  <w:marBottom w:val="0"/>
                  <w:divBdr>
                    <w:top w:val="none" w:sz="0" w:space="0" w:color="auto"/>
                    <w:left w:val="none" w:sz="0" w:space="0" w:color="auto"/>
                    <w:bottom w:val="none" w:sz="0" w:space="0" w:color="auto"/>
                    <w:right w:val="none" w:sz="0" w:space="0" w:color="auto"/>
                  </w:divBdr>
                  <w:divsChild>
                    <w:div w:id="730469626">
                      <w:marLeft w:val="0"/>
                      <w:marRight w:val="0"/>
                      <w:marTop w:val="0"/>
                      <w:marBottom w:val="0"/>
                      <w:divBdr>
                        <w:top w:val="none" w:sz="0" w:space="0" w:color="auto"/>
                        <w:left w:val="none" w:sz="0" w:space="0" w:color="auto"/>
                        <w:bottom w:val="none" w:sz="0" w:space="0" w:color="auto"/>
                        <w:right w:val="none" w:sz="0" w:space="0" w:color="auto"/>
                      </w:divBdr>
                    </w:div>
                  </w:divsChild>
                </w:div>
                <w:div w:id="1431004464">
                  <w:marLeft w:val="0"/>
                  <w:marRight w:val="0"/>
                  <w:marTop w:val="0"/>
                  <w:marBottom w:val="0"/>
                  <w:divBdr>
                    <w:top w:val="none" w:sz="0" w:space="0" w:color="auto"/>
                    <w:left w:val="none" w:sz="0" w:space="0" w:color="auto"/>
                    <w:bottom w:val="none" w:sz="0" w:space="0" w:color="auto"/>
                    <w:right w:val="none" w:sz="0" w:space="0" w:color="auto"/>
                  </w:divBdr>
                  <w:divsChild>
                    <w:div w:id="394548442">
                      <w:marLeft w:val="0"/>
                      <w:marRight w:val="0"/>
                      <w:marTop w:val="0"/>
                      <w:marBottom w:val="0"/>
                      <w:divBdr>
                        <w:top w:val="none" w:sz="0" w:space="0" w:color="auto"/>
                        <w:left w:val="none" w:sz="0" w:space="0" w:color="auto"/>
                        <w:bottom w:val="none" w:sz="0" w:space="0" w:color="auto"/>
                        <w:right w:val="none" w:sz="0" w:space="0" w:color="auto"/>
                      </w:divBdr>
                    </w:div>
                  </w:divsChild>
                </w:div>
                <w:div w:id="1450783990">
                  <w:marLeft w:val="0"/>
                  <w:marRight w:val="0"/>
                  <w:marTop w:val="0"/>
                  <w:marBottom w:val="0"/>
                  <w:divBdr>
                    <w:top w:val="none" w:sz="0" w:space="0" w:color="auto"/>
                    <w:left w:val="none" w:sz="0" w:space="0" w:color="auto"/>
                    <w:bottom w:val="none" w:sz="0" w:space="0" w:color="auto"/>
                    <w:right w:val="none" w:sz="0" w:space="0" w:color="auto"/>
                  </w:divBdr>
                  <w:divsChild>
                    <w:div w:id="108933789">
                      <w:marLeft w:val="0"/>
                      <w:marRight w:val="0"/>
                      <w:marTop w:val="0"/>
                      <w:marBottom w:val="0"/>
                      <w:divBdr>
                        <w:top w:val="none" w:sz="0" w:space="0" w:color="auto"/>
                        <w:left w:val="none" w:sz="0" w:space="0" w:color="auto"/>
                        <w:bottom w:val="none" w:sz="0" w:space="0" w:color="auto"/>
                        <w:right w:val="none" w:sz="0" w:space="0" w:color="auto"/>
                      </w:divBdr>
                    </w:div>
                  </w:divsChild>
                </w:div>
                <w:div w:id="1455103391">
                  <w:marLeft w:val="0"/>
                  <w:marRight w:val="0"/>
                  <w:marTop w:val="0"/>
                  <w:marBottom w:val="0"/>
                  <w:divBdr>
                    <w:top w:val="none" w:sz="0" w:space="0" w:color="auto"/>
                    <w:left w:val="none" w:sz="0" w:space="0" w:color="auto"/>
                    <w:bottom w:val="none" w:sz="0" w:space="0" w:color="auto"/>
                    <w:right w:val="none" w:sz="0" w:space="0" w:color="auto"/>
                  </w:divBdr>
                  <w:divsChild>
                    <w:div w:id="1820347196">
                      <w:marLeft w:val="0"/>
                      <w:marRight w:val="0"/>
                      <w:marTop w:val="0"/>
                      <w:marBottom w:val="0"/>
                      <w:divBdr>
                        <w:top w:val="none" w:sz="0" w:space="0" w:color="auto"/>
                        <w:left w:val="none" w:sz="0" w:space="0" w:color="auto"/>
                        <w:bottom w:val="none" w:sz="0" w:space="0" w:color="auto"/>
                        <w:right w:val="none" w:sz="0" w:space="0" w:color="auto"/>
                      </w:divBdr>
                    </w:div>
                  </w:divsChild>
                </w:div>
                <w:div w:id="1462264025">
                  <w:marLeft w:val="0"/>
                  <w:marRight w:val="0"/>
                  <w:marTop w:val="0"/>
                  <w:marBottom w:val="0"/>
                  <w:divBdr>
                    <w:top w:val="none" w:sz="0" w:space="0" w:color="auto"/>
                    <w:left w:val="none" w:sz="0" w:space="0" w:color="auto"/>
                    <w:bottom w:val="none" w:sz="0" w:space="0" w:color="auto"/>
                    <w:right w:val="none" w:sz="0" w:space="0" w:color="auto"/>
                  </w:divBdr>
                  <w:divsChild>
                    <w:div w:id="475146502">
                      <w:marLeft w:val="0"/>
                      <w:marRight w:val="0"/>
                      <w:marTop w:val="0"/>
                      <w:marBottom w:val="0"/>
                      <w:divBdr>
                        <w:top w:val="none" w:sz="0" w:space="0" w:color="auto"/>
                        <w:left w:val="none" w:sz="0" w:space="0" w:color="auto"/>
                        <w:bottom w:val="none" w:sz="0" w:space="0" w:color="auto"/>
                        <w:right w:val="none" w:sz="0" w:space="0" w:color="auto"/>
                      </w:divBdr>
                    </w:div>
                  </w:divsChild>
                </w:div>
                <w:div w:id="1465191805">
                  <w:marLeft w:val="0"/>
                  <w:marRight w:val="0"/>
                  <w:marTop w:val="0"/>
                  <w:marBottom w:val="0"/>
                  <w:divBdr>
                    <w:top w:val="none" w:sz="0" w:space="0" w:color="auto"/>
                    <w:left w:val="none" w:sz="0" w:space="0" w:color="auto"/>
                    <w:bottom w:val="none" w:sz="0" w:space="0" w:color="auto"/>
                    <w:right w:val="none" w:sz="0" w:space="0" w:color="auto"/>
                  </w:divBdr>
                  <w:divsChild>
                    <w:div w:id="1847937685">
                      <w:marLeft w:val="0"/>
                      <w:marRight w:val="0"/>
                      <w:marTop w:val="0"/>
                      <w:marBottom w:val="0"/>
                      <w:divBdr>
                        <w:top w:val="none" w:sz="0" w:space="0" w:color="auto"/>
                        <w:left w:val="none" w:sz="0" w:space="0" w:color="auto"/>
                        <w:bottom w:val="none" w:sz="0" w:space="0" w:color="auto"/>
                        <w:right w:val="none" w:sz="0" w:space="0" w:color="auto"/>
                      </w:divBdr>
                    </w:div>
                  </w:divsChild>
                </w:div>
                <w:div w:id="1501039125">
                  <w:marLeft w:val="0"/>
                  <w:marRight w:val="0"/>
                  <w:marTop w:val="0"/>
                  <w:marBottom w:val="0"/>
                  <w:divBdr>
                    <w:top w:val="none" w:sz="0" w:space="0" w:color="auto"/>
                    <w:left w:val="none" w:sz="0" w:space="0" w:color="auto"/>
                    <w:bottom w:val="none" w:sz="0" w:space="0" w:color="auto"/>
                    <w:right w:val="none" w:sz="0" w:space="0" w:color="auto"/>
                  </w:divBdr>
                  <w:divsChild>
                    <w:div w:id="928999230">
                      <w:marLeft w:val="0"/>
                      <w:marRight w:val="0"/>
                      <w:marTop w:val="0"/>
                      <w:marBottom w:val="0"/>
                      <w:divBdr>
                        <w:top w:val="none" w:sz="0" w:space="0" w:color="auto"/>
                        <w:left w:val="none" w:sz="0" w:space="0" w:color="auto"/>
                        <w:bottom w:val="none" w:sz="0" w:space="0" w:color="auto"/>
                        <w:right w:val="none" w:sz="0" w:space="0" w:color="auto"/>
                      </w:divBdr>
                    </w:div>
                  </w:divsChild>
                </w:div>
                <w:div w:id="1502231229">
                  <w:marLeft w:val="0"/>
                  <w:marRight w:val="0"/>
                  <w:marTop w:val="0"/>
                  <w:marBottom w:val="0"/>
                  <w:divBdr>
                    <w:top w:val="none" w:sz="0" w:space="0" w:color="auto"/>
                    <w:left w:val="none" w:sz="0" w:space="0" w:color="auto"/>
                    <w:bottom w:val="none" w:sz="0" w:space="0" w:color="auto"/>
                    <w:right w:val="none" w:sz="0" w:space="0" w:color="auto"/>
                  </w:divBdr>
                  <w:divsChild>
                    <w:div w:id="117723524">
                      <w:marLeft w:val="0"/>
                      <w:marRight w:val="0"/>
                      <w:marTop w:val="0"/>
                      <w:marBottom w:val="0"/>
                      <w:divBdr>
                        <w:top w:val="none" w:sz="0" w:space="0" w:color="auto"/>
                        <w:left w:val="none" w:sz="0" w:space="0" w:color="auto"/>
                        <w:bottom w:val="none" w:sz="0" w:space="0" w:color="auto"/>
                        <w:right w:val="none" w:sz="0" w:space="0" w:color="auto"/>
                      </w:divBdr>
                    </w:div>
                  </w:divsChild>
                </w:div>
                <w:div w:id="1502701634">
                  <w:marLeft w:val="0"/>
                  <w:marRight w:val="0"/>
                  <w:marTop w:val="0"/>
                  <w:marBottom w:val="0"/>
                  <w:divBdr>
                    <w:top w:val="none" w:sz="0" w:space="0" w:color="auto"/>
                    <w:left w:val="none" w:sz="0" w:space="0" w:color="auto"/>
                    <w:bottom w:val="none" w:sz="0" w:space="0" w:color="auto"/>
                    <w:right w:val="none" w:sz="0" w:space="0" w:color="auto"/>
                  </w:divBdr>
                  <w:divsChild>
                    <w:div w:id="1707945239">
                      <w:marLeft w:val="0"/>
                      <w:marRight w:val="0"/>
                      <w:marTop w:val="0"/>
                      <w:marBottom w:val="0"/>
                      <w:divBdr>
                        <w:top w:val="none" w:sz="0" w:space="0" w:color="auto"/>
                        <w:left w:val="none" w:sz="0" w:space="0" w:color="auto"/>
                        <w:bottom w:val="none" w:sz="0" w:space="0" w:color="auto"/>
                        <w:right w:val="none" w:sz="0" w:space="0" w:color="auto"/>
                      </w:divBdr>
                    </w:div>
                  </w:divsChild>
                </w:div>
                <w:div w:id="1503157900">
                  <w:marLeft w:val="0"/>
                  <w:marRight w:val="0"/>
                  <w:marTop w:val="0"/>
                  <w:marBottom w:val="0"/>
                  <w:divBdr>
                    <w:top w:val="none" w:sz="0" w:space="0" w:color="auto"/>
                    <w:left w:val="none" w:sz="0" w:space="0" w:color="auto"/>
                    <w:bottom w:val="none" w:sz="0" w:space="0" w:color="auto"/>
                    <w:right w:val="none" w:sz="0" w:space="0" w:color="auto"/>
                  </w:divBdr>
                  <w:divsChild>
                    <w:div w:id="867794355">
                      <w:marLeft w:val="0"/>
                      <w:marRight w:val="0"/>
                      <w:marTop w:val="0"/>
                      <w:marBottom w:val="0"/>
                      <w:divBdr>
                        <w:top w:val="none" w:sz="0" w:space="0" w:color="auto"/>
                        <w:left w:val="none" w:sz="0" w:space="0" w:color="auto"/>
                        <w:bottom w:val="none" w:sz="0" w:space="0" w:color="auto"/>
                        <w:right w:val="none" w:sz="0" w:space="0" w:color="auto"/>
                      </w:divBdr>
                    </w:div>
                  </w:divsChild>
                </w:div>
                <w:div w:id="1503356137">
                  <w:marLeft w:val="0"/>
                  <w:marRight w:val="0"/>
                  <w:marTop w:val="0"/>
                  <w:marBottom w:val="0"/>
                  <w:divBdr>
                    <w:top w:val="none" w:sz="0" w:space="0" w:color="auto"/>
                    <w:left w:val="none" w:sz="0" w:space="0" w:color="auto"/>
                    <w:bottom w:val="none" w:sz="0" w:space="0" w:color="auto"/>
                    <w:right w:val="none" w:sz="0" w:space="0" w:color="auto"/>
                  </w:divBdr>
                  <w:divsChild>
                    <w:div w:id="1490556555">
                      <w:marLeft w:val="0"/>
                      <w:marRight w:val="0"/>
                      <w:marTop w:val="0"/>
                      <w:marBottom w:val="0"/>
                      <w:divBdr>
                        <w:top w:val="none" w:sz="0" w:space="0" w:color="auto"/>
                        <w:left w:val="none" w:sz="0" w:space="0" w:color="auto"/>
                        <w:bottom w:val="none" w:sz="0" w:space="0" w:color="auto"/>
                        <w:right w:val="none" w:sz="0" w:space="0" w:color="auto"/>
                      </w:divBdr>
                    </w:div>
                  </w:divsChild>
                </w:div>
                <w:div w:id="1529027741">
                  <w:marLeft w:val="0"/>
                  <w:marRight w:val="0"/>
                  <w:marTop w:val="0"/>
                  <w:marBottom w:val="0"/>
                  <w:divBdr>
                    <w:top w:val="none" w:sz="0" w:space="0" w:color="auto"/>
                    <w:left w:val="none" w:sz="0" w:space="0" w:color="auto"/>
                    <w:bottom w:val="none" w:sz="0" w:space="0" w:color="auto"/>
                    <w:right w:val="none" w:sz="0" w:space="0" w:color="auto"/>
                  </w:divBdr>
                  <w:divsChild>
                    <w:div w:id="1891112003">
                      <w:marLeft w:val="0"/>
                      <w:marRight w:val="0"/>
                      <w:marTop w:val="0"/>
                      <w:marBottom w:val="0"/>
                      <w:divBdr>
                        <w:top w:val="none" w:sz="0" w:space="0" w:color="auto"/>
                        <w:left w:val="none" w:sz="0" w:space="0" w:color="auto"/>
                        <w:bottom w:val="none" w:sz="0" w:space="0" w:color="auto"/>
                        <w:right w:val="none" w:sz="0" w:space="0" w:color="auto"/>
                      </w:divBdr>
                    </w:div>
                  </w:divsChild>
                </w:div>
                <w:div w:id="1548907945">
                  <w:marLeft w:val="0"/>
                  <w:marRight w:val="0"/>
                  <w:marTop w:val="0"/>
                  <w:marBottom w:val="0"/>
                  <w:divBdr>
                    <w:top w:val="none" w:sz="0" w:space="0" w:color="auto"/>
                    <w:left w:val="none" w:sz="0" w:space="0" w:color="auto"/>
                    <w:bottom w:val="none" w:sz="0" w:space="0" w:color="auto"/>
                    <w:right w:val="none" w:sz="0" w:space="0" w:color="auto"/>
                  </w:divBdr>
                  <w:divsChild>
                    <w:div w:id="398790636">
                      <w:marLeft w:val="0"/>
                      <w:marRight w:val="0"/>
                      <w:marTop w:val="0"/>
                      <w:marBottom w:val="0"/>
                      <w:divBdr>
                        <w:top w:val="none" w:sz="0" w:space="0" w:color="auto"/>
                        <w:left w:val="none" w:sz="0" w:space="0" w:color="auto"/>
                        <w:bottom w:val="none" w:sz="0" w:space="0" w:color="auto"/>
                        <w:right w:val="none" w:sz="0" w:space="0" w:color="auto"/>
                      </w:divBdr>
                    </w:div>
                  </w:divsChild>
                </w:div>
                <w:div w:id="1564021209">
                  <w:marLeft w:val="0"/>
                  <w:marRight w:val="0"/>
                  <w:marTop w:val="0"/>
                  <w:marBottom w:val="0"/>
                  <w:divBdr>
                    <w:top w:val="none" w:sz="0" w:space="0" w:color="auto"/>
                    <w:left w:val="none" w:sz="0" w:space="0" w:color="auto"/>
                    <w:bottom w:val="none" w:sz="0" w:space="0" w:color="auto"/>
                    <w:right w:val="none" w:sz="0" w:space="0" w:color="auto"/>
                  </w:divBdr>
                  <w:divsChild>
                    <w:div w:id="606694680">
                      <w:marLeft w:val="0"/>
                      <w:marRight w:val="0"/>
                      <w:marTop w:val="0"/>
                      <w:marBottom w:val="0"/>
                      <w:divBdr>
                        <w:top w:val="none" w:sz="0" w:space="0" w:color="auto"/>
                        <w:left w:val="none" w:sz="0" w:space="0" w:color="auto"/>
                        <w:bottom w:val="none" w:sz="0" w:space="0" w:color="auto"/>
                        <w:right w:val="none" w:sz="0" w:space="0" w:color="auto"/>
                      </w:divBdr>
                    </w:div>
                  </w:divsChild>
                </w:div>
                <w:div w:id="1579246924">
                  <w:marLeft w:val="0"/>
                  <w:marRight w:val="0"/>
                  <w:marTop w:val="0"/>
                  <w:marBottom w:val="0"/>
                  <w:divBdr>
                    <w:top w:val="none" w:sz="0" w:space="0" w:color="auto"/>
                    <w:left w:val="none" w:sz="0" w:space="0" w:color="auto"/>
                    <w:bottom w:val="none" w:sz="0" w:space="0" w:color="auto"/>
                    <w:right w:val="none" w:sz="0" w:space="0" w:color="auto"/>
                  </w:divBdr>
                  <w:divsChild>
                    <w:div w:id="2020235633">
                      <w:marLeft w:val="0"/>
                      <w:marRight w:val="0"/>
                      <w:marTop w:val="0"/>
                      <w:marBottom w:val="0"/>
                      <w:divBdr>
                        <w:top w:val="none" w:sz="0" w:space="0" w:color="auto"/>
                        <w:left w:val="none" w:sz="0" w:space="0" w:color="auto"/>
                        <w:bottom w:val="none" w:sz="0" w:space="0" w:color="auto"/>
                        <w:right w:val="none" w:sz="0" w:space="0" w:color="auto"/>
                      </w:divBdr>
                    </w:div>
                  </w:divsChild>
                </w:div>
                <w:div w:id="1599410185">
                  <w:marLeft w:val="0"/>
                  <w:marRight w:val="0"/>
                  <w:marTop w:val="0"/>
                  <w:marBottom w:val="0"/>
                  <w:divBdr>
                    <w:top w:val="none" w:sz="0" w:space="0" w:color="auto"/>
                    <w:left w:val="none" w:sz="0" w:space="0" w:color="auto"/>
                    <w:bottom w:val="none" w:sz="0" w:space="0" w:color="auto"/>
                    <w:right w:val="none" w:sz="0" w:space="0" w:color="auto"/>
                  </w:divBdr>
                  <w:divsChild>
                    <w:div w:id="1213925602">
                      <w:marLeft w:val="0"/>
                      <w:marRight w:val="0"/>
                      <w:marTop w:val="0"/>
                      <w:marBottom w:val="0"/>
                      <w:divBdr>
                        <w:top w:val="none" w:sz="0" w:space="0" w:color="auto"/>
                        <w:left w:val="none" w:sz="0" w:space="0" w:color="auto"/>
                        <w:bottom w:val="none" w:sz="0" w:space="0" w:color="auto"/>
                        <w:right w:val="none" w:sz="0" w:space="0" w:color="auto"/>
                      </w:divBdr>
                    </w:div>
                  </w:divsChild>
                </w:div>
                <w:div w:id="1630355882">
                  <w:marLeft w:val="0"/>
                  <w:marRight w:val="0"/>
                  <w:marTop w:val="0"/>
                  <w:marBottom w:val="0"/>
                  <w:divBdr>
                    <w:top w:val="none" w:sz="0" w:space="0" w:color="auto"/>
                    <w:left w:val="none" w:sz="0" w:space="0" w:color="auto"/>
                    <w:bottom w:val="none" w:sz="0" w:space="0" w:color="auto"/>
                    <w:right w:val="none" w:sz="0" w:space="0" w:color="auto"/>
                  </w:divBdr>
                  <w:divsChild>
                    <w:div w:id="1349215348">
                      <w:marLeft w:val="0"/>
                      <w:marRight w:val="0"/>
                      <w:marTop w:val="0"/>
                      <w:marBottom w:val="0"/>
                      <w:divBdr>
                        <w:top w:val="none" w:sz="0" w:space="0" w:color="auto"/>
                        <w:left w:val="none" w:sz="0" w:space="0" w:color="auto"/>
                        <w:bottom w:val="none" w:sz="0" w:space="0" w:color="auto"/>
                        <w:right w:val="none" w:sz="0" w:space="0" w:color="auto"/>
                      </w:divBdr>
                    </w:div>
                    <w:div w:id="1652103492">
                      <w:marLeft w:val="0"/>
                      <w:marRight w:val="0"/>
                      <w:marTop w:val="0"/>
                      <w:marBottom w:val="0"/>
                      <w:divBdr>
                        <w:top w:val="none" w:sz="0" w:space="0" w:color="auto"/>
                        <w:left w:val="none" w:sz="0" w:space="0" w:color="auto"/>
                        <w:bottom w:val="none" w:sz="0" w:space="0" w:color="auto"/>
                        <w:right w:val="none" w:sz="0" w:space="0" w:color="auto"/>
                      </w:divBdr>
                    </w:div>
                  </w:divsChild>
                </w:div>
                <w:div w:id="1637687610">
                  <w:marLeft w:val="0"/>
                  <w:marRight w:val="0"/>
                  <w:marTop w:val="0"/>
                  <w:marBottom w:val="0"/>
                  <w:divBdr>
                    <w:top w:val="none" w:sz="0" w:space="0" w:color="auto"/>
                    <w:left w:val="none" w:sz="0" w:space="0" w:color="auto"/>
                    <w:bottom w:val="none" w:sz="0" w:space="0" w:color="auto"/>
                    <w:right w:val="none" w:sz="0" w:space="0" w:color="auto"/>
                  </w:divBdr>
                  <w:divsChild>
                    <w:div w:id="565847308">
                      <w:marLeft w:val="0"/>
                      <w:marRight w:val="0"/>
                      <w:marTop w:val="0"/>
                      <w:marBottom w:val="0"/>
                      <w:divBdr>
                        <w:top w:val="none" w:sz="0" w:space="0" w:color="auto"/>
                        <w:left w:val="none" w:sz="0" w:space="0" w:color="auto"/>
                        <w:bottom w:val="none" w:sz="0" w:space="0" w:color="auto"/>
                        <w:right w:val="none" w:sz="0" w:space="0" w:color="auto"/>
                      </w:divBdr>
                    </w:div>
                  </w:divsChild>
                </w:div>
                <w:div w:id="1639191678">
                  <w:marLeft w:val="0"/>
                  <w:marRight w:val="0"/>
                  <w:marTop w:val="0"/>
                  <w:marBottom w:val="0"/>
                  <w:divBdr>
                    <w:top w:val="none" w:sz="0" w:space="0" w:color="auto"/>
                    <w:left w:val="none" w:sz="0" w:space="0" w:color="auto"/>
                    <w:bottom w:val="none" w:sz="0" w:space="0" w:color="auto"/>
                    <w:right w:val="none" w:sz="0" w:space="0" w:color="auto"/>
                  </w:divBdr>
                  <w:divsChild>
                    <w:div w:id="273244339">
                      <w:marLeft w:val="0"/>
                      <w:marRight w:val="0"/>
                      <w:marTop w:val="0"/>
                      <w:marBottom w:val="0"/>
                      <w:divBdr>
                        <w:top w:val="none" w:sz="0" w:space="0" w:color="auto"/>
                        <w:left w:val="none" w:sz="0" w:space="0" w:color="auto"/>
                        <w:bottom w:val="none" w:sz="0" w:space="0" w:color="auto"/>
                        <w:right w:val="none" w:sz="0" w:space="0" w:color="auto"/>
                      </w:divBdr>
                    </w:div>
                  </w:divsChild>
                </w:div>
                <w:div w:id="1642928557">
                  <w:marLeft w:val="0"/>
                  <w:marRight w:val="0"/>
                  <w:marTop w:val="0"/>
                  <w:marBottom w:val="0"/>
                  <w:divBdr>
                    <w:top w:val="none" w:sz="0" w:space="0" w:color="auto"/>
                    <w:left w:val="none" w:sz="0" w:space="0" w:color="auto"/>
                    <w:bottom w:val="none" w:sz="0" w:space="0" w:color="auto"/>
                    <w:right w:val="none" w:sz="0" w:space="0" w:color="auto"/>
                  </w:divBdr>
                  <w:divsChild>
                    <w:div w:id="1954635001">
                      <w:marLeft w:val="0"/>
                      <w:marRight w:val="0"/>
                      <w:marTop w:val="0"/>
                      <w:marBottom w:val="0"/>
                      <w:divBdr>
                        <w:top w:val="none" w:sz="0" w:space="0" w:color="auto"/>
                        <w:left w:val="none" w:sz="0" w:space="0" w:color="auto"/>
                        <w:bottom w:val="none" w:sz="0" w:space="0" w:color="auto"/>
                        <w:right w:val="none" w:sz="0" w:space="0" w:color="auto"/>
                      </w:divBdr>
                    </w:div>
                  </w:divsChild>
                </w:div>
                <w:div w:id="1646734638">
                  <w:marLeft w:val="0"/>
                  <w:marRight w:val="0"/>
                  <w:marTop w:val="0"/>
                  <w:marBottom w:val="0"/>
                  <w:divBdr>
                    <w:top w:val="none" w:sz="0" w:space="0" w:color="auto"/>
                    <w:left w:val="none" w:sz="0" w:space="0" w:color="auto"/>
                    <w:bottom w:val="none" w:sz="0" w:space="0" w:color="auto"/>
                    <w:right w:val="none" w:sz="0" w:space="0" w:color="auto"/>
                  </w:divBdr>
                  <w:divsChild>
                    <w:div w:id="1657100917">
                      <w:marLeft w:val="0"/>
                      <w:marRight w:val="0"/>
                      <w:marTop w:val="0"/>
                      <w:marBottom w:val="0"/>
                      <w:divBdr>
                        <w:top w:val="none" w:sz="0" w:space="0" w:color="auto"/>
                        <w:left w:val="none" w:sz="0" w:space="0" w:color="auto"/>
                        <w:bottom w:val="none" w:sz="0" w:space="0" w:color="auto"/>
                        <w:right w:val="none" w:sz="0" w:space="0" w:color="auto"/>
                      </w:divBdr>
                    </w:div>
                  </w:divsChild>
                </w:div>
                <w:div w:id="1649553617">
                  <w:marLeft w:val="0"/>
                  <w:marRight w:val="0"/>
                  <w:marTop w:val="0"/>
                  <w:marBottom w:val="0"/>
                  <w:divBdr>
                    <w:top w:val="none" w:sz="0" w:space="0" w:color="auto"/>
                    <w:left w:val="none" w:sz="0" w:space="0" w:color="auto"/>
                    <w:bottom w:val="none" w:sz="0" w:space="0" w:color="auto"/>
                    <w:right w:val="none" w:sz="0" w:space="0" w:color="auto"/>
                  </w:divBdr>
                  <w:divsChild>
                    <w:div w:id="1426606571">
                      <w:marLeft w:val="0"/>
                      <w:marRight w:val="0"/>
                      <w:marTop w:val="0"/>
                      <w:marBottom w:val="0"/>
                      <w:divBdr>
                        <w:top w:val="none" w:sz="0" w:space="0" w:color="auto"/>
                        <w:left w:val="none" w:sz="0" w:space="0" w:color="auto"/>
                        <w:bottom w:val="none" w:sz="0" w:space="0" w:color="auto"/>
                        <w:right w:val="none" w:sz="0" w:space="0" w:color="auto"/>
                      </w:divBdr>
                    </w:div>
                  </w:divsChild>
                </w:div>
                <w:div w:id="1650556061">
                  <w:marLeft w:val="0"/>
                  <w:marRight w:val="0"/>
                  <w:marTop w:val="0"/>
                  <w:marBottom w:val="0"/>
                  <w:divBdr>
                    <w:top w:val="none" w:sz="0" w:space="0" w:color="auto"/>
                    <w:left w:val="none" w:sz="0" w:space="0" w:color="auto"/>
                    <w:bottom w:val="none" w:sz="0" w:space="0" w:color="auto"/>
                    <w:right w:val="none" w:sz="0" w:space="0" w:color="auto"/>
                  </w:divBdr>
                  <w:divsChild>
                    <w:div w:id="464465962">
                      <w:marLeft w:val="0"/>
                      <w:marRight w:val="0"/>
                      <w:marTop w:val="0"/>
                      <w:marBottom w:val="0"/>
                      <w:divBdr>
                        <w:top w:val="none" w:sz="0" w:space="0" w:color="auto"/>
                        <w:left w:val="none" w:sz="0" w:space="0" w:color="auto"/>
                        <w:bottom w:val="none" w:sz="0" w:space="0" w:color="auto"/>
                        <w:right w:val="none" w:sz="0" w:space="0" w:color="auto"/>
                      </w:divBdr>
                    </w:div>
                  </w:divsChild>
                </w:div>
                <w:div w:id="1663855945">
                  <w:marLeft w:val="0"/>
                  <w:marRight w:val="0"/>
                  <w:marTop w:val="0"/>
                  <w:marBottom w:val="0"/>
                  <w:divBdr>
                    <w:top w:val="none" w:sz="0" w:space="0" w:color="auto"/>
                    <w:left w:val="none" w:sz="0" w:space="0" w:color="auto"/>
                    <w:bottom w:val="none" w:sz="0" w:space="0" w:color="auto"/>
                    <w:right w:val="none" w:sz="0" w:space="0" w:color="auto"/>
                  </w:divBdr>
                  <w:divsChild>
                    <w:div w:id="1428189281">
                      <w:marLeft w:val="0"/>
                      <w:marRight w:val="0"/>
                      <w:marTop w:val="0"/>
                      <w:marBottom w:val="0"/>
                      <w:divBdr>
                        <w:top w:val="none" w:sz="0" w:space="0" w:color="auto"/>
                        <w:left w:val="none" w:sz="0" w:space="0" w:color="auto"/>
                        <w:bottom w:val="none" w:sz="0" w:space="0" w:color="auto"/>
                        <w:right w:val="none" w:sz="0" w:space="0" w:color="auto"/>
                      </w:divBdr>
                    </w:div>
                  </w:divsChild>
                </w:div>
                <w:div w:id="1688557448">
                  <w:marLeft w:val="0"/>
                  <w:marRight w:val="0"/>
                  <w:marTop w:val="0"/>
                  <w:marBottom w:val="0"/>
                  <w:divBdr>
                    <w:top w:val="none" w:sz="0" w:space="0" w:color="auto"/>
                    <w:left w:val="none" w:sz="0" w:space="0" w:color="auto"/>
                    <w:bottom w:val="none" w:sz="0" w:space="0" w:color="auto"/>
                    <w:right w:val="none" w:sz="0" w:space="0" w:color="auto"/>
                  </w:divBdr>
                  <w:divsChild>
                    <w:div w:id="1620330220">
                      <w:marLeft w:val="0"/>
                      <w:marRight w:val="0"/>
                      <w:marTop w:val="0"/>
                      <w:marBottom w:val="0"/>
                      <w:divBdr>
                        <w:top w:val="none" w:sz="0" w:space="0" w:color="auto"/>
                        <w:left w:val="none" w:sz="0" w:space="0" w:color="auto"/>
                        <w:bottom w:val="none" w:sz="0" w:space="0" w:color="auto"/>
                        <w:right w:val="none" w:sz="0" w:space="0" w:color="auto"/>
                      </w:divBdr>
                    </w:div>
                  </w:divsChild>
                </w:div>
                <w:div w:id="1697072769">
                  <w:marLeft w:val="0"/>
                  <w:marRight w:val="0"/>
                  <w:marTop w:val="0"/>
                  <w:marBottom w:val="0"/>
                  <w:divBdr>
                    <w:top w:val="none" w:sz="0" w:space="0" w:color="auto"/>
                    <w:left w:val="none" w:sz="0" w:space="0" w:color="auto"/>
                    <w:bottom w:val="none" w:sz="0" w:space="0" w:color="auto"/>
                    <w:right w:val="none" w:sz="0" w:space="0" w:color="auto"/>
                  </w:divBdr>
                  <w:divsChild>
                    <w:div w:id="64685482">
                      <w:marLeft w:val="0"/>
                      <w:marRight w:val="0"/>
                      <w:marTop w:val="0"/>
                      <w:marBottom w:val="0"/>
                      <w:divBdr>
                        <w:top w:val="none" w:sz="0" w:space="0" w:color="auto"/>
                        <w:left w:val="none" w:sz="0" w:space="0" w:color="auto"/>
                        <w:bottom w:val="none" w:sz="0" w:space="0" w:color="auto"/>
                        <w:right w:val="none" w:sz="0" w:space="0" w:color="auto"/>
                      </w:divBdr>
                    </w:div>
                  </w:divsChild>
                </w:div>
                <w:div w:id="1705250317">
                  <w:marLeft w:val="0"/>
                  <w:marRight w:val="0"/>
                  <w:marTop w:val="0"/>
                  <w:marBottom w:val="0"/>
                  <w:divBdr>
                    <w:top w:val="none" w:sz="0" w:space="0" w:color="auto"/>
                    <w:left w:val="none" w:sz="0" w:space="0" w:color="auto"/>
                    <w:bottom w:val="none" w:sz="0" w:space="0" w:color="auto"/>
                    <w:right w:val="none" w:sz="0" w:space="0" w:color="auto"/>
                  </w:divBdr>
                  <w:divsChild>
                    <w:div w:id="1242762453">
                      <w:marLeft w:val="0"/>
                      <w:marRight w:val="0"/>
                      <w:marTop w:val="0"/>
                      <w:marBottom w:val="0"/>
                      <w:divBdr>
                        <w:top w:val="none" w:sz="0" w:space="0" w:color="auto"/>
                        <w:left w:val="none" w:sz="0" w:space="0" w:color="auto"/>
                        <w:bottom w:val="none" w:sz="0" w:space="0" w:color="auto"/>
                        <w:right w:val="none" w:sz="0" w:space="0" w:color="auto"/>
                      </w:divBdr>
                    </w:div>
                  </w:divsChild>
                </w:div>
                <w:div w:id="1718358923">
                  <w:marLeft w:val="0"/>
                  <w:marRight w:val="0"/>
                  <w:marTop w:val="0"/>
                  <w:marBottom w:val="0"/>
                  <w:divBdr>
                    <w:top w:val="none" w:sz="0" w:space="0" w:color="auto"/>
                    <w:left w:val="none" w:sz="0" w:space="0" w:color="auto"/>
                    <w:bottom w:val="none" w:sz="0" w:space="0" w:color="auto"/>
                    <w:right w:val="none" w:sz="0" w:space="0" w:color="auto"/>
                  </w:divBdr>
                  <w:divsChild>
                    <w:div w:id="1758206537">
                      <w:marLeft w:val="0"/>
                      <w:marRight w:val="0"/>
                      <w:marTop w:val="0"/>
                      <w:marBottom w:val="0"/>
                      <w:divBdr>
                        <w:top w:val="none" w:sz="0" w:space="0" w:color="auto"/>
                        <w:left w:val="none" w:sz="0" w:space="0" w:color="auto"/>
                        <w:bottom w:val="none" w:sz="0" w:space="0" w:color="auto"/>
                        <w:right w:val="none" w:sz="0" w:space="0" w:color="auto"/>
                      </w:divBdr>
                    </w:div>
                  </w:divsChild>
                </w:div>
                <w:div w:id="1718704575">
                  <w:marLeft w:val="0"/>
                  <w:marRight w:val="0"/>
                  <w:marTop w:val="0"/>
                  <w:marBottom w:val="0"/>
                  <w:divBdr>
                    <w:top w:val="none" w:sz="0" w:space="0" w:color="auto"/>
                    <w:left w:val="none" w:sz="0" w:space="0" w:color="auto"/>
                    <w:bottom w:val="none" w:sz="0" w:space="0" w:color="auto"/>
                    <w:right w:val="none" w:sz="0" w:space="0" w:color="auto"/>
                  </w:divBdr>
                  <w:divsChild>
                    <w:div w:id="865797480">
                      <w:marLeft w:val="0"/>
                      <w:marRight w:val="0"/>
                      <w:marTop w:val="0"/>
                      <w:marBottom w:val="0"/>
                      <w:divBdr>
                        <w:top w:val="none" w:sz="0" w:space="0" w:color="auto"/>
                        <w:left w:val="none" w:sz="0" w:space="0" w:color="auto"/>
                        <w:bottom w:val="none" w:sz="0" w:space="0" w:color="auto"/>
                        <w:right w:val="none" w:sz="0" w:space="0" w:color="auto"/>
                      </w:divBdr>
                    </w:div>
                  </w:divsChild>
                </w:div>
                <w:div w:id="1719426484">
                  <w:marLeft w:val="0"/>
                  <w:marRight w:val="0"/>
                  <w:marTop w:val="0"/>
                  <w:marBottom w:val="0"/>
                  <w:divBdr>
                    <w:top w:val="none" w:sz="0" w:space="0" w:color="auto"/>
                    <w:left w:val="none" w:sz="0" w:space="0" w:color="auto"/>
                    <w:bottom w:val="none" w:sz="0" w:space="0" w:color="auto"/>
                    <w:right w:val="none" w:sz="0" w:space="0" w:color="auto"/>
                  </w:divBdr>
                  <w:divsChild>
                    <w:div w:id="2078703030">
                      <w:marLeft w:val="0"/>
                      <w:marRight w:val="0"/>
                      <w:marTop w:val="0"/>
                      <w:marBottom w:val="0"/>
                      <w:divBdr>
                        <w:top w:val="none" w:sz="0" w:space="0" w:color="auto"/>
                        <w:left w:val="none" w:sz="0" w:space="0" w:color="auto"/>
                        <w:bottom w:val="none" w:sz="0" w:space="0" w:color="auto"/>
                        <w:right w:val="none" w:sz="0" w:space="0" w:color="auto"/>
                      </w:divBdr>
                    </w:div>
                  </w:divsChild>
                </w:div>
                <w:div w:id="1720857113">
                  <w:marLeft w:val="0"/>
                  <w:marRight w:val="0"/>
                  <w:marTop w:val="0"/>
                  <w:marBottom w:val="0"/>
                  <w:divBdr>
                    <w:top w:val="none" w:sz="0" w:space="0" w:color="auto"/>
                    <w:left w:val="none" w:sz="0" w:space="0" w:color="auto"/>
                    <w:bottom w:val="none" w:sz="0" w:space="0" w:color="auto"/>
                    <w:right w:val="none" w:sz="0" w:space="0" w:color="auto"/>
                  </w:divBdr>
                  <w:divsChild>
                    <w:div w:id="167641281">
                      <w:marLeft w:val="0"/>
                      <w:marRight w:val="0"/>
                      <w:marTop w:val="0"/>
                      <w:marBottom w:val="0"/>
                      <w:divBdr>
                        <w:top w:val="none" w:sz="0" w:space="0" w:color="auto"/>
                        <w:left w:val="none" w:sz="0" w:space="0" w:color="auto"/>
                        <w:bottom w:val="none" w:sz="0" w:space="0" w:color="auto"/>
                        <w:right w:val="none" w:sz="0" w:space="0" w:color="auto"/>
                      </w:divBdr>
                    </w:div>
                  </w:divsChild>
                </w:div>
                <w:div w:id="1723140604">
                  <w:marLeft w:val="0"/>
                  <w:marRight w:val="0"/>
                  <w:marTop w:val="0"/>
                  <w:marBottom w:val="0"/>
                  <w:divBdr>
                    <w:top w:val="none" w:sz="0" w:space="0" w:color="auto"/>
                    <w:left w:val="none" w:sz="0" w:space="0" w:color="auto"/>
                    <w:bottom w:val="none" w:sz="0" w:space="0" w:color="auto"/>
                    <w:right w:val="none" w:sz="0" w:space="0" w:color="auto"/>
                  </w:divBdr>
                  <w:divsChild>
                    <w:div w:id="866329442">
                      <w:marLeft w:val="0"/>
                      <w:marRight w:val="0"/>
                      <w:marTop w:val="0"/>
                      <w:marBottom w:val="0"/>
                      <w:divBdr>
                        <w:top w:val="none" w:sz="0" w:space="0" w:color="auto"/>
                        <w:left w:val="none" w:sz="0" w:space="0" w:color="auto"/>
                        <w:bottom w:val="none" w:sz="0" w:space="0" w:color="auto"/>
                        <w:right w:val="none" w:sz="0" w:space="0" w:color="auto"/>
                      </w:divBdr>
                    </w:div>
                  </w:divsChild>
                </w:div>
                <w:div w:id="1736584220">
                  <w:marLeft w:val="0"/>
                  <w:marRight w:val="0"/>
                  <w:marTop w:val="0"/>
                  <w:marBottom w:val="0"/>
                  <w:divBdr>
                    <w:top w:val="none" w:sz="0" w:space="0" w:color="auto"/>
                    <w:left w:val="none" w:sz="0" w:space="0" w:color="auto"/>
                    <w:bottom w:val="none" w:sz="0" w:space="0" w:color="auto"/>
                    <w:right w:val="none" w:sz="0" w:space="0" w:color="auto"/>
                  </w:divBdr>
                  <w:divsChild>
                    <w:div w:id="741370873">
                      <w:marLeft w:val="0"/>
                      <w:marRight w:val="0"/>
                      <w:marTop w:val="0"/>
                      <w:marBottom w:val="0"/>
                      <w:divBdr>
                        <w:top w:val="none" w:sz="0" w:space="0" w:color="auto"/>
                        <w:left w:val="none" w:sz="0" w:space="0" w:color="auto"/>
                        <w:bottom w:val="none" w:sz="0" w:space="0" w:color="auto"/>
                        <w:right w:val="none" w:sz="0" w:space="0" w:color="auto"/>
                      </w:divBdr>
                    </w:div>
                  </w:divsChild>
                </w:div>
                <w:div w:id="1755855390">
                  <w:marLeft w:val="0"/>
                  <w:marRight w:val="0"/>
                  <w:marTop w:val="0"/>
                  <w:marBottom w:val="0"/>
                  <w:divBdr>
                    <w:top w:val="none" w:sz="0" w:space="0" w:color="auto"/>
                    <w:left w:val="none" w:sz="0" w:space="0" w:color="auto"/>
                    <w:bottom w:val="none" w:sz="0" w:space="0" w:color="auto"/>
                    <w:right w:val="none" w:sz="0" w:space="0" w:color="auto"/>
                  </w:divBdr>
                  <w:divsChild>
                    <w:div w:id="116263993">
                      <w:marLeft w:val="0"/>
                      <w:marRight w:val="0"/>
                      <w:marTop w:val="0"/>
                      <w:marBottom w:val="0"/>
                      <w:divBdr>
                        <w:top w:val="none" w:sz="0" w:space="0" w:color="auto"/>
                        <w:left w:val="none" w:sz="0" w:space="0" w:color="auto"/>
                        <w:bottom w:val="none" w:sz="0" w:space="0" w:color="auto"/>
                        <w:right w:val="none" w:sz="0" w:space="0" w:color="auto"/>
                      </w:divBdr>
                    </w:div>
                  </w:divsChild>
                </w:div>
                <w:div w:id="1756507966">
                  <w:marLeft w:val="0"/>
                  <w:marRight w:val="0"/>
                  <w:marTop w:val="0"/>
                  <w:marBottom w:val="0"/>
                  <w:divBdr>
                    <w:top w:val="none" w:sz="0" w:space="0" w:color="auto"/>
                    <w:left w:val="none" w:sz="0" w:space="0" w:color="auto"/>
                    <w:bottom w:val="none" w:sz="0" w:space="0" w:color="auto"/>
                    <w:right w:val="none" w:sz="0" w:space="0" w:color="auto"/>
                  </w:divBdr>
                  <w:divsChild>
                    <w:div w:id="1380125789">
                      <w:marLeft w:val="0"/>
                      <w:marRight w:val="0"/>
                      <w:marTop w:val="0"/>
                      <w:marBottom w:val="0"/>
                      <w:divBdr>
                        <w:top w:val="none" w:sz="0" w:space="0" w:color="auto"/>
                        <w:left w:val="none" w:sz="0" w:space="0" w:color="auto"/>
                        <w:bottom w:val="none" w:sz="0" w:space="0" w:color="auto"/>
                        <w:right w:val="none" w:sz="0" w:space="0" w:color="auto"/>
                      </w:divBdr>
                    </w:div>
                  </w:divsChild>
                </w:div>
                <w:div w:id="1768499463">
                  <w:marLeft w:val="0"/>
                  <w:marRight w:val="0"/>
                  <w:marTop w:val="0"/>
                  <w:marBottom w:val="0"/>
                  <w:divBdr>
                    <w:top w:val="none" w:sz="0" w:space="0" w:color="auto"/>
                    <w:left w:val="none" w:sz="0" w:space="0" w:color="auto"/>
                    <w:bottom w:val="none" w:sz="0" w:space="0" w:color="auto"/>
                    <w:right w:val="none" w:sz="0" w:space="0" w:color="auto"/>
                  </w:divBdr>
                  <w:divsChild>
                    <w:div w:id="1403214253">
                      <w:marLeft w:val="0"/>
                      <w:marRight w:val="0"/>
                      <w:marTop w:val="0"/>
                      <w:marBottom w:val="0"/>
                      <w:divBdr>
                        <w:top w:val="none" w:sz="0" w:space="0" w:color="auto"/>
                        <w:left w:val="none" w:sz="0" w:space="0" w:color="auto"/>
                        <w:bottom w:val="none" w:sz="0" w:space="0" w:color="auto"/>
                        <w:right w:val="none" w:sz="0" w:space="0" w:color="auto"/>
                      </w:divBdr>
                    </w:div>
                  </w:divsChild>
                </w:div>
                <w:div w:id="1768689570">
                  <w:marLeft w:val="0"/>
                  <w:marRight w:val="0"/>
                  <w:marTop w:val="0"/>
                  <w:marBottom w:val="0"/>
                  <w:divBdr>
                    <w:top w:val="none" w:sz="0" w:space="0" w:color="auto"/>
                    <w:left w:val="none" w:sz="0" w:space="0" w:color="auto"/>
                    <w:bottom w:val="none" w:sz="0" w:space="0" w:color="auto"/>
                    <w:right w:val="none" w:sz="0" w:space="0" w:color="auto"/>
                  </w:divBdr>
                  <w:divsChild>
                    <w:div w:id="316033369">
                      <w:marLeft w:val="0"/>
                      <w:marRight w:val="0"/>
                      <w:marTop w:val="0"/>
                      <w:marBottom w:val="0"/>
                      <w:divBdr>
                        <w:top w:val="none" w:sz="0" w:space="0" w:color="auto"/>
                        <w:left w:val="none" w:sz="0" w:space="0" w:color="auto"/>
                        <w:bottom w:val="none" w:sz="0" w:space="0" w:color="auto"/>
                        <w:right w:val="none" w:sz="0" w:space="0" w:color="auto"/>
                      </w:divBdr>
                    </w:div>
                  </w:divsChild>
                </w:div>
                <w:div w:id="1776170168">
                  <w:marLeft w:val="0"/>
                  <w:marRight w:val="0"/>
                  <w:marTop w:val="0"/>
                  <w:marBottom w:val="0"/>
                  <w:divBdr>
                    <w:top w:val="none" w:sz="0" w:space="0" w:color="auto"/>
                    <w:left w:val="none" w:sz="0" w:space="0" w:color="auto"/>
                    <w:bottom w:val="none" w:sz="0" w:space="0" w:color="auto"/>
                    <w:right w:val="none" w:sz="0" w:space="0" w:color="auto"/>
                  </w:divBdr>
                  <w:divsChild>
                    <w:div w:id="786848477">
                      <w:marLeft w:val="0"/>
                      <w:marRight w:val="0"/>
                      <w:marTop w:val="0"/>
                      <w:marBottom w:val="0"/>
                      <w:divBdr>
                        <w:top w:val="none" w:sz="0" w:space="0" w:color="auto"/>
                        <w:left w:val="none" w:sz="0" w:space="0" w:color="auto"/>
                        <w:bottom w:val="none" w:sz="0" w:space="0" w:color="auto"/>
                        <w:right w:val="none" w:sz="0" w:space="0" w:color="auto"/>
                      </w:divBdr>
                    </w:div>
                  </w:divsChild>
                </w:div>
                <w:div w:id="1785537095">
                  <w:marLeft w:val="0"/>
                  <w:marRight w:val="0"/>
                  <w:marTop w:val="0"/>
                  <w:marBottom w:val="0"/>
                  <w:divBdr>
                    <w:top w:val="none" w:sz="0" w:space="0" w:color="auto"/>
                    <w:left w:val="none" w:sz="0" w:space="0" w:color="auto"/>
                    <w:bottom w:val="none" w:sz="0" w:space="0" w:color="auto"/>
                    <w:right w:val="none" w:sz="0" w:space="0" w:color="auto"/>
                  </w:divBdr>
                  <w:divsChild>
                    <w:div w:id="1872106463">
                      <w:marLeft w:val="0"/>
                      <w:marRight w:val="0"/>
                      <w:marTop w:val="0"/>
                      <w:marBottom w:val="0"/>
                      <w:divBdr>
                        <w:top w:val="none" w:sz="0" w:space="0" w:color="auto"/>
                        <w:left w:val="none" w:sz="0" w:space="0" w:color="auto"/>
                        <w:bottom w:val="none" w:sz="0" w:space="0" w:color="auto"/>
                        <w:right w:val="none" w:sz="0" w:space="0" w:color="auto"/>
                      </w:divBdr>
                    </w:div>
                  </w:divsChild>
                </w:div>
                <w:div w:id="1788238646">
                  <w:marLeft w:val="0"/>
                  <w:marRight w:val="0"/>
                  <w:marTop w:val="0"/>
                  <w:marBottom w:val="0"/>
                  <w:divBdr>
                    <w:top w:val="none" w:sz="0" w:space="0" w:color="auto"/>
                    <w:left w:val="none" w:sz="0" w:space="0" w:color="auto"/>
                    <w:bottom w:val="none" w:sz="0" w:space="0" w:color="auto"/>
                    <w:right w:val="none" w:sz="0" w:space="0" w:color="auto"/>
                  </w:divBdr>
                  <w:divsChild>
                    <w:div w:id="407965636">
                      <w:marLeft w:val="0"/>
                      <w:marRight w:val="0"/>
                      <w:marTop w:val="0"/>
                      <w:marBottom w:val="0"/>
                      <w:divBdr>
                        <w:top w:val="none" w:sz="0" w:space="0" w:color="auto"/>
                        <w:left w:val="none" w:sz="0" w:space="0" w:color="auto"/>
                        <w:bottom w:val="none" w:sz="0" w:space="0" w:color="auto"/>
                        <w:right w:val="none" w:sz="0" w:space="0" w:color="auto"/>
                      </w:divBdr>
                    </w:div>
                  </w:divsChild>
                </w:div>
                <w:div w:id="1792937527">
                  <w:marLeft w:val="0"/>
                  <w:marRight w:val="0"/>
                  <w:marTop w:val="0"/>
                  <w:marBottom w:val="0"/>
                  <w:divBdr>
                    <w:top w:val="none" w:sz="0" w:space="0" w:color="auto"/>
                    <w:left w:val="none" w:sz="0" w:space="0" w:color="auto"/>
                    <w:bottom w:val="none" w:sz="0" w:space="0" w:color="auto"/>
                    <w:right w:val="none" w:sz="0" w:space="0" w:color="auto"/>
                  </w:divBdr>
                  <w:divsChild>
                    <w:div w:id="2121290801">
                      <w:marLeft w:val="0"/>
                      <w:marRight w:val="0"/>
                      <w:marTop w:val="0"/>
                      <w:marBottom w:val="0"/>
                      <w:divBdr>
                        <w:top w:val="none" w:sz="0" w:space="0" w:color="auto"/>
                        <w:left w:val="none" w:sz="0" w:space="0" w:color="auto"/>
                        <w:bottom w:val="none" w:sz="0" w:space="0" w:color="auto"/>
                        <w:right w:val="none" w:sz="0" w:space="0" w:color="auto"/>
                      </w:divBdr>
                    </w:div>
                  </w:divsChild>
                </w:div>
                <w:div w:id="1825508565">
                  <w:marLeft w:val="0"/>
                  <w:marRight w:val="0"/>
                  <w:marTop w:val="0"/>
                  <w:marBottom w:val="0"/>
                  <w:divBdr>
                    <w:top w:val="none" w:sz="0" w:space="0" w:color="auto"/>
                    <w:left w:val="none" w:sz="0" w:space="0" w:color="auto"/>
                    <w:bottom w:val="none" w:sz="0" w:space="0" w:color="auto"/>
                    <w:right w:val="none" w:sz="0" w:space="0" w:color="auto"/>
                  </w:divBdr>
                  <w:divsChild>
                    <w:div w:id="42367284">
                      <w:marLeft w:val="0"/>
                      <w:marRight w:val="0"/>
                      <w:marTop w:val="0"/>
                      <w:marBottom w:val="0"/>
                      <w:divBdr>
                        <w:top w:val="none" w:sz="0" w:space="0" w:color="auto"/>
                        <w:left w:val="none" w:sz="0" w:space="0" w:color="auto"/>
                        <w:bottom w:val="none" w:sz="0" w:space="0" w:color="auto"/>
                        <w:right w:val="none" w:sz="0" w:space="0" w:color="auto"/>
                      </w:divBdr>
                    </w:div>
                  </w:divsChild>
                </w:div>
                <w:div w:id="1838883286">
                  <w:marLeft w:val="0"/>
                  <w:marRight w:val="0"/>
                  <w:marTop w:val="0"/>
                  <w:marBottom w:val="0"/>
                  <w:divBdr>
                    <w:top w:val="none" w:sz="0" w:space="0" w:color="auto"/>
                    <w:left w:val="none" w:sz="0" w:space="0" w:color="auto"/>
                    <w:bottom w:val="none" w:sz="0" w:space="0" w:color="auto"/>
                    <w:right w:val="none" w:sz="0" w:space="0" w:color="auto"/>
                  </w:divBdr>
                  <w:divsChild>
                    <w:div w:id="1684936341">
                      <w:marLeft w:val="0"/>
                      <w:marRight w:val="0"/>
                      <w:marTop w:val="0"/>
                      <w:marBottom w:val="0"/>
                      <w:divBdr>
                        <w:top w:val="none" w:sz="0" w:space="0" w:color="auto"/>
                        <w:left w:val="none" w:sz="0" w:space="0" w:color="auto"/>
                        <w:bottom w:val="none" w:sz="0" w:space="0" w:color="auto"/>
                        <w:right w:val="none" w:sz="0" w:space="0" w:color="auto"/>
                      </w:divBdr>
                    </w:div>
                  </w:divsChild>
                </w:div>
                <w:div w:id="1843625582">
                  <w:marLeft w:val="0"/>
                  <w:marRight w:val="0"/>
                  <w:marTop w:val="0"/>
                  <w:marBottom w:val="0"/>
                  <w:divBdr>
                    <w:top w:val="none" w:sz="0" w:space="0" w:color="auto"/>
                    <w:left w:val="none" w:sz="0" w:space="0" w:color="auto"/>
                    <w:bottom w:val="none" w:sz="0" w:space="0" w:color="auto"/>
                    <w:right w:val="none" w:sz="0" w:space="0" w:color="auto"/>
                  </w:divBdr>
                  <w:divsChild>
                    <w:div w:id="1458523101">
                      <w:marLeft w:val="0"/>
                      <w:marRight w:val="0"/>
                      <w:marTop w:val="0"/>
                      <w:marBottom w:val="0"/>
                      <w:divBdr>
                        <w:top w:val="none" w:sz="0" w:space="0" w:color="auto"/>
                        <w:left w:val="none" w:sz="0" w:space="0" w:color="auto"/>
                        <w:bottom w:val="none" w:sz="0" w:space="0" w:color="auto"/>
                        <w:right w:val="none" w:sz="0" w:space="0" w:color="auto"/>
                      </w:divBdr>
                    </w:div>
                  </w:divsChild>
                </w:div>
                <w:div w:id="1909681995">
                  <w:marLeft w:val="0"/>
                  <w:marRight w:val="0"/>
                  <w:marTop w:val="0"/>
                  <w:marBottom w:val="0"/>
                  <w:divBdr>
                    <w:top w:val="none" w:sz="0" w:space="0" w:color="auto"/>
                    <w:left w:val="none" w:sz="0" w:space="0" w:color="auto"/>
                    <w:bottom w:val="none" w:sz="0" w:space="0" w:color="auto"/>
                    <w:right w:val="none" w:sz="0" w:space="0" w:color="auto"/>
                  </w:divBdr>
                  <w:divsChild>
                    <w:div w:id="418674275">
                      <w:marLeft w:val="0"/>
                      <w:marRight w:val="0"/>
                      <w:marTop w:val="0"/>
                      <w:marBottom w:val="0"/>
                      <w:divBdr>
                        <w:top w:val="none" w:sz="0" w:space="0" w:color="auto"/>
                        <w:left w:val="none" w:sz="0" w:space="0" w:color="auto"/>
                        <w:bottom w:val="none" w:sz="0" w:space="0" w:color="auto"/>
                        <w:right w:val="none" w:sz="0" w:space="0" w:color="auto"/>
                      </w:divBdr>
                    </w:div>
                  </w:divsChild>
                </w:div>
                <w:div w:id="1927572857">
                  <w:marLeft w:val="0"/>
                  <w:marRight w:val="0"/>
                  <w:marTop w:val="0"/>
                  <w:marBottom w:val="0"/>
                  <w:divBdr>
                    <w:top w:val="none" w:sz="0" w:space="0" w:color="auto"/>
                    <w:left w:val="none" w:sz="0" w:space="0" w:color="auto"/>
                    <w:bottom w:val="none" w:sz="0" w:space="0" w:color="auto"/>
                    <w:right w:val="none" w:sz="0" w:space="0" w:color="auto"/>
                  </w:divBdr>
                  <w:divsChild>
                    <w:div w:id="1536196196">
                      <w:marLeft w:val="0"/>
                      <w:marRight w:val="0"/>
                      <w:marTop w:val="0"/>
                      <w:marBottom w:val="0"/>
                      <w:divBdr>
                        <w:top w:val="none" w:sz="0" w:space="0" w:color="auto"/>
                        <w:left w:val="none" w:sz="0" w:space="0" w:color="auto"/>
                        <w:bottom w:val="none" w:sz="0" w:space="0" w:color="auto"/>
                        <w:right w:val="none" w:sz="0" w:space="0" w:color="auto"/>
                      </w:divBdr>
                    </w:div>
                  </w:divsChild>
                </w:div>
                <w:div w:id="1936017281">
                  <w:marLeft w:val="0"/>
                  <w:marRight w:val="0"/>
                  <w:marTop w:val="0"/>
                  <w:marBottom w:val="0"/>
                  <w:divBdr>
                    <w:top w:val="none" w:sz="0" w:space="0" w:color="auto"/>
                    <w:left w:val="none" w:sz="0" w:space="0" w:color="auto"/>
                    <w:bottom w:val="none" w:sz="0" w:space="0" w:color="auto"/>
                    <w:right w:val="none" w:sz="0" w:space="0" w:color="auto"/>
                  </w:divBdr>
                  <w:divsChild>
                    <w:div w:id="1760633935">
                      <w:marLeft w:val="0"/>
                      <w:marRight w:val="0"/>
                      <w:marTop w:val="0"/>
                      <w:marBottom w:val="0"/>
                      <w:divBdr>
                        <w:top w:val="none" w:sz="0" w:space="0" w:color="auto"/>
                        <w:left w:val="none" w:sz="0" w:space="0" w:color="auto"/>
                        <w:bottom w:val="none" w:sz="0" w:space="0" w:color="auto"/>
                        <w:right w:val="none" w:sz="0" w:space="0" w:color="auto"/>
                      </w:divBdr>
                    </w:div>
                  </w:divsChild>
                </w:div>
                <w:div w:id="1936936266">
                  <w:marLeft w:val="0"/>
                  <w:marRight w:val="0"/>
                  <w:marTop w:val="0"/>
                  <w:marBottom w:val="0"/>
                  <w:divBdr>
                    <w:top w:val="none" w:sz="0" w:space="0" w:color="auto"/>
                    <w:left w:val="none" w:sz="0" w:space="0" w:color="auto"/>
                    <w:bottom w:val="none" w:sz="0" w:space="0" w:color="auto"/>
                    <w:right w:val="none" w:sz="0" w:space="0" w:color="auto"/>
                  </w:divBdr>
                  <w:divsChild>
                    <w:div w:id="434910391">
                      <w:marLeft w:val="0"/>
                      <w:marRight w:val="0"/>
                      <w:marTop w:val="0"/>
                      <w:marBottom w:val="0"/>
                      <w:divBdr>
                        <w:top w:val="none" w:sz="0" w:space="0" w:color="auto"/>
                        <w:left w:val="none" w:sz="0" w:space="0" w:color="auto"/>
                        <w:bottom w:val="none" w:sz="0" w:space="0" w:color="auto"/>
                        <w:right w:val="none" w:sz="0" w:space="0" w:color="auto"/>
                      </w:divBdr>
                    </w:div>
                  </w:divsChild>
                </w:div>
                <w:div w:id="1942755739">
                  <w:marLeft w:val="0"/>
                  <w:marRight w:val="0"/>
                  <w:marTop w:val="0"/>
                  <w:marBottom w:val="0"/>
                  <w:divBdr>
                    <w:top w:val="none" w:sz="0" w:space="0" w:color="auto"/>
                    <w:left w:val="none" w:sz="0" w:space="0" w:color="auto"/>
                    <w:bottom w:val="none" w:sz="0" w:space="0" w:color="auto"/>
                    <w:right w:val="none" w:sz="0" w:space="0" w:color="auto"/>
                  </w:divBdr>
                  <w:divsChild>
                    <w:div w:id="371467510">
                      <w:marLeft w:val="0"/>
                      <w:marRight w:val="0"/>
                      <w:marTop w:val="0"/>
                      <w:marBottom w:val="0"/>
                      <w:divBdr>
                        <w:top w:val="none" w:sz="0" w:space="0" w:color="auto"/>
                        <w:left w:val="none" w:sz="0" w:space="0" w:color="auto"/>
                        <w:bottom w:val="none" w:sz="0" w:space="0" w:color="auto"/>
                        <w:right w:val="none" w:sz="0" w:space="0" w:color="auto"/>
                      </w:divBdr>
                    </w:div>
                  </w:divsChild>
                </w:div>
                <w:div w:id="1958951897">
                  <w:marLeft w:val="0"/>
                  <w:marRight w:val="0"/>
                  <w:marTop w:val="0"/>
                  <w:marBottom w:val="0"/>
                  <w:divBdr>
                    <w:top w:val="none" w:sz="0" w:space="0" w:color="auto"/>
                    <w:left w:val="none" w:sz="0" w:space="0" w:color="auto"/>
                    <w:bottom w:val="none" w:sz="0" w:space="0" w:color="auto"/>
                    <w:right w:val="none" w:sz="0" w:space="0" w:color="auto"/>
                  </w:divBdr>
                  <w:divsChild>
                    <w:div w:id="678969925">
                      <w:marLeft w:val="0"/>
                      <w:marRight w:val="0"/>
                      <w:marTop w:val="0"/>
                      <w:marBottom w:val="0"/>
                      <w:divBdr>
                        <w:top w:val="none" w:sz="0" w:space="0" w:color="auto"/>
                        <w:left w:val="none" w:sz="0" w:space="0" w:color="auto"/>
                        <w:bottom w:val="none" w:sz="0" w:space="0" w:color="auto"/>
                        <w:right w:val="none" w:sz="0" w:space="0" w:color="auto"/>
                      </w:divBdr>
                    </w:div>
                  </w:divsChild>
                </w:div>
                <w:div w:id="1975282778">
                  <w:marLeft w:val="0"/>
                  <w:marRight w:val="0"/>
                  <w:marTop w:val="0"/>
                  <w:marBottom w:val="0"/>
                  <w:divBdr>
                    <w:top w:val="none" w:sz="0" w:space="0" w:color="auto"/>
                    <w:left w:val="none" w:sz="0" w:space="0" w:color="auto"/>
                    <w:bottom w:val="none" w:sz="0" w:space="0" w:color="auto"/>
                    <w:right w:val="none" w:sz="0" w:space="0" w:color="auto"/>
                  </w:divBdr>
                  <w:divsChild>
                    <w:div w:id="803618126">
                      <w:marLeft w:val="0"/>
                      <w:marRight w:val="0"/>
                      <w:marTop w:val="0"/>
                      <w:marBottom w:val="0"/>
                      <w:divBdr>
                        <w:top w:val="none" w:sz="0" w:space="0" w:color="auto"/>
                        <w:left w:val="none" w:sz="0" w:space="0" w:color="auto"/>
                        <w:bottom w:val="none" w:sz="0" w:space="0" w:color="auto"/>
                        <w:right w:val="none" w:sz="0" w:space="0" w:color="auto"/>
                      </w:divBdr>
                    </w:div>
                  </w:divsChild>
                </w:div>
                <w:div w:id="1977374393">
                  <w:marLeft w:val="0"/>
                  <w:marRight w:val="0"/>
                  <w:marTop w:val="0"/>
                  <w:marBottom w:val="0"/>
                  <w:divBdr>
                    <w:top w:val="none" w:sz="0" w:space="0" w:color="auto"/>
                    <w:left w:val="none" w:sz="0" w:space="0" w:color="auto"/>
                    <w:bottom w:val="none" w:sz="0" w:space="0" w:color="auto"/>
                    <w:right w:val="none" w:sz="0" w:space="0" w:color="auto"/>
                  </w:divBdr>
                  <w:divsChild>
                    <w:div w:id="318731572">
                      <w:marLeft w:val="0"/>
                      <w:marRight w:val="0"/>
                      <w:marTop w:val="0"/>
                      <w:marBottom w:val="0"/>
                      <w:divBdr>
                        <w:top w:val="none" w:sz="0" w:space="0" w:color="auto"/>
                        <w:left w:val="none" w:sz="0" w:space="0" w:color="auto"/>
                        <w:bottom w:val="none" w:sz="0" w:space="0" w:color="auto"/>
                        <w:right w:val="none" w:sz="0" w:space="0" w:color="auto"/>
                      </w:divBdr>
                    </w:div>
                  </w:divsChild>
                </w:div>
                <w:div w:id="1991400241">
                  <w:marLeft w:val="0"/>
                  <w:marRight w:val="0"/>
                  <w:marTop w:val="0"/>
                  <w:marBottom w:val="0"/>
                  <w:divBdr>
                    <w:top w:val="none" w:sz="0" w:space="0" w:color="auto"/>
                    <w:left w:val="none" w:sz="0" w:space="0" w:color="auto"/>
                    <w:bottom w:val="none" w:sz="0" w:space="0" w:color="auto"/>
                    <w:right w:val="none" w:sz="0" w:space="0" w:color="auto"/>
                  </w:divBdr>
                  <w:divsChild>
                    <w:div w:id="830101086">
                      <w:marLeft w:val="0"/>
                      <w:marRight w:val="0"/>
                      <w:marTop w:val="0"/>
                      <w:marBottom w:val="0"/>
                      <w:divBdr>
                        <w:top w:val="none" w:sz="0" w:space="0" w:color="auto"/>
                        <w:left w:val="none" w:sz="0" w:space="0" w:color="auto"/>
                        <w:bottom w:val="none" w:sz="0" w:space="0" w:color="auto"/>
                        <w:right w:val="none" w:sz="0" w:space="0" w:color="auto"/>
                      </w:divBdr>
                    </w:div>
                  </w:divsChild>
                </w:div>
                <w:div w:id="1991786020">
                  <w:marLeft w:val="0"/>
                  <w:marRight w:val="0"/>
                  <w:marTop w:val="0"/>
                  <w:marBottom w:val="0"/>
                  <w:divBdr>
                    <w:top w:val="none" w:sz="0" w:space="0" w:color="auto"/>
                    <w:left w:val="none" w:sz="0" w:space="0" w:color="auto"/>
                    <w:bottom w:val="none" w:sz="0" w:space="0" w:color="auto"/>
                    <w:right w:val="none" w:sz="0" w:space="0" w:color="auto"/>
                  </w:divBdr>
                  <w:divsChild>
                    <w:div w:id="1964653565">
                      <w:marLeft w:val="0"/>
                      <w:marRight w:val="0"/>
                      <w:marTop w:val="0"/>
                      <w:marBottom w:val="0"/>
                      <w:divBdr>
                        <w:top w:val="none" w:sz="0" w:space="0" w:color="auto"/>
                        <w:left w:val="none" w:sz="0" w:space="0" w:color="auto"/>
                        <w:bottom w:val="none" w:sz="0" w:space="0" w:color="auto"/>
                        <w:right w:val="none" w:sz="0" w:space="0" w:color="auto"/>
                      </w:divBdr>
                    </w:div>
                  </w:divsChild>
                </w:div>
                <w:div w:id="1999654384">
                  <w:marLeft w:val="0"/>
                  <w:marRight w:val="0"/>
                  <w:marTop w:val="0"/>
                  <w:marBottom w:val="0"/>
                  <w:divBdr>
                    <w:top w:val="none" w:sz="0" w:space="0" w:color="auto"/>
                    <w:left w:val="none" w:sz="0" w:space="0" w:color="auto"/>
                    <w:bottom w:val="none" w:sz="0" w:space="0" w:color="auto"/>
                    <w:right w:val="none" w:sz="0" w:space="0" w:color="auto"/>
                  </w:divBdr>
                  <w:divsChild>
                    <w:div w:id="148443557">
                      <w:marLeft w:val="0"/>
                      <w:marRight w:val="0"/>
                      <w:marTop w:val="0"/>
                      <w:marBottom w:val="0"/>
                      <w:divBdr>
                        <w:top w:val="none" w:sz="0" w:space="0" w:color="auto"/>
                        <w:left w:val="none" w:sz="0" w:space="0" w:color="auto"/>
                        <w:bottom w:val="none" w:sz="0" w:space="0" w:color="auto"/>
                        <w:right w:val="none" w:sz="0" w:space="0" w:color="auto"/>
                      </w:divBdr>
                    </w:div>
                  </w:divsChild>
                </w:div>
                <w:div w:id="2010448477">
                  <w:marLeft w:val="0"/>
                  <w:marRight w:val="0"/>
                  <w:marTop w:val="0"/>
                  <w:marBottom w:val="0"/>
                  <w:divBdr>
                    <w:top w:val="none" w:sz="0" w:space="0" w:color="auto"/>
                    <w:left w:val="none" w:sz="0" w:space="0" w:color="auto"/>
                    <w:bottom w:val="none" w:sz="0" w:space="0" w:color="auto"/>
                    <w:right w:val="none" w:sz="0" w:space="0" w:color="auto"/>
                  </w:divBdr>
                  <w:divsChild>
                    <w:div w:id="1601839229">
                      <w:marLeft w:val="0"/>
                      <w:marRight w:val="0"/>
                      <w:marTop w:val="0"/>
                      <w:marBottom w:val="0"/>
                      <w:divBdr>
                        <w:top w:val="none" w:sz="0" w:space="0" w:color="auto"/>
                        <w:left w:val="none" w:sz="0" w:space="0" w:color="auto"/>
                        <w:bottom w:val="none" w:sz="0" w:space="0" w:color="auto"/>
                        <w:right w:val="none" w:sz="0" w:space="0" w:color="auto"/>
                      </w:divBdr>
                    </w:div>
                  </w:divsChild>
                </w:div>
                <w:div w:id="2012219109">
                  <w:marLeft w:val="0"/>
                  <w:marRight w:val="0"/>
                  <w:marTop w:val="0"/>
                  <w:marBottom w:val="0"/>
                  <w:divBdr>
                    <w:top w:val="none" w:sz="0" w:space="0" w:color="auto"/>
                    <w:left w:val="none" w:sz="0" w:space="0" w:color="auto"/>
                    <w:bottom w:val="none" w:sz="0" w:space="0" w:color="auto"/>
                    <w:right w:val="none" w:sz="0" w:space="0" w:color="auto"/>
                  </w:divBdr>
                  <w:divsChild>
                    <w:div w:id="197356141">
                      <w:marLeft w:val="0"/>
                      <w:marRight w:val="0"/>
                      <w:marTop w:val="0"/>
                      <w:marBottom w:val="0"/>
                      <w:divBdr>
                        <w:top w:val="none" w:sz="0" w:space="0" w:color="auto"/>
                        <w:left w:val="none" w:sz="0" w:space="0" w:color="auto"/>
                        <w:bottom w:val="none" w:sz="0" w:space="0" w:color="auto"/>
                        <w:right w:val="none" w:sz="0" w:space="0" w:color="auto"/>
                      </w:divBdr>
                    </w:div>
                  </w:divsChild>
                </w:div>
                <w:div w:id="2017950815">
                  <w:marLeft w:val="0"/>
                  <w:marRight w:val="0"/>
                  <w:marTop w:val="0"/>
                  <w:marBottom w:val="0"/>
                  <w:divBdr>
                    <w:top w:val="none" w:sz="0" w:space="0" w:color="auto"/>
                    <w:left w:val="none" w:sz="0" w:space="0" w:color="auto"/>
                    <w:bottom w:val="none" w:sz="0" w:space="0" w:color="auto"/>
                    <w:right w:val="none" w:sz="0" w:space="0" w:color="auto"/>
                  </w:divBdr>
                  <w:divsChild>
                    <w:div w:id="1724408398">
                      <w:marLeft w:val="0"/>
                      <w:marRight w:val="0"/>
                      <w:marTop w:val="0"/>
                      <w:marBottom w:val="0"/>
                      <w:divBdr>
                        <w:top w:val="none" w:sz="0" w:space="0" w:color="auto"/>
                        <w:left w:val="none" w:sz="0" w:space="0" w:color="auto"/>
                        <w:bottom w:val="none" w:sz="0" w:space="0" w:color="auto"/>
                        <w:right w:val="none" w:sz="0" w:space="0" w:color="auto"/>
                      </w:divBdr>
                    </w:div>
                  </w:divsChild>
                </w:div>
                <w:div w:id="2023506502">
                  <w:marLeft w:val="0"/>
                  <w:marRight w:val="0"/>
                  <w:marTop w:val="0"/>
                  <w:marBottom w:val="0"/>
                  <w:divBdr>
                    <w:top w:val="none" w:sz="0" w:space="0" w:color="auto"/>
                    <w:left w:val="none" w:sz="0" w:space="0" w:color="auto"/>
                    <w:bottom w:val="none" w:sz="0" w:space="0" w:color="auto"/>
                    <w:right w:val="none" w:sz="0" w:space="0" w:color="auto"/>
                  </w:divBdr>
                  <w:divsChild>
                    <w:div w:id="1596985808">
                      <w:marLeft w:val="0"/>
                      <w:marRight w:val="0"/>
                      <w:marTop w:val="0"/>
                      <w:marBottom w:val="0"/>
                      <w:divBdr>
                        <w:top w:val="none" w:sz="0" w:space="0" w:color="auto"/>
                        <w:left w:val="none" w:sz="0" w:space="0" w:color="auto"/>
                        <w:bottom w:val="none" w:sz="0" w:space="0" w:color="auto"/>
                        <w:right w:val="none" w:sz="0" w:space="0" w:color="auto"/>
                      </w:divBdr>
                    </w:div>
                  </w:divsChild>
                </w:div>
                <w:div w:id="2030794303">
                  <w:marLeft w:val="0"/>
                  <w:marRight w:val="0"/>
                  <w:marTop w:val="0"/>
                  <w:marBottom w:val="0"/>
                  <w:divBdr>
                    <w:top w:val="none" w:sz="0" w:space="0" w:color="auto"/>
                    <w:left w:val="none" w:sz="0" w:space="0" w:color="auto"/>
                    <w:bottom w:val="none" w:sz="0" w:space="0" w:color="auto"/>
                    <w:right w:val="none" w:sz="0" w:space="0" w:color="auto"/>
                  </w:divBdr>
                  <w:divsChild>
                    <w:div w:id="1444492178">
                      <w:marLeft w:val="0"/>
                      <w:marRight w:val="0"/>
                      <w:marTop w:val="0"/>
                      <w:marBottom w:val="0"/>
                      <w:divBdr>
                        <w:top w:val="none" w:sz="0" w:space="0" w:color="auto"/>
                        <w:left w:val="none" w:sz="0" w:space="0" w:color="auto"/>
                        <w:bottom w:val="none" w:sz="0" w:space="0" w:color="auto"/>
                        <w:right w:val="none" w:sz="0" w:space="0" w:color="auto"/>
                      </w:divBdr>
                    </w:div>
                  </w:divsChild>
                </w:div>
                <w:div w:id="2043896238">
                  <w:marLeft w:val="0"/>
                  <w:marRight w:val="0"/>
                  <w:marTop w:val="0"/>
                  <w:marBottom w:val="0"/>
                  <w:divBdr>
                    <w:top w:val="none" w:sz="0" w:space="0" w:color="auto"/>
                    <w:left w:val="none" w:sz="0" w:space="0" w:color="auto"/>
                    <w:bottom w:val="none" w:sz="0" w:space="0" w:color="auto"/>
                    <w:right w:val="none" w:sz="0" w:space="0" w:color="auto"/>
                  </w:divBdr>
                  <w:divsChild>
                    <w:div w:id="681123518">
                      <w:marLeft w:val="0"/>
                      <w:marRight w:val="0"/>
                      <w:marTop w:val="0"/>
                      <w:marBottom w:val="0"/>
                      <w:divBdr>
                        <w:top w:val="none" w:sz="0" w:space="0" w:color="auto"/>
                        <w:left w:val="none" w:sz="0" w:space="0" w:color="auto"/>
                        <w:bottom w:val="none" w:sz="0" w:space="0" w:color="auto"/>
                        <w:right w:val="none" w:sz="0" w:space="0" w:color="auto"/>
                      </w:divBdr>
                    </w:div>
                  </w:divsChild>
                </w:div>
                <w:div w:id="2058116387">
                  <w:marLeft w:val="0"/>
                  <w:marRight w:val="0"/>
                  <w:marTop w:val="0"/>
                  <w:marBottom w:val="0"/>
                  <w:divBdr>
                    <w:top w:val="none" w:sz="0" w:space="0" w:color="auto"/>
                    <w:left w:val="none" w:sz="0" w:space="0" w:color="auto"/>
                    <w:bottom w:val="none" w:sz="0" w:space="0" w:color="auto"/>
                    <w:right w:val="none" w:sz="0" w:space="0" w:color="auto"/>
                  </w:divBdr>
                  <w:divsChild>
                    <w:div w:id="1693342169">
                      <w:marLeft w:val="0"/>
                      <w:marRight w:val="0"/>
                      <w:marTop w:val="0"/>
                      <w:marBottom w:val="0"/>
                      <w:divBdr>
                        <w:top w:val="none" w:sz="0" w:space="0" w:color="auto"/>
                        <w:left w:val="none" w:sz="0" w:space="0" w:color="auto"/>
                        <w:bottom w:val="none" w:sz="0" w:space="0" w:color="auto"/>
                        <w:right w:val="none" w:sz="0" w:space="0" w:color="auto"/>
                      </w:divBdr>
                    </w:div>
                  </w:divsChild>
                </w:div>
                <w:div w:id="2061438214">
                  <w:marLeft w:val="0"/>
                  <w:marRight w:val="0"/>
                  <w:marTop w:val="0"/>
                  <w:marBottom w:val="0"/>
                  <w:divBdr>
                    <w:top w:val="none" w:sz="0" w:space="0" w:color="auto"/>
                    <w:left w:val="none" w:sz="0" w:space="0" w:color="auto"/>
                    <w:bottom w:val="none" w:sz="0" w:space="0" w:color="auto"/>
                    <w:right w:val="none" w:sz="0" w:space="0" w:color="auto"/>
                  </w:divBdr>
                  <w:divsChild>
                    <w:div w:id="1149782438">
                      <w:marLeft w:val="0"/>
                      <w:marRight w:val="0"/>
                      <w:marTop w:val="0"/>
                      <w:marBottom w:val="0"/>
                      <w:divBdr>
                        <w:top w:val="none" w:sz="0" w:space="0" w:color="auto"/>
                        <w:left w:val="none" w:sz="0" w:space="0" w:color="auto"/>
                        <w:bottom w:val="none" w:sz="0" w:space="0" w:color="auto"/>
                        <w:right w:val="none" w:sz="0" w:space="0" w:color="auto"/>
                      </w:divBdr>
                    </w:div>
                  </w:divsChild>
                </w:div>
                <w:div w:id="2081056666">
                  <w:marLeft w:val="0"/>
                  <w:marRight w:val="0"/>
                  <w:marTop w:val="0"/>
                  <w:marBottom w:val="0"/>
                  <w:divBdr>
                    <w:top w:val="none" w:sz="0" w:space="0" w:color="auto"/>
                    <w:left w:val="none" w:sz="0" w:space="0" w:color="auto"/>
                    <w:bottom w:val="none" w:sz="0" w:space="0" w:color="auto"/>
                    <w:right w:val="none" w:sz="0" w:space="0" w:color="auto"/>
                  </w:divBdr>
                  <w:divsChild>
                    <w:div w:id="231157830">
                      <w:marLeft w:val="0"/>
                      <w:marRight w:val="0"/>
                      <w:marTop w:val="0"/>
                      <w:marBottom w:val="0"/>
                      <w:divBdr>
                        <w:top w:val="none" w:sz="0" w:space="0" w:color="auto"/>
                        <w:left w:val="none" w:sz="0" w:space="0" w:color="auto"/>
                        <w:bottom w:val="none" w:sz="0" w:space="0" w:color="auto"/>
                        <w:right w:val="none" w:sz="0" w:space="0" w:color="auto"/>
                      </w:divBdr>
                    </w:div>
                  </w:divsChild>
                </w:div>
                <w:div w:id="2093119236">
                  <w:marLeft w:val="0"/>
                  <w:marRight w:val="0"/>
                  <w:marTop w:val="0"/>
                  <w:marBottom w:val="0"/>
                  <w:divBdr>
                    <w:top w:val="none" w:sz="0" w:space="0" w:color="auto"/>
                    <w:left w:val="none" w:sz="0" w:space="0" w:color="auto"/>
                    <w:bottom w:val="none" w:sz="0" w:space="0" w:color="auto"/>
                    <w:right w:val="none" w:sz="0" w:space="0" w:color="auto"/>
                  </w:divBdr>
                  <w:divsChild>
                    <w:div w:id="2046828129">
                      <w:marLeft w:val="0"/>
                      <w:marRight w:val="0"/>
                      <w:marTop w:val="0"/>
                      <w:marBottom w:val="0"/>
                      <w:divBdr>
                        <w:top w:val="none" w:sz="0" w:space="0" w:color="auto"/>
                        <w:left w:val="none" w:sz="0" w:space="0" w:color="auto"/>
                        <w:bottom w:val="none" w:sz="0" w:space="0" w:color="auto"/>
                        <w:right w:val="none" w:sz="0" w:space="0" w:color="auto"/>
                      </w:divBdr>
                    </w:div>
                  </w:divsChild>
                </w:div>
                <w:div w:id="2094928405">
                  <w:marLeft w:val="0"/>
                  <w:marRight w:val="0"/>
                  <w:marTop w:val="0"/>
                  <w:marBottom w:val="0"/>
                  <w:divBdr>
                    <w:top w:val="none" w:sz="0" w:space="0" w:color="auto"/>
                    <w:left w:val="none" w:sz="0" w:space="0" w:color="auto"/>
                    <w:bottom w:val="none" w:sz="0" w:space="0" w:color="auto"/>
                    <w:right w:val="none" w:sz="0" w:space="0" w:color="auto"/>
                  </w:divBdr>
                  <w:divsChild>
                    <w:div w:id="603459708">
                      <w:marLeft w:val="0"/>
                      <w:marRight w:val="0"/>
                      <w:marTop w:val="0"/>
                      <w:marBottom w:val="0"/>
                      <w:divBdr>
                        <w:top w:val="none" w:sz="0" w:space="0" w:color="auto"/>
                        <w:left w:val="none" w:sz="0" w:space="0" w:color="auto"/>
                        <w:bottom w:val="none" w:sz="0" w:space="0" w:color="auto"/>
                        <w:right w:val="none" w:sz="0" w:space="0" w:color="auto"/>
                      </w:divBdr>
                    </w:div>
                  </w:divsChild>
                </w:div>
                <w:div w:id="2095007356">
                  <w:marLeft w:val="0"/>
                  <w:marRight w:val="0"/>
                  <w:marTop w:val="0"/>
                  <w:marBottom w:val="0"/>
                  <w:divBdr>
                    <w:top w:val="none" w:sz="0" w:space="0" w:color="auto"/>
                    <w:left w:val="none" w:sz="0" w:space="0" w:color="auto"/>
                    <w:bottom w:val="none" w:sz="0" w:space="0" w:color="auto"/>
                    <w:right w:val="none" w:sz="0" w:space="0" w:color="auto"/>
                  </w:divBdr>
                  <w:divsChild>
                    <w:div w:id="1429041019">
                      <w:marLeft w:val="0"/>
                      <w:marRight w:val="0"/>
                      <w:marTop w:val="0"/>
                      <w:marBottom w:val="0"/>
                      <w:divBdr>
                        <w:top w:val="none" w:sz="0" w:space="0" w:color="auto"/>
                        <w:left w:val="none" w:sz="0" w:space="0" w:color="auto"/>
                        <w:bottom w:val="none" w:sz="0" w:space="0" w:color="auto"/>
                        <w:right w:val="none" w:sz="0" w:space="0" w:color="auto"/>
                      </w:divBdr>
                    </w:div>
                  </w:divsChild>
                </w:div>
                <w:div w:id="2144733694">
                  <w:marLeft w:val="0"/>
                  <w:marRight w:val="0"/>
                  <w:marTop w:val="0"/>
                  <w:marBottom w:val="0"/>
                  <w:divBdr>
                    <w:top w:val="none" w:sz="0" w:space="0" w:color="auto"/>
                    <w:left w:val="none" w:sz="0" w:space="0" w:color="auto"/>
                    <w:bottom w:val="none" w:sz="0" w:space="0" w:color="auto"/>
                    <w:right w:val="none" w:sz="0" w:space="0" w:color="auto"/>
                  </w:divBdr>
                  <w:divsChild>
                    <w:div w:id="46493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529498">
          <w:marLeft w:val="0"/>
          <w:marRight w:val="0"/>
          <w:marTop w:val="0"/>
          <w:marBottom w:val="0"/>
          <w:divBdr>
            <w:top w:val="none" w:sz="0" w:space="0" w:color="auto"/>
            <w:left w:val="none" w:sz="0" w:space="0" w:color="auto"/>
            <w:bottom w:val="none" w:sz="0" w:space="0" w:color="auto"/>
            <w:right w:val="none" w:sz="0" w:space="0" w:color="auto"/>
          </w:divBdr>
          <w:divsChild>
            <w:div w:id="557479514">
              <w:marLeft w:val="-75"/>
              <w:marRight w:val="0"/>
              <w:marTop w:val="30"/>
              <w:marBottom w:val="30"/>
              <w:divBdr>
                <w:top w:val="none" w:sz="0" w:space="0" w:color="auto"/>
                <w:left w:val="none" w:sz="0" w:space="0" w:color="auto"/>
                <w:bottom w:val="none" w:sz="0" w:space="0" w:color="auto"/>
                <w:right w:val="none" w:sz="0" w:space="0" w:color="auto"/>
              </w:divBdr>
              <w:divsChild>
                <w:div w:id="23601177">
                  <w:marLeft w:val="0"/>
                  <w:marRight w:val="0"/>
                  <w:marTop w:val="0"/>
                  <w:marBottom w:val="0"/>
                  <w:divBdr>
                    <w:top w:val="none" w:sz="0" w:space="0" w:color="auto"/>
                    <w:left w:val="none" w:sz="0" w:space="0" w:color="auto"/>
                    <w:bottom w:val="none" w:sz="0" w:space="0" w:color="auto"/>
                    <w:right w:val="none" w:sz="0" w:space="0" w:color="auto"/>
                  </w:divBdr>
                  <w:divsChild>
                    <w:div w:id="1321620319">
                      <w:marLeft w:val="0"/>
                      <w:marRight w:val="0"/>
                      <w:marTop w:val="0"/>
                      <w:marBottom w:val="0"/>
                      <w:divBdr>
                        <w:top w:val="none" w:sz="0" w:space="0" w:color="auto"/>
                        <w:left w:val="none" w:sz="0" w:space="0" w:color="auto"/>
                        <w:bottom w:val="none" w:sz="0" w:space="0" w:color="auto"/>
                        <w:right w:val="none" w:sz="0" w:space="0" w:color="auto"/>
                      </w:divBdr>
                    </w:div>
                  </w:divsChild>
                </w:div>
                <w:div w:id="54279282">
                  <w:marLeft w:val="0"/>
                  <w:marRight w:val="0"/>
                  <w:marTop w:val="0"/>
                  <w:marBottom w:val="0"/>
                  <w:divBdr>
                    <w:top w:val="none" w:sz="0" w:space="0" w:color="auto"/>
                    <w:left w:val="none" w:sz="0" w:space="0" w:color="auto"/>
                    <w:bottom w:val="none" w:sz="0" w:space="0" w:color="auto"/>
                    <w:right w:val="none" w:sz="0" w:space="0" w:color="auto"/>
                  </w:divBdr>
                  <w:divsChild>
                    <w:div w:id="1326931851">
                      <w:marLeft w:val="0"/>
                      <w:marRight w:val="0"/>
                      <w:marTop w:val="0"/>
                      <w:marBottom w:val="0"/>
                      <w:divBdr>
                        <w:top w:val="none" w:sz="0" w:space="0" w:color="auto"/>
                        <w:left w:val="none" w:sz="0" w:space="0" w:color="auto"/>
                        <w:bottom w:val="none" w:sz="0" w:space="0" w:color="auto"/>
                        <w:right w:val="none" w:sz="0" w:space="0" w:color="auto"/>
                      </w:divBdr>
                    </w:div>
                  </w:divsChild>
                </w:div>
                <w:div w:id="70323543">
                  <w:marLeft w:val="0"/>
                  <w:marRight w:val="0"/>
                  <w:marTop w:val="0"/>
                  <w:marBottom w:val="0"/>
                  <w:divBdr>
                    <w:top w:val="none" w:sz="0" w:space="0" w:color="auto"/>
                    <w:left w:val="none" w:sz="0" w:space="0" w:color="auto"/>
                    <w:bottom w:val="none" w:sz="0" w:space="0" w:color="auto"/>
                    <w:right w:val="none" w:sz="0" w:space="0" w:color="auto"/>
                  </w:divBdr>
                  <w:divsChild>
                    <w:div w:id="1957517422">
                      <w:marLeft w:val="0"/>
                      <w:marRight w:val="0"/>
                      <w:marTop w:val="0"/>
                      <w:marBottom w:val="0"/>
                      <w:divBdr>
                        <w:top w:val="none" w:sz="0" w:space="0" w:color="auto"/>
                        <w:left w:val="none" w:sz="0" w:space="0" w:color="auto"/>
                        <w:bottom w:val="none" w:sz="0" w:space="0" w:color="auto"/>
                        <w:right w:val="none" w:sz="0" w:space="0" w:color="auto"/>
                      </w:divBdr>
                    </w:div>
                  </w:divsChild>
                </w:div>
                <w:div w:id="71201192">
                  <w:marLeft w:val="0"/>
                  <w:marRight w:val="0"/>
                  <w:marTop w:val="0"/>
                  <w:marBottom w:val="0"/>
                  <w:divBdr>
                    <w:top w:val="none" w:sz="0" w:space="0" w:color="auto"/>
                    <w:left w:val="none" w:sz="0" w:space="0" w:color="auto"/>
                    <w:bottom w:val="none" w:sz="0" w:space="0" w:color="auto"/>
                    <w:right w:val="none" w:sz="0" w:space="0" w:color="auto"/>
                  </w:divBdr>
                  <w:divsChild>
                    <w:div w:id="1525168302">
                      <w:marLeft w:val="0"/>
                      <w:marRight w:val="0"/>
                      <w:marTop w:val="0"/>
                      <w:marBottom w:val="0"/>
                      <w:divBdr>
                        <w:top w:val="none" w:sz="0" w:space="0" w:color="auto"/>
                        <w:left w:val="none" w:sz="0" w:space="0" w:color="auto"/>
                        <w:bottom w:val="none" w:sz="0" w:space="0" w:color="auto"/>
                        <w:right w:val="none" w:sz="0" w:space="0" w:color="auto"/>
                      </w:divBdr>
                    </w:div>
                  </w:divsChild>
                </w:div>
                <w:div w:id="72162259">
                  <w:marLeft w:val="0"/>
                  <w:marRight w:val="0"/>
                  <w:marTop w:val="0"/>
                  <w:marBottom w:val="0"/>
                  <w:divBdr>
                    <w:top w:val="none" w:sz="0" w:space="0" w:color="auto"/>
                    <w:left w:val="none" w:sz="0" w:space="0" w:color="auto"/>
                    <w:bottom w:val="none" w:sz="0" w:space="0" w:color="auto"/>
                    <w:right w:val="none" w:sz="0" w:space="0" w:color="auto"/>
                  </w:divBdr>
                  <w:divsChild>
                    <w:div w:id="1277230">
                      <w:marLeft w:val="0"/>
                      <w:marRight w:val="0"/>
                      <w:marTop w:val="0"/>
                      <w:marBottom w:val="0"/>
                      <w:divBdr>
                        <w:top w:val="none" w:sz="0" w:space="0" w:color="auto"/>
                        <w:left w:val="none" w:sz="0" w:space="0" w:color="auto"/>
                        <w:bottom w:val="none" w:sz="0" w:space="0" w:color="auto"/>
                        <w:right w:val="none" w:sz="0" w:space="0" w:color="auto"/>
                      </w:divBdr>
                    </w:div>
                  </w:divsChild>
                </w:div>
                <w:div w:id="76634939">
                  <w:marLeft w:val="0"/>
                  <w:marRight w:val="0"/>
                  <w:marTop w:val="0"/>
                  <w:marBottom w:val="0"/>
                  <w:divBdr>
                    <w:top w:val="none" w:sz="0" w:space="0" w:color="auto"/>
                    <w:left w:val="none" w:sz="0" w:space="0" w:color="auto"/>
                    <w:bottom w:val="none" w:sz="0" w:space="0" w:color="auto"/>
                    <w:right w:val="none" w:sz="0" w:space="0" w:color="auto"/>
                  </w:divBdr>
                  <w:divsChild>
                    <w:div w:id="2054496375">
                      <w:marLeft w:val="0"/>
                      <w:marRight w:val="0"/>
                      <w:marTop w:val="0"/>
                      <w:marBottom w:val="0"/>
                      <w:divBdr>
                        <w:top w:val="none" w:sz="0" w:space="0" w:color="auto"/>
                        <w:left w:val="none" w:sz="0" w:space="0" w:color="auto"/>
                        <w:bottom w:val="none" w:sz="0" w:space="0" w:color="auto"/>
                        <w:right w:val="none" w:sz="0" w:space="0" w:color="auto"/>
                      </w:divBdr>
                    </w:div>
                  </w:divsChild>
                </w:div>
                <w:div w:id="85461628">
                  <w:marLeft w:val="0"/>
                  <w:marRight w:val="0"/>
                  <w:marTop w:val="0"/>
                  <w:marBottom w:val="0"/>
                  <w:divBdr>
                    <w:top w:val="none" w:sz="0" w:space="0" w:color="auto"/>
                    <w:left w:val="none" w:sz="0" w:space="0" w:color="auto"/>
                    <w:bottom w:val="none" w:sz="0" w:space="0" w:color="auto"/>
                    <w:right w:val="none" w:sz="0" w:space="0" w:color="auto"/>
                  </w:divBdr>
                  <w:divsChild>
                    <w:div w:id="392655206">
                      <w:marLeft w:val="0"/>
                      <w:marRight w:val="0"/>
                      <w:marTop w:val="0"/>
                      <w:marBottom w:val="0"/>
                      <w:divBdr>
                        <w:top w:val="none" w:sz="0" w:space="0" w:color="auto"/>
                        <w:left w:val="none" w:sz="0" w:space="0" w:color="auto"/>
                        <w:bottom w:val="none" w:sz="0" w:space="0" w:color="auto"/>
                        <w:right w:val="none" w:sz="0" w:space="0" w:color="auto"/>
                      </w:divBdr>
                    </w:div>
                  </w:divsChild>
                </w:div>
                <w:div w:id="86269182">
                  <w:marLeft w:val="0"/>
                  <w:marRight w:val="0"/>
                  <w:marTop w:val="0"/>
                  <w:marBottom w:val="0"/>
                  <w:divBdr>
                    <w:top w:val="none" w:sz="0" w:space="0" w:color="auto"/>
                    <w:left w:val="none" w:sz="0" w:space="0" w:color="auto"/>
                    <w:bottom w:val="none" w:sz="0" w:space="0" w:color="auto"/>
                    <w:right w:val="none" w:sz="0" w:space="0" w:color="auto"/>
                  </w:divBdr>
                  <w:divsChild>
                    <w:div w:id="825048375">
                      <w:marLeft w:val="0"/>
                      <w:marRight w:val="0"/>
                      <w:marTop w:val="0"/>
                      <w:marBottom w:val="0"/>
                      <w:divBdr>
                        <w:top w:val="none" w:sz="0" w:space="0" w:color="auto"/>
                        <w:left w:val="none" w:sz="0" w:space="0" w:color="auto"/>
                        <w:bottom w:val="none" w:sz="0" w:space="0" w:color="auto"/>
                        <w:right w:val="none" w:sz="0" w:space="0" w:color="auto"/>
                      </w:divBdr>
                    </w:div>
                  </w:divsChild>
                </w:div>
                <w:div w:id="88044126">
                  <w:marLeft w:val="0"/>
                  <w:marRight w:val="0"/>
                  <w:marTop w:val="0"/>
                  <w:marBottom w:val="0"/>
                  <w:divBdr>
                    <w:top w:val="none" w:sz="0" w:space="0" w:color="auto"/>
                    <w:left w:val="none" w:sz="0" w:space="0" w:color="auto"/>
                    <w:bottom w:val="none" w:sz="0" w:space="0" w:color="auto"/>
                    <w:right w:val="none" w:sz="0" w:space="0" w:color="auto"/>
                  </w:divBdr>
                  <w:divsChild>
                    <w:div w:id="1782803303">
                      <w:marLeft w:val="0"/>
                      <w:marRight w:val="0"/>
                      <w:marTop w:val="0"/>
                      <w:marBottom w:val="0"/>
                      <w:divBdr>
                        <w:top w:val="none" w:sz="0" w:space="0" w:color="auto"/>
                        <w:left w:val="none" w:sz="0" w:space="0" w:color="auto"/>
                        <w:bottom w:val="none" w:sz="0" w:space="0" w:color="auto"/>
                        <w:right w:val="none" w:sz="0" w:space="0" w:color="auto"/>
                      </w:divBdr>
                    </w:div>
                  </w:divsChild>
                </w:div>
                <w:div w:id="120809277">
                  <w:marLeft w:val="0"/>
                  <w:marRight w:val="0"/>
                  <w:marTop w:val="0"/>
                  <w:marBottom w:val="0"/>
                  <w:divBdr>
                    <w:top w:val="none" w:sz="0" w:space="0" w:color="auto"/>
                    <w:left w:val="none" w:sz="0" w:space="0" w:color="auto"/>
                    <w:bottom w:val="none" w:sz="0" w:space="0" w:color="auto"/>
                    <w:right w:val="none" w:sz="0" w:space="0" w:color="auto"/>
                  </w:divBdr>
                  <w:divsChild>
                    <w:div w:id="2110815074">
                      <w:marLeft w:val="0"/>
                      <w:marRight w:val="0"/>
                      <w:marTop w:val="0"/>
                      <w:marBottom w:val="0"/>
                      <w:divBdr>
                        <w:top w:val="none" w:sz="0" w:space="0" w:color="auto"/>
                        <w:left w:val="none" w:sz="0" w:space="0" w:color="auto"/>
                        <w:bottom w:val="none" w:sz="0" w:space="0" w:color="auto"/>
                        <w:right w:val="none" w:sz="0" w:space="0" w:color="auto"/>
                      </w:divBdr>
                    </w:div>
                  </w:divsChild>
                </w:div>
                <w:div w:id="123161877">
                  <w:marLeft w:val="0"/>
                  <w:marRight w:val="0"/>
                  <w:marTop w:val="0"/>
                  <w:marBottom w:val="0"/>
                  <w:divBdr>
                    <w:top w:val="none" w:sz="0" w:space="0" w:color="auto"/>
                    <w:left w:val="none" w:sz="0" w:space="0" w:color="auto"/>
                    <w:bottom w:val="none" w:sz="0" w:space="0" w:color="auto"/>
                    <w:right w:val="none" w:sz="0" w:space="0" w:color="auto"/>
                  </w:divBdr>
                  <w:divsChild>
                    <w:div w:id="779566878">
                      <w:marLeft w:val="0"/>
                      <w:marRight w:val="0"/>
                      <w:marTop w:val="0"/>
                      <w:marBottom w:val="0"/>
                      <w:divBdr>
                        <w:top w:val="none" w:sz="0" w:space="0" w:color="auto"/>
                        <w:left w:val="none" w:sz="0" w:space="0" w:color="auto"/>
                        <w:bottom w:val="none" w:sz="0" w:space="0" w:color="auto"/>
                        <w:right w:val="none" w:sz="0" w:space="0" w:color="auto"/>
                      </w:divBdr>
                    </w:div>
                  </w:divsChild>
                </w:div>
                <w:div w:id="136188351">
                  <w:marLeft w:val="0"/>
                  <w:marRight w:val="0"/>
                  <w:marTop w:val="0"/>
                  <w:marBottom w:val="0"/>
                  <w:divBdr>
                    <w:top w:val="none" w:sz="0" w:space="0" w:color="auto"/>
                    <w:left w:val="none" w:sz="0" w:space="0" w:color="auto"/>
                    <w:bottom w:val="none" w:sz="0" w:space="0" w:color="auto"/>
                    <w:right w:val="none" w:sz="0" w:space="0" w:color="auto"/>
                  </w:divBdr>
                  <w:divsChild>
                    <w:div w:id="516651707">
                      <w:marLeft w:val="0"/>
                      <w:marRight w:val="0"/>
                      <w:marTop w:val="0"/>
                      <w:marBottom w:val="0"/>
                      <w:divBdr>
                        <w:top w:val="none" w:sz="0" w:space="0" w:color="auto"/>
                        <w:left w:val="none" w:sz="0" w:space="0" w:color="auto"/>
                        <w:bottom w:val="none" w:sz="0" w:space="0" w:color="auto"/>
                        <w:right w:val="none" w:sz="0" w:space="0" w:color="auto"/>
                      </w:divBdr>
                    </w:div>
                  </w:divsChild>
                </w:div>
                <w:div w:id="139079536">
                  <w:marLeft w:val="0"/>
                  <w:marRight w:val="0"/>
                  <w:marTop w:val="0"/>
                  <w:marBottom w:val="0"/>
                  <w:divBdr>
                    <w:top w:val="none" w:sz="0" w:space="0" w:color="auto"/>
                    <w:left w:val="none" w:sz="0" w:space="0" w:color="auto"/>
                    <w:bottom w:val="none" w:sz="0" w:space="0" w:color="auto"/>
                    <w:right w:val="none" w:sz="0" w:space="0" w:color="auto"/>
                  </w:divBdr>
                  <w:divsChild>
                    <w:div w:id="1383402967">
                      <w:marLeft w:val="0"/>
                      <w:marRight w:val="0"/>
                      <w:marTop w:val="0"/>
                      <w:marBottom w:val="0"/>
                      <w:divBdr>
                        <w:top w:val="none" w:sz="0" w:space="0" w:color="auto"/>
                        <w:left w:val="none" w:sz="0" w:space="0" w:color="auto"/>
                        <w:bottom w:val="none" w:sz="0" w:space="0" w:color="auto"/>
                        <w:right w:val="none" w:sz="0" w:space="0" w:color="auto"/>
                      </w:divBdr>
                    </w:div>
                  </w:divsChild>
                </w:div>
                <w:div w:id="149370444">
                  <w:marLeft w:val="0"/>
                  <w:marRight w:val="0"/>
                  <w:marTop w:val="0"/>
                  <w:marBottom w:val="0"/>
                  <w:divBdr>
                    <w:top w:val="none" w:sz="0" w:space="0" w:color="auto"/>
                    <w:left w:val="none" w:sz="0" w:space="0" w:color="auto"/>
                    <w:bottom w:val="none" w:sz="0" w:space="0" w:color="auto"/>
                    <w:right w:val="none" w:sz="0" w:space="0" w:color="auto"/>
                  </w:divBdr>
                  <w:divsChild>
                    <w:div w:id="1976064347">
                      <w:marLeft w:val="0"/>
                      <w:marRight w:val="0"/>
                      <w:marTop w:val="0"/>
                      <w:marBottom w:val="0"/>
                      <w:divBdr>
                        <w:top w:val="none" w:sz="0" w:space="0" w:color="auto"/>
                        <w:left w:val="none" w:sz="0" w:space="0" w:color="auto"/>
                        <w:bottom w:val="none" w:sz="0" w:space="0" w:color="auto"/>
                        <w:right w:val="none" w:sz="0" w:space="0" w:color="auto"/>
                      </w:divBdr>
                    </w:div>
                  </w:divsChild>
                </w:div>
                <w:div w:id="155999188">
                  <w:marLeft w:val="0"/>
                  <w:marRight w:val="0"/>
                  <w:marTop w:val="0"/>
                  <w:marBottom w:val="0"/>
                  <w:divBdr>
                    <w:top w:val="none" w:sz="0" w:space="0" w:color="auto"/>
                    <w:left w:val="none" w:sz="0" w:space="0" w:color="auto"/>
                    <w:bottom w:val="none" w:sz="0" w:space="0" w:color="auto"/>
                    <w:right w:val="none" w:sz="0" w:space="0" w:color="auto"/>
                  </w:divBdr>
                  <w:divsChild>
                    <w:div w:id="1231430599">
                      <w:marLeft w:val="0"/>
                      <w:marRight w:val="0"/>
                      <w:marTop w:val="0"/>
                      <w:marBottom w:val="0"/>
                      <w:divBdr>
                        <w:top w:val="none" w:sz="0" w:space="0" w:color="auto"/>
                        <w:left w:val="none" w:sz="0" w:space="0" w:color="auto"/>
                        <w:bottom w:val="none" w:sz="0" w:space="0" w:color="auto"/>
                        <w:right w:val="none" w:sz="0" w:space="0" w:color="auto"/>
                      </w:divBdr>
                    </w:div>
                  </w:divsChild>
                </w:div>
                <w:div w:id="156503281">
                  <w:marLeft w:val="0"/>
                  <w:marRight w:val="0"/>
                  <w:marTop w:val="0"/>
                  <w:marBottom w:val="0"/>
                  <w:divBdr>
                    <w:top w:val="none" w:sz="0" w:space="0" w:color="auto"/>
                    <w:left w:val="none" w:sz="0" w:space="0" w:color="auto"/>
                    <w:bottom w:val="none" w:sz="0" w:space="0" w:color="auto"/>
                    <w:right w:val="none" w:sz="0" w:space="0" w:color="auto"/>
                  </w:divBdr>
                  <w:divsChild>
                    <w:div w:id="1890336716">
                      <w:marLeft w:val="0"/>
                      <w:marRight w:val="0"/>
                      <w:marTop w:val="0"/>
                      <w:marBottom w:val="0"/>
                      <w:divBdr>
                        <w:top w:val="none" w:sz="0" w:space="0" w:color="auto"/>
                        <w:left w:val="none" w:sz="0" w:space="0" w:color="auto"/>
                        <w:bottom w:val="none" w:sz="0" w:space="0" w:color="auto"/>
                        <w:right w:val="none" w:sz="0" w:space="0" w:color="auto"/>
                      </w:divBdr>
                    </w:div>
                  </w:divsChild>
                </w:div>
                <w:div w:id="157427279">
                  <w:marLeft w:val="0"/>
                  <w:marRight w:val="0"/>
                  <w:marTop w:val="0"/>
                  <w:marBottom w:val="0"/>
                  <w:divBdr>
                    <w:top w:val="none" w:sz="0" w:space="0" w:color="auto"/>
                    <w:left w:val="none" w:sz="0" w:space="0" w:color="auto"/>
                    <w:bottom w:val="none" w:sz="0" w:space="0" w:color="auto"/>
                    <w:right w:val="none" w:sz="0" w:space="0" w:color="auto"/>
                  </w:divBdr>
                  <w:divsChild>
                    <w:div w:id="338117517">
                      <w:marLeft w:val="0"/>
                      <w:marRight w:val="0"/>
                      <w:marTop w:val="0"/>
                      <w:marBottom w:val="0"/>
                      <w:divBdr>
                        <w:top w:val="none" w:sz="0" w:space="0" w:color="auto"/>
                        <w:left w:val="none" w:sz="0" w:space="0" w:color="auto"/>
                        <w:bottom w:val="none" w:sz="0" w:space="0" w:color="auto"/>
                        <w:right w:val="none" w:sz="0" w:space="0" w:color="auto"/>
                      </w:divBdr>
                    </w:div>
                  </w:divsChild>
                </w:div>
                <w:div w:id="160388775">
                  <w:marLeft w:val="0"/>
                  <w:marRight w:val="0"/>
                  <w:marTop w:val="0"/>
                  <w:marBottom w:val="0"/>
                  <w:divBdr>
                    <w:top w:val="none" w:sz="0" w:space="0" w:color="auto"/>
                    <w:left w:val="none" w:sz="0" w:space="0" w:color="auto"/>
                    <w:bottom w:val="none" w:sz="0" w:space="0" w:color="auto"/>
                    <w:right w:val="none" w:sz="0" w:space="0" w:color="auto"/>
                  </w:divBdr>
                  <w:divsChild>
                    <w:div w:id="1384673892">
                      <w:marLeft w:val="0"/>
                      <w:marRight w:val="0"/>
                      <w:marTop w:val="0"/>
                      <w:marBottom w:val="0"/>
                      <w:divBdr>
                        <w:top w:val="none" w:sz="0" w:space="0" w:color="auto"/>
                        <w:left w:val="none" w:sz="0" w:space="0" w:color="auto"/>
                        <w:bottom w:val="none" w:sz="0" w:space="0" w:color="auto"/>
                        <w:right w:val="none" w:sz="0" w:space="0" w:color="auto"/>
                      </w:divBdr>
                    </w:div>
                  </w:divsChild>
                </w:div>
                <w:div w:id="167910384">
                  <w:marLeft w:val="0"/>
                  <w:marRight w:val="0"/>
                  <w:marTop w:val="0"/>
                  <w:marBottom w:val="0"/>
                  <w:divBdr>
                    <w:top w:val="none" w:sz="0" w:space="0" w:color="auto"/>
                    <w:left w:val="none" w:sz="0" w:space="0" w:color="auto"/>
                    <w:bottom w:val="none" w:sz="0" w:space="0" w:color="auto"/>
                    <w:right w:val="none" w:sz="0" w:space="0" w:color="auto"/>
                  </w:divBdr>
                  <w:divsChild>
                    <w:div w:id="1754431087">
                      <w:marLeft w:val="0"/>
                      <w:marRight w:val="0"/>
                      <w:marTop w:val="0"/>
                      <w:marBottom w:val="0"/>
                      <w:divBdr>
                        <w:top w:val="none" w:sz="0" w:space="0" w:color="auto"/>
                        <w:left w:val="none" w:sz="0" w:space="0" w:color="auto"/>
                        <w:bottom w:val="none" w:sz="0" w:space="0" w:color="auto"/>
                        <w:right w:val="none" w:sz="0" w:space="0" w:color="auto"/>
                      </w:divBdr>
                    </w:div>
                  </w:divsChild>
                </w:div>
                <w:div w:id="182475450">
                  <w:marLeft w:val="0"/>
                  <w:marRight w:val="0"/>
                  <w:marTop w:val="0"/>
                  <w:marBottom w:val="0"/>
                  <w:divBdr>
                    <w:top w:val="none" w:sz="0" w:space="0" w:color="auto"/>
                    <w:left w:val="none" w:sz="0" w:space="0" w:color="auto"/>
                    <w:bottom w:val="none" w:sz="0" w:space="0" w:color="auto"/>
                    <w:right w:val="none" w:sz="0" w:space="0" w:color="auto"/>
                  </w:divBdr>
                  <w:divsChild>
                    <w:div w:id="1507406755">
                      <w:marLeft w:val="0"/>
                      <w:marRight w:val="0"/>
                      <w:marTop w:val="0"/>
                      <w:marBottom w:val="0"/>
                      <w:divBdr>
                        <w:top w:val="none" w:sz="0" w:space="0" w:color="auto"/>
                        <w:left w:val="none" w:sz="0" w:space="0" w:color="auto"/>
                        <w:bottom w:val="none" w:sz="0" w:space="0" w:color="auto"/>
                        <w:right w:val="none" w:sz="0" w:space="0" w:color="auto"/>
                      </w:divBdr>
                    </w:div>
                  </w:divsChild>
                </w:div>
                <w:div w:id="185603565">
                  <w:marLeft w:val="0"/>
                  <w:marRight w:val="0"/>
                  <w:marTop w:val="0"/>
                  <w:marBottom w:val="0"/>
                  <w:divBdr>
                    <w:top w:val="none" w:sz="0" w:space="0" w:color="auto"/>
                    <w:left w:val="none" w:sz="0" w:space="0" w:color="auto"/>
                    <w:bottom w:val="none" w:sz="0" w:space="0" w:color="auto"/>
                    <w:right w:val="none" w:sz="0" w:space="0" w:color="auto"/>
                  </w:divBdr>
                  <w:divsChild>
                    <w:div w:id="1490056974">
                      <w:marLeft w:val="0"/>
                      <w:marRight w:val="0"/>
                      <w:marTop w:val="0"/>
                      <w:marBottom w:val="0"/>
                      <w:divBdr>
                        <w:top w:val="none" w:sz="0" w:space="0" w:color="auto"/>
                        <w:left w:val="none" w:sz="0" w:space="0" w:color="auto"/>
                        <w:bottom w:val="none" w:sz="0" w:space="0" w:color="auto"/>
                        <w:right w:val="none" w:sz="0" w:space="0" w:color="auto"/>
                      </w:divBdr>
                    </w:div>
                  </w:divsChild>
                </w:div>
                <w:div w:id="188612615">
                  <w:marLeft w:val="0"/>
                  <w:marRight w:val="0"/>
                  <w:marTop w:val="0"/>
                  <w:marBottom w:val="0"/>
                  <w:divBdr>
                    <w:top w:val="none" w:sz="0" w:space="0" w:color="auto"/>
                    <w:left w:val="none" w:sz="0" w:space="0" w:color="auto"/>
                    <w:bottom w:val="none" w:sz="0" w:space="0" w:color="auto"/>
                    <w:right w:val="none" w:sz="0" w:space="0" w:color="auto"/>
                  </w:divBdr>
                  <w:divsChild>
                    <w:div w:id="4326637">
                      <w:marLeft w:val="0"/>
                      <w:marRight w:val="0"/>
                      <w:marTop w:val="0"/>
                      <w:marBottom w:val="0"/>
                      <w:divBdr>
                        <w:top w:val="none" w:sz="0" w:space="0" w:color="auto"/>
                        <w:left w:val="none" w:sz="0" w:space="0" w:color="auto"/>
                        <w:bottom w:val="none" w:sz="0" w:space="0" w:color="auto"/>
                        <w:right w:val="none" w:sz="0" w:space="0" w:color="auto"/>
                      </w:divBdr>
                    </w:div>
                  </w:divsChild>
                </w:div>
                <w:div w:id="191496222">
                  <w:marLeft w:val="0"/>
                  <w:marRight w:val="0"/>
                  <w:marTop w:val="0"/>
                  <w:marBottom w:val="0"/>
                  <w:divBdr>
                    <w:top w:val="none" w:sz="0" w:space="0" w:color="auto"/>
                    <w:left w:val="none" w:sz="0" w:space="0" w:color="auto"/>
                    <w:bottom w:val="none" w:sz="0" w:space="0" w:color="auto"/>
                    <w:right w:val="none" w:sz="0" w:space="0" w:color="auto"/>
                  </w:divBdr>
                  <w:divsChild>
                    <w:div w:id="1518613104">
                      <w:marLeft w:val="0"/>
                      <w:marRight w:val="0"/>
                      <w:marTop w:val="0"/>
                      <w:marBottom w:val="0"/>
                      <w:divBdr>
                        <w:top w:val="none" w:sz="0" w:space="0" w:color="auto"/>
                        <w:left w:val="none" w:sz="0" w:space="0" w:color="auto"/>
                        <w:bottom w:val="none" w:sz="0" w:space="0" w:color="auto"/>
                        <w:right w:val="none" w:sz="0" w:space="0" w:color="auto"/>
                      </w:divBdr>
                    </w:div>
                  </w:divsChild>
                </w:div>
                <w:div w:id="203372754">
                  <w:marLeft w:val="0"/>
                  <w:marRight w:val="0"/>
                  <w:marTop w:val="0"/>
                  <w:marBottom w:val="0"/>
                  <w:divBdr>
                    <w:top w:val="none" w:sz="0" w:space="0" w:color="auto"/>
                    <w:left w:val="none" w:sz="0" w:space="0" w:color="auto"/>
                    <w:bottom w:val="none" w:sz="0" w:space="0" w:color="auto"/>
                    <w:right w:val="none" w:sz="0" w:space="0" w:color="auto"/>
                  </w:divBdr>
                  <w:divsChild>
                    <w:div w:id="581525164">
                      <w:marLeft w:val="0"/>
                      <w:marRight w:val="0"/>
                      <w:marTop w:val="0"/>
                      <w:marBottom w:val="0"/>
                      <w:divBdr>
                        <w:top w:val="none" w:sz="0" w:space="0" w:color="auto"/>
                        <w:left w:val="none" w:sz="0" w:space="0" w:color="auto"/>
                        <w:bottom w:val="none" w:sz="0" w:space="0" w:color="auto"/>
                        <w:right w:val="none" w:sz="0" w:space="0" w:color="auto"/>
                      </w:divBdr>
                    </w:div>
                  </w:divsChild>
                </w:div>
                <w:div w:id="232785145">
                  <w:marLeft w:val="0"/>
                  <w:marRight w:val="0"/>
                  <w:marTop w:val="0"/>
                  <w:marBottom w:val="0"/>
                  <w:divBdr>
                    <w:top w:val="none" w:sz="0" w:space="0" w:color="auto"/>
                    <w:left w:val="none" w:sz="0" w:space="0" w:color="auto"/>
                    <w:bottom w:val="none" w:sz="0" w:space="0" w:color="auto"/>
                    <w:right w:val="none" w:sz="0" w:space="0" w:color="auto"/>
                  </w:divBdr>
                  <w:divsChild>
                    <w:div w:id="1628583516">
                      <w:marLeft w:val="0"/>
                      <w:marRight w:val="0"/>
                      <w:marTop w:val="0"/>
                      <w:marBottom w:val="0"/>
                      <w:divBdr>
                        <w:top w:val="none" w:sz="0" w:space="0" w:color="auto"/>
                        <w:left w:val="none" w:sz="0" w:space="0" w:color="auto"/>
                        <w:bottom w:val="none" w:sz="0" w:space="0" w:color="auto"/>
                        <w:right w:val="none" w:sz="0" w:space="0" w:color="auto"/>
                      </w:divBdr>
                    </w:div>
                  </w:divsChild>
                </w:div>
                <w:div w:id="251862049">
                  <w:marLeft w:val="0"/>
                  <w:marRight w:val="0"/>
                  <w:marTop w:val="0"/>
                  <w:marBottom w:val="0"/>
                  <w:divBdr>
                    <w:top w:val="none" w:sz="0" w:space="0" w:color="auto"/>
                    <w:left w:val="none" w:sz="0" w:space="0" w:color="auto"/>
                    <w:bottom w:val="none" w:sz="0" w:space="0" w:color="auto"/>
                    <w:right w:val="none" w:sz="0" w:space="0" w:color="auto"/>
                  </w:divBdr>
                  <w:divsChild>
                    <w:div w:id="771363084">
                      <w:marLeft w:val="0"/>
                      <w:marRight w:val="0"/>
                      <w:marTop w:val="0"/>
                      <w:marBottom w:val="0"/>
                      <w:divBdr>
                        <w:top w:val="none" w:sz="0" w:space="0" w:color="auto"/>
                        <w:left w:val="none" w:sz="0" w:space="0" w:color="auto"/>
                        <w:bottom w:val="none" w:sz="0" w:space="0" w:color="auto"/>
                        <w:right w:val="none" w:sz="0" w:space="0" w:color="auto"/>
                      </w:divBdr>
                    </w:div>
                  </w:divsChild>
                </w:div>
                <w:div w:id="254633147">
                  <w:marLeft w:val="0"/>
                  <w:marRight w:val="0"/>
                  <w:marTop w:val="0"/>
                  <w:marBottom w:val="0"/>
                  <w:divBdr>
                    <w:top w:val="none" w:sz="0" w:space="0" w:color="auto"/>
                    <w:left w:val="none" w:sz="0" w:space="0" w:color="auto"/>
                    <w:bottom w:val="none" w:sz="0" w:space="0" w:color="auto"/>
                    <w:right w:val="none" w:sz="0" w:space="0" w:color="auto"/>
                  </w:divBdr>
                  <w:divsChild>
                    <w:div w:id="8139440">
                      <w:marLeft w:val="0"/>
                      <w:marRight w:val="0"/>
                      <w:marTop w:val="0"/>
                      <w:marBottom w:val="0"/>
                      <w:divBdr>
                        <w:top w:val="none" w:sz="0" w:space="0" w:color="auto"/>
                        <w:left w:val="none" w:sz="0" w:space="0" w:color="auto"/>
                        <w:bottom w:val="none" w:sz="0" w:space="0" w:color="auto"/>
                        <w:right w:val="none" w:sz="0" w:space="0" w:color="auto"/>
                      </w:divBdr>
                    </w:div>
                  </w:divsChild>
                </w:div>
                <w:div w:id="273446099">
                  <w:marLeft w:val="0"/>
                  <w:marRight w:val="0"/>
                  <w:marTop w:val="0"/>
                  <w:marBottom w:val="0"/>
                  <w:divBdr>
                    <w:top w:val="none" w:sz="0" w:space="0" w:color="auto"/>
                    <w:left w:val="none" w:sz="0" w:space="0" w:color="auto"/>
                    <w:bottom w:val="none" w:sz="0" w:space="0" w:color="auto"/>
                    <w:right w:val="none" w:sz="0" w:space="0" w:color="auto"/>
                  </w:divBdr>
                  <w:divsChild>
                    <w:div w:id="661469715">
                      <w:marLeft w:val="0"/>
                      <w:marRight w:val="0"/>
                      <w:marTop w:val="0"/>
                      <w:marBottom w:val="0"/>
                      <w:divBdr>
                        <w:top w:val="none" w:sz="0" w:space="0" w:color="auto"/>
                        <w:left w:val="none" w:sz="0" w:space="0" w:color="auto"/>
                        <w:bottom w:val="none" w:sz="0" w:space="0" w:color="auto"/>
                        <w:right w:val="none" w:sz="0" w:space="0" w:color="auto"/>
                      </w:divBdr>
                    </w:div>
                  </w:divsChild>
                </w:div>
                <w:div w:id="309989786">
                  <w:marLeft w:val="0"/>
                  <w:marRight w:val="0"/>
                  <w:marTop w:val="0"/>
                  <w:marBottom w:val="0"/>
                  <w:divBdr>
                    <w:top w:val="none" w:sz="0" w:space="0" w:color="auto"/>
                    <w:left w:val="none" w:sz="0" w:space="0" w:color="auto"/>
                    <w:bottom w:val="none" w:sz="0" w:space="0" w:color="auto"/>
                    <w:right w:val="none" w:sz="0" w:space="0" w:color="auto"/>
                  </w:divBdr>
                  <w:divsChild>
                    <w:div w:id="538126943">
                      <w:marLeft w:val="0"/>
                      <w:marRight w:val="0"/>
                      <w:marTop w:val="0"/>
                      <w:marBottom w:val="0"/>
                      <w:divBdr>
                        <w:top w:val="none" w:sz="0" w:space="0" w:color="auto"/>
                        <w:left w:val="none" w:sz="0" w:space="0" w:color="auto"/>
                        <w:bottom w:val="none" w:sz="0" w:space="0" w:color="auto"/>
                        <w:right w:val="none" w:sz="0" w:space="0" w:color="auto"/>
                      </w:divBdr>
                    </w:div>
                  </w:divsChild>
                </w:div>
                <w:div w:id="316808902">
                  <w:marLeft w:val="0"/>
                  <w:marRight w:val="0"/>
                  <w:marTop w:val="0"/>
                  <w:marBottom w:val="0"/>
                  <w:divBdr>
                    <w:top w:val="none" w:sz="0" w:space="0" w:color="auto"/>
                    <w:left w:val="none" w:sz="0" w:space="0" w:color="auto"/>
                    <w:bottom w:val="none" w:sz="0" w:space="0" w:color="auto"/>
                    <w:right w:val="none" w:sz="0" w:space="0" w:color="auto"/>
                  </w:divBdr>
                  <w:divsChild>
                    <w:div w:id="1726951498">
                      <w:marLeft w:val="0"/>
                      <w:marRight w:val="0"/>
                      <w:marTop w:val="0"/>
                      <w:marBottom w:val="0"/>
                      <w:divBdr>
                        <w:top w:val="none" w:sz="0" w:space="0" w:color="auto"/>
                        <w:left w:val="none" w:sz="0" w:space="0" w:color="auto"/>
                        <w:bottom w:val="none" w:sz="0" w:space="0" w:color="auto"/>
                        <w:right w:val="none" w:sz="0" w:space="0" w:color="auto"/>
                      </w:divBdr>
                    </w:div>
                  </w:divsChild>
                </w:div>
                <w:div w:id="336998902">
                  <w:marLeft w:val="0"/>
                  <w:marRight w:val="0"/>
                  <w:marTop w:val="0"/>
                  <w:marBottom w:val="0"/>
                  <w:divBdr>
                    <w:top w:val="none" w:sz="0" w:space="0" w:color="auto"/>
                    <w:left w:val="none" w:sz="0" w:space="0" w:color="auto"/>
                    <w:bottom w:val="none" w:sz="0" w:space="0" w:color="auto"/>
                    <w:right w:val="none" w:sz="0" w:space="0" w:color="auto"/>
                  </w:divBdr>
                  <w:divsChild>
                    <w:div w:id="1030034591">
                      <w:marLeft w:val="0"/>
                      <w:marRight w:val="0"/>
                      <w:marTop w:val="0"/>
                      <w:marBottom w:val="0"/>
                      <w:divBdr>
                        <w:top w:val="none" w:sz="0" w:space="0" w:color="auto"/>
                        <w:left w:val="none" w:sz="0" w:space="0" w:color="auto"/>
                        <w:bottom w:val="none" w:sz="0" w:space="0" w:color="auto"/>
                        <w:right w:val="none" w:sz="0" w:space="0" w:color="auto"/>
                      </w:divBdr>
                    </w:div>
                  </w:divsChild>
                </w:div>
                <w:div w:id="347874757">
                  <w:marLeft w:val="0"/>
                  <w:marRight w:val="0"/>
                  <w:marTop w:val="0"/>
                  <w:marBottom w:val="0"/>
                  <w:divBdr>
                    <w:top w:val="none" w:sz="0" w:space="0" w:color="auto"/>
                    <w:left w:val="none" w:sz="0" w:space="0" w:color="auto"/>
                    <w:bottom w:val="none" w:sz="0" w:space="0" w:color="auto"/>
                    <w:right w:val="none" w:sz="0" w:space="0" w:color="auto"/>
                  </w:divBdr>
                  <w:divsChild>
                    <w:div w:id="1525820573">
                      <w:marLeft w:val="0"/>
                      <w:marRight w:val="0"/>
                      <w:marTop w:val="0"/>
                      <w:marBottom w:val="0"/>
                      <w:divBdr>
                        <w:top w:val="none" w:sz="0" w:space="0" w:color="auto"/>
                        <w:left w:val="none" w:sz="0" w:space="0" w:color="auto"/>
                        <w:bottom w:val="none" w:sz="0" w:space="0" w:color="auto"/>
                        <w:right w:val="none" w:sz="0" w:space="0" w:color="auto"/>
                      </w:divBdr>
                    </w:div>
                  </w:divsChild>
                </w:div>
                <w:div w:id="348803221">
                  <w:marLeft w:val="0"/>
                  <w:marRight w:val="0"/>
                  <w:marTop w:val="0"/>
                  <w:marBottom w:val="0"/>
                  <w:divBdr>
                    <w:top w:val="none" w:sz="0" w:space="0" w:color="auto"/>
                    <w:left w:val="none" w:sz="0" w:space="0" w:color="auto"/>
                    <w:bottom w:val="none" w:sz="0" w:space="0" w:color="auto"/>
                    <w:right w:val="none" w:sz="0" w:space="0" w:color="auto"/>
                  </w:divBdr>
                  <w:divsChild>
                    <w:div w:id="226183460">
                      <w:marLeft w:val="0"/>
                      <w:marRight w:val="0"/>
                      <w:marTop w:val="0"/>
                      <w:marBottom w:val="0"/>
                      <w:divBdr>
                        <w:top w:val="none" w:sz="0" w:space="0" w:color="auto"/>
                        <w:left w:val="none" w:sz="0" w:space="0" w:color="auto"/>
                        <w:bottom w:val="none" w:sz="0" w:space="0" w:color="auto"/>
                        <w:right w:val="none" w:sz="0" w:space="0" w:color="auto"/>
                      </w:divBdr>
                    </w:div>
                  </w:divsChild>
                </w:div>
                <w:div w:id="349186654">
                  <w:marLeft w:val="0"/>
                  <w:marRight w:val="0"/>
                  <w:marTop w:val="0"/>
                  <w:marBottom w:val="0"/>
                  <w:divBdr>
                    <w:top w:val="none" w:sz="0" w:space="0" w:color="auto"/>
                    <w:left w:val="none" w:sz="0" w:space="0" w:color="auto"/>
                    <w:bottom w:val="none" w:sz="0" w:space="0" w:color="auto"/>
                    <w:right w:val="none" w:sz="0" w:space="0" w:color="auto"/>
                  </w:divBdr>
                  <w:divsChild>
                    <w:div w:id="2122722041">
                      <w:marLeft w:val="0"/>
                      <w:marRight w:val="0"/>
                      <w:marTop w:val="0"/>
                      <w:marBottom w:val="0"/>
                      <w:divBdr>
                        <w:top w:val="none" w:sz="0" w:space="0" w:color="auto"/>
                        <w:left w:val="none" w:sz="0" w:space="0" w:color="auto"/>
                        <w:bottom w:val="none" w:sz="0" w:space="0" w:color="auto"/>
                        <w:right w:val="none" w:sz="0" w:space="0" w:color="auto"/>
                      </w:divBdr>
                    </w:div>
                  </w:divsChild>
                </w:div>
                <w:div w:id="351152050">
                  <w:marLeft w:val="0"/>
                  <w:marRight w:val="0"/>
                  <w:marTop w:val="0"/>
                  <w:marBottom w:val="0"/>
                  <w:divBdr>
                    <w:top w:val="none" w:sz="0" w:space="0" w:color="auto"/>
                    <w:left w:val="none" w:sz="0" w:space="0" w:color="auto"/>
                    <w:bottom w:val="none" w:sz="0" w:space="0" w:color="auto"/>
                    <w:right w:val="none" w:sz="0" w:space="0" w:color="auto"/>
                  </w:divBdr>
                  <w:divsChild>
                    <w:div w:id="320357445">
                      <w:marLeft w:val="0"/>
                      <w:marRight w:val="0"/>
                      <w:marTop w:val="0"/>
                      <w:marBottom w:val="0"/>
                      <w:divBdr>
                        <w:top w:val="none" w:sz="0" w:space="0" w:color="auto"/>
                        <w:left w:val="none" w:sz="0" w:space="0" w:color="auto"/>
                        <w:bottom w:val="none" w:sz="0" w:space="0" w:color="auto"/>
                        <w:right w:val="none" w:sz="0" w:space="0" w:color="auto"/>
                      </w:divBdr>
                    </w:div>
                  </w:divsChild>
                </w:div>
                <w:div w:id="371654914">
                  <w:marLeft w:val="0"/>
                  <w:marRight w:val="0"/>
                  <w:marTop w:val="0"/>
                  <w:marBottom w:val="0"/>
                  <w:divBdr>
                    <w:top w:val="none" w:sz="0" w:space="0" w:color="auto"/>
                    <w:left w:val="none" w:sz="0" w:space="0" w:color="auto"/>
                    <w:bottom w:val="none" w:sz="0" w:space="0" w:color="auto"/>
                    <w:right w:val="none" w:sz="0" w:space="0" w:color="auto"/>
                  </w:divBdr>
                  <w:divsChild>
                    <w:div w:id="1493519052">
                      <w:marLeft w:val="0"/>
                      <w:marRight w:val="0"/>
                      <w:marTop w:val="0"/>
                      <w:marBottom w:val="0"/>
                      <w:divBdr>
                        <w:top w:val="none" w:sz="0" w:space="0" w:color="auto"/>
                        <w:left w:val="none" w:sz="0" w:space="0" w:color="auto"/>
                        <w:bottom w:val="none" w:sz="0" w:space="0" w:color="auto"/>
                        <w:right w:val="none" w:sz="0" w:space="0" w:color="auto"/>
                      </w:divBdr>
                    </w:div>
                  </w:divsChild>
                </w:div>
                <w:div w:id="372122623">
                  <w:marLeft w:val="0"/>
                  <w:marRight w:val="0"/>
                  <w:marTop w:val="0"/>
                  <w:marBottom w:val="0"/>
                  <w:divBdr>
                    <w:top w:val="none" w:sz="0" w:space="0" w:color="auto"/>
                    <w:left w:val="none" w:sz="0" w:space="0" w:color="auto"/>
                    <w:bottom w:val="none" w:sz="0" w:space="0" w:color="auto"/>
                    <w:right w:val="none" w:sz="0" w:space="0" w:color="auto"/>
                  </w:divBdr>
                  <w:divsChild>
                    <w:div w:id="251283658">
                      <w:marLeft w:val="0"/>
                      <w:marRight w:val="0"/>
                      <w:marTop w:val="0"/>
                      <w:marBottom w:val="0"/>
                      <w:divBdr>
                        <w:top w:val="none" w:sz="0" w:space="0" w:color="auto"/>
                        <w:left w:val="none" w:sz="0" w:space="0" w:color="auto"/>
                        <w:bottom w:val="none" w:sz="0" w:space="0" w:color="auto"/>
                        <w:right w:val="none" w:sz="0" w:space="0" w:color="auto"/>
                      </w:divBdr>
                    </w:div>
                  </w:divsChild>
                </w:div>
                <w:div w:id="395054858">
                  <w:marLeft w:val="0"/>
                  <w:marRight w:val="0"/>
                  <w:marTop w:val="0"/>
                  <w:marBottom w:val="0"/>
                  <w:divBdr>
                    <w:top w:val="none" w:sz="0" w:space="0" w:color="auto"/>
                    <w:left w:val="none" w:sz="0" w:space="0" w:color="auto"/>
                    <w:bottom w:val="none" w:sz="0" w:space="0" w:color="auto"/>
                    <w:right w:val="none" w:sz="0" w:space="0" w:color="auto"/>
                  </w:divBdr>
                  <w:divsChild>
                    <w:div w:id="1818297802">
                      <w:marLeft w:val="0"/>
                      <w:marRight w:val="0"/>
                      <w:marTop w:val="0"/>
                      <w:marBottom w:val="0"/>
                      <w:divBdr>
                        <w:top w:val="none" w:sz="0" w:space="0" w:color="auto"/>
                        <w:left w:val="none" w:sz="0" w:space="0" w:color="auto"/>
                        <w:bottom w:val="none" w:sz="0" w:space="0" w:color="auto"/>
                        <w:right w:val="none" w:sz="0" w:space="0" w:color="auto"/>
                      </w:divBdr>
                    </w:div>
                  </w:divsChild>
                </w:div>
                <w:div w:id="396436627">
                  <w:marLeft w:val="0"/>
                  <w:marRight w:val="0"/>
                  <w:marTop w:val="0"/>
                  <w:marBottom w:val="0"/>
                  <w:divBdr>
                    <w:top w:val="none" w:sz="0" w:space="0" w:color="auto"/>
                    <w:left w:val="none" w:sz="0" w:space="0" w:color="auto"/>
                    <w:bottom w:val="none" w:sz="0" w:space="0" w:color="auto"/>
                    <w:right w:val="none" w:sz="0" w:space="0" w:color="auto"/>
                  </w:divBdr>
                  <w:divsChild>
                    <w:div w:id="974598391">
                      <w:marLeft w:val="0"/>
                      <w:marRight w:val="0"/>
                      <w:marTop w:val="0"/>
                      <w:marBottom w:val="0"/>
                      <w:divBdr>
                        <w:top w:val="none" w:sz="0" w:space="0" w:color="auto"/>
                        <w:left w:val="none" w:sz="0" w:space="0" w:color="auto"/>
                        <w:bottom w:val="none" w:sz="0" w:space="0" w:color="auto"/>
                        <w:right w:val="none" w:sz="0" w:space="0" w:color="auto"/>
                      </w:divBdr>
                    </w:div>
                  </w:divsChild>
                </w:div>
                <w:div w:id="402332888">
                  <w:marLeft w:val="0"/>
                  <w:marRight w:val="0"/>
                  <w:marTop w:val="0"/>
                  <w:marBottom w:val="0"/>
                  <w:divBdr>
                    <w:top w:val="none" w:sz="0" w:space="0" w:color="auto"/>
                    <w:left w:val="none" w:sz="0" w:space="0" w:color="auto"/>
                    <w:bottom w:val="none" w:sz="0" w:space="0" w:color="auto"/>
                    <w:right w:val="none" w:sz="0" w:space="0" w:color="auto"/>
                  </w:divBdr>
                  <w:divsChild>
                    <w:div w:id="1739748988">
                      <w:marLeft w:val="0"/>
                      <w:marRight w:val="0"/>
                      <w:marTop w:val="0"/>
                      <w:marBottom w:val="0"/>
                      <w:divBdr>
                        <w:top w:val="none" w:sz="0" w:space="0" w:color="auto"/>
                        <w:left w:val="none" w:sz="0" w:space="0" w:color="auto"/>
                        <w:bottom w:val="none" w:sz="0" w:space="0" w:color="auto"/>
                        <w:right w:val="none" w:sz="0" w:space="0" w:color="auto"/>
                      </w:divBdr>
                    </w:div>
                  </w:divsChild>
                </w:div>
                <w:div w:id="410082564">
                  <w:marLeft w:val="0"/>
                  <w:marRight w:val="0"/>
                  <w:marTop w:val="0"/>
                  <w:marBottom w:val="0"/>
                  <w:divBdr>
                    <w:top w:val="none" w:sz="0" w:space="0" w:color="auto"/>
                    <w:left w:val="none" w:sz="0" w:space="0" w:color="auto"/>
                    <w:bottom w:val="none" w:sz="0" w:space="0" w:color="auto"/>
                    <w:right w:val="none" w:sz="0" w:space="0" w:color="auto"/>
                  </w:divBdr>
                  <w:divsChild>
                    <w:div w:id="734857567">
                      <w:marLeft w:val="0"/>
                      <w:marRight w:val="0"/>
                      <w:marTop w:val="0"/>
                      <w:marBottom w:val="0"/>
                      <w:divBdr>
                        <w:top w:val="none" w:sz="0" w:space="0" w:color="auto"/>
                        <w:left w:val="none" w:sz="0" w:space="0" w:color="auto"/>
                        <w:bottom w:val="none" w:sz="0" w:space="0" w:color="auto"/>
                        <w:right w:val="none" w:sz="0" w:space="0" w:color="auto"/>
                      </w:divBdr>
                    </w:div>
                  </w:divsChild>
                </w:div>
                <w:div w:id="411397581">
                  <w:marLeft w:val="0"/>
                  <w:marRight w:val="0"/>
                  <w:marTop w:val="0"/>
                  <w:marBottom w:val="0"/>
                  <w:divBdr>
                    <w:top w:val="none" w:sz="0" w:space="0" w:color="auto"/>
                    <w:left w:val="none" w:sz="0" w:space="0" w:color="auto"/>
                    <w:bottom w:val="none" w:sz="0" w:space="0" w:color="auto"/>
                    <w:right w:val="none" w:sz="0" w:space="0" w:color="auto"/>
                  </w:divBdr>
                  <w:divsChild>
                    <w:div w:id="2041585210">
                      <w:marLeft w:val="0"/>
                      <w:marRight w:val="0"/>
                      <w:marTop w:val="0"/>
                      <w:marBottom w:val="0"/>
                      <w:divBdr>
                        <w:top w:val="none" w:sz="0" w:space="0" w:color="auto"/>
                        <w:left w:val="none" w:sz="0" w:space="0" w:color="auto"/>
                        <w:bottom w:val="none" w:sz="0" w:space="0" w:color="auto"/>
                        <w:right w:val="none" w:sz="0" w:space="0" w:color="auto"/>
                      </w:divBdr>
                    </w:div>
                  </w:divsChild>
                </w:div>
                <w:div w:id="425080476">
                  <w:marLeft w:val="0"/>
                  <w:marRight w:val="0"/>
                  <w:marTop w:val="0"/>
                  <w:marBottom w:val="0"/>
                  <w:divBdr>
                    <w:top w:val="none" w:sz="0" w:space="0" w:color="auto"/>
                    <w:left w:val="none" w:sz="0" w:space="0" w:color="auto"/>
                    <w:bottom w:val="none" w:sz="0" w:space="0" w:color="auto"/>
                    <w:right w:val="none" w:sz="0" w:space="0" w:color="auto"/>
                  </w:divBdr>
                  <w:divsChild>
                    <w:div w:id="1373188560">
                      <w:marLeft w:val="0"/>
                      <w:marRight w:val="0"/>
                      <w:marTop w:val="0"/>
                      <w:marBottom w:val="0"/>
                      <w:divBdr>
                        <w:top w:val="none" w:sz="0" w:space="0" w:color="auto"/>
                        <w:left w:val="none" w:sz="0" w:space="0" w:color="auto"/>
                        <w:bottom w:val="none" w:sz="0" w:space="0" w:color="auto"/>
                        <w:right w:val="none" w:sz="0" w:space="0" w:color="auto"/>
                      </w:divBdr>
                    </w:div>
                  </w:divsChild>
                </w:div>
                <w:div w:id="434832711">
                  <w:marLeft w:val="0"/>
                  <w:marRight w:val="0"/>
                  <w:marTop w:val="0"/>
                  <w:marBottom w:val="0"/>
                  <w:divBdr>
                    <w:top w:val="none" w:sz="0" w:space="0" w:color="auto"/>
                    <w:left w:val="none" w:sz="0" w:space="0" w:color="auto"/>
                    <w:bottom w:val="none" w:sz="0" w:space="0" w:color="auto"/>
                    <w:right w:val="none" w:sz="0" w:space="0" w:color="auto"/>
                  </w:divBdr>
                  <w:divsChild>
                    <w:div w:id="1440225265">
                      <w:marLeft w:val="0"/>
                      <w:marRight w:val="0"/>
                      <w:marTop w:val="0"/>
                      <w:marBottom w:val="0"/>
                      <w:divBdr>
                        <w:top w:val="none" w:sz="0" w:space="0" w:color="auto"/>
                        <w:left w:val="none" w:sz="0" w:space="0" w:color="auto"/>
                        <w:bottom w:val="none" w:sz="0" w:space="0" w:color="auto"/>
                        <w:right w:val="none" w:sz="0" w:space="0" w:color="auto"/>
                      </w:divBdr>
                    </w:div>
                  </w:divsChild>
                </w:div>
                <w:div w:id="443227967">
                  <w:marLeft w:val="0"/>
                  <w:marRight w:val="0"/>
                  <w:marTop w:val="0"/>
                  <w:marBottom w:val="0"/>
                  <w:divBdr>
                    <w:top w:val="none" w:sz="0" w:space="0" w:color="auto"/>
                    <w:left w:val="none" w:sz="0" w:space="0" w:color="auto"/>
                    <w:bottom w:val="none" w:sz="0" w:space="0" w:color="auto"/>
                    <w:right w:val="none" w:sz="0" w:space="0" w:color="auto"/>
                  </w:divBdr>
                  <w:divsChild>
                    <w:div w:id="1003241667">
                      <w:marLeft w:val="0"/>
                      <w:marRight w:val="0"/>
                      <w:marTop w:val="0"/>
                      <w:marBottom w:val="0"/>
                      <w:divBdr>
                        <w:top w:val="none" w:sz="0" w:space="0" w:color="auto"/>
                        <w:left w:val="none" w:sz="0" w:space="0" w:color="auto"/>
                        <w:bottom w:val="none" w:sz="0" w:space="0" w:color="auto"/>
                        <w:right w:val="none" w:sz="0" w:space="0" w:color="auto"/>
                      </w:divBdr>
                    </w:div>
                  </w:divsChild>
                </w:div>
                <w:div w:id="452750774">
                  <w:marLeft w:val="0"/>
                  <w:marRight w:val="0"/>
                  <w:marTop w:val="0"/>
                  <w:marBottom w:val="0"/>
                  <w:divBdr>
                    <w:top w:val="none" w:sz="0" w:space="0" w:color="auto"/>
                    <w:left w:val="none" w:sz="0" w:space="0" w:color="auto"/>
                    <w:bottom w:val="none" w:sz="0" w:space="0" w:color="auto"/>
                    <w:right w:val="none" w:sz="0" w:space="0" w:color="auto"/>
                  </w:divBdr>
                  <w:divsChild>
                    <w:div w:id="22558961">
                      <w:marLeft w:val="0"/>
                      <w:marRight w:val="0"/>
                      <w:marTop w:val="0"/>
                      <w:marBottom w:val="0"/>
                      <w:divBdr>
                        <w:top w:val="none" w:sz="0" w:space="0" w:color="auto"/>
                        <w:left w:val="none" w:sz="0" w:space="0" w:color="auto"/>
                        <w:bottom w:val="none" w:sz="0" w:space="0" w:color="auto"/>
                        <w:right w:val="none" w:sz="0" w:space="0" w:color="auto"/>
                      </w:divBdr>
                    </w:div>
                  </w:divsChild>
                </w:div>
                <w:div w:id="453523378">
                  <w:marLeft w:val="0"/>
                  <w:marRight w:val="0"/>
                  <w:marTop w:val="0"/>
                  <w:marBottom w:val="0"/>
                  <w:divBdr>
                    <w:top w:val="none" w:sz="0" w:space="0" w:color="auto"/>
                    <w:left w:val="none" w:sz="0" w:space="0" w:color="auto"/>
                    <w:bottom w:val="none" w:sz="0" w:space="0" w:color="auto"/>
                    <w:right w:val="none" w:sz="0" w:space="0" w:color="auto"/>
                  </w:divBdr>
                  <w:divsChild>
                    <w:div w:id="1982541251">
                      <w:marLeft w:val="0"/>
                      <w:marRight w:val="0"/>
                      <w:marTop w:val="0"/>
                      <w:marBottom w:val="0"/>
                      <w:divBdr>
                        <w:top w:val="none" w:sz="0" w:space="0" w:color="auto"/>
                        <w:left w:val="none" w:sz="0" w:space="0" w:color="auto"/>
                        <w:bottom w:val="none" w:sz="0" w:space="0" w:color="auto"/>
                        <w:right w:val="none" w:sz="0" w:space="0" w:color="auto"/>
                      </w:divBdr>
                    </w:div>
                  </w:divsChild>
                </w:div>
                <w:div w:id="453597500">
                  <w:marLeft w:val="0"/>
                  <w:marRight w:val="0"/>
                  <w:marTop w:val="0"/>
                  <w:marBottom w:val="0"/>
                  <w:divBdr>
                    <w:top w:val="none" w:sz="0" w:space="0" w:color="auto"/>
                    <w:left w:val="none" w:sz="0" w:space="0" w:color="auto"/>
                    <w:bottom w:val="none" w:sz="0" w:space="0" w:color="auto"/>
                    <w:right w:val="none" w:sz="0" w:space="0" w:color="auto"/>
                  </w:divBdr>
                  <w:divsChild>
                    <w:div w:id="888343360">
                      <w:marLeft w:val="0"/>
                      <w:marRight w:val="0"/>
                      <w:marTop w:val="0"/>
                      <w:marBottom w:val="0"/>
                      <w:divBdr>
                        <w:top w:val="none" w:sz="0" w:space="0" w:color="auto"/>
                        <w:left w:val="none" w:sz="0" w:space="0" w:color="auto"/>
                        <w:bottom w:val="none" w:sz="0" w:space="0" w:color="auto"/>
                        <w:right w:val="none" w:sz="0" w:space="0" w:color="auto"/>
                      </w:divBdr>
                    </w:div>
                  </w:divsChild>
                </w:div>
                <w:div w:id="491527888">
                  <w:marLeft w:val="0"/>
                  <w:marRight w:val="0"/>
                  <w:marTop w:val="0"/>
                  <w:marBottom w:val="0"/>
                  <w:divBdr>
                    <w:top w:val="none" w:sz="0" w:space="0" w:color="auto"/>
                    <w:left w:val="none" w:sz="0" w:space="0" w:color="auto"/>
                    <w:bottom w:val="none" w:sz="0" w:space="0" w:color="auto"/>
                    <w:right w:val="none" w:sz="0" w:space="0" w:color="auto"/>
                  </w:divBdr>
                  <w:divsChild>
                    <w:div w:id="427890390">
                      <w:marLeft w:val="0"/>
                      <w:marRight w:val="0"/>
                      <w:marTop w:val="0"/>
                      <w:marBottom w:val="0"/>
                      <w:divBdr>
                        <w:top w:val="none" w:sz="0" w:space="0" w:color="auto"/>
                        <w:left w:val="none" w:sz="0" w:space="0" w:color="auto"/>
                        <w:bottom w:val="none" w:sz="0" w:space="0" w:color="auto"/>
                        <w:right w:val="none" w:sz="0" w:space="0" w:color="auto"/>
                      </w:divBdr>
                    </w:div>
                  </w:divsChild>
                </w:div>
                <w:div w:id="519977337">
                  <w:marLeft w:val="0"/>
                  <w:marRight w:val="0"/>
                  <w:marTop w:val="0"/>
                  <w:marBottom w:val="0"/>
                  <w:divBdr>
                    <w:top w:val="none" w:sz="0" w:space="0" w:color="auto"/>
                    <w:left w:val="none" w:sz="0" w:space="0" w:color="auto"/>
                    <w:bottom w:val="none" w:sz="0" w:space="0" w:color="auto"/>
                    <w:right w:val="none" w:sz="0" w:space="0" w:color="auto"/>
                  </w:divBdr>
                  <w:divsChild>
                    <w:div w:id="232619458">
                      <w:marLeft w:val="0"/>
                      <w:marRight w:val="0"/>
                      <w:marTop w:val="0"/>
                      <w:marBottom w:val="0"/>
                      <w:divBdr>
                        <w:top w:val="none" w:sz="0" w:space="0" w:color="auto"/>
                        <w:left w:val="none" w:sz="0" w:space="0" w:color="auto"/>
                        <w:bottom w:val="none" w:sz="0" w:space="0" w:color="auto"/>
                        <w:right w:val="none" w:sz="0" w:space="0" w:color="auto"/>
                      </w:divBdr>
                    </w:div>
                  </w:divsChild>
                </w:div>
                <w:div w:id="526410019">
                  <w:marLeft w:val="0"/>
                  <w:marRight w:val="0"/>
                  <w:marTop w:val="0"/>
                  <w:marBottom w:val="0"/>
                  <w:divBdr>
                    <w:top w:val="none" w:sz="0" w:space="0" w:color="auto"/>
                    <w:left w:val="none" w:sz="0" w:space="0" w:color="auto"/>
                    <w:bottom w:val="none" w:sz="0" w:space="0" w:color="auto"/>
                    <w:right w:val="none" w:sz="0" w:space="0" w:color="auto"/>
                  </w:divBdr>
                  <w:divsChild>
                    <w:div w:id="1501045209">
                      <w:marLeft w:val="0"/>
                      <w:marRight w:val="0"/>
                      <w:marTop w:val="0"/>
                      <w:marBottom w:val="0"/>
                      <w:divBdr>
                        <w:top w:val="none" w:sz="0" w:space="0" w:color="auto"/>
                        <w:left w:val="none" w:sz="0" w:space="0" w:color="auto"/>
                        <w:bottom w:val="none" w:sz="0" w:space="0" w:color="auto"/>
                        <w:right w:val="none" w:sz="0" w:space="0" w:color="auto"/>
                      </w:divBdr>
                    </w:div>
                  </w:divsChild>
                </w:div>
                <w:div w:id="544683482">
                  <w:marLeft w:val="0"/>
                  <w:marRight w:val="0"/>
                  <w:marTop w:val="0"/>
                  <w:marBottom w:val="0"/>
                  <w:divBdr>
                    <w:top w:val="none" w:sz="0" w:space="0" w:color="auto"/>
                    <w:left w:val="none" w:sz="0" w:space="0" w:color="auto"/>
                    <w:bottom w:val="none" w:sz="0" w:space="0" w:color="auto"/>
                    <w:right w:val="none" w:sz="0" w:space="0" w:color="auto"/>
                  </w:divBdr>
                  <w:divsChild>
                    <w:div w:id="2125926759">
                      <w:marLeft w:val="0"/>
                      <w:marRight w:val="0"/>
                      <w:marTop w:val="0"/>
                      <w:marBottom w:val="0"/>
                      <w:divBdr>
                        <w:top w:val="none" w:sz="0" w:space="0" w:color="auto"/>
                        <w:left w:val="none" w:sz="0" w:space="0" w:color="auto"/>
                        <w:bottom w:val="none" w:sz="0" w:space="0" w:color="auto"/>
                        <w:right w:val="none" w:sz="0" w:space="0" w:color="auto"/>
                      </w:divBdr>
                    </w:div>
                  </w:divsChild>
                </w:div>
                <w:div w:id="544833043">
                  <w:marLeft w:val="0"/>
                  <w:marRight w:val="0"/>
                  <w:marTop w:val="0"/>
                  <w:marBottom w:val="0"/>
                  <w:divBdr>
                    <w:top w:val="none" w:sz="0" w:space="0" w:color="auto"/>
                    <w:left w:val="none" w:sz="0" w:space="0" w:color="auto"/>
                    <w:bottom w:val="none" w:sz="0" w:space="0" w:color="auto"/>
                    <w:right w:val="none" w:sz="0" w:space="0" w:color="auto"/>
                  </w:divBdr>
                  <w:divsChild>
                    <w:div w:id="2046326339">
                      <w:marLeft w:val="0"/>
                      <w:marRight w:val="0"/>
                      <w:marTop w:val="0"/>
                      <w:marBottom w:val="0"/>
                      <w:divBdr>
                        <w:top w:val="none" w:sz="0" w:space="0" w:color="auto"/>
                        <w:left w:val="none" w:sz="0" w:space="0" w:color="auto"/>
                        <w:bottom w:val="none" w:sz="0" w:space="0" w:color="auto"/>
                        <w:right w:val="none" w:sz="0" w:space="0" w:color="auto"/>
                      </w:divBdr>
                    </w:div>
                  </w:divsChild>
                </w:div>
                <w:div w:id="547572530">
                  <w:marLeft w:val="0"/>
                  <w:marRight w:val="0"/>
                  <w:marTop w:val="0"/>
                  <w:marBottom w:val="0"/>
                  <w:divBdr>
                    <w:top w:val="none" w:sz="0" w:space="0" w:color="auto"/>
                    <w:left w:val="none" w:sz="0" w:space="0" w:color="auto"/>
                    <w:bottom w:val="none" w:sz="0" w:space="0" w:color="auto"/>
                    <w:right w:val="none" w:sz="0" w:space="0" w:color="auto"/>
                  </w:divBdr>
                  <w:divsChild>
                    <w:div w:id="1906526594">
                      <w:marLeft w:val="0"/>
                      <w:marRight w:val="0"/>
                      <w:marTop w:val="0"/>
                      <w:marBottom w:val="0"/>
                      <w:divBdr>
                        <w:top w:val="none" w:sz="0" w:space="0" w:color="auto"/>
                        <w:left w:val="none" w:sz="0" w:space="0" w:color="auto"/>
                        <w:bottom w:val="none" w:sz="0" w:space="0" w:color="auto"/>
                        <w:right w:val="none" w:sz="0" w:space="0" w:color="auto"/>
                      </w:divBdr>
                    </w:div>
                  </w:divsChild>
                </w:div>
                <w:div w:id="562567970">
                  <w:marLeft w:val="0"/>
                  <w:marRight w:val="0"/>
                  <w:marTop w:val="0"/>
                  <w:marBottom w:val="0"/>
                  <w:divBdr>
                    <w:top w:val="none" w:sz="0" w:space="0" w:color="auto"/>
                    <w:left w:val="none" w:sz="0" w:space="0" w:color="auto"/>
                    <w:bottom w:val="none" w:sz="0" w:space="0" w:color="auto"/>
                    <w:right w:val="none" w:sz="0" w:space="0" w:color="auto"/>
                  </w:divBdr>
                  <w:divsChild>
                    <w:div w:id="762607108">
                      <w:marLeft w:val="0"/>
                      <w:marRight w:val="0"/>
                      <w:marTop w:val="0"/>
                      <w:marBottom w:val="0"/>
                      <w:divBdr>
                        <w:top w:val="none" w:sz="0" w:space="0" w:color="auto"/>
                        <w:left w:val="none" w:sz="0" w:space="0" w:color="auto"/>
                        <w:bottom w:val="none" w:sz="0" w:space="0" w:color="auto"/>
                        <w:right w:val="none" w:sz="0" w:space="0" w:color="auto"/>
                      </w:divBdr>
                    </w:div>
                  </w:divsChild>
                </w:div>
                <w:div w:id="593318242">
                  <w:marLeft w:val="0"/>
                  <w:marRight w:val="0"/>
                  <w:marTop w:val="0"/>
                  <w:marBottom w:val="0"/>
                  <w:divBdr>
                    <w:top w:val="none" w:sz="0" w:space="0" w:color="auto"/>
                    <w:left w:val="none" w:sz="0" w:space="0" w:color="auto"/>
                    <w:bottom w:val="none" w:sz="0" w:space="0" w:color="auto"/>
                    <w:right w:val="none" w:sz="0" w:space="0" w:color="auto"/>
                  </w:divBdr>
                  <w:divsChild>
                    <w:div w:id="396707098">
                      <w:marLeft w:val="0"/>
                      <w:marRight w:val="0"/>
                      <w:marTop w:val="0"/>
                      <w:marBottom w:val="0"/>
                      <w:divBdr>
                        <w:top w:val="none" w:sz="0" w:space="0" w:color="auto"/>
                        <w:left w:val="none" w:sz="0" w:space="0" w:color="auto"/>
                        <w:bottom w:val="none" w:sz="0" w:space="0" w:color="auto"/>
                        <w:right w:val="none" w:sz="0" w:space="0" w:color="auto"/>
                      </w:divBdr>
                    </w:div>
                  </w:divsChild>
                </w:div>
                <w:div w:id="601840601">
                  <w:marLeft w:val="0"/>
                  <w:marRight w:val="0"/>
                  <w:marTop w:val="0"/>
                  <w:marBottom w:val="0"/>
                  <w:divBdr>
                    <w:top w:val="none" w:sz="0" w:space="0" w:color="auto"/>
                    <w:left w:val="none" w:sz="0" w:space="0" w:color="auto"/>
                    <w:bottom w:val="none" w:sz="0" w:space="0" w:color="auto"/>
                    <w:right w:val="none" w:sz="0" w:space="0" w:color="auto"/>
                  </w:divBdr>
                  <w:divsChild>
                    <w:div w:id="1541481308">
                      <w:marLeft w:val="0"/>
                      <w:marRight w:val="0"/>
                      <w:marTop w:val="0"/>
                      <w:marBottom w:val="0"/>
                      <w:divBdr>
                        <w:top w:val="none" w:sz="0" w:space="0" w:color="auto"/>
                        <w:left w:val="none" w:sz="0" w:space="0" w:color="auto"/>
                        <w:bottom w:val="none" w:sz="0" w:space="0" w:color="auto"/>
                        <w:right w:val="none" w:sz="0" w:space="0" w:color="auto"/>
                      </w:divBdr>
                    </w:div>
                  </w:divsChild>
                </w:div>
                <w:div w:id="606928965">
                  <w:marLeft w:val="0"/>
                  <w:marRight w:val="0"/>
                  <w:marTop w:val="0"/>
                  <w:marBottom w:val="0"/>
                  <w:divBdr>
                    <w:top w:val="none" w:sz="0" w:space="0" w:color="auto"/>
                    <w:left w:val="none" w:sz="0" w:space="0" w:color="auto"/>
                    <w:bottom w:val="none" w:sz="0" w:space="0" w:color="auto"/>
                    <w:right w:val="none" w:sz="0" w:space="0" w:color="auto"/>
                  </w:divBdr>
                  <w:divsChild>
                    <w:div w:id="910895201">
                      <w:marLeft w:val="0"/>
                      <w:marRight w:val="0"/>
                      <w:marTop w:val="0"/>
                      <w:marBottom w:val="0"/>
                      <w:divBdr>
                        <w:top w:val="none" w:sz="0" w:space="0" w:color="auto"/>
                        <w:left w:val="none" w:sz="0" w:space="0" w:color="auto"/>
                        <w:bottom w:val="none" w:sz="0" w:space="0" w:color="auto"/>
                        <w:right w:val="none" w:sz="0" w:space="0" w:color="auto"/>
                      </w:divBdr>
                    </w:div>
                  </w:divsChild>
                </w:div>
                <w:div w:id="611516589">
                  <w:marLeft w:val="0"/>
                  <w:marRight w:val="0"/>
                  <w:marTop w:val="0"/>
                  <w:marBottom w:val="0"/>
                  <w:divBdr>
                    <w:top w:val="none" w:sz="0" w:space="0" w:color="auto"/>
                    <w:left w:val="none" w:sz="0" w:space="0" w:color="auto"/>
                    <w:bottom w:val="none" w:sz="0" w:space="0" w:color="auto"/>
                    <w:right w:val="none" w:sz="0" w:space="0" w:color="auto"/>
                  </w:divBdr>
                  <w:divsChild>
                    <w:div w:id="1738700249">
                      <w:marLeft w:val="0"/>
                      <w:marRight w:val="0"/>
                      <w:marTop w:val="0"/>
                      <w:marBottom w:val="0"/>
                      <w:divBdr>
                        <w:top w:val="none" w:sz="0" w:space="0" w:color="auto"/>
                        <w:left w:val="none" w:sz="0" w:space="0" w:color="auto"/>
                        <w:bottom w:val="none" w:sz="0" w:space="0" w:color="auto"/>
                        <w:right w:val="none" w:sz="0" w:space="0" w:color="auto"/>
                      </w:divBdr>
                    </w:div>
                  </w:divsChild>
                </w:div>
                <w:div w:id="631247244">
                  <w:marLeft w:val="0"/>
                  <w:marRight w:val="0"/>
                  <w:marTop w:val="0"/>
                  <w:marBottom w:val="0"/>
                  <w:divBdr>
                    <w:top w:val="none" w:sz="0" w:space="0" w:color="auto"/>
                    <w:left w:val="none" w:sz="0" w:space="0" w:color="auto"/>
                    <w:bottom w:val="none" w:sz="0" w:space="0" w:color="auto"/>
                    <w:right w:val="none" w:sz="0" w:space="0" w:color="auto"/>
                  </w:divBdr>
                  <w:divsChild>
                    <w:div w:id="1740857388">
                      <w:marLeft w:val="0"/>
                      <w:marRight w:val="0"/>
                      <w:marTop w:val="0"/>
                      <w:marBottom w:val="0"/>
                      <w:divBdr>
                        <w:top w:val="none" w:sz="0" w:space="0" w:color="auto"/>
                        <w:left w:val="none" w:sz="0" w:space="0" w:color="auto"/>
                        <w:bottom w:val="none" w:sz="0" w:space="0" w:color="auto"/>
                        <w:right w:val="none" w:sz="0" w:space="0" w:color="auto"/>
                      </w:divBdr>
                    </w:div>
                  </w:divsChild>
                </w:div>
                <w:div w:id="641539828">
                  <w:marLeft w:val="0"/>
                  <w:marRight w:val="0"/>
                  <w:marTop w:val="0"/>
                  <w:marBottom w:val="0"/>
                  <w:divBdr>
                    <w:top w:val="none" w:sz="0" w:space="0" w:color="auto"/>
                    <w:left w:val="none" w:sz="0" w:space="0" w:color="auto"/>
                    <w:bottom w:val="none" w:sz="0" w:space="0" w:color="auto"/>
                    <w:right w:val="none" w:sz="0" w:space="0" w:color="auto"/>
                  </w:divBdr>
                  <w:divsChild>
                    <w:div w:id="1727951527">
                      <w:marLeft w:val="0"/>
                      <w:marRight w:val="0"/>
                      <w:marTop w:val="0"/>
                      <w:marBottom w:val="0"/>
                      <w:divBdr>
                        <w:top w:val="none" w:sz="0" w:space="0" w:color="auto"/>
                        <w:left w:val="none" w:sz="0" w:space="0" w:color="auto"/>
                        <w:bottom w:val="none" w:sz="0" w:space="0" w:color="auto"/>
                        <w:right w:val="none" w:sz="0" w:space="0" w:color="auto"/>
                      </w:divBdr>
                    </w:div>
                  </w:divsChild>
                </w:div>
                <w:div w:id="643395152">
                  <w:marLeft w:val="0"/>
                  <w:marRight w:val="0"/>
                  <w:marTop w:val="0"/>
                  <w:marBottom w:val="0"/>
                  <w:divBdr>
                    <w:top w:val="none" w:sz="0" w:space="0" w:color="auto"/>
                    <w:left w:val="none" w:sz="0" w:space="0" w:color="auto"/>
                    <w:bottom w:val="none" w:sz="0" w:space="0" w:color="auto"/>
                    <w:right w:val="none" w:sz="0" w:space="0" w:color="auto"/>
                  </w:divBdr>
                  <w:divsChild>
                    <w:div w:id="1587151236">
                      <w:marLeft w:val="0"/>
                      <w:marRight w:val="0"/>
                      <w:marTop w:val="0"/>
                      <w:marBottom w:val="0"/>
                      <w:divBdr>
                        <w:top w:val="none" w:sz="0" w:space="0" w:color="auto"/>
                        <w:left w:val="none" w:sz="0" w:space="0" w:color="auto"/>
                        <w:bottom w:val="none" w:sz="0" w:space="0" w:color="auto"/>
                        <w:right w:val="none" w:sz="0" w:space="0" w:color="auto"/>
                      </w:divBdr>
                    </w:div>
                  </w:divsChild>
                </w:div>
                <w:div w:id="651448911">
                  <w:marLeft w:val="0"/>
                  <w:marRight w:val="0"/>
                  <w:marTop w:val="0"/>
                  <w:marBottom w:val="0"/>
                  <w:divBdr>
                    <w:top w:val="none" w:sz="0" w:space="0" w:color="auto"/>
                    <w:left w:val="none" w:sz="0" w:space="0" w:color="auto"/>
                    <w:bottom w:val="none" w:sz="0" w:space="0" w:color="auto"/>
                    <w:right w:val="none" w:sz="0" w:space="0" w:color="auto"/>
                  </w:divBdr>
                  <w:divsChild>
                    <w:div w:id="1760713502">
                      <w:marLeft w:val="0"/>
                      <w:marRight w:val="0"/>
                      <w:marTop w:val="0"/>
                      <w:marBottom w:val="0"/>
                      <w:divBdr>
                        <w:top w:val="none" w:sz="0" w:space="0" w:color="auto"/>
                        <w:left w:val="none" w:sz="0" w:space="0" w:color="auto"/>
                        <w:bottom w:val="none" w:sz="0" w:space="0" w:color="auto"/>
                        <w:right w:val="none" w:sz="0" w:space="0" w:color="auto"/>
                      </w:divBdr>
                    </w:div>
                  </w:divsChild>
                </w:div>
                <w:div w:id="663824419">
                  <w:marLeft w:val="0"/>
                  <w:marRight w:val="0"/>
                  <w:marTop w:val="0"/>
                  <w:marBottom w:val="0"/>
                  <w:divBdr>
                    <w:top w:val="none" w:sz="0" w:space="0" w:color="auto"/>
                    <w:left w:val="none" w:sz="0" w:space="0" w:color="auto"/>
                    <w:bottom w:val="none" w:sz="0" w:space="0" w:color="auto"/>
                    <w:right w:val="none" w:sz="0" w:space="0" w:color="auto"/>
                  </w:divBdr>
                  <w:divsChild>
                    <w:div w:id="512232003">
                      <w:marLeft w:val="0"/>
                      <w:marRight w:val="0"/>
                      <w:marTop w:val="0"/>
                      <w:marBottom w:val="0"/>
                      <w:divBdr>
                        <w:top w:val="none" w:sz="0" w:space="0" w:color="auto"/>
                        <w:left w:val="none" w:sz="0" w:space="0" w:color="auto"/>
                        <w:bottom w:val="none" w:sz="0" w:space="0" w:color="auto"/>
                        <w:right w:val="none" w:sz="0" w:space="0" w:color="auto"/>
                      </w:divBdr>
                    </w:div>
                  </w:divsChild>
                </w:div>
                <w:div w:id="675034274">
                  <w:marLeft w:val="0"/>
                  <w:marRight w:val="0"/>
                  <w:marTop w:val="0"/>
                  <w:marBottom w:val="0"/>
                  <w:divBdr>
                    <w:top w:val="none" w:sz="0" w:space="0" w:color="auto"/>
                    <w:left w:val="none" w:sz="0" w:space="0" w:color="auto"/>
                    <w:bottom w:val="none" w:sz="0" w:space="0" w:color="auto"/>
                    <w:right w:val="none" w:sz="0" w:space="0" w:color="auto"/>
                  </w:divBdr>
                  <w:divsChild>
                    <w:div w:id="446200291">
                      <w:marLeft w:val="0"/>
                      <w:marRight w:val="0"/>
                      <w:marTop w:val="0"/>
                      <w:marBottom w:val="0"/>
                      <w:divBdr>
                        <w:top w:val="none" w:sz="0" w:space="0" w:color="auto"/>
                        <w:left w:val="none" w:sz="0" w:space="0" w:color="auto"/>
                        <w:bottom w:val="none" w:sz="0" w:space="0" w:color="auto"/>
                        <w:right w:val="none" w:sz="0" w:space="0" w:color="auto"/>
                      </w:divBdr>
                    </w:div>
                  </w:divsChild>
                </w:div>
                <w:div w:id="692807055">
                  <w:marLeft w:val="0"/>
                  <w:marRight w:val="0"/>
                  <w:marTop w:val="0"/>
                  <w:marBottom w:val="0"/>
                  <w:divBdr>
                    <w:top w:val="none" w:sz="0" w:space="0" w:color="auto"/>
                    <w:left w:val="none" w:sz="0" w:space="0" w:color="auto"/>
                    <w:bottom w:val="none" w:sz="0" w:space="0" w:color="auto"/>
                    <w:right w:val="none" w:sz="0" w:space="0" w:color="auto"/>
                  </w:divBdr>
                  <w:divsChild>
                    <w:div w:id="1129056127">
                      <w:marLeft w:val="0"/>
                      <w:marRight w:val="0"/>
                      <w:marTop w:val="0"/>
                      <w:marBottom w:val="0"/>
                      <w:divBdr>
                        <w:top w:val="none" w:sz="0" w:space="0" w:color="auto"/>
                        <w:left w:val="none" w:sz="0" w:space="0" w:color="auto"/>
                        <w:bottom w:val="none" w:sz="0" w:space="0" w:color="auto"/>
                        <w:right w:val="none" w:sz="0" w:space="0" w:color="auto"/>
                      </w:divBdr>
                    </w:div>
                  </w:divsChild>
                </w:div>
                <w:div w:id="698046279">
                  <w:marLeft w:val="0"/>
                  <w:marRight w:val="0"/>
                  <w:marTop w:val="0"/>
                  <w:marBottom w:val="0"/>
                  <w:divBdr>
                    <w:top w:val="none" w:sz="0" w:space="0" w:color="auto"/>
                    <w:left w:val="none" w:sz="0" w:space="0" w:color="auto"/>
                    <w:bottom w:val="none" w:sz="0" w:space="0" w:color="auto"/>
                    <w:right w:val="none" w:sz="0" w:space="0" w:color="auto"/>
                  </w:divBdr>
                  <w:divsChild>
                    <w:div w:id="1333609151">
                      <w:marLeft w:val="0"/>
                      <w:marRight w:val="0"/>
                      <w:marTop w:val="0"/>
                      <w:marBottom w:val="0"/>
                      <w:divBdr>
                        <w:top w:val="none" w:sz="0" w:space="0" w:color="auto"/>
                        <w:left w:val="none" w:sz="0" w:space="0" w:color="auto"/>
                        <w:bottom w:val="none" w:sz="0" w:space="0" w:color="auto"/>
                        <w:right w:val="none" w:sz="0" w:space="0" w:color="auto"/>
                      </w:divBdr>
                    </w:div>
                  </w:divsChild>
                </w:div>
                <w:div w:id="707685567">
                  <w:marLeft w:val="0"/>
                  <w:marRight w:val="0"/>
                  <w:marTop w:val="0"/>
                  <w:marBottom w:val="0"/>
                  <w:divBdr>
                    <w:top w:val="none" w:sz="0" w:space="0" w:color="auto"/>
                    <w:left w:val="none" w:sz="0" w:space="0" w:color="auto"/>
                    <w:bottom w:val="none" w:sz="0" w:space="0" w:color="auto"/>
                    <w:right w:val="none" w:sz="0" w:space="0" w:color="auto"/>
                  </w:divBdr>
                  <w:divsChild>
                    <w:div w:id="854809290">
                      <w:marLeft w:val="0"/>
                      <w:marRight w:val="0"/>
                      <w:marTop w:val="0"/>
                      <w:marBottom w:val="0"/>
                      <w:divBdr>
                        <w:top w:val="none" w:sz="0" w:space="0" w:color="auto"/>
                        <w:left w:val="none" w:sz="0" w:space="0" w:color="auto"/>
                        <w:bottom w:val="none" w:sz="0" w:space="0" w:color="auto"/>
                        <w:right w:val="none" w:sz="0" w:space="0" w:color="auto"/>
                      </w:divBdr>
                    </w:div>
                  </w:divsChild>
                </w:div>
                <w:div w:id="725838452">
                  <w:marLeft w:val="0"/>
                  <w:marRight w:val="0"/>
                  <w:marTop w:val="0"/>
                  <w:marBottom w:val="0"/>
                  <w:divBdr>
                    <w:top w:val="none" w:sz="0" w:space="0" w:color="auto"/>
                    <w:left w:val="none" w:sz="0" w:space="0" w:color="auto"/>
                    <w:bottom w:val="none" w:sz="0" w:space="0" w:color="auto"/>
                    <w:right w:val="none" w:sz="0" w:space="0" w:color="auto"/>
                  </w:divBdr>
                  <w:divsChild>
                    <w:div w:id="541015329">
                      <w:marLeft w:val="0"/>
                      <w:marRight w:val="0"/>
                      <w:marTop w:val="0"/>
                      <w:marBottom w:val="0"/>
                      <w:divBdr>
                        <w:top w:val="none" w:sz="0" w:space="0" w:color="auto"/>
                        <w:left w:val="none" w:sz="0" w:space="0" w:color="auto"/>
                        <w:bottom w:val="none" w:sz="0" w:space="0" w:color="auto"/>
                        <w:right w:val="none" w:sz="0" w:space="0" w:color="auto"/>
                      </w:divBdr>
                    </w:div>
                  </w:divsChild>
                </w:div>
                <w:div w:id="727188117">
                  <w:marLeft w:val="0"/>
                  <w:marRight w:val="0"/>
                  <w:marTop w:val="0"/>
                  <w:marBottom w:val="0"/>
                  <w:divBdr>
                    <w:top w:val="none" w:sz="0" w:space="0" w:color="auto"/>
                    <w:left w:val="none" w:sz="0" w:space="0" w:color="auto"/>
                    <w:bottom w:val="none" w:sz="0" w:space="0" w:color="auto"/>
                    <w:right w:val="none" w:sz="0" w:space="0" w:color="auto"/>
                  </w:divBdr>
                  <w:divsChild>
                    <w:div w:id="1055930179">
                      <w:marLeft w:val="0"/>
                      <w:marRight w:val="0"/>
                      <w:marTop w:val="0"/>
                      <w:marBottom w:val="0"/>
                      <w:divBdr>
                        <w:top w:val="none" w:sz="0" w:space="0" w:color="auto"/>
                        <w:left w:val="none" w:sz="0" w:space="0" w:color="auto"/>
                        <w:bottom w:val="none" w:sz="0" w:space="0" w:color="auto"/>
                        <w:right w:val="none" w:sz="0" w:space="0" w:color="auto"/>
                      </w:divBdr>
                    </w:div>
                  </w:divsChild>
                </w:div>
                <w:div w:id="733089528">
                  <w:marLeft w:val="0"/>
                  <w:marRight w:val="0"/>
                  <w:marTop w:val="0"/>
                  <w:marBottom w:val="0"/>
                  <w:divBdr>
                    <w:top w:val="none" w:sz="0" w:space="0" w:color="auto"/>
                    <w:left w:val="none" w:sz="0" w:space="0" w:color="auto"/>
                    <w:bottom w:val="none" w:sz="0" w:space="0" w:color="auto"/>
                    <w:right w:val="none" w:sz="0" w:space="0" w:color="auto"/>
                  </w:divBdr>
                  <w:divsChild>
                    <w:div w:id="845561781">
                      <w:marLeft w:val="0"/>
                      <w:marRight w:val="0"/>
                      <w:marTop w:val="0"/>
                      <w:marBottom w:val="0"/>
                      <w:divBdr>
                        <w:top w:val="none" w:sz="0" w:space="0" w:color="auto"/>
                        <w:left w:val="none" w:sz="0" w:space="0" w:color="auto"/>
                        <w:bottom w:val="none" w:sz="0" w:space="0" w:color="auto"/>
                        <w:right w:val="none" w:sz="0" w:space="0" w:color="auto"/>
                      </w:divBdr>
                    </w:div>
                  </w:divsChild>
                </w:div>
                <w:div w:id="757675725">
                  <w:marLeft w:val="0"/>
                  <w:marRight w:val="0"/>
                  <w:marTop w:val="0"/>
                  <w:marBottom w:val="0"/>
                  <w:divBdr>
                    <w:top w:val="none" w:sz="0" w:space="0" w:color="auto"/>
                    <w:left w:val="none" w:sz="0" w:space="0" w:color="auto"/>
                    <w:bottom w:val="none" w:sz="0" w:space="0" w:color="auto"/>
                    <w:right w:val="none" w:sz="0" w:space="0" w:color="auto"/>
                  </w:divBdr>
                  <w:divsChild>
                    <w:div w:id="363942592">
                      <w:marLeft w:val="0"/>
                      <w:marRight w:val="0"/>
                      <w:marTop w:val="0"/>
                      <w:marBottom w:val="0"/>
                      <w:divBdr>
                        <w:top w:val="none" w:sz="0" w:space="0" w:color="auto"/>
                        <w:left w:val="none" w:sz="0" w:space="0" w:color="auto"/>
                        <w:bottom w:val="none" w:sz="0" w:space="0" w:color="auto"/>
                        <w:right w:val="none" w:sz="0" w:space="0" w:color="auto"/>
                      </w:divBdr>
                    </w:div>
                  </w:divsChild>
                </w:div>
                <w:div w:id="759257489">
                  <w:marLeft w:val="0"/>
                  <w:marRight w:val="0"/>
                  <w:marTop w:val="0"/>
                  <w:marBottom w:val="0"/>
                  <w:divBdr>
                    <w:top w:val="none" w:sz="0" w:space="0" w:color="auto"/>
                    <w:left w:val="none" w:sz="0" w:space="0" w:color="auto"/>
                    <w:bottom w:val="none" w:sz="0" w:space="0" w:color="auto"/>
                    <w:right w:val="none" w:sz="0" w:space="0" w:color="auto"/>
                  </w:divBdr>
                  <w:divsChild>
                    <w:div w:id="2005426067">
                      <w:marLeft w:val="0"/>
                      <w:marRight w:val="0"/>
                      <w:marTop w:val="0"/>
                      <w:marBottom w:val="0"/>
                      <w:divBdr>
                        <w:top w:val="none" w:sz="0" w:space="0" w:color="auto"/>
                        <w:left w:val="none" w:sz="0" w:space="0" w:color="auto"/>
                        <w:bottom w:val="none" w:sz="0" w:space="0" w:color="auto"/>
                        <w:right w:val="none" w:sz="0" w:space="0" w:color="auto"/>
                      </w:divBdr>
                    </w:div>
                  </w:divsChild>
                </w:div>
                <w:div w:id="775293076">
                  <w:marLeft w:val="0"/>
                  <w:marRight w:val="0"/>
                  <w:marTop w:val="0"/>
                  <w:marBottom w:val="0"/>
                  <w:divBdr>
                    <w:top w:val="none" w:sz="0" w:space="0" w:color="auto"/>
                    <w:left w:val="none" w:sz="0" w:space="0" w:color="auto"/>
                    <w:bottom w:val="none" w:sz="0" w:space="0" w:color="auto"/>
                    <w:right w:val="none" w:sz="0" w:space="0" w:color="auto"/>
                  </w:divBdr>
                  <w:divsChild>
                    <w:div w:id="1786271231">
                      <w:marLeft w:val="0"/>
                      <w:marRight w:val="0"/>
                      <w:marTop w:val="0"/>
                      <w:marBottom w:val="0"/>
                      <w:divBdr>
                        <w:top w:val="none" w:sz="0" w:space="0" w:color="auto"/>
                        <w:left w:val="none" w:sz="0" w:space="0" w:color="auto"/>
                        <w:bottom w:val="none" w:sz="0" w:space="0" w:color="auto"/>
                        <w:right w:val="none" w:sz="0" w:space="0" w:color="auto"/>
                      </w:divBdr>
                    </w:div>
                  </w:divsChild>
                </w:div>
                <w:div w:id="821848297">
                  <w:marLeft w:val="0"/>
                  <w:marRight w:val="0"/>
                  <w:marTop w:val="0"/>
                  <w:marBottom w:val="0"/>
                  <w:divBdr>
                    <w:top w:val="none" w:sz="0" w:space="0" w:color="auto"/>
                    <w:left w:val="none" w:sz="0" w:space="0" w:color="auto"/>
                    <w:bottom w:val="none" w:sz="0" w:space="0" w:color="auto"/>
                    <w:right w:val="none" w:sz="0" w:space="0" w:color="auto"/>
                  </w:divBdr>
                  <w:divsChild>
                    <w:div w:id="268004985">
                      <w:marLeft w:val="0"/>
                      <w:marRight w:val="0"/>
                      <w:marTop w:val="0"/>
                      <w:marBottom w:val="0"/>
                      <w:divBdr>
                        <w:top w:val="none" w:sz="0" w:space="0" w:color="auto"/>
                        <w:left w:val="none" w:sz="0" w:space="0" w:color="auto"/>
                        <w:bottom w:val="none" w:sz="0" w:space="0" w:color="auto"/>
                        <w:right w:val="none" w:sz="0" w:space="0" w:color="auto"/>
                      </w:divBdr>
                    </w:div>
                  </w:divsChild>
                </w:div>
                <w:div w:id="835340561">
                  <w:marLeft w:val="0"/>
                  <w:marRight w:val="0"/>
                  <w:marTop w:val="0"/>
                  <w:marBottom w:val="0"/>
                  <w:divBdr>
                    <w:top w:val="none" w:sz="0" w:space="0" w:color="auto"/>
                    <w:left w:val="none" w:sz="0" w:space="0" w:color="auto"/>
                    <w:bottom w:val="none" w:sz="0" w:space="0" w:color="auto"/>
                    <w:right w:val="none" w:sz="0" w:space="0" w:color="auto"/>
                  </w:divBdr>
                  <w:divsChild>
                    <w:div w:id="2020503464">
                      <w:marLeft w:val="0"/>
                      <w:marRight w:val="0"/>
                      <w:marTop w:val="0"/>
                      <w:marBottom w:val="0"/>
                      <w:divBdr>
                        <w:top w:val="none" w:sz="0" w:space="0" w:color="auto"/>
                        <w:left w:val="none" w:sz="0" w:space="0" w:color="auto"/>
                        <w:bottom w:val="none" w:sz="0" w:space="0" w:color="auto"/>
                        <w:right w:val="none" w:sz="0" w:space="0" w:color="auto"/>
                      </w:divBdr>
                    </w:div>
                  </w:divsChild>
                </w:div>
                <w:div w:id="857162879">
                  <w:marLeft w:val="0"/>
                  <w:marRight w:val="0"/>
                  <w:marTop w:val="0"/>
                  <w:marBottom w:val="0"/>
                  <w:divBdr>
                    <w:top w:val="none" w:sz="0" w:space="0" w:color="auto"/>
                    <w:left w:val="none" w:sz="0" w:space="0" w:color="auto"/>
                    <w:bottom w:val="none" w:sz="0" w:space="0" w:color="auto"/>
                    <w:right w:val="none" w:sz="0" w:space="0" w:color="auto"/>
                  </w:divBdr>
                  <w:divsChild>
                    <w:div w:id="2010910909">
                      <w:marLeft w:val="0"/>
                      <w:marRight w:val="0"/>
                      <w:marTop w:val="0"/>
                      <w:marBottom w:val="0"/>
                      <w:divBdr>
                        <w:top w:val="none" w:sz="0" w:space="0" w:color="auto"/>
                        <w:left w:val="none" w:sz="0" w:space="0" w:color="auto"/>
                        <w:bottom w:val="none" w:sz="0" w:space="0" w:color="auto"/>
                        <w:right w:val="none" w:sz="0" w:space="0" w:color="auto"/>
                      </w:divBdr>
                    </w:div>
                  </w:divsChild>
                </w:div>
                <w:div w:id="887227040">
                  <w:marLeft w:val="0"/>
                  <w:marRight w:val="0"/>
                  <w:marTop w:val="0"/>
                  <w:marBottom w:val="0"/>
                  <w:divBdr>
                    <w:top w:val="none" w:sz="0" w:space="0" w:color="auto"/>
                    <w:left w:val="none" w:sz="0" w:space="0" w:color="auto"/>
                    <w:bottom w:val="none" w:sz="0" w:space="0" w:color="auto"/>
                    <w:right w:val="none" w:sz="0" w:space="0" w:color="auto"/>
                  </w:divBdr>
                  <w:divsChild>
                    <w:div w:id="919486173">
                      <w:marLeft w:val="0"/>
                      <w:marRight w:val="0"/>
                      <w:marTop w:val="0"/>
                      <w:marBottom w:val="0"/>
                      <w:divBdr>
                        <w:top w:val="none" w:sz="0" w:space="0" w:color="auto"/>
                        <w:left w:val="none" w:sz="0" w:space="0" w:color="auto"/>
                        <w:bottom w:val="none" w:sz="0" w:space="0" w:color="auto"/>
                        <w:right w:val="none" w:sz="0" w:space="0" w:color="auto"/>
                      </w:divBdr>
                    </w:div>
                  </w:divsChild>
                </w:div>
                <w:div w:id="901794520">
                  <w:marLeft w:val="0"/>
                  <w:marRight w:val="0"/>
                  <w:marTop w:val="0"/>
                  <w:marBottom w:val="0"/>
                  <w:divBdr>
                    <w:top w:val="none" w:sz="0" w:space="0" w:color="auto"/>
                    <w:left w:val="none" w:sz="0" w:space="0" w:color="auto"/>
                    <w:bottom w:val="none" w:sz="0" w:space="0" w:color="auto"/>
                    <w:right w:val="none" w:sz="0" w:space="0" w:color="auto"/>
                  </w:divBdr>
                  <w:divsChild>
                    <w:div w:id="1426611528">
                      <w:marLeft w:val="0"/>
                      <w:marRight w:val="0"/>
                      <w:marTop w:val="0"/>
                      <w:marBottom w:val="0"/>
                      <w:divBdr>
                        <w:top w:val="none" w:sz="0" w:space="0" w:color="auto"/>
                        <w:left w:val="none" w:sz="0" w:space="0" w:color="auto"/>
                        <w:bottom w:val="none" w:sz="0" w:space="0" w:color="auto"/>
                        <w:right w:val="none" w:sz="0" w:space="0" w:color="auto"/>
                      </w:divBdr>
                    </w:div>
                  </w:divsChild>
                </w:div>
                <w:div w:id="912929353">
                  <w:marLeft w:val="0"/>
                  <w:marRight w:val="0"/>
                  <w:marTop w:val="0"/>
                  <w:marBottom w:val="0"/>
                  <w:divBdr>
                    <w:top w:val="none" w:sz="0" w:space="0" w:color="auto"/>
                    <w:left w:val="none" w:sz="0" w:space="0" w:color="auto"/>
                    <w:bottom w:val="none" w:sz="0" w:space="0" w:color="auto"/>
                    <w:right w:val="none" w:sz="0" w:space="0" w:color="auto"/>
                  </w:divBdr>
                  <w:divsChild>
                    <w:div w:id="1505243374">
                      <w:marLeft w:val="0"/>
                      <w:marRight w:val="0"/>
                      <w:marTop w:val="0"/>
                      <w:marBottom w:val="0"/>
                      <w:divBdr>
                        <w:top w:val="none" w:sz="0" w:space="0" w:color="auto"/>
                        <w:left w:val="none" w:sz="0" w:space="0" w:color="auto"/>
                        <w:bottom w:val="none" w:sz="0" w:space="0" w:color="auto"/>
                        <w:right w:val="none" w:sz="0" w:space="0" w:color="auto"/>
                      </w:divBdr>
                    </w:div>
                  </w:divsChild>
                </w:div>
                <w:div w:id="942687117">
                  <w:marLeft w:val="0"/>
                  <w:marRight w:val="0"/>
                  <w:marTop w:val="0"/>
                  <w:marBottom w:val="0"/>
                  <w:divBdr>
                    <w:top w:val="none" w:sz="0" w:space="0" w:color="auto"/>
                    <w:left w:val="none" w:sz="0" w:space="0" w:color="auto"/>
                    <w:bottom w:val="none" w:sz="0" w:space="0" w:color="auto"/>
                    <w:right w:val="none" w:sz="0" w:space="0" w:color="auto"/>
                  </w:divBdr>
                  <w:divsChild>
                    <w:div w:id="694119736">
                      <w:marLeft w:val="0"/>
                      <w:marRight w:val="0"/>
                      <w:marTop w:val="0"/>
                      <w:marBottom w:val="0"/>
                      <w:divBdr>
                        <w:top w:val="none" w:sz="0" w:space="0" w:color="auto"/>
                        <w:left w:val="none" w:sz="0" w:space="0" w:color="auto"/>
                        <w:bottom w:val="none" w:sz="0" w:space="0" w:color="auto"/>
                        <w:right w:val="none" w:sz="0" w:space="0" w:color="auto"/>
                      </w:divBdr>
                    </w:div>
                  </w:divsChild>
                </w:div>
                <w:div w:id="944384828">
                  <w:marLeft w:val="0"/>
                  <w:marRight w:val="0"/>
                  <w:marTop w:val="0"/>
                  <w:marBottom w:val="0"/>
                  <w:divBdr>
                    <w:top w:val="none" w:sz="0" w:space="0" w:color="auto"/>
                    <w:left w:val="none" w:sz="0" w:space="0" w:color="auto"/>
                    <w:bottom w:val="none" w:sz="0" w:space="0" w:color="auto"/>
                    <w:right w:val="none" w:sz="0" w:space="0" w:color="auto"/>
                  </w:divBdr>
                  <w:divsChild>
                    <w:div w:id="1996492946">
                      <w:marLeft w:val="0"/>
                      <w:marRight w:val="0"/>
                      <w:marTop w:val="0"/>
                      <w:marBottom w:val="0"/>
                      <w:divBdr>
                        <w:top w:val="none" w:sz="0" w:space="0" w:color="auto"/>
                        <w:left w:val="none" w:sz="0" w:space="0" w:color="auto"/>
                        <w:bottom w:val="none" w:sz="0" w:space="0" w:color="auto"/>
                        <w:right w:val="none" w:sz="0" w:space="0" w:color="auto"/>
                      </w:divBdr>
                    </w:div>
                  </w:divsChild>
                </w:div>
                <w:div w:id="948120259">
                  <w:marLeft w:val="0"/>
                  <w:marRight w:val="0"/>
                  <w:marTop w:val="0"/>
                  <w:marBottom w:val="0"/>
                  <w:divBdr>
                    <w:top w:val="none" w:sz="0" w:space="0" w:color="auto"/>
                    <w:left w:val="none" w:sz="0" w:space="0" w:color="auto"/>
                    <w:bottom w:val="none" w:sz="0" w:space="0" w:color="auto"/>
                    <w:right w:val="none" w:sz="0" w:space="0" w:color="auto"/>
                  </w:divBdr>
                  <w:divsChild>
                    <w:div w:id="10306733">
                      <w:marLeft w:val="0"/>
                      <w:marRight w:val="0"/>
                      <w:marTop w:val="0"/>
                      <w:marBottom w:val="0"/>
                      <w:divBdr>
                        <w:top w:val="none" w:sz="0" w:space="0" w:color="auto"/>
                        <w:left w:val="none" w:sz="0" w:space="0" w:color="auto"/>
                        <w:bottom w:val="none" w:sz="0" w:space="0" w:color="auto"/>
                        <w:right w:val="none" w:sz="0" w:space="0" w:color="auto"/>
                      </w:divBdr>
                    </w:div>
                  </w:divsChild>
                </w:div>
                <w:div w:id="958219575">
                  <w:marLeft w:val="0"/>
                  <w:marRight w:val="0"/>
                  <w:marTop w:val="0"/>
                  <w:marBottom w:val="0"/>
                  <w:divBdr>
                    <w:top w:val="none" w:sz="0" w:space="0" w:color="auto"/>
                    <w:left w:val="none" w:sz="0" w:space="0" w:color="auto"/>
                    <w:bottom w:val="none" w:sz="0" w:space="0" w:color="auto"/>
                    <w:right w:val="none" w:sz="0" w:space="0" w:color="auto"/>
                  </w:divBdr>
                  <w:divsChild>
                    <w:div w:id="301623625">
                      <w:marLeft w:val="0"/>
                      <w:marRight w:val="0"/>
                      <w:marTop w:val="0"/>
                      <w:marBottom w:val="0"/>
                      <w:divBdr>
                        <w:top w:val="none" w:sz="0" w:space="0" w:color="auto"/>
                        <w:left w:val="none" w:sz="0" w:space="0" w:color="auto"/>
                        <w:bottom w:val="none" w:sz="0" w:space="0" w:color="auto"/>
                        <w:right w:val="none" w:sz="0" w:space="0" w:color="auto"/>
                      </w:divBdr>
                    </w:div>
                  </w:divsChild>
                </w:div>
                <w:div w:id="960693481">
                  <w:marLeft w:val="0"/>
                  <w:marRight w:val="0"/>
                  <w:marTop w:val="0"/>
                  <w:marBottom w:val="0"/>
                  <w:divBdr>
                    <w:top w:val="none" w:sz="0" w:space="0" w:color="auto"/>
                    <w:left w:val="none" w:sz="0" w:space="0" w:color="auto"/>
                    <w:bottom w:val="none" w:sz="0" w:space="0" w:color="auto"/>
                    <w:right w:val="none" w:sz="0" w:space="0" w:color="auto"/>
                  </w:divBdr>
                  <w:divsChild>
                    <w:div w:id="2092844979">
                      <w:marLeft w:val="0"/>
                      <w:marRight w:val="0"/>
                      <w:marTop w:val="0"/>
                      <w:marBottom w:val="0"/>
                      <w:divBdr>
                        <w:top w:val="none" w:sz="0" w:space="0" w:color="auto"/>
                        <w:left w:val="none" w:sz="0" w:space="0" w:color="auto"/>
                        <w:bottom w:val="none" w:sz="0" w:space="0" w:color="auto"/>
                        <w:right w:val="none" w:sz="0" w:space="0" w:color="auto"/>
                      </w:divBdr>
                    </w:div>
                  </w:divsChild>
                </w:div>
                <w:div w:id="977952501">
                  <w:marLeft w:val="0"/>
                  <w:marRight w:val="0"/>
                  <w:marTop w:val="0"/>
                  <w:marBottom w:val="0"/>
                  <w:divBdr>
                    <w:top w:val="none" w:sz="0" w:space="0" w:color="auto"/>
                    <w:left w:val="none" w:sz="0" w:space="0" w:color="auto"/>
                    <w:bottom w:val="none" w:sz="0" w:space="0" w:color="auto"/>
                    <w:right w:val="none" w:sz="0" w:space="0" w:color="auto"/>
                  </w:divBdr>
                  <w:divsChild>
                    <w:div w:id="472335216">
                      <w:marLeft w:val="0"/>
                      <w:marRight w:val="0"/>
                      <w:marTop w:val="0"/>
                      <w:marBottom w:val="0"/>
                      <w:divBdr>
                        <w:top w:val="none" w:sz="0" w:space="0" w:color="auto"/>
                        <w:left w:val="none" w:sz="0" w:space="0" w:color="auto"/>
                        <w:bottom w:val="none" w:sz="0" w:space="0" w:color="auto"/>
                        <w:right w:val="none" w:sz="0" w:space="0" w:color="auto"/>
                      </w:divBdr>
                    </w:div>
                  </w:divsChild>
                </w:div>
                <w:div w:id="990405777">
                  <w:marLeft w:val="0"/>
                  <w:marRight w:val="0"/>
                  <w:marTop w:val="0"/>
                  <w:marBottom w:val="0"/>
                  <w:divBdr>
                    <w:top w:val="none" w:sz="0" w:space="0" w:color="auto"/>
                    <w:left w:val="none" w:sz="0" w:space="0" w:color="auto"/>
                    <w:bottom w:val="none" w:sz="0" w:space="0" w:color="auto"/>
                    <w:right w:val="none" w:sz="0" w:space="0" w:color="auto"/>
                  </w:divBdr>
                  <w:divsChild>
                    <w:div w:id="902453099">
                      <w:marLeft w:val="0"/>
                      <w:marRight w:val="0"/>
                      <w:marTop w:val="0"/>
                      <w:marBottom w:val="0"/>
                      <w:divBdr>
                        <w:top w:val="none" w:sz="0" w:space="0" w:color="auto"/>
                        <w:left w:val="none" w:sz="0" w:space="0" w:color="auto"/>
                        <w:bottom w:val="none" w:sz="0" w:space="0" w:color="auto"/>
                        <w:right w:val="none" w:sz="0" w:space="0" w:color="auto"/>
                      </w:divBdr>
                    </w:div>
                  </w:divsChild>
                </w:div>
                <w:div w:id="1027637144">
                  <w:marLeft w:val="0"/>
                  <w:marRight w:val="0"/>
                  <w:marTop w:val="0"/>
                  <w:marBottom w:val="0"/>
                  <w:divBdr>
                    <w:top w:val="none" w:sz="0" w:space="0" w:color="auto"/>
                    <w:left w:val="none" w:sz="0" w:space="0" w:color="auto"/>
                    <w:bottom w:val="none" w:sz="0" w:space="0" w:color="auto"/>
                    <w:right w:val="none" w:sz="0" w:space="0" w:color="auto"/>
                  </w:divBdr>
                  <w:divsChild>
                    <w:div w:id="736707240">
                      <w:marLeft w:val="0"/>
                      <w:marRight w:val="0"/>
                      <w:marTop w:val="0"/>
                      <w:marBottom w:val="0"/>
                      <w:divBdr>
                        <w:top w:val="none" w:sz="0" w:space="0" w:color="auto"/>
                        <w:left w:val="none" w:sz="0" w:space="0" w:color="auto"/>
                        <w:bottom w:val="none" w:sz="0" w:space="0" w:color="auto"/>
                        <w:right w:val="none" w:sz="0" w:space="0" w:color="auto"/>
                      </w:divBdr>
                    </w:div>
                  </w:divsChild>
                </w:div>
                <w:div w:id="1049574767">
                  <w:marLeft w:val="0"/>
                  <w:marRight w:val="0"/>
                  <w:marTop w:val="0"/>
                  <w:marBottom w:val="0"/>
                  <w:divBdr>
                    <w:top w:val="none" w:sz="0" w:space="0" w:color="auto"/>
                    <w:left w:val="none" w:sz="0" w:space="0" w:color="auto"/>
                    <w:bottom w:val="none" w:sz="0" w:space="0" w:color="auto"/>
                    <w:right w:val="none" w:sz="0" w:space="0" w:color="auto"/>
                  </w:divBdr>
                  <w:divsChild>
                    <w:div w:id="88158123">
                      <w:marLeft w:val="0"/>
                      <w:marRight w:val="0"/>
                      <w:marTop w:val="0"/>
                      <w:marBottom w:val="0"/>
                      <w:divBdr>
                        <w:top w:val="none" w:sz="0" w:space="0" w:color="auto"/>
                        <w:left w:val="none" w:sz="0" w:space="0" w:color="auto"/>
                        <w:bottom w:val="none" w:sz="0" w:space="0" w:color="auto"/>
                        <w:right w:val="none" w:sz="0" w:space="0" w:color="auto"/>
                      </w:divBdr>
                    </w:div>
                  </w:divsChild>
                </w:div>
                <w:div w:id="1062025214">
                  <w:marLeft w:val="0"/>
                  <w:marRight w:val="0"/>
                  <w:marTop w:val="0"/>
                  <w:marBottom w:val="0"/>
                  <w:divBdr>
                    <w:top w:val="none" w:sz="0" w:space="0" w:color="auto"/>
                    <w:left w:val="none" w:sz="0" w:space="0" w:color="auto"/>
                    <w:bottom w:val="none" w:sz="0" w:space="0" w:color="auto"/>
                    <w:right w:val="none" w:sz="0" w:space="0" w:color="auto"/>
                  </w:divBdr>
                  <w:divsChild>
                    <w:div w:id="38867420">
                      <w:marLeft w:val="0"/>
                      <w:marRight w:val="0"/>
                      <w:marTop w:val="0"/>
                      <w:marBottom w:val="0"/>
                      <w:divBdr>
                        <w:top w:val="none" w:sz="0" w:space="0" w:color="auto"/>
                        <w:left w:val="none" w:sz="0" w:space="0" w:color="auto"/>
                        <w:bottom w:val="none" w:sz="0" w:space="0" w:color="auto"/>
                        <w:right w:val="none" w:sz="0" w:space="0" w:color="auto"/>
                      </w:divBdr>
                    </w:div>
                  </w:divsChild>
                </w:div>
                <w:div w:id="1064984897">
                  <w:marLeft w:val="0"/>
                  <w:marRight w:val="0"/>
                  <w:marTop w:val="0"/>
                  <w:marBottom w:val="0"/>
                  <w:divBdr>
                    <w:top w:val="none" w:sz="0" w:space="0" w:color="auto"/>
                    <w:left w:val="none" w:sz="0" w:space="0" w:color="auto"/>
                    <w:bottom w:val="none" w:sz="0" w:space="0" w:color="auto"/>
                    <w:right w:val="none" w:sz="0" w:space="0" w:color="auto"/>
                  </w:divBdr>
                  <w:divsChild>
                    <w:div w:id="253511677">
                      <w:marLeft w:val="0"/>
                      <w:marRight w:val="0"/>
                      <w:marTop w:val="0"/>
                      <w:marBottom w:val="0"/>
                      <w:divBdr>
                        <w:top w:val="none" w:sz="0" w:space="0" w:color="auto"/>
                        <w:left w:val="none" w:sz="0" w:space="0" w:color="auto"/>
                        <w:bottom w:val="none" w:sz="0" w:space="0" w:color="auto"/>
                        <w:right w:val="none" w:sz="0" w:space="0" w:color="auto"/>
                      </w:divBdr>
                    </w:div>
                  </w:divsChild>
                </w:div>
                <w:div w:id="1069306055">
                  <w:marLeft w:val="0"/>
                  <w:marRight w:val="0"/>
                  <w:marTop w:val="0"/>
                  <w:marBottom w:val="0"/>
                  <w:divBdr>
                    <w:top w:val="none" w:sz="0" w:space="0" w:color="auto"/>
                    <w:left w:val="none" w:sz="0" w:space="0" w:color="auto"/>
                    <w:bottom w:val="none" w:sz="0" w:space="0" w:color="auto"/>
                    <w:right w:val="none" w:sz="0" w:space="0" w:color="auto"/>
                  </w:divBdr>
                  <w:divsChild>
                    <w:div w:id="594022456">
                      <w:marLeft w:val="0"/>
                      <w:marRight w:val="0"/>
                      <w:marTop w:val="0"/>
                      <w:marBottom w:val="0"/>
                      <w:divBdr>
                        <w:top w:val="none" w:sz="0" w:space="0" w:color="auto"/>
                        <w:left w:val="none" w:sz="0" w:space="0" w:color="auto"/>
                        <w:bottom w:val="none" w:sz="0" w:space="0" w:color="auto"/>
                        <w:right w:val="none" w:sz="0" w:space="0" w:color="auto"/>
                      </w:divBdr>
                    </w:div>
                  </w:divsChild>
                </w:div>
                <w:div w:id="1069884057">
                  <w:marLeft w:val="0"/>
                  <w:marRight w:val="0"/>
                  <w:marTop w:val="0"/>
                  <w:marBottom w:val="0"/>
                  <w:divBdr>
                    <w:top w:val="none" w:sz="0" w:space="0" w:color="auto"/>
                    <w:left w:val="none" w:sz="0" w:space="0" w:color="auto"/>
                    <w:bottom w:val="none" w:sz="0" w:space="0" w:color="auto"/>
                    <w:right w:val="none" w:sz="0" w:space="0" w:color="auto"/>
                  </w:divBdr>
                  <w:divsChild>
                    <w:div w:id="1335375223">
                      <w:marLeft w:val="0"/>
                      <w:marRight w:val="0"/>
                      <w:marTop w:val="0"/>
                      <w:marBottom w:val="0"/>
                      <w:divBdr>
                        <w:top w:val="none" w:sz="0" w:space="0" w:color="auto"/>
                        <w:left w:val="none" w:sz="0" w:space="0" w:color="auto"/>
                        <w:bottom w:val="none" w:sz="0" w:space="0" w:color="auto"/>
                        <w:right w:val="none" w:sz="0" w:space="0" w:color="auto"/>
                      </w:divBdr>
                    </w:div>
                  </w:divsChild>
                </w:div>
                <w:div w:id="1076052904">
                  <w:marLeft w:val="0"/>
                  <w:marRight w:val="0"/>
                  <w:marTop w:val="0"/>
                  <w:marBottom w:val="0"/>
                  <w:divBdr>
                    <w:top w:val="none" w:sz="0" w:space="0" w:color="auto"/>
                    <w:left w:val="none" w:sz="0" w:space="0" w:color="auto"/>
                    <w:bottom w:val="none" w:sz="0" w:space="0" w:color="auto"/>
                    <w:right w:val="none" w:sz="0" w:space="0" w:color="auto"/>
                  </w:divBdr>
                  <w:divsChild>
                    <w:div w:id="638001346">
                      <w:marLeft w:val="0"/>
                      <w:marRight w:val="0"/>
                      <w:marTop w:val="0"/>
                      <w:marBottom w:val="0"/>
                      <w:divBdr>
                        <w:top w:val="none" w:sz="0" w:space="0" w:color="auto"/>
                        <w:left w:val="none" w:sz="0" w:space="0" w:color="auto"/>
                        <w:bottom w:val="none" w:sz="0" w:space="0" w:color="auto"/>
                        <w:right w:val="none" w:sz="0" w:space="0" w:color="auto"/>
                      </w:divBdr>
                    </w:div>
                  </w:divsChild>
                </w:div>
                <w:div w:id="1082340791">
                  <w:marLeft w:val="0"/>
                  <w:marRight w:val="0"/>
                  <w:marTop w:val="0"/>
                  <w:marBottom w:val="0"/>
                  <w:divBdr>
                    <w:top w:val="none" w:sz="0" w:space="0" w:color="auto"/>
                    <w:left w:val="none" w:sz="0" w:space="0" w:color="auto"/>
                    <w:bottom w:val="none" w:sz="0" w:space="0" w:color="auto"/>
                    <w:right w:val="none" w:sz="0" w:space="0" w:color="auto"/>
                  </w:divBdr>
                  <w:divsChild>
                    <w:div w:id="309865300">
                      <w:marLeft w:val="0"/>
                      <w:marRight w:val="0"/>
                      <w:marTop w:val="0"/>
                      <w:marBottom w:val="0"/>
                      <w:divBdr>
                        <w:top w:val="none" w:sz="0" w:space="0" w:color="auto"/>
                        <w:left w:val="none" w:sz="0" w:space="0" w:color="auto"/>
                        <w:bottom w:val="none" w:sz="0" w:space="0" w:color="auto"/>
                        <w:right w:val="none" w:sz="0" w:space="0" w:color="auto"/>
                      </w:divBdr>
                    </w:div>
                  </w:divsChild>
                </w:div>
                <w:div w:id="1084834601">
                  <w:marLeft w:val="0"/>
                  <w:marRight w:val="0"/>
                  <w:marTop w:val="0"/>
                  <w:marBottom w:val="0"/>
                  <w:divBdr>
                    <w:top w:val="none" w:sz="0" w:space="0" w:color="auto"/>
                    <w:left w:val="none" w:sz="0" w:space="0" w:color="auto"/>
                    <w:bottom w:val="none" w:sz="0" w:space="0" w:color="auto"/>
                    <w:right w:val="none" w:sz="0" w:space="0" w:color="auto"/>
                  </w:divBdr>
                  <w:divsChild>
                    <w:div w:id="1338463563">
                      <w:marLeft w:val="0"/>
                      <w:marRight w:val="0"/>
                      <w:marTop w:val="0"/>
                      <w:marBottom w:val="0"/>
                      <w:divBdr>
                        <w:top w:val="none" w:sz="0" w:space="0" w:color="auto"/>
                        <w:left w:val="none" w:sz="0" w:space="0" w:color="auto"/>
                        <w:bottom w:val="none" w:sz="0" w:space="0" w:color="auto"/>
                        <w:right w:val="none" w:sz="0" w:space="0" w:color="auto"/>
                      </w:divBdr>
                    </w:div>
                  </w:divsChild>
                </w:div>
                <w:div w:id="1089616056">
                  <w:marLeft w:val="0"/>
                  <w:marRight w:val="0"/>
                  <w:marTop w:val="0"/>
                  <w:marBottom w:val="0"/>
                  <w:divBdr>
                    <w:top w:val="none" w:sz="0" w:space="0" w:color="auto"/>
                    <w:left w:val="none" w:sz="0" w:space="0" w:color="auto"/>
                    <w:bottom w:val="none" w:sz="0" w:space="0" w:color="auto"/>
                    <w:right w:val="none" w:sz="0" w:space="0" w:color="auto"/>
                  </w:divBdr>
                  <w:divsChild>
                    <w:div w:id="1056050602">
                      <w:marLeft w:val="0"/>
                      <w:marRight w:val="0"/>
                      <w:marTop w:val="0"/>
                      <w:marBottom w:val="0"/>
                      <w:divBdr>
                        <w:top w:val="none" w:sz="0" w:space="0" w:color="auto"/>
                        <w:left w:val="none" w:sz="0" w:space="0" w:color="auto"/>
                        <w:bottom w:val="none" w:sz="0" w:space="0" w:color="auto"/>
                        <w:right w:val="none" w:sz="0" w:space="0" w:color="auto"/>
                      </w:divBdr>
                    </w:div>
                  </w:divsChild>
                </w:div>
                <w:div w:id="1091849881">
                  <w:marLeft w:val="0"/>
                  <w:marRight w:val="0"/>
                  <w:marTop w:val="0"/>
                  <w:marBottom w:val="0"/>
                  <w:divBdr>
                    <w:top w:val="none" w:sz="0" w:space="0" w:color="auto"/>
                    <w:left w:val="none" w:sz="0" w:space="0" w:color="auto"/>
                    <w:bottom w:val="none" w:sz="0" w:space="0" w:color="auto"/>
                    <w:right w:val="none" w:sz="0" w:space="0" w:color="auto"/>
                  </w:divBdr>
                  <w:divsChild>
                    <w:div w:id="11229172">
                      <w:marLeft w:val="0"/>
                      <w:marRight w:val="0"/>
                      <w:marTop w:val="0"/>
                      <w:marBottom w:val="0"/>
                      <w:divBdr>
                        <w:top w:val="none" w:sz="0" w:space="0" w:color="auto"/>
                        <w:left w:val="none" w:sz="0" w:space="0" w:color="auto"/>
                        <w:bottom w:val="none" w:sz="0" w:space="0" w:color="auto"/>
                        <w:right w:val="none" w:sz="0" w:space="0" w:color="auto"/>
                      </w:divBdr>
                    </w:div>
                  </w:divsChild>
                </w:div>
                <w:div w:id="1099059448">
                  <w:marLeft w:val="0"/>
                  <w:marRight w:val="0"/>
                  <w:marTop w:val="0"/>
                  <w:marBottom w:val="0"/>
                  <w:divBdr>
                    <w:top w:val="none" w:sz="0" w:space="0" w:color="auto"/>
                    <w:left w:val="none" w:sz="0" w:space="0" w:color="auto"/>
                    <w:bottom w:val="none" w:sz="0" w:space="0" w:color="auto"/>
                    <w:right w:val="none" w:sz="0" w:space="0" w:color="auto"/>
                  </w:divBdr>
                  <w:divsChild>
                    <w:div w:id="1762219486">
                      <w:marLeft w:val="0"/>
                      <w:marRight w:val="0"/>
                      <w:marTop w:val="0"/>
                      <w:marBottom w:val="0"/>
                      <w:divBdr>
                        <w:top w:val="none" w:sz="0" w:space="0" w:color="auto"/>
                        <w:left w:val="none" w:sz="0" w:space="0" w:color="auto"/>
                        <w:bottom w:val="none" w:sz="0" w:space="0" w:color="auto"/>
                        <w:right w:val="none" w:sz="0" w:space="0" w:color="auto"/>
                      </w:divBdr>
                    </w:div>
                  </w:divsChild>
                </w:div>
                <w:div w:id="1099905965">
                  <w:marLeft w:val="0"/>
                  <w:marRight w:val="0"/>
                  <w:marTop w:val="0"/>
                  <w:marBottom w:val="0"/>
                  <w:divBdr>
                    <w:top w:val="none" w:sz="0" w:space="0" w:color="auto"/>
                    <w:left w:val="none" w:sz="0" w:space="0" w:color="auto"/>
                    <w:bottom w:val="none" w:sz="0" w:space="0" w:color="auto"/>
                    <w:right w:val="none" w:sz="0" w:space="0" w:color="auto"/>
                  </w:divBdr>
                  <w:divsChild>
                    <w:div w:id="1762945567">
                      <w:marLeft w:val="0"/>
                      <w:marRight w:val="0"/>
                      <w:marTop w:val="0"/>
                      <w:marBottom w:val="0"/>
                      <w:divBdr>
                        <w:top w:val="none" w:sz="0" w:space="0" w:color="auto"/>
                        <w:left w:val="none" w:sz="0" w:space="0" w:color="auto"/>
                        <w:bottom w:val="none" w:sz="0" w:space="0" w:color="auto"/>
                        <w:right w:val="none" w:sz="0" w:space="0" w:color="auto"/>
                      </w:divBdr>
                    </w:div>
                  </w:divsChild>
                </w:div>
                <w:div w:id="1112284661">
                  <w:marLeft w:val="0"/>
                  <w:marRight w:val="0"/>
                  <w:marTop w:val="0"/>
                  <w:marBottom w:val="0"/>
                  <w:divBdr>
                    <w:top w:val="none" w:sz="0" w:space="0" w:color="auto"/>
                    <w:left w:val="none" w:sz="0" w:space="0" w:color="auto"/>
                    <w:bottom w:val="none" w:sz="0" w:space="0" w:color="auto"/>
                    <w:right w:val="none" w:sz="0" w:space="0" w:color="auto"/>
                  </w:divBdr>
                  <w:divsChild>
                    <w:div w:id="1642736334">
                      <w:marLeft w:val="0"/>
                      <w:marRight w:val="0"/>
                      <w:marTop w:val="0"/>
                      <w:marBottom w:val="0"/>
                      <w:divBdr>
                        <w:top w:val="none" w:sz="0" w:space="0" w:color="auto"/>
                        <w:left w:val="none" w:sz="0" w:space="0" w:color="auto"/>
                        <w:bottom w:val="none" w:sz="0" w:space="0" w:color="auto"/>
                        <w:right w:val="none" w:sz="0" w:space="0" w:color="auto"/>
                      </w:divBdr>
                    </w:div>
                  </w:divsChild>
                </w:div>
                <w:div w:id="1121925240">
                  <w:marLeft w:val="0"/>
                  <w:marRight w:val="0"/>
                  <w:marTop w:val="0"/>
                  <w:marBottom w:val="0"/>
                  <w:divBdr>
                    <w:top w:val="none" w:sz="0" w:space="0" w:color="auto"/>
                    <w:left w:val="none" w:sz="0" w:space="0" w:color="auto"/>
                    <w:bottom w:val="none" w:sz="0" w:space="0" w:color="auto"/>
                    <w:right w:val="none" w:sz="0" w:space="0" w:color="auto"/>
                  </w:divBdr>
                  <w:divsChild>
                    <w:div w:id="263267816">
                      <w:marLeft w:val="0"/>
                      <w:marRight w:val="0"/>
                      <w:marTop w:val="0"/>
                      <w:marBottom w:val="0"/>
                      <w:divBdr>
                        <w:top w:val="none" w:sz="0" w:space="0" w:color="auto"/>
                        <w:left w:val="none" w:sz="0" w:space="0" w:color="auto"/>
                        <w:bottom w:val="none" w:sz="0" w:space="0" w:color="auto"/>
                        <w:right w:val="none" w:sz="0" w:space="0" w:color="auto"/>
                      </w:divBdr>
                    </w:div>
                  </w:divsChild>
                </w:div>
                <w:div w:id="1137992003">
                  <w:marLeft w:val="0"/>
                  <w:marRight w:val="0"/>
                  <w:marTop w:val="0"/>
                  <w:marBottom w:val="0"/>
                  <w:divBdr>
                    <w:top w:val="none" w:sz="0" w:space="0" w:color="auto"/>
                    <w:left w:val="none" w:sz="0" w:space="0" w:color="auto"/>
                    <w:bottom w:val="none" w:sz="0" w:space="0" w:color="auto"/>
                    <w:right w:val="none" w:sz="0" w:space="0" w:color="auto"/>
                  </w:divBdr>
                  <w:divsChild>
                    <w:div w:id="1727409984">
                      <w:marLeft w:val="0"/>
                      <w:marRight w:val="0"/>
                      <w:marTop w:val="0"/>
                      <w:marBottom w:val="0"/>
                      <w:divBdr>
                        <w:top w:val="none" w:sz="0" w:space="0" w:color="auto"/>
                        <w:left w:val="none" w:sz="0" w:space="0" w:color="auto"/>
                        <w:bottom w:val="none" w:sz="0" w:space="0" w:color="auto"/>
                        <w:right w:val="none" w:sz="0" w:space="0" w:color="auto"/>
                      </w:divBdr>
                    </w:div>
                  </w:divsChild>
                </w:div>
                <w:div w:id="1144814119">
                  <w:marLeft w:val="0"/>
                  <w:marRight w:val="0"/>
                  <w:marTop w:val="0"/>
                  <w:marBottom w:val="0"/>
                  <w:divBdr>
                    <w:top w:val="none" w:sz="0" w:space="0" w:color="auto"/>
                    <w:left w:val="none" w:sz="0" w:space="0" w:color="auto"/>
                    <w:bottom w:val="none" w:sz="0" w:space="0" w:color="auto"/>
                    <w:right w:val="none" w:sz="0" w:space="0" w:color="auto"/>
                  </w:divBdr>
                  <w:divsChild>
                    <w:div w:id="269245311">
                      <w:marLeft w:val="0"/>
                      <w:marRight w:val="0"/>
                      <w:marTop w:val="0"/>
                      <w:marBottom w:val="0"/>
                      <w:divBdr>
                        <w:top w:val="none" w:sz="0" w:space="0" w:color="auto"/>
                        <w:left w:val="none" w:sz="0" w:space="0" w:color="auto"/>
                        <w:bottom w:val="none" w:sz="0" w:space="0" w:color="auto"/>
                        <w:right w:val="none" w:sz="0" w:space="0" w:color="auto"/>
                      </w:divBdr>
                    </w:div>
                  </w:divsChild>
                </w:div>
                <w:div w:id="1154951218">
                  <w:marLeft w:val="0"/>
                  <w:marRight w:val="0"/>
                  <w:marTop w:val="0"/>
                  <w:marBottom w:val="0"/>
                  <w:divBdr>
                    <w:top w:val="none" w:sz="0" w:space="0" w:color="auto"/>
                    <w:left w:val="none" w:sz="0" w:space="0" w:color="auto"/>
                    <w:bottom w:val="none" w:sz="0" w:space="0" w:color="auto"/>
                    <w:right w:val="none" w:sz="0" w:space="0" w:color="auto"/>
                  </w:divBdr>
                  <w:divsChild>
                    <w:div w:id="1585915355">
                      <w:marLeft w:val="0"/>
                      <w:marRight w:val="0"/>
                      <w:marTop w:val="0"/>
                      <w:marBottom w:val="0"/>
                      <w:divBdr>
                        <w:top w:val="none" w:sz="0" w:space="0" w:color="auto"/>
                        <w:left w:val="none" w:sz="0" w:space="0" w:color="auto"/>
                        <w:bottom w:val="none" w:sz="0" w:space="0" w:color="auto"/>
                        <w:right w:val="none" w:sz="0" w:space="0" w:color="auto"/>
                      </w:divBdr>
                    </w:div>
                  </w:divsChild>
                </w:div>
                <w:div w:id="1160970506">
                  <w:marLeft w:val="0"/>
                  <w:marRight w:val="0"/>
                  <w:marTop w:val="0"/>
                  <w:marBottom w:val="0"/>
                  <w:divBdr>
                    <w:top w:val="none" w:sz="0" w:space="0" w:color="auto"/>
                    <w:left w:val="none" w:sz="0" w:space="0" w:color="auto"/>
                    <w:bottom w:val="none" w:sz="0" w:space="0" w:color="auto"/>
                    <w:right w:val="none" w:sz="0" w:space="0" w:color="auto"/>
                  </w:divBdr>
                  <w:divsChild>
                    <w:div w:id="1272787343">
                      <w:marLeft w:val="0"/>
                      <w:marRight w:val="0"/>
                      <w:marTop w:val="0"/>
                      <w:marBottom w:val="0"/>
                      <w:divBdr>
                        <w:top w:val="none" w:sz="0" w:space="0" w:color="auto"/>
                        <w:left w:val="none" w:sz="0" w:space="0" w:color="auto"/>
                        <w:bottom w:val="none" w:sz="0" w:space="0" w:color="auto"/>
                        <w:right w:val="none" w:sz="0" w:space="0" w:color="auto"/>
                      </w:divBdr>
                    </w:div>
                  </w:divsChild>
                </w:div>
                <w:div w:id="1162281813">
                  <w:marLeft w:val="0"/>
                  <w:marRight w:val="0"/>
                  <w:marTop w:val="0"/>
                  <w:marBottom w:val="0"/>
                  <w:divBdr>
                    <w:top w:val="none" w:sz="0" w:space="0" w:color="auto"/>
                    <w:left w:val="none" w:sz="0" w:space="0" w:color="auto"/>
                    <w:bottom w:val="none" w:sz="0" w:space="0" w:color="auto"/>
                    <w:right w:val="none" w:sz="0" w:space="0" w:color="auto"/>
                  </w:divBdr>
                  <w:divsChild>
                    <w:div w:id="2021542609">
                      <w:marLeft w:val="0"/>
                      <w:marRight w:val="0"/>
                      <w:marTop w:val="0"/>
                      <w:marBottom w:val="0"/>
                      <w:divBdr>
                        <w:top w:val="none" w:sz="0" w:space="0" w:color="auto"/>
                        <w:left w:val="none" w:sz="0" w:space="0" w:color="auto"/>
                        <w:bottom w:val="none" w:sz="0" w:space="0" w:color="auto"/>
                        <w:right w:val="none" w:sz="0" w:space="0" w:color="auto"/>
                      </w:divBdr>
                    </w:div>
                  </w:divsChild>
                </w:div>
                <w:div w:id="1177772119">
                  <w:marLeft w:val="0"/>
                  <w:marRight w:val="0"/>
                  <w:marTop w:val="0"/>
                  <w:marBottom w:val="0"/>
                  <w:divBdr>
                    <w:top w:val="none" w:sz="0" w:space="0" w:color="auto"/>
                    <w:left w:val="none" w:sz="0" w:space="0" w:color="auto"/>
                    <w:bottom w:val="none" w:sz="0" w:space="0" w:color="auto"/>
                    <w:right w:val="none" w:sz="0" w:space="0" w:color="auto"/>
                  </w:divBdr>
                  <w:divsChild>
                    <w:div w:id="723024214">
                      <w:marLeft w:val="0"/>
                      <w:marRight w:val="0"/>
                      <w:marTop w:val="0"/>
                      <w:marBottom w:val="0"/>
                      <w:divBdr>
                        <w:top w:val="none" w:sz="0" w:space="0" w:color="auto"/>
                        <w:left w:val="none" w:sz="0" w:space="0" w:color="auto"/>
                        <w:bottom w:val="none" w:sz="0" w:space="0" w:color="auto"/>
                        <w:right w:val="none" w:sz="0" w:space="0" w:color="auto"/>
                      </w:divBdr>
                    </w:div>
                    <w:div w:id="2081438599">
                      <w:marLeft w:val="0"/>
                      <w:marRight w:val="0"/>
                      <w:marTop w:val="0"/>
                      <w:marBottom w:val="0"/>
                      <w:divBdr>
                        <w:top w:val="none" w:sz="0" w:space="0" w:color="auto"/>
                        <w:left w:val="none" w:sz="0" w:space="0" w:color="auto"/>
                        <w:bottom w:val="none" w:sz="0" w:space="0" w:color="auto"/>
                        <w:right w:val="none" w:sz="0" w:space="0" w:color="auto"/>
                      </w:divBdr>
                    </w:div>
                  </w:divsChild>
                </w:div>
                <w:div w:id="1194735089">
                  <w:marLeft w:val="0"/>
                  <w:marRight w:val="0"/>
                  <w:marTop w:val="0"/>
                  <w:marBottom w:val="0"/>
                  <w:divBdr>
                    <w:top w:val="none" w:sz="0" w:space="0" w:color="auto"/>
                    <w:left w:val="none" w:sz="0" w:space="0" w:color="auto"/>
                    <w:bottom w:val="none" w:sz="0" w:space="0" w:color="auto"/>
                    <w:right w:val="none" w:sz="0" w:space="0" w:color="auto"/>
                  </w:divBdr>
                  <w:divsChild>
                    <w:div w:id="1284847792">
                      <w:marLeft w:val="0"/>
                      <w:marRight w:val="0"/>
                      <w:marTop w:val="0"/>
                      <w:marBottom w:val="0"/>
                      <w:divBdr>
                        <w:top w:val="none" w:sz="0" w:space="0" w:color="auto"/>
                        <w:left w:val="none" w:sz="0" w:space="0" w:color="auto"/>
                        <w:bottom w:val="none" w:sz="0" w:space="0" w:color="auto"/>
                        <w:right w:val="none" w:sz="0" w:space="0" w:color="auto"/>
                      </w:divBdr>
                    </w:div>
                  </w:divsChild>
                </w:div>
                <w:div w:id="1202937164">
                  <w:marLeft w:val="0"/>
                  <w:marRight w:val="0"/>
                  <w:marTop w:val="0"/>
                  <w:marBottom w:val="0"/>
                  <w:divBdr>
                    <w:top w:val="none" w:sz="0" w:space="0" w:color="auto"/>
                    <w:left w:val="none" w:sz="0" w:space="0" w:color="auto"/>
                    <w:bottom w:val="none" w:sz="0" w:space="0" w:color="auto"/>
                    <w:right w:val="none" w:sz="0" w:space="0" w:color="auto"/>
                  </w:divBdr>
                  <w:divsChild>
                    <w:div w:id="1859735136">
                      <w:marLeft w:val="0"/>
                      <w:marRight w:val="0"/>
                      <w:marTop w:val="0"/>
                      <w:marBottom w:val="0"/>
                      <w:divBdr>
                        <w:top w:val="none" w:sz="0" w:space="0" w:color="auto"/>
                        <w:left w:val="none" w:sz="0" w:space="0" w:color="auto"/>
                        <w:bottom w:val="none" w:sz="0" w:space="0" w:color="auto"/>
                        <w:right w:val="none" w:sz="0" w:space="0" w:color="auto"/>
                      </w:divBdr>
                    </w:div>
                  </w:divsChild>
                </w:div>
                <w:div w:id="1206943216">
                  <w:marLeft w:val="0"/>
                  <w:marRight w:val="0"/>
                  <w:marTop w:val="0"/>
                  <w:marBottom w:val="0"/>
                  <w:divBdr>
                    <w:top w:val="none" w:sz="0" w:space="0" w:color="auto"/>
                    <w:left w:val="none" w:sz="0" w:space="0" w:color="auto"/>
                    <w:bottom w:val="none" w:sz="0" w:space="0" w:color="auto"/>
                    <w:right w:val="none" w:sz="0" w:space="0" w:color="auto"/>
                  </w:divBdr>
                  <w:divsChild>
                    <w:div w:id="1707295801">
                      <w:marLeft w:val="0"/>
                      <w:marRight w:val="0"/>
                      <w:marTop w:val="0"/>
                      <w:marBottom w:val="0"/>
                      <w:divBdr>
                        <w:top w:val="none" w:sz="0" w:space="0" w:color="auto"/>
                        <w:left w:val="none" w:sz="0" w:space="0" w:color="auto"/>
                        <w:bottom w:val="none" w:sz="0" w:space="0" w:color="auto"/>
                        <w:right w:val="none" w:sz="0" w:space="0" w:color="auto"/>
                      </w:divBdr>
                    </w:div>
                  </w:divsChild>
                </w:div>
                <w:div w:id="1214997261">
                  <w:marLeft w:val="0"/>
                  <w:marRight w:val="0"/>
                  <w:marTop w:val="0"/>
                  <w:marBottom w:val="0"/>
                  <w:divBdr>
                    <w:top w:val="none" w:sz="0" w:space="0" w:color="auto"/>
                    <w:left w:val="none" w:sz="0" w:space="0" w:color="auto"/>
                    <w:bottom w:val="none" w:sz="0" w:space="0" w:color="auto"/>
                    <w:right w:val="none" w:sz="0" w:space="0" w:color="auto"/>
                  </w:divBdr>
                  <w:divsChild>
                    <w:div w:id="824934010">
                      <w:marLeft w:val="0"/>
                      <w:marRight w:val="0"/>
                      <w:marTop w:val="0"/>
                      <w:marBottom w:val="0"/>
                      <w:divBdr>
                        <w:top w:val="none" w:sz="0" w:space="0" w:color="auto"/>
                        <w:left w:val="none" w:sz="0" w:space="0" w:color="auto"/>
                        <w:bottom w:val="none" w:sz="0" w:space="0" w:color="auto"/>
                        <w:right w:val="none" w:sz="0" w:space="0" w:color="auto"/>
                      </w:divBdr>
                    </w:div>
                  </w:divsChild>
                </w:div>
                <w:div w:id="1229729462">
                  <w:marLeft w:val="0"/>
                  <w:marRight w:val="0"/>
                  <w:marTop w:val="0"/>
                  <w:marBottom w:val="0"/>
                  <w:divBdr>
                    <w:top w:val="none" w:sz="0" w:space="0" w:color="auto"/>
                    <w:left w:val="none" w:sz="0" w:space="0" w:color="auto"/>
                    <w:bottom w:val="none" w:sz="0" w:space="0" w:color="auto"/>
                    <w:right w:val="none" w:sz="0" w:space="0" w:color="auto"/>
                  </w:divBdr>
                  <w:divsChild>
                    <w:div w:id="1414938904">
                      <w:marLeft w:val="0"/>
                      <w:marRight w:val="0"/>
                      <w:marTop w:val="0"/>
                      <w:marBottom w:val="0"/>
                      <w:divBdr>
                        <w:top w:val="none" w:sz="0" w:space="0" w:color="auto"/>
                        <w:left w:val="none" w:sz="0" w:space="0" w:color="auto"/>
                        <w:bottom w:val="none" w:sz="0" w:space="0" w:color="auto"/>
                        <w:right w:val="none" w:sz="0" w:space="0" w:color="auto"/>
                      </w:divBdr>
                    </w:div>
                  </w:divsChild>
                </w:div>
                <w:div w:id="1231767497">
                  <w:marLeft w:val="0"/>
                  <w:marRight w:val="0"/>
                  <w:marTop w:val="0"/>
                  <w:marBottom w:val="0"/>
                  <w:divBdr>
                    <w:top w:val="none" w:sz="0" w:space="0" w:color="auto"/>
                    <w:left w:val="none" w:sz="0" w:space="0" w:color="auto"/>
                    <w:bottom w:val="none" w:sz="0" w:space="0" w:color="auto"/>
                    <w:right w:val="none" w:sz="0" w:space="0" w:color="auto"/>
                  </w:divBdr>
                  <w:divsChild>
                    <w:div w:id="1069310091">
                      <w:marLeft w:val="0"/>
                      <w:marRight w:val="0"/>
                      <w:marTop w:val="0"/>
                      <w:marBottom w:val="0"/>
                      <w:divBdr>
                        <w:top w:val="none" w:sz="0" w:space="0" w:color="auto"/>
                        <w:left w:val="none" w:sz="0" w:space="0" w:color="auto"/>
                        <w:bottom w:val="none" w:sz="0" w:space="0" w:color="auto"/>
                        <w:right w:val="none" w:sz="0" w:space="0" w:color="auto"/>
                      </w:divBdr>
                    </w:div>
                  </w:divsChild>
                </w:div>
                <w:div w:id="1235816675">
                  <w:marLeft w:val="0"/>
                  <w:marRight w:val="0"/>
                  <w:marTop w:val="0"/>
                  <w:marBottom w:val="0"/>
                  <w:divBdr>
                    <w:top w:val="none" w:sz="0" w:space="0" w:color="auto"/>
                    <w:left w:val="none" w:sz="0" w:space="0" w:color="auto"/>
                    <w:bottom w:val="none" w:sz="0" w:space="0" w:color="auto"/>
                    <w:right w:val="none" w:sz="0" w:space="0" w:color="auto"/>
                  </w:divBdr>
                  <w:divsChild>
                    <w:div w:id="1986932841">
                      <w:marLeft w:val="0"/>
                      <w:marRight w:val="0"/>
                      <w:marTop w:val="0"/>
                      <w:marBottom w:val="0"/>
                      <w:divBdr>
                        <w:top w:val="none" w:sz="0" w:space="0" w:color="auto"/>
                        <w:left w:val="none" w:sz="0" w:space="0" w:color="auto"/>
                        <w:bottom w:val="none" w:sz="0" w:space="0" w:color="auto"/>
                        <w:right w:val="none" w:sz="0" w:space="0" w:color="auto"/>
                      </w:divBdr>
                    </w:div>
                  </w:divsChild>
                </w:div>
                <w:div w:id="1237864087">
                  <w:marLeft w:val="0"/>
                  <w:marRight w:val="0"/>
                  <w:marTop w:val="0"/>
                  <w:marBottom w:val="0"/>
                  <w:divBdr>
                    <w:top w:val="none" w:sz="0" w:space="0" w:color="auto"/>
                    <w:left w:val="none" w:sz="0" w:space="0" w:color="auto"/>
                    <w:bottom w:val="none" w:sz="0" w:space="0" w:color="auto"/>
                    <w:right w:val="none" w:sz="0" w:space="0" w:color="auto"/>
                  </w:divBdr>
                  <w:divsChild>
                    <w:div w:id="303395917">
                      <w:marLeft w:val="0"/>
                      <w:marRight w:val="0"/>
                      <w:marTop w:val="0"/>
                      <w:marBottom w:val="0"/>
                      <w:divBdr>
                        <w:top w:val="none" w:sz="0" w:space="0" w:color="auto"/>
                        <w:left w:val="none" w:sz="0" w:space="0" w:color="auto"/>
                        <w:bottom w:val="none" w:sz="0" w:space="0" w:color="auto"/>
                        <w:right w:val="none" w:sz="0" w:space="0" w:color="auto"/>
                      </w:divBdr>
                    </w:div>
                  </w:divsChild>
                </w:div>
                <w:div w:id="1263802529">
                  <w:marLeft w:val="0"/>
                  <w:marRight w:val="0"/>
                  <w:marTop w:val="0"/>
                  <w:marBottom w:val="0"/>
                  <w:divBdr>
                    <w:top w:val="none" w:sz="0" w:space="0" w:color="auto"/>
                    <w:left w:val="none" w:sz="0" w:space="0" w:color="auto"/>
                    <w:bottom w:val="none" w:sz="0" w:space="0" w:color="auto"/>
                    <w:right w:val="none" w:sz="0" w:space="0" w:color="auto"/>
                  </w:divBdr>
                  <w:divsChild>
                    <w:div w:id="1825857745">
                      <w:marLeft w:val="0"/>
                      <w:marRight w:val="0"/>
                      <w:marTop w:val="0"/>
                      <w:marBottom w:val="0"/>
                      <w:divBdr>
                        <w:top w:val="none" w:sz="0" w:space="0" w:color="auto"/>
                        <w:left w:val="none" w:sz="0" w:space="0" w:color="auto"/>
                        <w:bottom w:val="none" w:sz="0" w:space="0" w:color="auto"/>
                        <w:right w:val="none" w:sz="0" w:space="0" w:color="auto"/>
                      </w:divBdr>
                    </w:div>
                  </w:divsChild>
                </w:div>
                <w:div w:id="1271619327">
                  <w:marLeft w:val="0"/>
                  <w:marRight w:val="0"/>
                  <w:marTop w:val="0"/>
                  <w:marBottom w:val="0"/>
                  <w:divBdr>
                    <w:top w:val="none" w:sz="0" w:space="0" w:color="auto"/>
                    <w:left w:val="none" w:sz="0" w:space="0" w:color="auto"/>
                    <w:bottom w:val="none" w:sz="0" w:space="0" w:color="auto"/>
                    <w:right w:val="none" w:sz="0" w:space="0" w:color="auto"/>
                  </w:divBdr>
                  <w:divsChild>
                    <w:div w:id="737900334">
                      <w:marLeft w:val="0"/>
                      <w:marRight w:val="0"/>
                      <w:marTop w:val="0"/>
                      <w:marBottom w:val="0"/>
                      <w:divBdr>
                        <w:top w:val="none" w:sz="0" w:space="0" w:color="auto"/>
                        <w:left w:val="none" w:sz="0" w:space="0" w:color="auto"/>
                        <w:bottom w:val="none" w:sz="0" w:space="0" w:color="auto"/>
                        <w:right w:val="none" w:sz="0" w:space="0" w:color="auto"/>
                      </w:divBdr>
                    </w:div>
                  </w:divsChild>
                </w:div>
                <w:div w:id="1278559903">
                  <w:marLeft w:val="0"/>
                  <w:marRight w:val="0"/>
                  <w:marTop w:val="0"/>
                  <w:marBottom w:val="0"/>
                  <w:divBdr>
                    <w:top w:val="none" w:sz="0" w:space="0" w:color="auto"/>
                    <w:left w:val="none" w:sz="0" w:space="0" w:color="auto"/>
                    <w:bottom w:val="none" w:sz="0" w:space="0" w:color="auto"/>
                    <w:right w:val="none" w:sz="0" w:space="0" w:color="auto"/>
                  </w:divBdr>
                  <w:divsChild>
                    <w:div w:id="1973096891">
                      <w:marLeft w:val="0"/>
                      <w:marRight w:val="0"/>
                      <w:marTop w:val="0"/>
                      <w:marBottom w:val="0"/>
                      <w:divBdr>
                        <w:top w:val="none" w:sz="0" w:space="0" w:color="auto"/>
                        <w:left w:val="none" w:sz="0" w:space="0" w:color="auto"/>
                        <w:bottom w:val="none" w:sz="0" w:space="0" w:color="auto"/>
                        <w:right w:val="none" w:sz="0" w:space="0" w:color="auto"/>
                      </w:divBdr>
                    </w:div>
                  </w:divsChild>
                </w:div>
                <w:div w:id="1283070098">
                  <w:marLeft w:val="0"/>
                  <w:marRight w:val="0"/>
                  <w:marTop w:val="0"/>
                  <w:marBottom w:val="0"/>
                  <w:divBdr>
                    <w:top w:val="none" w:sz="0" w:space="0" w:color="auto"/>
                    <w:left w:val="none" w:sz="0" w:space="0" w:color="auto"/>
                    <w:bottom w:val="none" w:sz="0" w:space="0" w:color="auto"/>
                    <w:right w:val="none" w:sz="0" w:space="0" w:color="auto"/>
                  </w:divBdr>
                  <w:divsChild>
                    <w:div w:id="553977551">
                      <w:marLeft w:val="0"/>
                      <w:marRight w:val="0"/>
                      <w:marTop w:val="0"/>
                      <w:marBottom w:val="0"/>
                      <w:divBdr>
                        <w:top w:val="none" w:sz="0" w:space="0" w:color="auto"/>
                        <w:left w:val="none" w:sz="0" w:space="0" w:color="auto"/>
                        <w:bottom w:val="none" w:sz="0" w:space="0" w:color="auto"/>
                        <w:right w:val="none" w:sz="0" w:space="0" w:color="auto"/>
                      </w:divBdr>
                    </w:div>
                  </w:divsChild>
                </w:div>
                <w:div w:id="1297183287">
                  <w:marLeft w:val="0"/>
                  <w:marRight w:val="0"/>
                  <w:marTop w:val="0"/>
                  <w:marBottom w:val="0"/>
                  <w:divBdr>
                    <w:top w:val="none" w:sz="0" w:space="0" w:color="auto"/>
                    <w:left w:val="none" w:sz="0" w:space="0" w:color="auto"/>
                    <w:bottom w:val="none" w:sz="0" w:space="0" w:color="auto"/>
                    <w:right w:val="none" w:sz="0" w:space="0" w:color="auto"/>
                  </w:divBdr>
                  <w:divsChild>
                    <w:div w:id="1907839651">
                      <w:marLeft w:val="0"/>
                      <w:marRight w:val="0"/>
                      <w:marTop w:val="0"/>
                      <w:marBottom w:val="0"/>
                      <w:divBdr>
                        <w:top w:val="none" w:sz="0" w:space="0" w:color="auto"/>
                        <w:left w:val="none" w:sz="0" w:space="0" w:color="auto"/>
                        <w:bottom w:val="none" w:sz="0" w:space="0" w:color="auto"/>
                        <w:right w:val="none" w:sz="0" w:space="0" w:color="auto"/>
                      </w:divBdr>
                    </w:div>
                  </w:divsChild>
                </w:div>
                <w:div w:id="1299646291">
                  <w:marLeft w:val="0"/>
                  <w:marRight w:val="0"/>
                  <w:marTop w:val="0"/>
                  <w:marBottom w:val="0"/>
                  <w:divBdr>
                    <w:top w:val="none" w:sz="0" w:space="0" w:color="auto"/>
                    <w:left w:val="none" w:sz="0" w:space="0" w:color="auto"/>
                    <w:bottom w:val="none" w:sz="0" w:space="0" w:color="auto"/>
                    <w:right w:val="none" w:sz="0" w:space="0" w:color="auto"/>
                  </w:divBdr>
                  <w:divsChild>
                    <w:div w:id="1856841973">
                      <w:marLeft w:val="0"/>
                      <w:marRight w:val="0"/>
                      <w:marTop w:val="0"/>
                      <w:marBottom w:val="0"/>
                      <w:divBdr>
                        <w:top w:val="none" w:sz="0" w:space="0" w:color="auto"/>
                        <w:left w:val="none" w:sz="0" w:space="0" w:color="auto"/>
                        <w:bottom w:val="none" w:sz="0" w:space="0" w:color="auto"/>
                        <w:right w:val="none" w:sz="0" w:space="0" w:color="auto"/>
                      </w:divBdr>
                    </w:div>
                  </w:divsChild>
                </w:div>
                <w:div w:id="1307662894">
                  <w:marLeft w:val="0"/>
                  <w:marRight w:val="0"/>
                  <w:marTop w:val="0"/>
                  <w:marBottom w:val="0"/>
                  <w:divBdr>
                    <w:top w:val="none" w:sz="0" w:space="0" w:color="auto"/>
                    <w:left w:val="none" w:sz="0" w:space="0" w:color="auto"/>
                    <w:bottom w:val="none" w:sz="0" w:space="0" w:color="auto"/>
                    <w:right w:val="none" w:sz="0" w:space="0" w:color="auto"/>
                  </w:divBdr>
                  <w:divsChild>
                    <w:div w:id="304357086">
                      <w:marLeft w:val="0"/>
                      <w:marRight w:val="0"/>
                      <w:marTop w:val="0"/>
                      <w:marBottom w:val="0"/>
                      <w:divBdr>
                        <w:top w:val="none" w:sz="0" w:space="0" w:color="auto"/>
                        <w:left w:val="none" w:sz="0" w:space="0" w:color="auto"/>
                        <w:bottom w:val="none" w:sz="0" w:space="0" w:color="auto"/>
                        <w:right w:val="none" w:sz="0" w:space="0" w:color="auto"/>
                      </w:divBdr>
                    </w:div>
                  </w:divsChild>
                </w:div>
                <w:div w:id="1321739504">
                  <w:marLeft w:val="0"/>
                  <w:marRight w:val="0"/>
                  <w:marTop w:val="0"/>
                  <w:marBottom w:val="0"/>
                  <w:divBdr>
                    <w:top w:val="none" w:sz="0" w:space="0" w:color="auto"/>
                    <w:left w:val="none" w:sz="0" w:space="0" w:color="auto"/>
                    <w:bottom w:val="none" w:sz="0" w:space="0" w:color="auto"/>
                    <w:right w:val="none" w:sz="0" w:space="0" w:color="auto"/>
                  </w:divBdr>
                  <w:divsChild>
                    <w:div w:id="2014869174">
                      <w:marLeft w:val="0"/>
                      <w:marRight w:val="0"/>
                      <w:marTop w:val="0"/>
                      <w:marBottom w:val="0"/>
                      <w:divBdr>
                        <w:top w:val="none" w:sz="0" w:space="0" w:color="auto"/>
                        <w:left w:val="none" w:sz="0" w:space="0" w:color="auto"/>
                        <w:bottom w:val="none" w:sz="0" w:space="0" w:color="auto"/>
                        <w:right w:val="none" w:sz="0" w:space="0" w:color="auto"/>
                      </w:divBdr>
                    </w:div>
                  </w:divsChild>
                </w:div>
                <w:div w:id="1333027287">
                  <w:marLeft w:val="0"/>
                  <w:marRight w:val="0"/>
                  <w:marTop w:val="0"/>
                  <w:marBottom w:val="0"/>
                  <w:divBdr>
                    <w:top w:val="none" w:sz="0" w:space="0" w:color="auto"/>
                    <w:left w:val="none" w:sz="0" w:space="0" w:color="auto"/>
                    <w:bottom w:val="none" w:sz="0" w:space="0" w:color="auto"/>
                    <w:right w:val="none" w:sz="0" w:space="0" w:color="auto"/>
                  </w:divBdr>
                  <w:divsChild>
                    <w:div w:id="2062902251">
                      <w:marLeft w:val="0"/>
                      <w:marRight w:val="0"/>
                      <w:marTop w:val="0"/>
                      <w:marBottom w:val="0"/>
                      <w:divBdr>
                        <w:top w:val="none" w:sz="0" w:space="0" w:color="auto"/>
                        <w:left w:val="none" w:sz="0" w:space="0" w:color="auto"/>
                        <w:bottom w:val="none" w:sz="0" w:space="0" w:color="auto"/>
                        <w:right w:val="none" w:sz="0" w:space="0" w:color="auto"/>
                      </w:divBdr>
                    </w:div>
                  </w:divsChild>
                </w:div>
                <w:div w:id="1339962066">
                  <w:marLeft w:val="0"/>
                  <w:marRight w:val="0"/>
                  <w:marTop w:val="0"/>
                  <w:marBottom w:val="0"/>
                  <w:divBdr>
                    <w:top w:val="none" w:sz="0" w:space="0" w:color="auto"/>
                    <w:left w:val="none" w:sz="0" w:space="0" w:color="auto"/>
                    <w:bottom w:val="none" w:sz="0" w:space="0" w:color="auto"/>
                    <w:right w:val="none" w:sz="0" w:space="0" w:color="auto"/>
                  </w:divBdr>
                  <w:divsChild>
                    <w:div w:id="623510056">
                      <w:marLeft w:val="0"/>
                      <w:marRight w:val="0"/>
                      <w:marTop w:val="0"/>
                      <w:marBottom w:val="0"/>
                      <w:divBdr>
                        <w:top w:val="none" w:sz="0" w:space="0" w:color="auto"/>
                        <w:left w:val="none" w:sz="0" w:space="0" w:color="auto"/>
                        <w:bottom w:val="none" w:sz="0" w:space="0" w:color="auto"/>
                        <w:right w:val="none" w:sz="0" w:space="0" w:color="auto"/>
                      </w:divBdr>
                    </w:div>
                  </w:divsChild>
                </w:div>
                <w:div w:id="1349714242">
                  <w:marLeft w:val="0"/>
                  <w:marRight w:val="0"/>
                  <w:marTop w:val="0"/>
                  <w:marBottom w:val="0"/>
                  <w:divBdr>
                    <w:top w:val="none" w:sz="0" w:space="0" w:color="auto"/>
                    <w:left w:val="none" w:sz="0" w:space="0" w:color="auto"/>
                    <w:bottom w:val="none" w:sz="0" w:space="0" w:color="auto"/>
                    <w:right w:val="none" w:sz="0" w:space="0" w:color="auto"/>
                  </w:divBdr>
                  <w:divsChild>
                    <w:div w:id="1047726930">
                      <w:marLeft w:val="0"/>
                      <w:marRight w:val="0"/>
                      <w:marTop w:val="0"/>
                      <w:marBottom w:val="0"/>
                      <w:divBdr>
                        <w:top w:val="none" w:sz="0" w:space="0" w:color="auto"/>
                        <w:left w:val="none" w:sz="0" w:space="0" w:color="auto"/>
                        <w:bottom w:val="none" w:sz="0" w:space="0" w:color="auto"/>
                        <w:right w:val="none" w:sz="0" w:space="0" w:color="auto"/>
                      </w:divBdr>
                    </w:div>
                  </w:divsChild>
                </w:div>
                <w:div w:id="1351028732">
                  <w:marLeft w:val="0"/>
                  <w:marRight w:val="0"/>
                  <w:marTop w:val="0"/>
                  <w:marBottom w:val="0"/>
                  <w:divBdr>
                    <w:top w:val="none" w:sz="0" w:space="0" w:color="auto"/>
                    <w:left w:val="none" w:sz="0" w:space="0" w:color="auto"/>
                    <w:bottom w:val="none" w:sz="0" w:space="0" w:color="auto"/>
                    <w:right w:val="none" w:sz="0" w:space="0" w:color="auto"/>
                  </w:divBdr>
                  <w:divsChild>
                    <w:div w:id="598947122">
                      <w:marLeft w:val="0"/>
                      <w:marRight w:val="0"/>
                      <w:marTop w:val="0"/>
                      <w:marBottom w:val="0"/>
                      <w:divBdr>
                        <w:top w:val="none" w:sz="0" w:space="0" w:color="auto"/>
                        <w:left w:val="none" w:sz="0" w:space="0" w:color="auto"/>
                        <w:bottom w:val="none" w:sz="0" w:space="0" w:color="auto"/>
                        <w:right w:val="none" w:sz="0" w:space="0" w:color="auto"/>
                      </w:divBdr>
                    </w:div>
                  </w:divsChild>
                </w:div>
                <w:div w:id="1360350830">
                  <w:marLeft w:val="0"/>
                  <w:marRight w:val="0"/>
                  <w:marTop w:val="0"/>
                  <w:marBottom w:val="0"/>
                  <w:divBdr>
                    <w:top w:val="none" w:sz="0" w:space="0" w:color="auto"/>
                    <w:left w:val="none" w:sz="0" w:space="0" w:color="auto"/>
                    <w:bottom w:val="none" w:sz="0" w:space="0" w:color="auto"/>
                    <w:right w:val="none" w:sz="0" w:space="0" w:color="auto"/>
                  </w:divBdr>
                  <w:divsChild>
                    <w:div w:id="1584143434">
                      <w:marLeft w:val="0"/>
                      <w:marRight w:val="0"/>
                      <w:marTop w:val="0"/>
                      <w:marBottom w:val="0"/>
                      <w:divBdr>
                        <w:top w:val="none" w:sz="0" w:space="0" w:color="auto"/>
                        <w:left w:val="none" w:sz="0" w:space="0" w:color="auto"/>
                        <w:bottom w:val="none" w:sz="0" w:space="0" w:color="auto"/>
                        <w:right w:val="none" w:sz="0" w:space="0" w:color="auto"/>
                      </w:divBdr>
                    </w:div>
                  </w:divsChild>
                </w:div>
                <w:div w:id="1364213843">
                  <w:marLeft w:val="0"/>
                  <w:marRight w:val="0"/>
                  <w:marTop w:val="0"/>
                  <w:marBottom w:val="0"/>
                  <w:divBdr>
                    <w:top w:val="none" w:sz="0" w:space="0" w:color="auto"/>
                    <w:left w:val="none" w:sz="0" w:space="0" w:color="auto"/>
                    <w:bottom w:val="none" w:sz="0" w:space="0" w:color="auto"/>
                    <w:right w:val="none" w:sz="0" w:space="0" w:color="auto"/>
                  </w:divBdr>
                  <w:divsChild>
                    <w:div w:id="932392728">
                      <w:marLeft w:val="0"/>
                      <w:marRight w:val="0"/>
                      <w:marTop w:val="0"/>
                      <w:marBottom w:val="0"/>
                      <w:divBdr>
                        <w:top w:val="none" w:sz="0" w:space="0" w:color="auto"/>
                        <w:left w:val="none" w:sz="0" w:space="0" w:color="auto"/>
                        <w:bottom w:val="none" w:sz="0" w:space="0" w:color="auto"/>
                        <w:right w:val="none" w:sz="0" w:space="0" w:color="auto"/>
                      </w:divBdr>
                    </w:div>
                  </w:divsChild>
                </w:div>
                <w:div w:id="1383603324">
                  <w:marLeft w:val="0"/>
                  <w:marRight w:val="0"/>
                  <w:marTop w:val="0"/>
                  <w:marBottom w:val="0"/>
                  <w:divBdr>
                    <w:top w:val="none" w:sz="0" w:space="0" w:color="auto"/>
                    <w:left w:val="none" w:sz="0" w:space="0" w:color="auto"/>
                    <w:bottom w:val="none" w:sz="0" w:space="0" w:color="auto"/>
                    <w:right w:val="none" w:sz="0" w:space="0" w:color="auto"/>
                  </w:divBdr>
                  <w:divsChild>
                    <w:div w:id="955285095">
                      <w:marLeft w:val="0"/>
                      <w:marRight w:val="0"/>
                      <w:marTop w:val="0"/>
                      <w:marBottom w:val="0"/>
                      <w:divBdr>
                        <w:top w:val="none" w:sz="0" w:space="0" w:color="auto"/>
                        <w:left w:val="none" w:sz="0" w:space="0" w:color="auto"/>
                        <w:bottom w:val="none" w:sz="0" w:space="0" w:color="auto"/>
                        <w:right w:val="none" w:sz="0" w:space="0" w:color="auto"/>
                      </w:divBdr>
                    </w:div>
                  </w:divsChild>
                </w:div>
                <w:div w:id="1391726417">
                  <w:marLeft w:val="0"/>
                  <w:marRight w:val="0"/>
                  <w:marTop w:val="0"/>
                  <w:marBottom w:val="0"/>
                  <w:divBdr>
                    <w:top w:val="none" w:sz="0" w:space="0" w:color="auto"/>
                    <w:left w:val="none" w:sz="0" w:space="0" w:color="auto"/>
                    <w:bottom w:val="none" w:sz="0" w:space="0" w:color="auto"/>
                    <w:right w:val="none" w:sz="0" w:space="0" w:color="auto"/>
                  </w:divBdr>
                  <w:divsChild>
                    <w:div w:id="1262756889">
                      <w:marLeft w:val="0"/>
                      <w:marRight w:val="0"/>
                      <w:marTop w:val="0"/>
                      <w:marBottom w:val="0"/>
                      <w:divBdr>
                        <w:top w:val="none" w:sz="0" w:space="0" w:color="auto"/>
                        <w:left w:val="none" w:sz="0" w:space="0" w:color="auto"/>
                        <w:bottom w:val="none" w:sz="0" w:space="0" w:color="auto"/>
                        <w:right w:val="none" w:sz="0" w:space="0" w:color="auto"/>
                      </w:divBdr>
                    </w:div>
                  </w:divsChild>
                </w:div>
                <w:div w:id="1402215122">
                  <w:marLeft w:val="0"/>
                  <w:marRight w:val="0"/>
                  <w:marTop w:val="0"/>
                  <w:marBottom w:val="0"/>
                  <w:divBdr>
                    <w:top w:val="none" w:sz="0" w:space="0" w:color="auto"/>
                    <w:left w:val="none" w:sz="0" w:space="0" w:color="auto"/>
                    <w:bottom w:val="none" w:sz="0" w:space="0" w:color="auto"/>
                    <w:right w:val="none" w:sz="0" w:space="0" w:color="auto"/>
                  </w:divBdr>
                  <w:divsChild>
                    <w:div w:id="730351890">
                      <w:marLeft w:val="0"/>
                      <w:marRight w:val="0"/>
                      <w:marTop w:val="0"/>
                      <w:marBottom w:val="0"/>
                      <w:divBdr>
                        <w:top w:val="none" w:sz="0" w:space="0" w:color="auto"/>
                        <w:left w:val="none" w:sz="0" w:space="0" w:color="auto"/>
                        <w:bottom w:val="none" w:sz="0" w:space="0" w:color="auto"/>
                        <w:right w:val="none" w:sz="0" w:space="0" w:color="auto"/>
                      </w:divBdr>
                    </w:div>
                  </w:divsChild>
                </w:div>
                <w:div w:id="1428772405">
                  <w:marLeft w:val="0"/>
                  <w:marRight w:val="0"/>
                  <w:marTop w:val="0"/>
                  <w:marBottom w:val="0"/>
                  <w:divBdr>
                    <w:top w:val="none" w:sz="0" w:space="0" w:color="auto"/>
                    <w:left w:val="none" w:sz="0" w:space="0" w:color="auto"/>
                    <w:bottom w:val="none" w:sz="0" w:space="0" w:color="auto"/>
                    <w:right w:val="none" w:sz="0" w:space="0" w:color="auto"/>
                  </w:divBdr>
                  <w:divsChild>
                    <w:div w:id="78408604">
                      <w:marLeft w:val="0"/>
                      <w:marRight w:val="0"/>
                      <w:marTop w:val="0"/>
                      <w:marBottom w:val="0"/>
                      <w:divBdr>
                        <w:top w:val="none" w:sz="0" w:space="0" w:color="auto"/>
                        <w:left w:val="none" w:sz="0" w:space="0" w:color="auto"/>
                        <w:bottom w:val="none" w:sz="0" w:space="0" w:color="auto"/>
                        <w:right w:val="none" w:sz="0" w:space="0" w:color="auto"/>
                      </w:divBdr>
                    </w:div>
                  </w:divsChild>
                </w:div>
                <w:div w:id="1445928193">
                  <w:marLeft w:val="0"/>
                  <w:marRight w:val="0"/>
                  <w:marTop w:val="0"/>
                  <w:marBottom w:val="0"/>
                  <w:divBdr>
                    <w:top w:val="none" w:sz="0" w:space="0" w:color="auto"/>
                    <w:left w:val="none" w:sz="0" w:space="0" w:color="auto"/>
                    <w:bottom w:val="none" w:sz="0" w:space="0" w:color="auto"/>
                    <w:right w:val="none" w:sz="0" w:space="0" w:color="auto"/>
                  </w:divBdr>
                  <w:divsChild>
                    <w:div w:id="2017808388">
                      <w:marLeft w:val="0"/>
                      <w:marRight w:val="0"/>
                      <w:marTop w:val="0"/>
                      <w:marBottom w:val="0"/>
                      <w:divBdr>
                        <w:top w:val="none" w:sz="0" w:space="0" w:color="auto"/>
                        <w:left w:val="none" w:sz="0" w:space="0" w:color="auto"/>
                        <w:bottom w:val="none" w:sz="0" w:space="0" w:color="auto"/>
                        <w:right w:val="none" w:sz="0" w:space="0" w:color="auto"/>
                      </w:divBdr>
                    </w:div>
                  </w:divsChild>
                </w:div>
                <w:div w:id="1449930870">
                  <w:marLeft w:val="0"/>
                  <w:marRight w:val="0"/>
                  <w:marTop w:val="0"/>
                  <w:marBottom w:val="0"/>
                  <w:divBdr>
                    <w:top w:val="none" w:sz="0" w:space="0" w:color="auto"/>
                    <w:left w:val="none" w:sz="0" w:space="0" w:color="auto"/>
                    <w:bottom w:val="none" w:sz="0" w:space="0" w:color="auto"/>
                    <w:right w:val="none" w:sz="0" w:space="0" w:color="auto"/>
                  </w:divBdr>
                  <w:divsChild>
                    <w:div w:id="1863856430">
                      <w:marLeft w:val="0"/>
                      <w:marRight w:val="0"/>
                      <w:marTop w:val="0"/>
                      <w:marBottom w:val="0"/>
                      <w:divBdr>
                        <w:top w:val="none" w:sz="0" w:space="0" w:color="auto"/>
                        <w:left w:val="none" w:sz="0" w:space="0" w:color="auto"/>
                        <w:bottom w:val="none" w:sz="0" w:space="0" w:color="auto"/>
                        <w:right w:val="none" w:sz="0" w:space="0" w:color="auto"/>
                      </w:divBdr>
                    </w:div>
                  </w:divsChild>
                </w:div>
                <w:div w:id="1472864250">
                  <w:marLeft w:val="0"/>
                  <w:marRight w:val="0"/>
                  <w:marTop w:val="0"/>
                  <w:marBottom w:val="0"/>
                  <w:divBdr>
                    <w:top w:val="none" w:sz="0" w:space="0" w:color="auto"/>
                    <w:left w:val="none" w:sz="0" w:space="0" w:color="auto"/>
                    <w:bottom w:val="none" w:sz="0" w:space="0" w:color="auto"/>
                    <w:right w:val="none" w:sz="0" w:space="0" w:color="auto"/>
                  </w:divBdr>
                  <w:divsChild>
                    <w:div w:id="833299254">
                      <w:marLeft w:val="0"/>
                      <w:marRight w:val="0"/>
                      <w:marTop w:val="0"/>
                      <w:marBottom w:val="0"/>
                      <w:divBdr>
                        <w:top w:val="none" w:sz="0" w:space="0" w:color="auto"/>
                        <w:left w:val="none" w:sz="0" w:space="0" w:color="auto"/>
                        <w:bottom w:val="none" w:sz="0" w:space="0" w:color="auto"/>
                        <w:right w:val="none" w:sz="0" w:space="0" w:color="auto"/>
                      </w:divBdr>
                    </w:div>
                  </w:divsChild>
                </w:div>
                <w:div w:id="1473523588">
                  <w:marLeft w:val="0"/>
                  <w:marRight w:val="0"/>
                  <w:marTop w:val="0"/>
                  <w:marBottom w:val="0"/>
                  <w:divBdr>
                    <w:top w:val="none" w:sz="0" w:space="0" w:color="auto"/>
                    <w:left w:val="none" w:sz="0" w:space="0" w:color="auto"/>
                    <w:bottom w:val="none" w:sz="0" w:space="0" w:color="auto"/>
                    <w:right w:val="none" w:sz="0" w:space="0" w:color="auto"/>
                  </w:divBdr>
                  <w:divsChild>
                    <w:div w:id="1837106565">
                      <w:marLeft w:val="0"/>
                      <w:marRight w:val="0"/>
                      <w:marTop w:val="0"/>
                      <w:marBottom w:val="0"/>
                      <w:divBdr>
                        <w:top w:val="none" w:sz="0" w:space="0" w:color="auto"/>
                        <w:left w:val="none" w:sz="0" w:space="0" w:color="auto"/>
                        <w:bottom w:val="none" w:sz="0" w:space="0" w:color="auto"/>
                        <w:right w:val="none" w:sz="0" w:space="0" w:color="auto"/>
                      </w:divBdr>
                    </w:div>
                  </w:divsChild>
                </w:div>
                <w:div w:id="1487164607">
                  <w:marLeft w:val="0"/>
                  <w:marRight w:val="0"/>
                  <w:marTop w:val="0"/>
                  <w:marBottom w:val="0"/>
                  <w:divBdr>
                    <w:top w:val="none" w:sz="0" w:space="0" w:color="auto"/>
                    <w:left w:val="none" w:sz="0" w:space="0" w:color="auto"/>
                    <w:bottom w:val="none" w:sz="0" w:space="0" w:color="auto"/>
                    <w:right w:val="none" w:sz="0" w:space="0" w:color="auto"/>
                  </w:divBdr>
                  <w:divsChild>
                    <w:div w:id="381099082">
                      <w:marLeft w:val="0"/>
                      <w:marRight w:val="0"/>
                      <w:marTop w:val="0"/>
                      <w:marBottom w:val="0"/>
                      <w:divBdr>
                        <w:top w:val="none" w:sz="0" w:space="0" w:color="auto"/>
                        <w:left w:val="none" w:sz="0" w:space="0" w:color="auto"/>
                        <w:bottom w:val="none" w:sz="0" w:space="0" w:color="auto"/>
                        <w:right w:val="none" w:sz="0" w:space="0" w:color="auto"/>
                      </w:divBdr>
                    </w:div>
                  </w:divsChild>
                </w:div>
                <w:div w:id="1489244004">
                  <w:marLeft w:val="0"/>
                  <w:marRight w:val="0"/>
                  <w:marTop w:val="0"/>
                  <w:marBottom w:val="0"/>
                  <w:divBdr>
                    <w:top w:val="none" w:sz="0" w:space="0" w:color="auto"/>
                    <w:left w:val="none" w:sz="0" w:space="0" w:color="auto"/>
                    <w:bottom w:val="none" w:sz="0" w:space="0" w:color="auto"/>
                    <w:right w:val="none" w:sz="0" w:space="0" w:color="auto"/>
                  </w:divBdr>
                  <w:divsChild>
                    <w:div w:id="1502430532">
                      <w:marLeft w:val="0"/>
                      <w:marRight w:val="0"/>
                      <w:marTop w:val="0"/>
                      <w:marBottom w:val="0"/>
                      <w:divBdr>
                        <w:top w:val="none" w:sz="0" w:space="0" w:color="auto"/>
                        <w:left w:val="none" w:sz="0" w:space="0" w:color="auto"/>
                        <w:bottom w:val="none" w:sz="0" w:space="0" w:color="auto"/>
                        <w:right w:val="none" w:sz="0" w:space="0" w:color="auto"/>
                      </w:divBdr>
                    </w:div>
                  </w:divsChild>
                </w:div>
                <w:div w:id="1490441309">
                  <w:marLeft w:val="0"/>
                  <w:marRight w:val="0"/>
                  <w:marTop w:val="0"/>
                  <w:marBottom w:val="0"/>
                  <w:divBdr>
                    <w:top w:val="none" w:sz="0" w:space="0" w:color="auto"/>
                    <w:left w:val="none" w:sz="0" w:space="0" w:color="auto"/>
                    <w:bottom w:val="none" w:sz="0" w:space="0" w:color="auto"/>
                    <w:right w:val="none" w:sz="0" w:space="0" w:color="auto"/>
                  </w:divBdr>
                  <w:divsChild>
                    <w:div w:id="2143452314">
                      <w:marLeft w:val="0"/>
                      <w:marRight w:val="0"/>
                      <w:marTop w:val="0"/>
                      <w:marBottom w:val="0"/>
                      <w:divBdr>
                        <w:top w:val="none" w:sz="0" w:space="0" w:color="auto"/>
                        <w:left w:val="none" w:sz="0" w:space="0" w:color="auto"/>
                        <w:bottom w:val="none" w:sz="0" w:space="0" w:color="auto"/>
                        <w:right w:val="none" w:sz="0" w:space="0" w:color="auto"/>
                      </w:divBdr>
                    </w:div>
                  </w:divsChild>
                </w:div>
                <w:div w:id="1496149239">
                  <w:marLeft w:val="0"/>
                  <w:marRight w:val="0"/>
                  <w:marTop w:val="0"/>
                  <w:marBottom w:val="0"/>
                  <w:divBdr>
                    <w:top w:val="none" w:sz="0" w:space="0" w:color="auto"/>
                    <w:left w:val="none" w:sz="0" w:space="0" w:color="auto"/>
                    <w:bottom w:val="none" w:sz="0" w:space="0" w:color="auto"/>
                    <w:right w:val="none" w:sz="0" w:space="0" w:color="auto"/>
                  </w:divBdr>
                  <w:divsChild>
                    <w:div w:id="407461967">
                      <w:marLeft w:val="0"/>
                      <w:marRight w:val="0"/>
                      <w:marTop w:val="0"/>
                      <w:marBottom w:val="0"/>
                      <w:divBdr>
                        <w:top w:val="none" w:sz="0" w:space="0" w:color="auto"/>
                        <w:left w:val="none" w:sz="0" w:space="0" w:color="auto"/>
                        <w:bottom w:val="none" w:sz="0" w:space="0" w:color="auto"/>
                        <w:right w:val="none" w:sz="0" w:space="0" w:color="auto"/>
                      </w:divBdr>
                    </w:div>
                  </w:divsChild>
                </w:div>
                <w:div w:id="1503812036">
                  <w:marLeft w:val="0"/>
                  <w:marRight w:val="0"/>
                  <w:marTop w:val="0"/>
                  <w:marBottom w:val="0"/>
                  <w:divBdr>
                    <w:top w:val="none" w:sz="0" w:space="0" w:color="auto"/>
                    <w:left w:val="none" w:sz="0" w:space="0" w:color="auto"/>
                    <w:bottom w:val="none" w:sz="0" w:space="0" w:color="auto"/>
                    <w:right w:val="none" w:sz="0" w:space="0" w:color="auto"/>
                  </w:divBdr>
                  <w:divsChild>
                    <w:div w:id="909922435">
                      <w:marLeft w:val="0"/>
                      <w:marRight w:val="0"/>
                      <w:marTop w:val="0"/>
                      <w:marBottom w:val="0"/>
                      <w:divBdr>
                        <w:top w:val="none" w:sz="0" w:space="0" w:color="auto"/>
                        <w:left w:val="none" w:sz="0" w:space="0" w:color="auto"/>
                        <w:bottom w:val="none" w:sz="0" w:space="0" w:color="auto"/>
                        <w:right w:val="none" w:sz="0" w:space="0" w:color="auto"/>
                      </w:divBdr>
                    </w:div>
                  </w:divsChild>
                </w:div>
                <w:div w:id="1524897286">
                  <w:marLeft w:val="0"/>
                  <w:marRight w:val="0"/>
                  <w:marTop w:val="0"/>
                  <w:marBottom w:val="0"/>
                  <w:divBdr>
                    <w:top w:val="none" w:sz="0" w:space="0" w:color="auto"/>
                    <w:left w:val="none" w:sz="0" w:space="0" w:color="auto"/>
                    <w:bottom w:val="none" w:sz="0" w:space="0" w:color="auto"/>
                    <w:right w:val="none" w:sz="0" w:space="0" w:color="auto"/>
                  </w:divBdr>
                  <w:divsChild>
                    <w:div w:id="938870260">
                      <w:marLeft w:val="0"/>
                      <w:marRight w:val="0"/>
                      <w:marTop w:val="0"/>
                      <w:marBottom w:val="0"/>
                      <w:divBdr>
                        <w:top w:val="none" w:sz="0" w:space="0" w:color="auto"/>
                        <w:left w:val="none" w:sz="0" w:space="0" w:color="auto"/>
                        <w:bottom w:val="none" w:sz="0" w:space="0" w:color="auto"/>
                        <w:right w:val="none" w:sz="0" w:space="0" w:color="auto"/>
                      </w:divBdr>
                    </w:div>
                  </w:divsChild>
                </w:div>
                <w:div w:id="1531380471">
                  <w:marLeft w:val="0"/>
                  <w:marRight w:val="0"/>
                  <w:marTop w:val="0"/>
                  <w:marBottom w:val="0"/>
                  <w:divBdr>
                    <w:top w:val="none" w:sz="0" w:space="0" w:color="auto"/>
                    <w:left w:val="none" w:sz="0" w:space="0" w:color="auto"/>
                    <w:bottom w:val="none" w:sz="0" w:space="0" w:color="auto"/>
                    <w:right w:val="none" w:sz="0" w:space="0" w:color="auto"/>
                  </w:divBdr>
                  <w:divsChild>
                    <w:div w:id="615602234">
                      <w:marLeft w:val="0"/>
                      <w:marRight w:val="0"/>
                      <w:marTop w:val="0"/>
                      <w:marBottom w:val="0"/>
                      <w:divBdr>
                        <w:top w:val="none" w:sz="0" w:space="0" w:color="auto"/>
                        <w:left w:val="none" w:sz="0" w:space="0" w:color="auto"/>
                        <w:bottom w:val="none" w:sz="0" w:space="0" w:color="auto"/>
                        <w:right w:val="none" w:sz="0" w:space="0" w:color="auto"/>
                      </w:divBdr>
                    </w:div>
                  </w:divsChild>
                </w:div>
                <w:div w:id="1544557905">
                  <w:marLeft w:val="0"/>
                  <w:marRight w:val="0"/>
                  <w:marTop w:val="0"/>
                  <w:marBottom w:val="0"/>
                  <w:divBdr>
                    <w:top w:val="none" w:sz="0" w:space="0" w:color="auto"/>
                    <w:left w:val="none" w:sz="0" w:space="0" w:color="auto"/>
                    <w:bottom w:val="none" w:sz="0" w:space="0" w:color="auto"/>
                    <w:right w:val="none" w:sz="0" w:space="0" w:color="auto"/>
                  </w:divBdr>
                  <w:divsChild>
                    <w:div w:id="1506552387">
                      <w:marLeft w:val="0"/>
                      <w:marRight w:val="0"/>
                      <w:marTop w:val="0"/>
                      <w:marBottom w:val="0"/>
                      <w:divBdr>
                        <w:top w:val="none" w:sz="0" w:space="0" w:color="auto"/>
                        <w:left w:val="none" w:sz="0" w:space="0" w:color="auto"/>
                        <w:bottom w:val="none" w:sz="0" w:space="0" w:color="auto"/>
                        <w:right w:val="none" w:sz="0" w:space="0" w:color="auto"/>
                      </w:divBdr>
                    </w:div>
                  </w:divsChild>
                </w:div>
                <w:div w:id="1571772016">
                  <w:marLeft w:val="0"/>
                  <w:marRight w:val="0"/>
                  <w:marTop w:val="0"/>
                  <w:marBottom w:val="0"/>
                  <w:divBdr>
                    <w:top w:val="none" w:sz="0" w:space="0" w:color="auto"/>
                    <w:left w:val="none" w:sz="0" w:space="0" w:color="auto"/>
                    <w:bottom w:val="none" w:sz="0" w:space="0" w:color="auto"/>
                    <w:right w:val="none" w:sz="0" w:space="0" w:color="auto"/>
                  </w:divBdr>
                  <w:divsChild>
                    <w:div w:id="394856351">
                      <w:marLeft w:val="0"/>
                      <w:marRight w:val="0"/>
                      <w:marTop w:val="0"/>
                      <w:marBottom w:val="0"/>
                      <w:divBdr>
                        <w:top w:val="none" w:sz="0" w:space="0" w:color="auto"/>
                        <w:left w:val="none" w:sz="0" w:space="0" w:color="auto"/>
                        <w:bottom w:val="none" w:sz="0" w:space="0" w:color="auto"/>
                        <w:right w:val="none" w:sz="0" w:space="0" w:color="auto"/>
                      </w:divBdr>
                    </w:div>
                  </w:divsChild>
                </w:div>
                <w:div w:id="1572422935">
                  <w:marLeft w:val="0"/>
                  <w:marRight w:val="0"/>
                  <w:marTop w:val="0"/>
                  <w:marBottom w:val="0"/>
                  <w:divBdr>
                    <w:top w:val="none" w:sz="0" w:space="0" w:color="auto"/>
                    <w:left w:val="none" w:sz="0" w:space="0" w:color="auto"/>
                    <w:bottom w:val="none" w:sz="0" w:space="0" w:color="auto"/>
                    <w:right w:val="none" w:sz="0" w:space="0" w:color="auto"/>
                  </w:divBdr>
                  <w:divsChild>
                    <w:div w:id="1358235718">
                      <w:marLeft w:val="0"/>
                      <w:marRight w:val="0"/>
                      <w:marTop w:val="0"/>
                      <w:marBottom w:val="0"/>
                      <w:divBdr>
                        <w:top w:val="none" w:sz="0" w:space="0" w:color="auto"/>
                        <w:left w:val="none" w:sz="0" w:space="0" w:color="auto"/>
                        <w:bottom w:val="none" w:sz="0" w:space="0" w:color="auto"/>
                        <w:right w:val="none" w:sz="0" w:space="0" w:color="auto"/>
                      </w:divBdr>
                    </w:div>
                  </w:divsChild>
                </w:div>
                <w:div w:id="1576429099">
                  <w:marLeft w:val="0"/>
                  <w:marRight w:val="0"/>
                  <w:marTop w:val="0"/>
                  <w:marBottom w:val="0"/>
                  <w:divBdr>
                    <w:top w:val="none" w:sz="0" w:space="0" w:color="auto"/>
                    <w:left w:val="none" w:sz="0" w:space="0" w:color="auto"/>
                    <w:bottom w:val="none" w:sz="0" w:space="0" w:color="auto"/>
                    <w:right w:val="none" w:sz="0" w:space="0" w:color="auto"/>
                  </w:divBdr>
                  <w:divsChild>
                    <w:div w:id="1334071491">
                      <w:marLeft w:val="0"/>
                      <w:marRight w:val="0"/>
                      <w:marTop w:val="0"/>
                      <w:marBottom w:val="0"/>
                      <w:divBdr>
                        <w:top w:val="none" w:sz="0" w:space="0" w:color="auto"/>
                        <w:left w:val="none" w:sz="0" w:space="0" w:color="auto"/>
                        <w:bottom w:val="none" w:sz="0" w:space="0" w:color="auto"/>
                        <w:right w:val="none" w:sz="0" w:space="0" w:color="auto"/>
                      </w:divBdr>
                    </w:div>
                  </w:divsChild>
                </w:div>
                <w:div w:id="1585188084">
                  <w:marLeft w:val="0"/>
                  <w:marRight w:val="0"/>
                  <w:marTop w:val="0"/>
                  <w:marBottom w:val="0"/>
                  <w:divBdr>
                    <w:top w:val="none" w:sz="0" w:space="0" w:color="auto"/>
                    <w:left w:val="none" w:sz="0" w:space="0" w:color="auto"/>
                    <w:bottom w:val="none" w:sz="0" w:space="0" w:color="auto"/>
                    <w:right w:val="none" w:sz="0" w:space="0" w:color="auto"/>
                  </w:divBdr>
                  <w:divsChild>
                    <w:div w:id="1702515653">
                      <w:marLeft w:val="0"/>
                      <w:marRight w:val="0"/>
                      <w:marTop w:val="0"/>
                      <w:marBottom w:val="0"/>
                      <w:divBdr>
                        <w:top w:val="none" w:sz="0" w:space="0" w:color="auto"/>
                        <w:left w:val="none" w:sz="0" w:space="0" w:color="auto"/>
                        <w:bottom w:val="none" w:sz="0" w:space="0" w:color="auto"/>
                        <w:right w:val="none" w:sz="0" w:space="0" w:color="auto"/>
                      </w:divBdr>
                    </w:div>
                  </w:divsChild>
                </w:div>
                <w:div w:id="1588808712">
                  <w:marLeft w:val="0"/>
                  <w:marRight w:val="0"/>
                  <w:marTop w:val="0"/>
                  <w:marBottom w:val="0"/>
                  <w:divBdr>
                    <w:top w:val="none" w:sz="0" w:space="0" w:color="auto"/>
                    <w:left w:val="none" w:sz="0" w:space="0" w:color="auto"/>
                    <w:bottom w:val="none" w:sz="0" w:space="0" w:color="auto"/>
                    <w:right w:val="none" w:sz="0" w:space="0" w:color="auto"/>
                  </w:divBdr>
                  <w:divsChild>
                    <w:div w:id="1773085334">
                      <w:marLeft w:val="0"/>
                      <w:marRight w:val="0"/>
                      <w:marTop w:val="0"/>
                      <w:marBottom w:val="0"/>
                      <w:divBdr>
                        <w:top w:val="none" w:sz="0" w:space="0" w:color="auto"/>
                        <w:left w:val="none" w:sz="0" w:space="0" w:color="auto"/>
                        <w:bottom w:val="none" w:sz="0" w:space="0" w:color="auto"/>
                        <w:right w:val="none" w:sz="0" w:space="0" w:color="auto"/>
                      </w:divBdr>
                    </w:div>
                  </w:divsChild>
                </w:div>
                <w:div w:id="1605726479">
                  <w:marLeft w:val="0"/>
                  <w:marRight w:val="0"/>
                  <w:marTop w:val="0"/>
                  <w:marBottom w:val="0"/>
                  <w:divBdr>
                    <w:top w:val="none" w:sz="0" w:space="0" w:color="auto"/>
                    <w:left w:val="none" w:sz="0" w:space="0" w:color="auto"/>
                    <w:bottom w:val="none" w:sz="0" w:space="0" w:color="auto"/>
                    <w:right w:val="none" w:sz="0" w:space="0" w:color="auto"/>
                  </w:divBdr>
                  <w:divsChild>
                    <w:div w:id="1054739860">
                      <w:marLeft w:val="0"/>
                      <w:marRight w:val="0"/>
                      <w:marTop w:val="0"/>
                      <w:marBottom w:val="0"/>
                      <w:divBdr>
                        <w:top w:val="none" w:sz="0" w:space="0" w:color="auto"/>
                        <w:left w:val="none" w:sz="0" w:space="0" w:color="auto"/>
                        <w:bottom w:val="none" w:sz="0" w:space="0" w:color="auto"/>
                        <w:right w:val="none" w:sz="0" w:space="0" w:color="auto"/>
                      </w:divBdr>
                    </w:div>
                  </w:divsChild>
                </w:div>
                <w:div w:id="1612006897">
                  <w:marLeft w:val="0"/>
                  <w:marRight w:val="0"/>
                  <w:marTop w:val="0"/>
                  <w:marBottom w:val="0"/>
                  <w:divBdr>
                    <w:top w:val="none" w:sz="0" w:space="0" w:color="auto"/>
                    <w:left w:val="none" w:sz="0" w:space="0" w:color="auto"/>
                    <w:bottom w:val="none" w:sz="0" w:space="0" w:color="auto"/>
                    <w:right w:val="none" w:sz="0" w:space="0" w:color="auto"/>
                  </w:divBdr>
                  <w:divsChild>
                    <w:div w:id="1429498490">
                      <w:marLeft w:val="0"/>
                      <w:marRight w:val="0"/>
                      <w:marTop w:val="0"/>
                      <w:marBottom w:val="0"/>
                      <w:divBdr>
                        <w:top w:val="none" w:sz="0" w:space="0" w:color="auto"/>
                        <w:left w:val="none" w:sz="0" w:space="0" w:color="auto"/>
                        <w:bottom w:val="none" w:sz="0" w:space="0" w:color="auto"/>
                        <w:right w:val="none" w:sz="0" w:space="0" w:color="auto"/>
                      </w:divBdr>
                    </w:div>
                  </w:divsChild>
                </w:div>
                <w:div w:id="1640114993">
                  <w:marLeft w:val="0"/>
                  <w:marRight w:val="0"/>
                  <w:marTop w:val="0"/>
                  <w:marBottom w:val="0"/>
                  <w:divBdr>
                    <w:top w:val="none" w:sz="0" w:space="0" w:color="auto"/>
                    <w:left w:val="none" w:sz="0" w:space="0" w:color="auto"/>
                    <w:bottom w:val="none" w:sz="0" w:space="0" w:color="auto"/>
                    <w:right w:val="none" w:sz="0" w:space="0" w:color="auto"/>
                  </w:divBdr>
                  <w:divsChild>
                    <w:div w:id="1466314704">
                      <w:marLeft w:val="0"/>
                      <w:marRight w:val="0"/>
                      <w:marTop w:val="0"/>
                      <w:marBottom w:val="0"/>
                      <w:divBdr>
                        <w:top w:val="none" w:sz="0" w:space="0" w:color="auto"/>
                        <w:left w:val="none" w:sz="0" w:space="0" w:color="auto"/>
                        <w:bottom w:val="none" w:sz="0" w:space="0" w:color="auto"/>
                        <w:right w:val="none" w:sz="0" w:space="0" w:color="auto"/>
                      </w:divBdr>
                    </w:div>
                  </w:divsChild>
                </w:div>
                <w:div w:id="1715349653">
                  <w:marLeft w:val="0"/>
                  <w:marRight w:val="0"/>
                  <w:marTop w:val="0"/>
                  <w:marBottom w:val="0"/>
                  <w:divBdr>
                    <w:top w:val="none" w:sz="0" w:space="0" w:color="auto"/>
                    <w:left w:val="none" w:sz="0" w:space="0" w:color="auto"/>
                    <w:bottom w:val="none" w:sz="0" w:space="0" w:color="auto"/>
                    <w:right w:val="none" w:sz="0" w:space="0" w:color="auto"/>
                  </w:divBdr>
                  <w:divsChild>
                    <w:div w:id="604582351">
                      <w:marLeft w:val="0"/>
                      <w:marRight w:val="0"/>
                      <w:marTop w:val="0"/>
                      <w:marBottom w:val="0"/>
                      <w:divBdr>
                        <w:top w:val="none" w:sz="0" w:space="0" w:color="auto"/>
                        <w:left w:val="none" w:sz="0" w:space="0" w:color="auto"/>
                        <w:bottom w:val="none" w:sz="0" w:space="0" w:color="auto"/>
                        <w:right w:val="none" w:sz="0" w:space="0" w:color="auto"/>
                      </w:divBdr>
                    </w:div>
                  </w:divsChild>
                </w:div>
                <w:div w:id="1734234124">
                  <w:marLeft w:val="0"/>
                  <w:marRight w:val="0"/>
                  <w:marTop w:val="0"/>
                  <w:marBottom w:val="0"/>
                  <w:divBdr>
                    <w:top w:val="none" w:sz="0" w:space="0" w:color="auto"/>
                    <w:left w:val="none" w:sz="0" w:space="0" w:color="auto"/>
                    <w:bottom w:val="none" w:sz="0" w:space="0" w:color="auto"/>
                    <w:right w:val="none" w:sz="0" w:space="0" w:color="auto"/>
                  </w:divBdr>
                  <w:divsChild>
                    <w:div w:id="1164855988">
                      <w:marLeft w:val="0"/>
                      <w:marRight w:val="0"/>
                      <w:marTop w:val="0"/>
                      <w:marBottom w:val="0"/>
                      <w:divBdr>
                        <w:top w:val="none" w:sz="0" w:space="0" w:color="auto"/>
                        <w:left w:val="none" w:sz="0" w:space="0" w:color="auto"/>
                        <w:bottom w:val="none" w:sz="0" w:space="0" w:color="auto"/>
                        <w:right w:val="none" w:sz="0" w:space="0" w:color="auto"/>
                      </w:divBdr>
                    </w:div>
                  </w:divsChild>
                </w:div>
                <w:div w:id="1737169481">
                  <w:marLeft w:val="0"/>
                  <w:marRight w:val="0"/>
                  <w:marTop w:val="0"/>
                  <w:marBottom w:val="0"/>
                  <w:divBdr>
                    <w:top w:val="none" w:sz="0" w:space="0" w:color="auto"/>
                    <w:left w:val="none" w:sz="0" w:space="0" w:color="auto"/>
                    <w:bottom w:val="none" w:sz="0" w:space="0" w:color="auto"/>
                    <w:right w:val="none" w:sz="0" w:space="0" w:color="auto"/>
                  </w:divBdr>
                  <w:divsChild>
                    <w:div w:id="1147235692">
                      <w:marLeft w:val="0"/>
                      <w:marRight w:val="0"/>
                      <w:marTop w:val="0"/>
                      <w:marBottom w:val="0"/>
                      <w:divBdr>
                        <w:top w:val="none" w:sz="0" w:space="0" w:color="auto"/>
                        <w:left w:val="none" w:sz="0" w:space="0" w:color="auto"/>
                        <w:bottom w:val="none" w:sz="0" w:space="0" w:color="auto"/>
                        <w:right w:val="none" w:sz="0" w:space="0" w:color="auto"/>
                      </w:divBdr>
                    </w:div>
                  </w:divsChild>
                </w:div>
                <w:div w:id="1751389157">
                  <w:marLeft w:val="0"/>
                  <w:marRight w:val="0"/>
                  <w:marTop w:val="0"/>
                  <w:marBottom w:val="0"/>
                  <w:divBdr>
                    <w:top w:val="none" w:sz="0" w:space="0" w:color="auto"/>
                    <w:left w:val="none" w:sz="0" w:space="0" w:color="auto"/>
                    <w:bottom w:val="none" w:sz="0" w:space="0" w:color="auto"/>
                    <w:right w:val="none" w:sz="0" w:space="0" w:color="auto"/>
                  </w:divBdr>
                  <w:divsChild>
                    <w:div w:id="2037000584">
                      <w:marLeft w:val="0"/>
                      <w:marRight w:val="0"/>
                      <w:marTop w:val="0"/>
                      <w:marBottom w:val="0"/>
                      <w:divBdr>
                        <w:top w:val="none" w:sz="0" w:space="0" w:color="auto"/>
                        <w:left w:val="none" w:sz="0" w:space="0" w:color="auto"/>
                        <w:bottom w:val="none" w:sz="0" w:space="0" w:color="auto"/>
                        <w:right w:val="none" w:sz="0" w:space="0" w:color="auto"/>
                      </w:divBdr>
                    </w:div>
                  </w:divsChild>
                </w:div>
                <w:div w:id="1756316193">
                  <w:marLeft w:val="0"/>
                  <w:marRight w:val="0"/>
                  <w:marTop w:val="0"/>
                  <w:marBottom w:val="0"/>
                  <w:divBdr>
                    <w:top w:val="none" w:sz="0" w:space="0" w:color="auto"/>
                    <w:left w:val="none" w:sz="0" w:space="0" w:color="auto"/>
                    <w:bottom w:val="none" w:sz="0" w:space="0" w:color="auto"/>
                    <w:right w:val="none" w:sz="0" w:space="0" w:color="auto"/>
                  </w:divBdr>
                  <w:divsChild>
                    <w:div w:id="1794785357">
                      <w:marLeft w:val="0"/>
                      <w:marRight w:val="0"/>
                      <w:marTop w:val="0"/>
                      <w:marBottom w:val="0"/>
                      <w:divBdr>
                        <w:top w:val="none" w:sz="0" w:space="0" w:color="auto"/>
                        <w:left w:val="none" w:sz="0" w:space="0" w:color="auto"/>
                        <w:bottom w:val="none" w:sz="0" w:space="0" w:color="auto"/>
                        <w:right w:val="none" w:sz="0" w:space="0" w:color="auto"/>
                      </w:divBdr>
                    </w:div>
                  </w:divsChild>
                </w:div>
                <w:div w:id="1774979879">
                  <w:marLeft w:val="0"/>
                  <w:marRight w:val="0"/>
                  <w:marTop w:val="0"/>
                  <w:marBottom w:val="0"/>
                  <w:divBdr>
                    <w:top w:val="none" w:sz="0" w:space="0" w:color="auto"/>
                    <w:left w:val="none" w:sz="0" w:space="0" w:color="auto"/>
                    <w:bottom w:val="none" w:sz="0" w:space="0" w:color="auto"/>
                    <w:right w:val="none" w:sz="0" w:space="0" w:color="auto"/>
                  </w:divBdr>
                  <w:divsChild>
                    <w:div w:id="1268388367">
                      <w:marLeft w:val="0"/>
                      <w:marRight w:val="0"/>
                      <w:marTop w:val="0"/>
                      <w:marBottom w:val="0"/>
                      <w:divBdr>
                        <w:top w:val="none" w:sz="0" w:space="0" w:color="auto"/>
                        <w:left w:val="none" w:sz="0" w:space="0" w:color="auto"/>
                        <w:bottom w:val="none" w:sz="0" w:space="0" w:color="auto"/>
                        <w:right w:val="none" w:sz="0" w:space="0" w:color="auto"/>
                      </w:divBdr>
                    </w:div>
                  </w:divsChild>
                </w:div>
                <w:div w:id="1779761325">
                  <w:marLeft w:val="0"/>
                  <w:marRight w:val="0"/>
                  <w:marTop w:val="0"/>
                  <w:marBottom w:val="0"/>
                  <w:divBdr>
                    <w:top w:val="none" w:sz="0" w:space="0" w:color="auto"/>
                    <w:left w:val="none" w:sz="0" w:space="0" w:color="auto"/>
                    <w:bottom w:val="none" w:sz="0" w:space="0" w:color="auto"/>
                    <w:right w:val="none" w:sz="0" w:space="0" w:color="auto"/>
                  </w:divBdr>
                  <w:divsChild>
                    <w:div w:id="1035423242">
                      <w:marLeft w:val="0"/>
                      <w:marRight w:val="0"/>
                      <w:marTop w:val="0"/>
                      <w:marBottom w:val="0"/>
                      <w:divBdr>
                        <w:top w:val="none" w:sz="0" w:space="0" w:color="auto"/>
                        <w:left w:val="none" w:sz="0" w:space="0" w:color="auto"/>
                        <w:bottom w:val="none" w:sz="0" w:space="0" w:color="auto"/>
                        <w:right w:val="none" w:sz="0" w:space="0" w:color="auto"/>
                      </w:divBdr>
                    </w:div>
                  </w:divsChild>
                </w:div>
                <w:div w:id="1779906787">
                  <w:marLeft w:val="0"/>
                  <w:marRight w:val="0"/>
                  <w:marTop w:val="0"/>
                  <w:marBottom w:val="0"/>
                  <w:divBdr>
                    <w:top w:val="none" w:sz="0" w:space="0" w:color="auto"/>
                    <w:left w:val="none" w:sz="0" w:space="0" w:color="auto"/>
                    <w:bottom w:val="none" w:sz="0" w:space="0" w:color="auto"/>
                    <w:right w:val="none" w:sz="0" w:space="0" w:color="auto"/>
                  </w:divBdr>
                  <w:divsChild>
                    <w:div w:id="880900734">
                      <w:marLeft w:val="0"/>
                      <w:marRight w:val="0"/>
                      <w:marTop w:val="0"/>
                      <w:marBottom w:val="0"/>
                      <w:divBdr>
                        <w:top w:val="none" w:sz="0" w:space="0" w:color="auto"/>
                        <w:left w:val="none" w:sz="0" w:space="0" w:color="auto"/>
                        <w:bottom w:val="none" w:sz="0" w:space="0" w:color="auto"/>
                        <w:right w:val="none" w:sz="0" w:space="0" w:color="auto"/>
                      </w:divBdr>
                    </w:div>
                  </w:divsChild>
                </w:div>
                <w:div w:id="1802070107">
                  <w:marLeft w:val="0"/>
                  <w:marRight w:val="0"/>
                  <w:marTop w:val="0"/>
                  <w:marBottom w:val="0"/>
                  <w:divBdr>
                    <w:top w:val="none" w:sz="0" w:space="0" w:color="auto"/>
                    <w:left w:val="none" w:sz="0" w:space="0" w:color="auto"/>
                    <w:bottom w:val="none" w:sz="0" w:space="0" w:color="auto"/>
                    <w:right w:val="none" w:sz="0" w:space="0" w:color="auto"/>
                  </w:divBdr>
                  <w:divsChild>
                    <w:div w:id="1139112968">
                      <w:marLeft w:val="0"/>
                      <w:marRight w:val="0"/>
                      <w:marTop w:val="0"/>
                      <w:marBottom w:val="0"/>
                      <w:divBdr>
                        <w:top w:val="none" w:sz="0" w:space="0" w:color="auto"/>
                        <w:left w:val="none" w:sz="0" w:space="0" w:color="auto"/>
                        <w:bottom w:val="none" w:sz="0" w:space="0" w:color="auto"/>
                        <w:right w:val="none" w:sz="0" w:space="0" w:color="auto"/>
                      </w:divBdr>
                    </w:div>
                  </w:divsChild>
                </w:div>
                <w:div w:id="1808010233">
                  <w:marLeft w:val="0"/>
                  <w:marRight w:val="0"/>
                  <w:marTop w:val="0"/>
                  <w:marBottom w:val="0"/>
                  <w:divBdr>
                    <w:top w:val="none" w:sz="0" w:space="0" w:color="auto"/>
                    <w:left w:val="none" w:sz="0" w:space="0" w:color="auto"/>
                    <w:bottom w:val="none" w:sz="0" w:space="0" w:color="auto"/>
                    <w:right w:val="none" w:sz="0" w:space="0" w:color="auto"/>
                  </w:divBdr>
                  <w:divsChild>
                    <w:div w:id="38165510">
                      <w:marLeft w:val="0"/>
                      <w:marRight w:val="0"/>
                      <w:marTop w:val="0"/>
                      <w:marBottom w:val="0"/>
                      <w:divBdr>
                        <w:top w:val="none" w:sz="0" w:space="0" w:color="auto"/>
                        <w:left w:val="none" w:sz="0" w:space="0" w:color="auto"/>
                        <w:bottom w:val="none" w:sz="0" w:space="0" w:color="auto"/>
                        <w:right w:val="none" w:sz="0" w:space="0" w:color="auto"/>
                      </w:divBdr>
                    </w:div>
                  </w:divsChild>
                </w:div>
                <w:div w:id="1811627202">
                  <w:marLeft w:val="0"/>
                  <w:marRight w:val="0"/>
                  <w:marTop w:val="0"/>
                  <w:marBottom w:val="0"/>
                  <w:divBdr>
                    <w:top w:val="none" w:sz="0" w:space="0" w:color="auto"/>
                    <w:left w:val="none" w:sz="0" w:space="0" w:color="auto"/>
                    <w:bottom w:val="none" w:sz="0" w:space="0" w:color="auto"/>
                    <w:right w:val="none" w:sz="0" w:space="0" w:color="auto"/>
                  </w:divBdr>
                  <w:divsChild>
                    <w:div w:id="322048367">
                      <w:marLeft w:val="0"/>
                      <w:marRight w:val="0"/>
                      <w:marTop w:val="0"/>
                      <w:marBottom w:val="0"/>
                      <w:divBdr>
                        <w:top w:val="none" w:sz="0" w:space="0" w:color="auto"/>
                        <w:left w:val="none" w:sz="0" w:space="0" w:color="auto"/>
                        <w:bottom w:val="none" w:sz="0" w:space="0" w:color="auto"/>
                        <w:right w:val="none" w:sz="0" w:space="0" w:color="auto"/>
                      </w:divBdr>
                    </w:div>
                  </w:divsChild>
                </w:div>
                <w:div w:id="1815564973">
                  <w:marLeft w:val="0"/>
                  <w:marRight w:val="0"/>
                  <w:marTop w:val="0"/>
                  <w:marBottom w:val="0"/>
                  <w:divBdr>
                    <w:top w:val="none" w:sz="0" w:space="0" w:color="auto"/>
                    <w:left w:val="none" w:sz="0" w:space="0" w:color="auto"/>
                    <w:bottom w:val="none" w:sz="0" w:space="0" w:color="auto"/>
                    <w:right w:val="none" w:sz="0" w:space="0" w:color="auto"/>
                  </w:divBdr>
                  <w:divsChild>
                    <w:div w:id="1250848528">
                      <w:marLeft w:val="0"/>
                      <w:marRight w:val="0"/>
                      <w:marTop w:val="0"/>
                      <w:marBottom w:val="0"/>
                      <w:divBdr>
                        <w:top w:val="none" w:sz="0" w:space="0" w:color="auto"/>
                        <w:left w:val="none" w:sz="0" w:space="0" w:color="auto"/>
                        <w:bottom w:val="none" w:sz="0" w:space="0" w:color="auto"/>
                        <w:right w:val="none" w:sz="0" w:space="0" w:color="auto"/>
                      </w:divBdr>
                    </w:div>
                  </w:divsChild>
                </w:div>
                <w:div w:id="1815639867">
                  <w:marLeft w:val="0"/>
                  <w:marRight w:val="0"/>
                  <w:marTop w:val="0"/>
                  <w:marBottom w:val="0"/>
                  <w:divBdr>
                    <w:top w:val="none" w:sz="0" w:space="0" w:color="auto"/>
                    <w:left w:val="none" w:sz="0" w:space="0" w:color="auto"/>
                    <w:bottom w:val="none" w:sz="0" w:space="0" w:color="auto"/>
                    <w:right w:val="none" w:sz="0" w:space="0" w:color="auto"/>
                  </w:divBdr>
                  <w:divsChild>
                    <w:div w:id="1775592331">
                      <w:marLeft w:val="0"/>
                      <w:marRight w:val="0"/>
                      <w:marTop w:val="0"/>
                      <w:marBottom w:val="0"/>
                      <w:divBdr>
                        <w:top w:val="none" w:sz="0" w:space="0" w:color="auto"/>
                        <w:left w:val="none" w:sz="0" w:space="0" w:color="auto"/>
                        <w:bottom w:val="none" w:sz="0" w:space="0" w:color="auto"/>
                        <w:right w:val="none" w:sz="0" w:space="0" w:color="auto"/>
                      </w:divBdr>
                    </w:div>
                  </w:divsChild>
                </w:div>
                <w:div w:id="1842575671">
                  <w:marLeft w:val="0"/>
                  <w:marRight w:val="0"/>
                  <w:marTop w:val="0"/>
                  <w:marBottom w:val="0"/>
                  <w:divBdr>
                    <w:top w:val="none" w:sz="0" w:space="0" w:color="auto"/>
                    <w:left w:val="none" w:sz="0" w:space="0" w:color="auto"/>
                    <w:bottom w:val="none" w:sz="0" w:space="0" w:color="auto"/>
                    <w:right w:val="none" w:sz="0" w:space="0" w:color="auto"/>
                  </w:divBdr>
                  <w:divsChild>
                    <w:div w:id="1284733109">
                      <w:marLeft w:val="0"/>
                      <w:marRight w:val="0"/>
                      <w:marTop w:val="0"/>
                      <w:marBottom w:val="0"/>
                      <w:divBdr>
                        <w:top w:val="none" w:sz="0" w:space="0" w:color="auto"/>
                        <w:left w:val="none" w:sz="0" w:space="0" w:color="auto"/>
                        <w:bottom w:val="none" w:sz="0" w:space="0" w:color="auto"/>
                        <w:right w:val="none" w:sz="0" w:space="0" w:color="auto"/>
                      </w:divBdr>
                    </w:div>
                  </w:divsChild>
                </w:div>
                <w:div w:id="1859615430">
                  <w:marLeft w:val="0"/>
                  <w:marRight w:val="0"/>
                  <w:marTop w:val="0"/>
                  <w:marBottom w:val="0"/>
                  <w:divBdr>
                    <w:top w:val="none" w:sz="0" w:space="0" w:color="auto"/>
                    <w:left w:val="none" w:sz="0" w:space="0" w:color="auto"/>
                    <w:bottom w:val="none" w:sz="0" w:space="0" w:color="auto"/>
                    <w:right w:val="none" w:sz="0" w:space="0" w:color="auto"/>
                  </w:divBdr>
                  <w:divsChild>
                    <w:div w:id="287779849">
                      <w:marLeft w:val="0"/>
                      <w:marRight w:val="0"/>
                      <w:marTop w:val="0"/>
                      <w:marBottom w:val="0"/>
                      <w:divBdr>
                        <w:top w:val="none" w:sz="0" w:space="0" w:color="auto"/>
                        <w:left w:val="none" w:sz="0" w:space="0" w:color="auto"/>
                        <w:bottom w:val="none" w:sz="0" w:space="0" w:color="auto"/>
                        <w:right w:val="none" w:sz="0" w:space="0" w:color="auto"/>
                      </w:divBdr>
                    </w:div>
                  </w:divsChild>
                </w:div>
                <w:div w:id="1860856011">
                  <w:marLeft w:val="0"/>
                  <w:marRight w:val="0"/>
                  <w:marTop w:val="0"/>
                  <w:marBottom w:val="0"/>
                  <w:divBdr>
                    <w:top w:val="none" w:sz="0" w:space="0" w:color="auto"/>
                    <w:left w:val="none" w:sz="0" w:space="0" w:color="auto"/>
                    <w:bottom w:val="none" w:sz="0" w:space="0" w:color="auto"/>
                    <w:right w:val="none" w:sz="0" w:space="0" w:color="auto"/>
                  </w:divBdr>
                  <w:divsChild>
                    <w:div w:id="401562546">
                      <w:marLeft w:val="0"/>
                      <w:marRight w:val="0"/>
                      <w:marTop w:val="0"/>
                      <w:marBottom w:val="0"/>
                      <w:divBdr>
                        <w:top w:val="none" w:sz="0" w:space="0" w:color="auto"/>
                        <w:left w:val="none" w:sz="0" w:space="0" w:color="auto"/>
                        <w:bottom w:val="none" w:sz="0" w:space="0" w:color="auto"/>
                        <w:right w:val="none" w:sz="0" w:space="0" w:color="auto"/>
                      </w:divBdr>
                    </w:div>
                  </w:divsChild>
                </w:div>
                <w:div w:id="1871381162">
                  <w:marLeft w:val="0"/>
                  <w:marRight w:val="0"/>
                  <w:marTop w:val="0"/>
                  <w:marBottom w:val="0"/>
                  <w:divBdr>
                    <w:top w:val="none" w:sz="0" w:space="0" w:color="auto"/>
                    <w:left w:val="none" w:sz="0" w:space="0" w:color="auto"/>
                    <w:bottom w:val="none" w:sz="0" w:space="0" w:color="auto"/>
                    <w:right w:val="none" w:sz="0" w:space="0" w:color="auto"/>
                  </w:divBdr>
                  <w:divsChild>
                    <w:div w:id="522668490">
                      <w:marLeft w:val="0"/>
                      <w:marRight w:val="0"/>
                      <w:marTop w:val="0"/>
                      <w:marBottom w:val="0"/>
                      <w:divBdr>
                        <w:top w:val="none" w:sz="0" w:space="0" w:color="auto"/>
                        <w:left w:val="none" w:sz="0" w:space="0" w:color="auto"/>
                        <w:bottom w:val="none" w:sz="0" w:space="0" w:color="auto"/>
                        <w:right w:val="none" w:sz="0" w:space="0" w:color="auto"/>
                      </w:divBdr>
                    </w:div>
                  </w:divsChild>
                </w:div>
                <w:div w:id="1884054541">
                  <w:marLeft w:val="0"/>
                  <w:marRight w:val="0"/>
                  <w:marTop w:val="0"/>
                  <w:marBottom w:val="0"/>
                  <w:divBdr>
                    <w:top w:val="none" w:sz="0" w:space="0" w:color="auto"/>
                    <w:left w:val="none" w:sz="0" w:space="0" w:color="auto"/>
                    <w:bottom w:val="none" w:sz="0" w:space="0" w:color="auto"/>
                    <w:right w:val="none" w:sz="0" w:space="0" w:color="auto"/>
                  </w:divBdr>
                  <w:divsChild>
                    <w:div w:id="57871951">
                      <w:marLeft w:val="0"/>
                      <w:marRight w:val="0"/>
                      <w:marTop w:val="0"/>
                      <w:marBottom w:val="0"/>
                      <w:divBdr>
                        <w:top w:val="none" w:sz="0" w:space="0" w:color="auto"/>
                        <w:left w:val="none" w:sz="0" w:space="0" w:color="auto"/>
                        <w:bottom w:val="none" w:sz="0" w:space="0" w:color="auto"/>
                        <w:right w:val="none" w:sz="0" w:space="0" w:color="auto"/>
                      </w:divBdr>
                    </w:div>
                  </w:divsChild>
                </w:div>
                <w:div w:id="1886212152">
                  <w:marLeft w:val="0"/>
                  <w:marRight w:val="0"/>
                  <w:marTop w:val="0"/>
                  <w:marBottom w:val="0"/>
                  <w:divBdr>
                    <w:top w:val="none" w:sz="0" w:space="0" w:color="auto"/>
                    <w:left w:val="none" w:sz="0" w:space="0" w:color="auto"/>
                    <w:bottom w:val="none" w:sz="0" w:space="0" w:color="auto"/>
                    <w:right w:val="none" w:sz="0" w:space="0" w:color="auto"/>
                  </w:divBdr>
                  <w:divsChild>
                    <w:div w:id="1475832676">
                      <w:marLeft w:val="0"/>
                      <w:marRight w:val="0"/>
                      <w:marTop w:val="0"/>
                      <w:marBottom w:val="0"/>
                      <w:divBdr>
                        <w:top w:val="none" w:sz="0" w:space="0" w:color="auto"/>
                        <w:left w:val="none" w:sz="0" w:space="0" w:color="auto"/>
                        <w:bottom w:val="none" w:sz="0" w:space="0" w:color="auto"/>
                        <w:right w:val="none" w:sz="0" w:space="0" w:color="auto"/>
                      </w:divBdr>
                    </w:div>
                  </w:divsChild>
                </w:div>
                <w:div w:id="1896769762">
                  <w:marLeft w:val="0"/>
                  <w:marRight w:val="0"/>
                  <w:marTop w:val="0"/>
                  <w:marBottom w:val="0"/>
                  <w:divBdr>
                    <w:top w:val="none" w:sz="0" w:space="0" w:color="auto"/>
                    <w:left w:val="none" w:sz="0" w:space="0" w:color="auto"/>
                    <w:bottom w:val="none" w:sz="0" w:space="0" w:color="auto"/>
                    <w:right w:val="none" w:sz="0" w:space="0" w:color="auto"/>
                  </w:divBdr>
                  <w:divsChild>
                    <w:div w:id="845243592">
                      <w:marLeft w:val="0"/>
                      <w:marRight w:val="0"/>
                      <w:marTop w:val="0"/>
                      <w:marBottom w:val="0"/>
                      <w:divBdr>
                        <w:top w:val="none" w:sz="0" w:space="0" w:color="auto"/>
                        <w:left w:val="none" w:sz="0" w:space="0" w:color="auto"/>
                        <w:bottom w:val="none" w:sz="0" w:space="0" w:color="auto"/>
                        <w:right w:val="none" w:sz="0" w:space="0" w:color="auto"/>
                      </w:divBdr>
                    </w:div>
                  </w:divsChild>
                </w:div>
                <w:div w:id="1905872560">
                  <w:marLeft w:val="0"/>
                  <w:marRight w:val="0"/>
                  <w:marTop w:val="0"/>
                  <w:marBottom w:val="0"/>
                  <w:divBdr>
                    <w:top w:val="none" w:sz="0" w:space="0" w:color="auto"/>
                    <w:left w:val="none" w:sz="0" w:space="0" w:color="auto"/>
                    <w:bottom w:val="none" w:sz="0" w:space="0" w:color="auto"/>
                    <w:right w:val="none" w:sz="0" w:space="0" w:color="auto"/>
                  </w:divBdr>
                  <w:divsChild>
                    <w:div w:id="1520198582">
                      <w:marLeft w:val="0"/>
                      <w:marRight w:val="0"/>
                      <w:marTop w:val="0"/>
                      <w:marBottom w:val="0"/>
                      <w:divBdr>
                        <w:top w:val="none" w:sz="0" w:space="0" w:color="auto"/>
                        <w:left w:val="none" w:sz="0" w:space="0" w:color="auto"/>
                        <w:bottom w:val="none" w:sz="0" w:space="0" w:color="auto"/>
                        <w:right w:val="none" w:sz="0" w:space="0" w:color="auto"/>
                      </w:divBdr>
                    </w:div>
                  </w:divsChild>
                </w:div>
                <w:div w:id="1910576372">
                  <w:marLeft w:val="0"/>
                  <w:marRight w:val="0"/>
                  <w:marTop w:val="0"/>
                  <w:marBottom w:val="0"/>
                  <w:divBdr>
                    <w:top w:val="none" w:sz="0" w:space="0" w:color="auto"/>
                    <w:left w:val="none" w:sz="0" w:space="0" w:color="auto"/>
                    <w:bottom w:val="none" w:sz="0" w:space="0" w:color="auto"/>
                    <w:right w:val="none" w:sz="0" w:space="0" w:color="auto"/>
                  </w:divBdr>
                  <w:divsChild>
                    <w:div w:id="1448425292">
                      <w:marLeft w:val="0"/>
                      <w:marRight w:val="0"/>
                      <w:marTop w:val="0"/>
                      <w:marBottom w:val="0"/>
                      <w:divBdr>
                        <w:top w:val="none" w:sz="0" w:space="0" w:color="auto"/>
                        <w:left w:val="none" w:sz="0" w:space="0" w:color="auto"/>
                        <w:bottom w:val="none" w:sz="0" w:space="0" w:color="auto"/>
                        <w:right w:val="none" w:sz="0" w:space="0" w:color="auto"/>
                      </w:divBdr>
                    </w:div>
                  </w:divsChild>
                </w:div>
                <w:div w:id="1910647677">
                  <w:marLeft w:val="0"/>
                  <w:marRight w:val="0"/>
                  <w:marTop w:val="0"/>
                  <w:marBottom w:val="0"/>
                  <w:divBdr>
                    <w:top w:val="none" w:sz="0" w:space="0" w:color="auto"/>
                    <w:left w:val="none" w:sz="0" w:space="0" w:color="auto"/>
                    <w:bottom w:val="none" w:sz="0" w:space="0" w:color="auto"/>
                    <w:right w:val="none" w:sz="0" w:space="0" w:color="auto"/>
                  </w:divBdr>
                  <w:divsChild>
                    <w:div w:id="1472793967">
                      <w:marLeft w:val="0"/>
                      <w:marRight w:val="0"/>
                      <w:marTop w:val="0"/>
                      <w:marBottom w:val="0"/>
                      <w:divBdr>
                        <w:top w:val="none" w:sz="0" w:space="0" w:color="auto"/>
                        <w:left w:val="none" w:sz="0" w:space="0" w:color="auto"/>
                        <w:bottom w:val="none" w:sz="0" w:space="0" w:color="auto"/>
                        <w:right w:val="none" w:sz="0" w:space="0" w:color="auto"/>
                      </w:divBdr>
                    </w:div>
                  </w:divsChild>
                </w:div>
                <w:div w:id="1918394709">
                  <w:marLeft w:val="0"/>
                  <w:marRight w:val="0"/>
                  <w:marTop w:val="0"/>
                  <w:marBottom w:val="0"/>
                  <w:divBdr>
                    <w:top w:val="none" w:sz="0" w:space="0" w:color="auto"/>
                    <w:left w:val="none" w:sz="0" w:space="0" w:color="auto"/>
                    <w:bottom w:val="none" w:sz="0" w:space="0" w:color="auto"/>
                    <w:right w:val="none" w:sz="0" w:space="0" w:color="auto"/>
                  </w:divBdr>
                  <w:divsChild>
                    <w:div w:id="325399942">
                      <w:marLeft w:val="0"/>
                      <w:marRight w:val="0"/>
                      <w:marTop w:val="0"/>
                      <w:marBottom w:val="0"/>
                      <w:divBdr>
                        <w:top w:val="none" w:sz="0" w:space="0" w:color="auto"/>
                        <w:left w:val="none" w:sz="0" w:space="0" w:color="auto"/>
                        <w:bottom w:val="none" w:sz="0" w:space="0" w:color="auto"/>
                        <w:right w:val="none" w:sz="0" w:space="0" w:color="auto"/>
                      </w:divBdr>
                    </w:div>
                  </w:divsChild>
                </w:div>
                <w:div w:id="1923444046">
                  <w:marLeft w:val="0"/>
                  <w:marRight w:val="0"/>
                  <w:marTop w:val="0"/>
                  <w:marBottom w:val="0"/>
                  <w:divBdr>
                    <w:top w:val="none" w:sz="0" w:space="0" w:color="auto"/>
                    <w:left w:val="none" w:sz="0" w:space="0" w:color="auto"/>
                    <w:bottom w:val="none" w:sz="0" w:space="0" w:color="auto"/>
                    <w:right w:val="none" w:sz="0" w:space="0" w:color="auto"/>
                  </w:divBdr>
                  <w:divsChild>
                    <w:div w:id="1586760824">
                      <w:marLeft w:val="0"/>
                      <w:marRight w:val="0"/>
                      <w:marTop w:val="0"/>
                      <w:marBottom w:val="0"/>
                      <w:divBdr>
                        <w:top w:val="none" w:sz="0" w:space="0" w:color="auto"/>
                        <w:left w:val="none" w:sz="0" w:space="0" w:color="auto"/>
                        <w:bottom w:val="none" w:sz="0" w:space="0" w:color="auto"/>
                        <w:right w:val="none" w:sz="0" w:space="0" w:color="auto"/>
                      </w:divBdr>
                    </w:div>
                  </w:divsChild>
                </w:div>
                <w:div w:id="1926839977">
                  <w:marLeft w:val="0"/>
                  <w:marRight w:val="0"/>
                  <w:marTop w:val="0"/>
                  <w:marBottom w:val="0"/>
                  <w:divBdr>
                    <w:top w:val="none" w:sz="0" w:space="0" w:color="auto"/>
                    <w:left w:val="none" w:sz="0" w:space="0" w:color="auto"/>
                    <w:bottom w:val="none" w:sz="0" w:space="0" w:color="auto"/>
                    <w:right w:val="none" w:sz="0" w:space="0" w:color="auto"/>
                  </w:divBdr>
                  <w:divsChild>
                    <w:div w:id="1986615982">
                      <w:marLeft w:val="0"/>
                      <w:marRight w:val="0"/>
                      <w:marTop w:val="0"/>
                      <w:marBottom w:val="0"/>
                      <w:divBdr>
                        <w:top w:val="none" w:sz="0" w:space="0" w:color="auto"/>
                        <w:left w:val="none" w:sz="0" w:space="0" w:color="auto"/>
                        <w:bottom w:val="none" w:sz="0" w:space="0" w:color="auto"/>
                        <w:right w:val="none" w:sz="0" w:space="0" w:color="auto"/>
                      </w:divBdr>
                    </w:div>
                  </w:divsChild>
                </w:div>
                <w:div w:id="1932859684">
                  <w:marLeft w:val="0"/>
                  <w:marRight w:val="0"/>
                  <w:marTop w:val="0"/>
                  <w:marBottom w:val="0"/>
                  <w:divBdr>
                    <w:top w:val="none" w:sz="0" w:space="0" w:color="auto"/>
                    <w:left w:val="none" w:sz="0" w:space="0" w:color="auto"/>
                    <w:bottom w:val="none" w:sz="0" w:space="0" w:color="auto"/>
                    <w:right w:val="none" w:sz="0" w:space="0" w:color="auto"/>
                  </w:divBdr>
                  <w:divsChild>
                    <w:div w:id="2121799434">
                      <w:marLeft w:val="0"/>
                      <w:marRight w:val="0"/>
                      <w:marTop w:val="0"/>
                      <w:marBottom w:val="0"/>
                      <w:divBdr>
                        <w:top w:val="none" w:sz="0" w:space="0" w:color="auto"/>
                        <w:left w:val="none" w:sz="0" w:space="0" w:color="auto"/>
                        <w:bottom w:val="none" w:sz="0" w:space="0" w:color="auto"/>
                        <w:right w:val="none" w:sz="0" w:space="0" w:color="auto"/>
                      </w:divBdr>
                    </w:div>
                  </w:divsChild>
                </w:div>
                <w:div w:id="1933196995">
                  <w:marLeft w:val="0"/>
                  <w:marRight w:val="0"/>
                  <w:marTop w:val="0"/>
                  <w:marBottom w:val="0"/>
                  <w:divBdr>
                    <w:top w:val="none" w:sz="0" w:space="0" w:color="auto"/>
                    <w:left w:val="none" w:sz="0" w:space="0" w:color="auto"/>
                    <w:bottom w:val="none" w:sz="0" w:space="0" w:color="auto"/>
                    <w:right w:val="none" w:sz="0" w:space="0" w:color="auto"/>
                  </w:divBdr>
                  <w:divsChild>
                    <w:div w:id="1786148054">
                      <w:marLeft w:val="0"/>
                      <w:marRight w:val="0"/>
                      <w:marTop w:val="0"/>
                      <w:marBottom w:val="0"/>
                      <w:divBdr>
                        <w:top w:val="none" w:sz="0" w:space="0" w:color="auto"/>
                        <w:left w:val="none" w:sz="0" w:space="0" w:color="auto"/>
                        <w:bottom w:val="none" w:sz="0" w:space="0" w:color="auto"/>
                        <w:right w:val="none" w:sz="0" w:space="0" w:color="auto"/>
                      </w:divBdr>
                    </w:div>
                  </w:divsChild>
                </w:div>
                <w:div w:id="1952469433">
                  <w:marLeft w:val="0"/>
                  <w:marRight w:val="0"/>
                  <w:marTop w:val="0"/>
                  <w:marBottom w:val="0"/>
                  <w:divBdr>
                    <w:top w:val="none" w:sz="0" w:space="0" w:color="auto"/>
                    <w:left w:val="none" w:sz="0" w:space="0" w:color="auto"/>
                    <w:bottom w:val="none" w:sz="0" w:space="0" w:color="auto"/>
                    <w:right w:val="none" w:sz="0" w:space="0" w:color="auto"/>
                  </w:divBdr>
                  <w:divsChild>
                    <w:div w:id="305859191">
                      <w:marLeft w:val="0"/>
                      <w:marRight w:val="0"/>
                      <w:marTop w:val="0"/>
                      <w:marBottom w:val="0"/>
                      <w:divBdr>
                        <w:top w:val="none" w:sz="0" w:space="0" w:color="auto"/>
                        <w:left w:val="none" w:sz="0" w:space="0" w:color="auto"/>
                        <w:bottom w:val="none" w:sz="0" w:space="0" w:color="auto"/>
                        <w:right w:val="none" w:sz="0" w:space="0" w:color="auto"/>
                      </w:divBdr>
                    </w:div>
                  </w:divsChild>
                </w:div>
                <w:div w:id="1957246434">
                  <w:marLeft w:val="0"/>
                  <w:marRight w:val="0"/>
                  <w:marTop w:val="0"/>
                  <w:marBottom w:val="0"/>
                  <w:divBdr>
                    <w:top w:val="none" w:sz="0" w:space="0" w:color="auto"/>
                    <w:left w:val="none" w:sz="0" w:space="0" w:color="auto"/>
                    <w:bottom w:val="none" w:sz="0" w:space="0" w:color="auto"/>
                    <w:right w:val="none" w:sz="0" w:space="0" w:color="auto"/>
                  </w:divBdr>
                  <w:divsChild>
                    <w:div w:id="1188711242">
                      <w:marLeft w:val="0"/>
                      <w:marRight w:val="0"/>
                      <w:marTop w:val="0"/>
                      <w:marBottom w:val="0"/>
                      <w:divBdr>
                        <w:top w:val="none" w:sz="0" w:space="0" w:color="auto"/>
                        <w:left w:val="none" w:sz="0" w:space="0" w:color="auto"/>
                        <w:bottom w:val="none" w:sz="0" w:space="0" w:color="auto"/>
                        <w:right w:val="none" w:sz="0" w:space="0" w:color="auto"/>
                      </w:divBdr>
                    </w:div>
                  </w:divsChild>
                </w:div>
                <w:div w:id="1990137166">
                  <w:marLeft w:val="0"/>
                  <w:marRight w:val="0"/>
                  <w:marTop w:val="0"/>
                  <w:marBottom w:val="0"/>
                  <w:divBdr>
                    <w:top w:val="none" w:sz="0" w:space="0" w:color="auto"/>
                    <w:left w:val="none" w:sz="0" w:space="0" w:color="auto"/>
                    <w:bottom w:val="none" w:sz="0" w:space="0" w:color="auto"/>
                    <w:right w:val="none" w:sz="0" w:space="0" w:color="auto"/>
                  </w:divBdr>
                  <w:divsChild>
                    <w:div w:id="1593665466">
                      <w:marLeft w:val="0"/>
                      <w:marRight w:val="0"/>
                      <w:marTop w:val="0"/>
                      <w:marBottom w:val="0"/>
                      <w:divBdr>
                        <w:top w:val="none" w:sz="0" w:space="0" w:color="auto"/>
                        <w:left w:val="none" w:sz="0" w:space="0" w:color="auto"/>
                        <w:bottom w:val="none" w:sz="0" w:space="0" w:color="auto"/>
                        <w:right w:val="none" w:sz="0" w:space="0" w:color="auto"/>
                      </w:divBdr>
                    </w:div>
                  </w:divsChild>
                </w:div>
                <w:div w:id="2028747129">
                  <w:marLeft w:val="0"/>
                  <w:marRight w:val="0"/>
                  <w:marTop w:val="0"/>
                  <w:marBottom w:val="0"/>
                  <w:divBdr>
                    <w:top w:val="none" w:sz="0" w:space="0" w:color="auto"/>
                    <w:left w:val="none" w:sz="0" w:space="0" w:color="auto"/>
                    <w:bottom w:val="none" w:sz="0" w:space="0" w:color="auto"/>
                    <w:right w:val="none" w:sz="0" w:space="0" w:color="auto"/>
                  </w:divBdr>
                  <w:divsChild>
                    <w:div w:id="1773696925">
                      <w:marLeft w:val="0"/>
                      <w:marRight w:val="0"/>
                      <w:marTop w:val="0"/>
                      <w:marBottom w:val="0"/>
                      <w:divBdr>
                        <w:top w:val="none" w:sz="0" w:space="0" w:color="auto"/>
                        <w:left w:val="none" w:sz="0" w:space="0" w:color="auto"/>
                        <w:bottom w:val="none" w:sz="0" w:space="0" w:color="auto"/>
                        <w:right w:val="none" w:sz="0" w:space="0" w:color="auto"/>
                      </w:divBdr>
                    </w:div>
                  </w:divsChild>
                </w:div>
                <w:div w:id="2039119525">
                  <w:marLeft w:val="0"/>
                  <w:marRight w:val="0"/>
                  <w:marTop w:val="0"/>
                  <w:marBottom w:val="0"/>
                  <w:divBdr>
                    <w:top w:val="none" w:sz="0" w:space="0" w:color="auto"/>
                    <w:left w:val="none" w:sz="0" w:space="0" w:color="auto"/>
                    <w:bottom w:val="none" w:sz="0" w:space="0" w:color="auto"/>
                    <w:right w:val="none" w:sz="0" w:space="0" w:color="auto"/>
                  </w:divBdr>
                  <w:divsChild>
                    <w:div w:id="1352145488">
                      <w:marLeft w:val="0"/>
                      <w:marRight w:val="0"/>
                      <w:marTop w:val="0"/>
                      <w:marBottom w:val="0"/>
                      <w:divBdr>
                        <w:top w:val="none" w:sz="0" w:space="0" w:color="auto"/>
                        <w:left w:val="none" w:sz="0" w:space="0" w:color="auto"/>
                        <w:bottom w:val="none" w:sz="0" w:space="0" w:color="auto"/>
                        <w:right w:val="none" w:sz="0" w:space="0" w:color="auto"/>
                      </w:divBdr>
                    </w:div>
                  </w:divsChild>
                </w:div>
                <w:div w:id="2049530747">
                  <w:marLeft w:val="0"/>
                  <w:marRight w:val="0"/>
                  <w:marTop w:val="0"/>
                  <w:marBottom w:val="0"/>
                  <w:divBdr>
                    <w:top w:val="none" w:sz="0" w:space="0" w:color="auto"/>
                    <w:left w:val="none" w:sz="0" w:space="0" w:color="auto"/>
                    <w:bottom w:val="none" w:sz="0" w:space="0" w:color="auto"/>
                    <w:right w:val="none" w:sz="0" w:space="0" w:color="auto"/>
                  </w:divBdr>
                  <w:divsChild>
                    <w:div w:id="192154134">
                      <w:marLeft w:val="0"/>
                      <w:marRight w:val="0"/>
                      <w:marTop w:val="0"/>
                      <w:marBottom w:val="0"/>
                      <w:divBdr>
                        <w:top w:val="none" w:sz="0" w:space="0" w:color="auto"/>
                        <w:left w:val="none" w:sz="0" w:space="0" w:color="auto"/>
                        <w:bottom w:val="none" w:sz="0" w:space="0" w:color="auto"/>
                        <w:right w:val="none" w:sz="0" w:space="0" w:color="auto"/>
                      </w:divBdr>
                    </w:div>
                  </w:divsChild>
                </w:div>
                <w:div w:id="2074624620">
                  <w:marLeft w:val="0"/>
                  <w:marRight w:val="0"/>
                  <w:marTop w:val="0"/>
                  <w:marBottom w:val="0"/>
                  <w:divBdr>
                    <w:top w:val="none" w:sz="0" w:space="0" w:color="auto"/>
                    <w:left w:val="none" w:sz="0" w:space="0" w:color="auto"/>
                    <w:bottom w:val="none" w:sz="0" w:space="0" w:color="auto"/>
                    <w:right w:val="none" w:sz="0" w:space="0" w:color="auto"/>
                  </w:divBdr>
                  <w:divsChild>
                    <w:div w:id="570384057">
                      <w:marLeft w:val="0"/>
                      <w:marRight w:val="0"/>
                      <w:marTop w:val="0"/>
                      <w:marBottom w:val="0"/>
                      <w:divBdr>
                        <w:top w:val="none" w:sz="0" w:space="0" w:color="auto"/>
                        <w:left w:val="none" w:sz="0" w:space="0" w:color="auto"/>
                        <w:bottom w:val="none" w:sz="0" w:space="0" w:color="auto"/>
                        <w:right w:val="none" w:sz="0" w:space="0" w:color="auto"/>
                      </w:divBdr>
                    </w:div>
                  </w:divsChild>
                </w:div>
                <w:div w:id="2075154280">
                  <w:marLeft w:val="0"/>
                  <w:marRight w:val="0"/>
                  <w:marTop w:val="0"/>
                  <w:marBottom w:val="0"/>
                  <w:divBdr>
                    <w:top w:val="none" w:sz="0" w:space="0" w:color="auto"/>
                    <w:left w:val="none" w:sz="0" w:space="0" w:color="auto"/>
                    <w:bottom w:val="none" w:sz="0" w:space="0" w:color="auto"/>
                    <w:right w:val="none" w:sz="0" w:space="0" w:color="auto"/>
                  </w:divBdr>
                  <w:divsChild>
                    <w:div w:id="161045023">
                      <w:marLeft w:val="0"/>
                      <w:marRight w:val="0"/>
                      <w:marTop w:val="0"/>
                      <w:marBottom w:val="0"/>
                      <w:divBdr>
                        <w:top w:val="none" w:sz="0" w:space="0" w:color="auto"/>
                        <w:left w:val="none" w:sz="0" w:space="0" w:color="auto"/>
                        <w:bottom w:val="none" w:sz="0" w:space="0" w:color="auto"/>
                        <w:right w:val="none" w:sz="0" w:space="0" w:color="auto"/>
                      </w:divBdr>
                    </w:div>
                  </w:divsChild>
                </w:div>
                <w:div w:id="2083478667">
                  <w:marLeft w:val="0"/>
                  <w:marRight w:val="0"/>
                  <w:marTop w:val="0"/>
                  <w:marBottom w:val="0"/>
                  <w:divBdr>
                    <w:top w:val="none" w:sz="0" w:space="0" w:color="auto"/>
                    <w:left w:val="none" w:sz="0" w:space="0" w:color="auto"/>
                    <w:bottom w:val="none" w:sz="0" w:space="0" w:color="auto"/>
                    <w:right w:val="none" w:sz="0" w:space="0" w:color="auto"/>
                  </w:divBdr>
                  <w:divsChild>
                    <w:div w:id="1076174840">
                      <w:marLeft w:val="0"/>
                      <w:marRight w:val="0"/>
                      <w:marTop w:val="0"/>
                      <w:marBottom w:val="0"/>
                      <w:divBdr>
                        <w:top w:val="none" w:sz="0" w:space="0" w:color="auto"/>
                        <w:left w:val="none" w:sz="0" w:space="0" w:color="auto"/>
                        <w:bottom w:val="none" w:sz="0" w:space="0" w:color="auto"/>
                        <w:right w:val="none" w:sz="0" w:space="0" w:color="auto"/>
                      </w:divBdr>
                    </w:div>
                  </w:divsChild>
                </w:div>
                <w:div w:id="2108768102">
                  <w:marLeft w:val="0"/>
                  <w:marRight w:val="0"/>
                  <w:marTop w:val="0"/>
                  <w:marBottom w:val="0"/>
                  <w:divBdr>
                    <w:top w:val="none" w:sz="0" w:space="0" w:color="auto"/>
                    <w:left w:val="none" w:sz="0" w:space="0" w:color="auto"/>
                    <w:bottom w:val="none" w:sz="0" w:space="0" w:color="auto"/>
                    <w:right w:val="none" w:sz="0" w:space="0" w:color="auto"/>
                  </w:divBdr>
                  <w:divsChild>
                    <w:div w:id="2013096817">
                      <w:marLeft w:val="0"/>
                      <w:marRight w:val="0"/>
                      <w:marTop w:val="0"/>
                      <w:marBottom w:val="0"/>
                      <w:divBdr>
                        <w:top w:val="none" w:sz="0" w:space="0" w:color="auto"/>
                        <w:left w:val="none" w:sz="0" w:space="0" w:color="auto"/>
                        <w:bottom w:val="none" w:sz="0" w:space="0" w:color="auto"/>
                        <w:right w:val="none" w:sz="0" w:space="0" w:color="auto"/>
                      </w:divBdr>
                    </w:div>
                  </w:divsChild>
                </w:div>
                <w:div w:id="2131970999">
                  <w:marLeft w:val="0"/>
                  <w:marRight w:val="0"/>
                  <w:marTop w:val="0"/>
                  <w:marBottom w:val="0"/>
                  <w:divBdr>
                    <w:top w:val="none" w:sz="0" w:space="0" w:color="auto"/>
                    <w:left w:val="none" w:sz="0" w:space="0" w:color="auto"/>
                    <w:bottom w:val="none" w:sz="0" w:space="0" w:color="auto"/>
                    <w:right w:val="none" w:sz="0" w:space="0" w:color="auto"/>
                  </w:divBdr>
                  <w:divsChild>
                    <w:div w:id="1255091957">
                      <w:marLeft w:val="0"/>
                      <w:marRight w:val="0"/>
                      <w:marTop w:val="0"/>
                      <w:marBottom w:val="0"/>
                      <w:divBdr>
                        <w:top w:val="none" w:sz="0" w:space="0" w:color="auto"/>
                        <w:left w:val="none" w:sz="0" w:space="0" w:color="auto"/>
                        <w:bottom w:val="none" w:sz="0" w:space="0" w:color="auto"/>
                        <w:right w:val="none" w:sz="0" w:space="0" w:color="auto"/>
                      </w:divBdr>
                    </w:div>
                  </w:divsChild>
                </w:div>
                <w:div w:id="2137984889">
                  <w:marLeft w:val="0"/>
                  <w:marRight w:val="0"/>
                  <w:marTop w:val="0"/>
                  <w:marBottom w:val="0"/>
                  <w:divBdr>
                    <w:top w:val="none" w:sz="0" w:space="0" w:color="auto"/>
                    <w:left w:val="none" w:sz="0" w:space="0" w:color="auto"/>
                    <w:bottom w:val="none" w:sz="0" w:space="0" w:color="auto"/>
                    <w:right w:val="none" w:sz="0" w:space="0" w:color="auto"/>
                  </w:divBdr>
                  <w:divsChild>
                    <w:div w:id="573244913">
                      <w:marLeft w:val="0"/>
                      <w:marRight w:val="0"/>
                      <w:marTop w:val="0"/>
                      <w:marBottom w:val="0"/>
                      <w:divBdr>
                        <w:top w:val="none" w:sz="0" w:space="0" w:color="auto"/>
                        <w:left w:val="none" w:sz="0" w:space="0" w:color="auto"/>
                        <w:bottom w:val="none" w:sz="0" w:space="0" w:color="auto"/>
                        <w:right w:val="none" w:sz="0" w:space="0" w:color="auto"/>
                      </w:divBdr>
                    </w:div>
                  </w:divsChild>
                </w:div>
                <w:div w:id="2141801421">
                  <w:marLeft w:val="0"/>
                  <w:marRight w:val="0"/>
                  <w:marTop w:val="0"/>
                  <w:marBottom w:val="0"/>
                  <w:divBdr>
                    <w:top w:val="none" w:sz="0" w:space="0" w:color="auto"/>
                    <w:left w:val="none" w:sz="0" w:space="0" w:color="auto"/>
                    <w:bottom w:val="none" w:sz="0" w:space="0" w:color="auto"/>
                    <w:right w:val="none" w:sz="0" w:space="0" w:color="auto"/>
                  </w:divBdr>
                  <w:divsChild>
                    <w:div w:id="1508713908">
                      <w:marLeft w:val="0"/>
                      <w:marRight w:val="0"/>
                      <w:marTop w:val="0"/>
                      <w:marBottom w:val="0"/>
                      <w:divBdr>
                        <w:top w:val="none" w:sz="0" w:space="0" w:color="auto"/>
                        <w:left w:val="none" w:sz="0" w:space="0" w:color="auto"/>
                        <w:bottom w:val="none" w:sz="0" w:space="0" w:color="auto"/>
                        <w:right w:val="none" w:sz="0" w:space="0" w:color="auto"/>
                      </w:divBdr>
                    </w:div>
                  </w:divsChild>
                </w:div>
                <w:div w:id="2142072904">
                  <w:marLeft w:val="0"/>
                  <w:marRight w:val="0"/>
                  <w:marTop w:val="0"/>
                  <w:marBottom w:val="0"/>
                  <w:divBdr>
                    <w:top w:val="none" w:sz="0" w:space="0" w:color="auto"/>
                    <w:left w:val="none" w:sz="0" w:space="0" w:color="auto"/>
                    <w:bottom w:val="none" w:sz="0" w:space="0" w:color="auto"/>
                    <w:right w:val="none" w:sz="0" w:space="0" w:color="auto"/>
                  </w:divBdr>
                  <w:divsChild>
                    <w:div w:id="1907253999">
                      <w:marLeft w:val="0"/>
                      <w:marRight w:val="0"/>
                      <w:marTop w:val="0"/>
                      <w:marBottom w:val="0"/>
                      <w:divBdr>
                        <w:top w:val="none" w:sz="0" w:space="0" w:color="auto"/>
                        <w:left w:val="none" w:sz="0" w:space="0" w:color="auto"/>
                        <w:bottom w:val="none" w:sz="0" w:space="0" w:color="auto"/>
                        <w:right w:val="none" w:sz="0" w:space="0" w:color="auto"/>
                      </w:divBdr>
                    </w:div>
                  </w:divsChild>
                </w:div>
                <w:div w:id="2142503041">
                  <w:marLeft w:val="0"/>
                  <w:marRight w:val="0"/>
                  <w:marTop w:val="0"/>
                  <w:marBottom w:val="0"/>
                  <w:divBdr>
                    <w:top w:val="none" w:sz="0" w:space="0" w:color="auto"/>
                    <w:left w:val="none" w:sz="0" w:space="0" w:color="auto"/>
                    <w:bottom w:val="none" w:sz="0" w:space="0" w:color="auto"/>
                    <w:right w:val="none" w:sz="0" w:space="0" w:color="auto"/>
                  </w:divBdr>
                  <w:divsChild>
                    <w:div w:id="24021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12898">
          <w:marLeft w:val="0"/>
          <w:marRight w:val="0"/>
          <w:marTop w:val="0"/>
          <w:marBottom w:val="0"/>
          <w:divBdr>
            <w:top w:val="none" w:sz="0" w:space="0" w:color="auto"/>
            <w:left w:val="none" w:sz="0" w:space="0" w:color="auto"/>
            <w:bottom w:val="none" w:sz="0" w:space="0" w:color="auto"/>
            <w:right w:val="none" w:sz="0" w:space="0" w:color="auto"/>
          </w:divBdr>
        </w:div>
        <w:div w:id="876434687">
          <w:marLeft w:val="0"/>
          <w:marRight w:val="0"/>
          <w:marTop w:val="0"/>
          <w:marBottom w:val="0"/>
          <w:divBdr>
            <w:top w:val="none" w:sz="0" w:space="0" w:color="auto"/>
            <w:left w:val="none" w:sz="0" w:space="0" w:color="auto"/>
            <w:bottom w:val="none" w:sz="0" w:space="0" w:color="auto"/>
            <w:right w:val="none" w:sz="0" w:space="0" w:color="auto"/>
          </w:divBdr>
        </w:div>
        <w:div w:id="900215726">
          <w:marLeft w:val="0"/>
          <w:marRight w:val="0"/>
          <w:marTop w:val="0"/>
          <w:marBottom w:val="0"/>
          <w:divBdr>
            <w:top w:val="none" w:sz="0" w:space="0" w:color="auto"/>
            <w:left w:val="none" w:sz="0" w:space="0" w:color="auto"/>
            <w:bottom w:val="none" w:sz="0" w:space="0" w:color="auto"/>
            <w:right w:val="none" w:sz="0" w:space="0" w:color="auto"/>
          </w:divBdr>
        </w:div>
        <w:div w:id="1048800602">
          <w:marLeft w:val="0"/>
          <w:marRight w:val="0"/>
          <w:marTop w:val="0"/>
          <w:marBottom w:val="0"/>
          <w:divBdr>
            <w:top w:val="none" w:sz="0" w:space="0" w:color="auto"/>
            <w:left w:val="none" w:sz="0" w:space="0" w:color="auto"/>
            <w:bottom w:val="none" w:sz="0" w:space="0" w:color="auto"/>
            <w:right w:val="none" w:sz="0" w:space="0" w:color="auto"/>
          </w:divBdr>
        </w:div>
        <w:div w:id="1757676749">
          <w:marLeft w:val="0"/>
          <w:marRight w:val="0"/>
          <w:marTop w:val="0"/>
          <w:marBottom w:val="0"/>
          <w:divBdr>
            <w:top w:val="none" w:sz="0" w:space="0" w:color="auto"/>
            <w:left w:val="none" w:sz="0" w:space="0" w:color="auto"/>
            <w:bottom w:val="none" w:sz="0" w:space="0" w:color="auto"/>
            <w:right w:val="none" w:sz="0" w:space="0" w:color="auto"/>
          </w:divBdr>
        </w:div>
        <w:div w:id="2030180015">
          <w:marLeft w:val="0"/>
          <w:marRight w:val="0"/>
          <w:marTop w:val="0"/>
          <w:marBottom w:val="0"/>
          <w:divBdr>
            <w:top w:val="none" w:sz="0" w:space="0" w:color="auto"/>
            <w:left w:val="none" w:sz="0" w:space="0" w:color="auto"/>
            <w:bottom w:val="none" w:sz="0" w:space="0" w:color="auto"/>
            <w:right w:val="none" w:sz="0" w:space="0" w:color="auto"/>
          </w:divBdr>
        </w:div>
      </w:divsChild>
    </w:div>
    <w:div w:id="417676037">
      <w:bodyDiv w:val="1"/>
      <w:marLeft w:val="0"/>
      <w:marRight w:val="0"/>
      <w:marTop w:val="0"/>
      <w:marBottom w:val="0"/>
      <w:divBdr>
        <w:top w:val="none" w:sz="0" w:space="0" w:color="auto"/>
        <w:left w:val="none" w:sz="0" w:space="0" w:color="auto"/>
        <w:bottom w:val="none" w:sz="0" w:space="0" w:color="auto"/>
        <w:right w:val="none" w:sz="0" w:space="0" w:color="auto"/>
      </w:divBdr>
    </w:div>
    <w:div w:id="440688888">
      <w:bodyDiv w:val="1"/>
      <w:marLeft w:val="0"/>
      <w:marRight w:val="0"/>
      <w:marTop w:val="0"/>
      <w:marBottom w:val="0"/>
      <w:divBdr>
        <w:top w:val="none" w:sz="0" w:space="0" w:color="auto"/>
        <w:left w:val="none" w:sz="0" w:space="0" w:color="auto"/>
        <w:bottom w:val="none" w:sz="0" w:space="0" w:color="auto"/>
        <w:right w:val="none" w:sz="0" w:space="0" w:color="auto"/>
      </w:divBdr>
    </w:div>
    <w:div w:id="454301435">
      <w:bodyDiv w:val="1"/>
      <w:marLeft w:val="0"/>
      <w:marRight w:val="0"/>
      <w:marTop w:val="0"/>
      <w:marBottom w:val="0"/>
      <w:divBdr>
        <w:top w:val="none" w:sz="0" w:space="0" w:color="auto"/>
        <w:left w:val="none" w:sz="0" w:space="0" w:color="auto"/>
        <w:bottom w:val="none" w:sz="0" w:space="0" w:color="auto"/>
        <w:right w:val="none" w:sz="0" w:space="0" w:color="auto"/>
      </w:divBdr>
      <w:divsChild>
        <w:div w:id="613631262">
          <w:marLeft w:val="0"/>
          <w:marRight w:val="0"/>
          <w:marTop w:val="0"/>
          <w:marBottom w:val="0"/>
          <w:divBdr>
            <w:top w:val="none" w:sz="0" w:space="0" w:color="auto"/>
            <w:left w:val="none" w:sz="0" w:space="0" w:color="auto"/>
            <w:bottom w:val="none" w:sz="0" w:space="0" w:color="auto"/>
            <w:right w:val="none" w:sz="0" w:space="0" w:color="auto"/>
          </w:divBdr>
        </w:div>
      </w:divsChild>
    </w:div>
    <w:div w:id="456073954">
      <w:bodyDiv w:val="1"/>
      <w:marLeft w:val="0"/>
      <w:marRight w:val="0"/>
      <w:marTop w:val="0"/>
      <w:marBottom w:val="0"/>
      <w:divBdr>
        <w:top w:val="none" w:sz="0" w:space="0" w:color="auto"/>
        <w:left w:val="none" w:sz="0" w:space="0" w:color="auto"/>
        <w:bottom w:val="none" w:sz="0" w:space="0" w:color="auto"/>
        <w:right w:val="none" w:sz="0" w:space="0" w:color="auto"/>
      </w:divBdr>
      <w:divsChild>
        <w:div w:id="1069572506">
          <w:marLeft w:val="0"/>
          <w:marRight w:val="0"/>
          <w:marTop w:val="0"/>
          <w:marBottom w:val="0"/>
          <w:divBdr>
            <w:top w:val="none" w:sz="0" w:space="0" w:color="auto"/>
            <w:left w:val="none" w:sz="0" w:space="0" w:color="auto"/>
            <w:bottom w:val="none" w:sz="0" w:space="0" w:color="auto"/>
            <w:right w:val="none" w:sz="0" w:space="0" w:color="auto"/>
          </w:divBdr>
        </w:div>
        <w:div w:id="1128011425">
          <w:marLeft w:val="0"/>
          <w:marRight w:val="0"/>
          <w:marTop w:val="0"/>
          <w:marBottom w:val="0"/>
          <w:divBdr>
            <w:top w:val="none" w:sz="0" w:space="0" w:color="auto"/>
            <w:left w:val="none" w:sz="0" w:space="0" w:color="auto"/>
            <w:bottom w:val="none" w:sz="0" w:space="0" w:color="auto"/>
            <w:right w:val="none" w:sz="0" w:space="0" w:color="auto"/>
          </w:divBdr>
        </w:div>
        <w:div w:id="1901675641">
          <w:marLeft w:val="0"/>
          <w:marRight w:val="0"/>
          <w:marTop w:val="0"/>
          <w:marBottom w:val="0"/>
          <w:divBdr>
            <w:top w:val="none" w:sz="0" w:space="0" w:color="auto"/>
            <w:left w:val="none" w:sz="0" w:space="0" w:color="auto"/>
            <w:bottom w:val="none" w:sz="0" w:space="0" w:color="auto"/>
            <w:right w:val="none" w:sz="0" w:space="0" w:color="auto"/>
          </w:divBdr>
        </w:div>
        <w:div w:id="1933780881">
          <w:marLeft w:val="0"/>
          <w:marRight w:val="0"/>
          <w:marTop w:val="0"/>
          <w:marBottom w:val="0"/>
          <w:divBdr>
            <w:top w:val="none" w:sz="0" w:space="0" w:color="auto"/>
            <w:left w:val="none" w:sz="0" w:space="0" w:color="auto"/>
            <w:bottom w:val="none" w:sz="0" w:space="0" w:color="auto"/>
            <w:right w:val="none" w:sz="0" w:space="0" w:color="auto"/>
          </w:divBdr>
        </w:div>
        <w:div w:id="2026520464">
          <w:marLeft w:val="0"/>
          <w:marRight w:val="0"/>
          <w:marTop w:val="0"/>
          <w:marBottom w:val="0"/>
          <w:divBdr>
            <w:top w:val="none" w:sz="0" w:space="0" w:color="auto"/>
            <w:left w:val="none" w:sz="0" w:space="0" w:color="auto"/>
            <w:bottom w:val="none" w:sz="0" w:space="0" w:color="auto"/>
            <w:right w:val="none" w:sz="0" w:space="0" w:color="auto"/>
          </w:divBdr>
        </w:div>
      </w:divsChild>
    </w:div>
    <w:div w:id="485436210">
      <w:bodyDiv w:val="1"/>
      <w:marLeft w:val="0"/>
      <w:marRight w:val="0"/>
      <w:marTop w:val="0"/>
      <w:marBottom w:val="0"/>
      <w:divBdr>
        <w:top w:val="none" w:sz="0" w:space="0" w:color="auto"/>
        <w:left w:val="none" w:sz="0" w:space="0" w:color="auto"/>
        <w:bottom w:val="none" w:sz="0" w:space="0" w:color="auto"/>
        <w:right w:val="none" w:sz="0" w:space="0" w:color="auto"/>
      </w:divBdr>
      <w:divsChild>
        <w:div w:id="991450862">
          <w:marLeft w:val="0"/>
          <w:marRight w:val="0"/>
          <w:marTop w:val="0"/>
          <w:marBottom w:val="0"/>
          <w:divBdr>
            <w:top w:val="none" w:sz="0" w:space="0" w:color="auto"/>
            <w:left w:val="none" w:sz="0" w:space="0" w:color="auto"/>
            <w:bottom w:val="none" w:sz="0" w:space="0" w:color="auto"/>
            <w:right w:val="none" w:sz="0" w:space="0" w:color="auto"/>
          </w:divBdr>
        </w:div>
        <w:div w:id="1643578813">
          <w:marLeft w:val="0"/>
          <w:marRight w:val="0"/>
          <w:marTop w:val="0"/>
          <w:marBottom w:val="0"/>
          <w:divBdr>
            <w:top w:val="none" w:sz="0" w:space="0" w:color="auto"/>
            <w:left w:val="none" w:sz="0" w:space="0" w:color="auto"/>
            <w:bottom w:val="none" w:sz="0" w:space="0" w:color="auto"/>
            <w:right w:val="none" w:sz="0" w:space="0" w:color="auto"/>
          </w:divBdr>
        </w:div>
      </w:divsChild>
    </w:div>
    <w:div w:id="506480265">
      <w:bodyDiv w:val="1"/>
      <w:marLeft w:val="0"/>
      <w:marRight w:val="0"/>
      <w:marTop w:val="0"/>
      <w:marBottom w:val="0"/>
      <w:divBdr>
        <w:top w:val="none" w:sz="0" w:space="0" w:color="auto"/>
        <w:left w:val="none" w:sz="0" w:space="0" w:color="auto"/>
        <w:bottom w:val="none" w:sz="0" w:space="0" w:color="auto"/>
        <w:right w:val="none" w:sz="0" w:space="0" w:color="auto"/>
      </w:divBdr>
    </w:div>
    <w:div w:id="520439865">
      <w:bodyDiv w:val="1"/>
      <w:marLeft w:val="0"/>
      <w:marRight w:val="0"/>
      <w:marTop w:val="0"/>
      <w:marBottom w:val="0"/>
      <w:divBdr>
        <w:top w:val="none" w:sz="0" w:space="0" w:color="auto"/>
        <w:left w:val="none" w:sz="0" w:space="0" w:color="auto"/>
        <w:bottom w:val="none" w:sz="0" w:space="0" w:color="auto"/>
        <w:right w:val="none" w:sz="0" w:space="0" w:color="auto"/>
      </w:divBdr>
    </w:div>
    <w:div w:id="549924621">
      <w:bodyDiv w:val="1"/>
      <w:marLeft w:val="0"/>
      <w:marRight w:val="0"/>
      <w:marTop w:val="0"/>
      <w:marBottom w:val="0"/>
      <w:divBdr>
        <w:top w:val="none" w:sz="0" w:space="0" w:color="auto"/>
        <w:left w:val="none" w:sz="0" w:space="0" w:color="auto"/>
        <w:bottom w:val="none" w:sz="0" w:space="0" w:color="auto"/>
        <w:right w:val="none" w:sz="0" w:space="0" w:color="auto"/>
      </w:divBdr>
    </w:div>
    <w:div w:id="559755347">
      <w:bodyDiv w:val="1"/>
      <w:marLeft w:val="0"/>
      <w:marRight w:val="0"/>
      <w:marTop w:val="0"/>
      <w:marBottom w:val="0"/>
      <w:divBdr>
        <w:top w:val="none" w:sz="0" w:space="0" w:color="auto"/>
        <w:left w:val="none" w:sz="0" w:space="0" w:color="auto"/>
        <w:bottom w:val="none" w:sz="0" w:space="0" w:color="auto"/>
        <w:right w:val="none" w:sz="0" w:space="0" w:color="auto"/>
      </w:divBdr>
    </w:div>
    <w:div w:id="572086810">
      <w:bodyDiv w:val="1"/>
      <w:marLeft w:val="0"/>
      <w:marRight w:val="0"/>
      <w:marTop w:val="0"/>
      <w:marBottom w:val="0"/>
      <w:divBdr>
        <w:top w:val="none" w:sz="0" w:space="0" w:color="auto"/>
        <w:left w:val="none" w:sz="0" w:space="0" w:color="auto"/>
        <w:bottom w:val="none" w:sz="0" w:space="0" w:color="auto"/>
        <w:right w:val="none" w:sz="0" w:space="0" w:color="auto"/>
      </w:divBdr>
    </w:div>
    <w:div w:id="606160949">
      <w:bodyDiv w:val="1"/>
      <w:marLeft w:val="0"/>
      <w:marRight w:val="0"/>
      <w:marTop w:val="0"/>
      <w:marBottom w:val="0"/>
      <w:divBdr>
        <w:top w:val="none" w:sz="0" w:space="0" w:color="auto"/>
        <w:left w:val="none" w:sz="0" w:space="0" w:color="auto"/>
        <w:bottom w:val="none" w:sz="0" w:space="0" w:color="auto"/>
        <w:right w:val="none" w:sz="0" w:space="0" w:color="auto"/>
      </w:divBdr>
    </w:div>
    <w:div w:id="612521862">
      <w:bodyDiv w:val="1"/>
      <w:marLeft w:val="0"/>
      <w:marRight w:val="0"/>
      <w:marTop w:val="0"/>
      <w:marBottom w:val="0"/>
      <w:divBdr>
        <w:top w:val="none" w:sz="0" w:space="0" w:color="auto"/>
        <w:left w:val="none" w:sz="0" w:space="0" w:color="auto"/>
        <w:bottom w:val="none" w:sz="0" w:space="0" w:color="auto"/>
        <w:right w:val="none" w:sz="0" w:space="0" w:color="auto"/>
      </w:divBdr>
    </w:div>
    <w:div w:id="657465624">
      <w:bodyDiv w:val="1"/>
      <w:marLeft w:val="0"/>
      <w:marRight w:val="0"/>
      <w:marTop w:val="0"/>
      <w:marBottom w:val="0"/>
      <w:divBdr>
        <w:top w:val="none" w:sz="0" w:space="0" w:color="auto"/>
        <w:left w:val="none" w:sz="0" w:space="0" w:color="auto"/>
        <w:bottom w:val="none" w:sz="0" w:space="0" w:color="auto"/>
        <w:right w:val="none" w:sz="0" w:space="0" w:color="auto"/>
      </w:divBdr>
    </w:div>
    <w:div w:id="658851946">
      <w:bodyDiv w:val="1"/>
      <w:marLeft w:val="0"/>
      <w:marRight w:val="0"/>
      <w:marTop w:val="0"/>
      <w:marBottom w:val="0"/>
      <w:divBdr>
        <w:top w:val="none" w:sz="0" w:space="0" w:color="auto"/>
        <w:left w:val="none" w:sz="0" w:space="0" w:color="auto"/>
        <w:bottom w:val="none" w:sz="0" w:space="0" w:color="auto"/>
        <w:right w:val="none" w:sz="0" w:space="0" w:color="auto"/>
      </w:divBdr>
    </w:div>
    <w:div w:id="660155197">
      <w:bodyDiv w:val="1"/>
      <w:marLeft w:val="0"/>
      <w:marRight w:val="0"/>
      <w:marTop w:val="0"/>
      <w:marBottom w:val="0"/>
      <w:divBdr>
        <w:top w:val="none" w:sz="0" w:space="0" w:color="auto"/>
        <w:left w:val="none" w:sz="0" w:space="0" w:color="auto"/>
        <w:bottom w:val="none" w:sz="0" w:space="0" w:color="auto"/>
        <w:right w:val="none" w:sz="0" w:space="0" w:color="auto"/>
      </w:divBdr>
    </w:div>
    <w:div w:id="684669397">
      <w:bodyDiv w:val="1"/>
      <w:marLeft w:val="0"/>
      <w:marRight w:val="0"/>
      <w:marTop w:val="0"/>
      <w:marBottom w:val="0"/>
      <w:divBdr>
        <w:top w:val="none" w:sz="0" w:space="0" w:color="auto"/>
        <w:left w:val="none" w:sz="0" w:space="0" w:color="auto"/>
        <w:bottom w:val="none" w:sz="0" w:space="0" w:color="auto"/>
        <w:right w:val="none" w:sz="0" w:space="0" w:color="auto"/>
      </w:divBdr>
    </w:div>
    <w:div w:id="721683742">
      <w:bodyDiv w:val="1"/>
      <w:marLeft w:val="0"/>
      <w:marRight w:val="0"/>
      <w:marTop w:val="0"/>
      <w:marBottom w:val="0"/>
      <w:divBdr>
        <w:top w:val="none" w:sz="0" w:space="0" w:color="auto"/>
        <w:left w:val="none" w:sz="0" w:space="0" w:color="auto"/>
        <w:bottom w:val="none" w:sz="0" w:space="0" w:color="auto"/>
        <w:right w:val="none" w:sz="0" w:space="0" w:color="auto"/>
      </w:divBdr>
      <w:divsChild>
        <w:div w:id="111558466">
          <w:marLeft w:val="0"/>
          <w:marRight w:val="0"/>
          <w:marTop w:val="0"/>
          <w:marBottom w:val="0"/>
          <w:divBdr>
            <w:top w:val="none" w:sz="0" w:space="0" w:color="auto"/>
            <w:left w:val="none" w:sz="0" w:space="0" w:color="auto"/>
            <w:bottom w:val="none" w:sz="0" w:space="0" w:color="auto"/>
            <w:right w:val="none" w:sz="0" w:space="0" w:color="auto"/>
          </w:divBdr>
        </w:div>
        <w:div w:id="244456192">
          <w:marLeft w:val="0"/>
          <w:marRight w:val="0"/>
          <w:marTop w:val="0"/>
          <w:marBottom w:val="0"/>
          <w:divBdr>
            <w:top w:val="none" w:sz="0" w:space="0" w:color="auto"/>
            <w:left w:val="none" w:sz="0" w:space="0" w:color="auto"/>
            <w:bottom w:val="none" w:sz="0" w:space="0" w:color="auto"/>
            <w:right w:val="none" w:sz="0" w:space="0" w:color="auto"/>
          </w:divBdr>
        </w:div>
        <w:div w:id="284822152">
          <w:marLeft w:val="0"/>
          <w:marRight w:val="0"/>
          <w:marTop w:val="0"/>
          <w:marBottom w:val="0"/>
          <w:divBdr>
            <w:top w:val="none" w:sz="0" w:space="0" w:color="auto"/>
            <w:left w:val="none" w:sz="0" w:space="0" w:color="auto"/>
            <w:bottom w:val="none" w:sz="0" w:space="0" w:color="auto"/>
            <w:right w:val="none" w:sz="0" w:space="0" w:color="auto"/>
          </w:divBdr>
        </w:div>
        <w:div w:id="290945764">
          <w:marLeft w:val="0"/>
          <w:marRight w:val="0"/>
          <w:marTop w:val="0"/>
          <w:marBottom w:val="0"/>
          <w:divBdr>
            <w:top w:val="none" w:sz="0" w:space="0" w:color="auto"/>
            <w:left w:val="none" w:sz="0" w:space="0" w:color="auto"/>
            <w:bottom w:val="none" w:sz="0" w:space="0" w:color="auto"/>
            <w:right w:val="none" w:sz="0" w:space="0" w:color="auto"/>
          </w:divBdr>
        </w:div>
        <w:div w:id="319311004">
          <w:marLeft w:val="0"/>
          <w:marRight w:val="0"/>
          <w:marTop w:val="0"/>
          <w:marBottom w:val="0"/>
          <w:divBdr>
            <w:top w:val="none" w:sz="0" w:space="0" w:color="auto"/>
            <w:left w:val="none" w:sz="0" w:space="0" w:color="auto"/>
            <w:bottom w:val="none" w:sz="0" w:space="0" w:color="auto"/>
            <w:right w:val="none" w:sz="0" w:space="0" w:color="auto"/>
          </w:divBdr>
        </w:div>
        <w:div w:id="404574274">
          <w:marLeft w:val="0"/>
          <w:marRight w:val="0"/>
          <w:marTop w:val="0"/>
          <w:marBottom w:val="0"/>
          <w:divBdr>
            <w:top w:val="none" w:sz="0" w:space="0" w:color="auto"/>
            <w:left w:val="none" w:sz="0" w:space="0" w:color="auto"/>
            <w:bottom w:val="none" w:sz="0" w:space="0" w:color="auto"/>
            <w:right w:val="none" w:sz="0" w:space="0" w:color="auto"/>
          </w:divBdr>
        </w:div>
        <w:div w:id="463235313">
          <w:marLeft w:val="0"/>
          <w:marRight w:val="0"/>
          <w:marTop w:val="0"/>
          <w:marBottom w:val="0"/>
          <w:divBdr>
            <w:top w:val="none" w:sz="0" w:space="0" w:color="auto"/>
            <w:left w:val="none" w:sz="0" w:space="0" w:color="auto"/>
            <w:bottom w:val="none" w:sz="0" w:space="0" w:color="auto"/>
            <w:right w:val="none" w:sz="0" w:space="0" w:color="auto"/>
          </w:divBdr>
        </w:div>
        <w:div w:id="477724276">
          <w:marLeft w:val="0"/>
          <w:marRight w:val="0"/>
          <w:marTop w:val="0"/>
          <w:marBottom w:val="0"/>
          <w:divBdr>
            <w:top w:val="none" w:sz="0" w:space="0" w:color="auto"/>
            <w:left w:val="none" w:sz="0" w:space="0" w:color="auto"/>
            <w:bottom w:val="none" w:sz="0" w:space="0" w:color="auto"/>
            <w:right w:val="none" w:sz="0" w:space="0" w:color="auto"/>
          </w:divBdr>
        </w:div>
        <w:div w:id="541941646">
          <w:marLeft w:val="0"/>
          <w:marRight w:val="0"/>
          <w:marTop w:val="0"/>
          <w:marBottom w:val="0"/>
          <w:divBdr>
            <w:top w:val="none" w:sz="0" w:space="0" w:color="auto"/>
            <w:left w:val="none" w:sz="0" w:space="0" w:color="auto"/>
            <w:bottom w:val="none" w:sz="0" w:space="0" w:color="auto"/>
            <w:right w:val="none" w:sz="0" w:space="0" w:color="auto"/>
          </w:divBdr>
        </w:div>
        <w:div w:id="560018879">
          <w:marLeft w:val="0"/>
          <w:marRight w:val="0"/>
          <w:marTop w:val="0"/>
          <w:marBottom w:val="0"/>
          <w:divBdr>
            <w:top w:val="none" w:sz="0" w:space="0" w:color="auto"/>
            <w:left w:val="none" w:sz="0" w:space="0" w:color="auto"/>
            <w:bottom w:val="none" w:sz="0" w:space="0" w:color="auto"/>
            <w:right w:val="none" w:sz="0" w:space="0" w:color="auto"/>
          </w:divBdr>
        </w:div>
        <w:div w:id="577176943">
          <w:marLeft w:val="0"/>
          <w:marRight w:val="0"/>
          <w:marTop w:val="0"/>
          <w:marBottom w:val="0"/>
          <w:divBdr>
            <w:top w:val="none" w:sz="0" w:space="0" w:color="auto"/>
            <w:left w:val="none" w:sz="0" w:space="0" w:color="auto"/>
            <w:bottom w:val="none" w:sz="0" w:space="0" w:color="auto"/>
            <w:right w:val="none" w:sz="0" w:space="0" w:color="auto"/>
          </w:divBdr>
        </w:div>
        <w:div w:id="647318230">
          <w:marLeft w:val="0"/>
          <w:marRight w:val="0"/>
          <w:marTop w:val="0"/>
          <w:marBottom w:val="0"/>
          <w:divBdr>
            <w:top w:val="none" w:sz="0" w:space="0" w:color="auto"/>
            <w:left w:val="none" w:sz="0" w:space="0" w:color="auto"/>
            <w:bottom w:val="none" w:sz="0" w:space="0" w:color="auto"/>
            <w:right w:val="none" w:sz="0" w:space="0" w:color="auto"/>
          </w:divBdr>
        </w:div>
        <w:div w:id="769350006">
          <w:marLeft w:val="0"/>
          <w:marRight w:val="0"/>
          <w:marTop w:val="0"/>
          <w:marBottom w:val="0"/>
          <w:divBdr>
            <w:top w:val="none" w:sz="0" w:space="0" w:color="auto"/>
            <w:left w:val="none" w:sz="0" w:space="0" w:color="auto"/>
            <w:bottom w:val="none" w:sz="0" w:space="0" w:color="auto"/>
            <w:right w:val="none" w:sz="0" w:space="0" w:color="auto"/>
          </w:divBdr>
        </w:div>
        <w:div w:id="772020523">
          <w:marLeft w:val="0"/>
          <w:marRight w:val="0"/>
          <w:marTop w:val="0"/>
          <w:marBottom w:val="0"/>
          <w:divBdr>
            <w:top w:val="none" w:sz="0" w:space="0" w:color="auto"/>
            <w:left w:val="none" w:sz="0" w:space="0" w:color="auto"/>
            <w:bottom w:val="none" w:sz="0" w:space="0" w:color="auto"/>
            <w:right w:val="none" w:sz="0" w:space="0" w:color="auto"/>
          </w:divBdr>
        </w:div>
        <w:div w:id="773356020">
          <w:marLeft w:val="0"/>
          <w:marRight w:val="0"/>
          <w:marTop w:val="0"/>
          <w:marBottom w:val="0"/>
          <w:divBdr>
            <w:top w:val="none" w:sz="0" w:space="0" w:color="auto"/>
            <w:left w:val="none" w:sz="0" w:space="0" w:color="auto"/>
            <w:bottom w:val="none" w:sz="0" w:space="0" w:color="auto"/>
            <w:right w:val="none" w:sz="0" w:space="0" w:color="auto"/>
          </w:divBdr>
        </w:div>
        <w:div w:id="774444457">
          <w:marLeft w:val="0"/>
          <w:marRight w:val="0"/>
          <w:marTop w:val="0"/>
          <w:marBottom w:val="0"/>
          <w:divBdr>
            <w:top w:val="none" w:sz="0" w:space="0" w:color="auto"/>
            <w:left w:val="none" w:sz="0" w:space="0" w:color="auto"/>
            <w:bottom w:val="none" w:sz="0" w:space="0" w:color="auto"/>
            <w:right w:val="none" w:sz="0" w:space="0" w:color="auto"/>
          </w:divBdr>
        </w:div>
        <w:div w:id="920409744">
          <w:marLeft w:val="0"/>
          <w:marRight w:val="0"/>
          <w:marTop w:val="0"/>
          <w:marBottom w:val="0"/>
          <w:divBdr>
            <w:top w:val="none" w:sz="0" w:space="0" w:color="auto"/>
            <w:left w:val="none" w:sz="0" w:space="0" w:color="auto"/>
            <w:bottom w:val="none" w:sz="0" w:space="0" w:color="auto"/>
            <w:right w:val="none" w:sz="0" w:space="0" w:color="auto"/>
          </w:divBdr>
        </w:div>
        <w:div w:id="997272820">
          <w:marLeft w:val="0"/>
          <w:marRight w:val="0"/>
          <w:marTop w:val="0"/>
          <w:marBottom w:val="0"/>
          <w:divBdr>
            <w:top w:val="none" w:sz="0" w:space="0" w:color="auto"/>
            <w:left w:val="none" w:sz="0" w:space="0" w:color="auto"/>
            <w:bottom w:val="none" w:sz="0" w:space="0" w:color="auto"/>
            <w:right w:val="none" w:sz="0" w:space="0" w:color="auto"/>
          </w:divBdr>
        </w:div>
        <w:div w:id="1427918152">
          <w:marLeft w:val="0"/>
          <w:marRight w:val="0"/>
          <w:marTop w:val="0"/>
          <w:marBottom w:val="0"/>
          <w:divBdr>
            <w:top w:val="none" w:sz="0" w:space="0" w:color="auto"/>
            <w:left w:val="none" w:sz="0" w:space="0" w:color="auto"/>
            <w:bottom w:val="none" w:sz="0" w:space="0" w:color="auto"/>
            <w:right w:val="none" w:sz="0" w:space="0" w:color="auto"/>
          </w:divBdr>
        </w:div>
        <w:div w:id="1615554819">
          <w:marLeft w:val="0"/>
          <w:marRight w:val="0"/>
          <w:marTop w:val="0"/>
          <w:marBottom w:val="0"/>
          <w:divBdr>
            <w:top w:val="none" w:sz="0" w:space="0" w:color="auto"/>
            <w:left w:val="none" w:sz="0" w:space="0" w:color="auto"/>
            <w:bottom w:val="none" w:sz="0" w:space="0" w:color="auto"/>
            <w:right w:val="none" w:sz="0" w:space="0" w:color="auto"/>
          </w:divBdr>
        </w:div>
        <w:div w:id="1639794793">
          <w:marLeft w:val="0"/>
          <w:marRight w:val="0"/>
          <w:marTop w:val="0"/>
          <w:marBottom w:val="0"/>
          <w:divBdr>
            <w:top w:val="none" w:sz="0" w:space="0" w:color="auto"/>
            <w:left w:val="none" w:sz="0" w:space="0" w:color="auto"/>
            <w:bottom w:val="none" w:sz="0" w:space="0" w:color="auto"/>
            <w:right w:val="none" w:sz="0" w:space="0" w:color="auto"/>
          </w:divBdr>
        </w:div>
        <w:div w:id="1677920020">
          <w:marLeft w:val="0"/>
          <w:marRight w:val="0"/>
          <w:marTop w:val="0"/>
          <w:marBottom w:val="0"/>
          <w:divBdr>
            <w:top w:val="none" w:sz="0" w:space="0" w:color="auto"/>
            <w:left w:val="none" w:sz="0" w:space="0" w:color="auto"/>
            <w:bottom w:val="none" w:sz="0" w:space="0" w:color="auto"/>
            <w:right w:val="none" w:sz="0" w:space="0" w:color="auto"/>
          </w:divBdr>
        </w:div>
        <w:div w:id="1738505846">
          <w:marLeft w:val="0"/>
          <w:marRight w:val="0"/>
          <w:marTop w:val="0"/>
          <w:marBottom w:val="0"/>
          <w:divBdr>
            <w:top w:val="none" w:sz="0" w:space="0" w:color="auto"/>
            <w:left w:val="none" w:sz="0" w:space="0" w:color="auto"/>
            <w:bottom w:val="none" w:sz="0" w:space="0" w:color="auto"/>
            <w:right w:val="none" w:sz="0" w:space="0" w:color="auto"/>
          </w:divBdr>
        </w:div>
        <w:div w:id="1764498568">
          <w:marLeft w:val="0"/>
          <w:marRight w:val="0"/>
          <w:marTop w:val="0"/>
          <w:marBottom w:val="0"/>
          <w:divBdr>
            <w:top w:val="none" w:sz="0" w:space="0" w:color="auto"/>
            <w:left w:val="none" w:sz="0" w:space="0" w:color="auto"/>
            <w:bottom w:val="none" w:sz="0" w:space="0" w:color="auto"/>
            <w:right w:val="none" w:sz="0" w:space="0" w:color="auto"/>
          </w:divBdr>
        </w:div>
        <w:div w:id="1829249838">
          <w:marLeft w:val="0"/>
          <w:marRight w:val="0"/>
          <w:marTop w:val="0"/>
          <w:marBottom w:val="0"/>
          <w:divBdr>
            <w:top w:val="none" w:sz="0" w:space="0" w:color="auto"/>
            <w:left w:val="none" w:sz="0" w:space="0" w:color="auto"/>
            <w:bottom w:val="none" w:sz="0" w:space="0" w:color="auto"/>
            <w:right w:val="none" w:sz="0" w:space="0" w:color="auto"/>
          </w:divBdr>
        </w:div>
        <w:div w:id="1968271776">
          <w:marLeft w:val="0"/>
          <w:marRight w:val="0"/>
          <w:marTop w:val="0"/>
          <w:marBottom w:val="0"/>
          <w:divBdr>
            <w:top w:val="none" w:sz="0" w:space="0" w:color="auto"/>
            <w:left w:val="none" w:sz="0" w:space="0" w:color="auto"/>
            <w:bottom w:val="none" w:sz="0" w:space="0" w:color="auto"/>
            <w:right w:val="none" w:sz="0" w:space="0" w:color="auto"/>
          </w:divBdr>
        </w:div>
        <w:div w:id="2012835512">
          <w:marLeft w:val="0"/>
          <w:marRight w:val="0"/>
          <w:marTop w:val="0"/>
          <w:marBottom w:val="0"/>
          <w:divBdr>
            <w:top w:val="none" w:sz="0" w:space="0" w:color="auto"/>
            <w:left w:val="none" w:sz="0" w:space="0" w:color="auto"/>
            <w:bottom w:val="none" w:sz="0" w:space="0" w:color="auto"/>
            <w:right w:val="none" w:sz="0" w:space="0" w:color="auto"/>
          </w:divBdr>
        </w:div>
        <w:div w:id="2049211453">
          <w:marLeft w:val="0"/>
          <w:marRight w:val="0"/>
          <w:marTop w:val="0"/>
          <w:marBottom w:val="0"/>
          <w:divBdr>
            <w:top w:val="none" w:sz="0" w:space="0" w:color="auto"/>
            <w:left w:val="none" w:sz="0" w:space="0" w:color="auto"/>
            <w:bottom w:val="none" w:sz="0" w:space="0" w:color="auto"/>
            <w:right w:val="none" w:sz="0" w:space="0" w:color="auto"/>
          </w:divBdr>
        </w:div>
        <w:div w:id="2077975643">
          <w:marLeft w:val="0"/>
          <w:marRight w:val="0"/>
          <w:marTop w:val="0"/>
          <w:marBottom w:val="0"/>
          <w:divBdr>
            <w:top w:val="none" w:sz="0" w:space="0" w:color="auto"/>
            <w:left w:val="none" w:sz="0" w:space="0" w:color="auto"/>
            <w:bottom w:val="none" w:sz="0" w:space="0" w:color="auto"/>
            <w:right w:val="none" w:sz="0" w:space="0" w:color="auto"/>
          </w:divBdr>
        </w:div>
      </w:divsChild>
    </w:div>
    <w:div w:id="733158612">
      <w:bodyDiv w:val="1"/>
      <w:marLeft w:val="0"/>
      <w:marRight w:val="0"/>
      <w:marTop w:val="0"/>
      <w:marBottom w:val="0"/>
      <w:divBdr>
        <w:top w:val="none" w:sz="0" w:space="0" w:color="auto"/>
        <w:left w:val="none" w:sz="0" w:space="0" w:color="auto"/>
        <w:bottom w:val="none" w:sz="0" w:space="0" w:color="auto"/>
        <w:right w:val="none" w:sz="0" w:space="0" w:color="auto"/>
      </w:divBdr>
      <w:divsChild>
        <w:div w:id="73741281">
          <w:marLeft w:val="0"/>
          <w:marRight w:val="0"/>
          <w:marTop w:val="0"/>
          <w:marBottom w:val="0"/>
          <w:divBdr>
            <w:top w:val="none" w:sz="0" w:space="0" w:color="auto"/>
            <w:left w:val="none" w:sz="0" w:space="0" w:color="auto"/>
            <w:bottom w:val="none" w:sz="0" w:space="0" w:color="auto"/>
            <w:right w:val="none" w:sz="0" w:space="0" w:color="auto"/>
          </w:divBdr>
        </w:div>
        <w:div w:id="109790317">
          <w:marLeft w:val="0"/>
          <w:marRight w:val="0"/>
          <w:marTop w:val="0"/>
          <w:marBottom w:val="0"/>
          <w:divBdr>
            <w:top w:val="none" w:sz="0" w:space="0" w:color="auto"/>
            <w:left w:val="none" w:sz="0" w:space="0" w:color="auto"/>
            <w:bottom w:val="none" w:sz="0" w:space="0" w:color="auto"/>
            <w:right w:val="none" w:sz="0" w:space="0" w:color="auto"/>
          </w:divBdr>
        </w:div>
        <w:div w:id="206991599">
          <w:marLeft w:val="0"/>
          <w:marRight w:val="0"/>
          <w:marTop w:val="0"/>
          <w:marBottom w:val="0"/>
          <w:divBdr>
            <w:top w:val="none" w:sz="0" w:space="0" w:color="auto"/>
            <w:left w:val="none" w:sz="0" w:space="0" w:color="auto"/>
            <w:bottom w:val="none" w:sz="0" w:space="0" w:color="auto"/>
            <w:right w:val="none" w:sz="0" w:space="0" w:color="auto"/>
          </w:divBdr>
        </w:div>
        <w:div w:id="317198133">
          <w:marLeft w:val="0"/>
          <w:marRight w:val="0"/>
          <w:marTop w:val="0"/>
          <w:marBottom w:val="0"/>
          <w:divBdr>
            <w:top w:val="none" w:sz="0" w:space="0" w:color="auto"/>
            <w:left w:val="none" w:sz="0" w:space="0" w:color="auto"/>
            <w:bottom w:val="none" w:sz="0" w:space="0" w:color="auto"/>
            <w:right w:val="none" w:sz="0" w:space="0" w:color="auto"/>
          </w:divBdr>
        </w:div>
        <w:div w:id="318733301">
          <w:marLeft w:val="0"/>
          <w:marRight w:val="0"/>
          <w:marTop w:val="0"/>
          <w:marBottom w:val="0"/>
          <w:divBdr>
            <w:top w:val="none" w:sz="0" w:space="0" w:color="auto"/>
            <w:left w:val="none" w:sz="0" w:space="0" w:color="auto"/>
            <w:bottom w:val="none" w:sz="0" w:space="0" w:color="auto"/>
            <w:right w:val="none" w:sz="0" w:space="0" w:color="auto"/>
          </w:divBdr>
        </w:div>
        <w:div w:id="333579345">
          <w:marLeft w:val="0"/>
          <w:marRight w:val="0"/>
          <w:marTop w:val="0"/>
          <w:marBottom w:val="0"/>
          <w:divBdr>
            <w:top w:val="none" w:sz="0" w:space="0" w:color="auto"/>
            <w:left w:val="none" w:sz="0" w:space="0" w:color="auto"/>
            <w:bottom w:val="none" w:sz="0" w:space="0" w:color="auto"/>
            <w:right w:val="none" w:sz="0" w:space="0" w:color="auto"/>
          </w:divBdr>
          <w:divsChild>
            <w:div w:id="377827622">
              <w:marLeft w:val="0"/>
              <w:marRight w:val="0"/>
              <w:marTop w:val="0"/>
              <w:marBottom w:val="0"/>
              <w:divBdr>
                <w:top w:val="none" w:sz="0" w:space="0" w:color="auto"/>
                <w:left w:val="none" w:sz="0" w:space="0" w:color="auto"/>
                <w:bottom w:val="none" w:sz="0" w:space="0" w:color="auto"/>
                <w:right w:val="none" w:sz="0" w:space="0" w:color="auto"/>
              </w:divBdr>
            </w:div>
            <w:div w:id="604531931">
              <w:marLeft w:val="0"/>
              <w:marRight w:val="0"/>
              <w:marTop w:val="0"/>
              <w:marBottom w:val="0"/>
              <w:divBdr>
                <w:top w:val="none" w:sz="0" w:space="0" w:color="auto"/>
                <w:left w:val="none" w:sz="0" w:space="0" w:color="auto"/>
                <w:bottom w:val="none" w:sz="0" w:space="0" w:color="auto"/>
                <w:right w:val="none" w:sz="0" w:space="0" w:color="auto"/>
              </w:divBdr>
            </w:div>
            <w:div w:id="941760272">
              <w:marLeft w:val="0"/>
              <w:marRight w:val="0"/>
              <w:marTop w:val="0"/>
              <w:marBottom w:val="0"/>
              <w:divBdr>
                <w:top w:val="none" w:sz="0" w:space="0" w:color="auto"/>
                <w:left w:val="none" w:sz="0" w:space="0" w:color="auto"/>
                <w:bottom w:val="none" w:sz="0" w:space="0" w:color="auto"/>
                <w:right w:val="none" w:sz="0" w:space="0" w:color="auto"/>
              </w:divBdr>
            </w:div>
            <w:div w:id="1141117797">
              <w:marLeft w:val="0"/>
              <w:marRight w:val="0"/>
              <w:marTop w:val="0"/>
              <w:marBottom w:val="0"/>
              <w:divBdr>
                <w:top w:val="none" w:sz="0" w:space="0" w:color="auto"/>
                <w:left w:val="none" w:sz="0" w:space="0" w:color="auto"/>
                <w:bottom w:val="none" w:sz="0" w:space="0" w:color="auto"/>
                <w:right w:val="none" w:sz="0" w:space="0" w:color="auto"/>
              </w:divBdr>
            </w:div>
            <w:div w:id="2036425582">
              <w:marLeft w:val="0"/>
              <w:marRight w:val="0"/>
              <w:marTop w:val="0"/>
              <w:marBottom w:val="0"/>
              <w:divBdr>
                <w:top w:val="none" w:sz="0" w:space="0" w:color="auto"/>
                <w:left w:val="none" w:sz="0" w:space="0" w:color="auto"/>
                <w:bottom w:val="none" w:sz="0" w:space="0" w:color="auto"/>
                <w:right w:val="none" w:sz="0" w:space="0" w:color="auto"/>
              </w:divBdr>
            </w:div>
          </w:divsChild>
        </w:div>
        <w:div w:id="354768997">
          <w:marLeft w:val="0"/>
          <w:marRight w:val="0"/>
          <w:marTop w:val="0"/>
          <w:marBottom w:val="0"/>
          <w:divBdr>
            <w:top w:val="none" w:sz="0" w:space="0" w:color="auto"/>
            <w:left w:val="none" w:sz="0" w:space="0" w:color="auto"/>
            <w:bottom w:val="none" w:sz="0" w:space="0" w:color="auto"/>
            <w:right w:val="none" w:sz="0" w:space="0" w:color="auto"/>
          </w:divBdr>
          <w:divsChild>
            <w:div w:id="233049319">
              <w:marLeft w:val="0"/>
              <w:marRight w:val="0"/>
              <w:marTop w:val="0"/>
              <w:marBottom w:val="0"/>
              <w:divBdr>
                <w:top w:val="none" w:sz="0" w:space="0" w:color="auto"/>
                <w:left w:val="none" w:sz="0" w:space="0" w:color="auto"/>
                <w:bottom w:val="none" w:sz="0" w:space="0" w:color="auto"/>
                <w:right w:val="none" w:sz="0" w:space="0" w:color="auto"/>
              </w:divBdr>
            </w:div>
            <w:div w:id="617835922">
              <w:marLeft w:val="0"/>
              <w:marRight w:val="0"/>
              <w:marTop w:val="0"/>
              <w:marBottom w:val="0"/>
              <w:divBdr>
                <w:top w:val="none" w:sz="0" w:space="0" w:color="auto"/>
                <w:left w:val="none" w:sz="0" w:space="0" w:color="auto"/>
                <w:bottom w:val="none" w:sz="0" w:space="0" w:color="auto"/>
                <w:right w:val="none" w:sz="0" w:space="0" w:color="auto"/>
              </w:divBdr>
            </w:div>
            <w:div w:id="968707683">
              <w:marLeft w:val="0"/>
              <w:marRight w:val="0"/>
              <w:marTop w:val="0"/>
              <w:marBottom w:val="0"/>
              <w:divBdr>
                <w:top w:val="none" w:sz="0" w:space="0" w:color="auto"/>
                <w:left w:val="none" w:sz="0" w:space="0" w:color="auto"/>
                <w:bottom w:val="none" w:sz="0" w:space="0" w:color="auto"/>
                <w:right w:val="none" w:sz="0" w:space="0" w:color="auto"/>
              </w:divBdr>
            </w:div>
            <w:div w:id="1329596876">
              <w:marLeft w:val="0"/>
              <w:marRight w:val="0"/>
              <w:marTop w:val="0"/>
              <w:marBottom w:val="0"/>
              <w:divBdr>
                <w:top w:val="none" w:sz="0" w:space="0" w:color="auto"/>
                <w:left w:val="none" w:sz="0" w:space="0" w:color="auto"/>
                <w:bottom w:val="none" w:sz="0" w:space="0" w:color="auto"/>
                <w:right w:val="none" w:sz="0" w:space="0" w:color="auto"/>
              </w:divBdr>
            </w:div>
            <w:div w:id="1559827602">
              <w:marLeft w:val="0"/>
              <w:marRight w:val="0"/>
              <w:marTop w:val="0"/>
              <w:marBottom w:val="0"/>
              <w:divBdr>
                <w:top w:val="none" w:sz="0" w:space="0" w:color="auto"/>
                <w:left w:val="none" w:sz="0" w:space="0" w:color="auto"/>
                <w:bottom w:val="none" w:sz="0" w:space="0" w:color="auto"/>
                <w:right w:val="none" w:sz="0" w:space="0" w:color="auto"/>
              </w:divBdr>
            </w:div>
          </w:divsChild>
        </w:div>
        <w:div w:id="384917900">
          <w:marLeft w:val="0"/>
          <w:marRight w:val="0"/>
          <w:marTop w:val="0"/>
          <w:marBottom w:val="0"/>
          <w:divBdr>
            <w:top w:val="none" w:sz="0" w:space="0" w:color="auto"/>
            <w:left w:val="none" w:sz="0" w:space="0" w:color="auto"/>
            <w:bottom w:val="none" w:sz="0" w:space="0" w:color="auto"/>
            <w:right w:val="none" w:sz="0" w:space="0" w:color="auto"/>
          </w:divBdr>
        </w:div>
        <w:div w:id="515651779">
          <w:marLeft w:val="0"/>
          <w:marRight w:val="0"/>
          <w:marTop w:val="0"/>
          <w:marBottom w:val="0"/>
          <w:divBdr>
            <w:top w:val="none" w:sz="0" w:space="0" w:color="auto"/>
            <w:left w:val="none" w:sz="0" w:space="0" w:color="auto"/>
            <w:bottom w:val="none" w:sz="0" w:space="0" w:color="auto"/>
            <w:right w:val="none" w:sz="0" w:space="0" w:color="auto"/>
          </w:divBdr>
        </w:div>
        <w:div w:id="559245541">
          <w:marLeft w:val="0"/>
          <w:marRight w:val="0"/>
          <w:marTop w:val="0"/>
          <w:marBottom w:val="0"/>
          <w:divBdr>
            <w:top w:val="none" w:sz="0" w:space="0" w:color="auto"/>
            <w:left w:val="none" w:sz="0" w:space="0" w:color="auto"/>
            <w:bottom w:val="none" w:sz="0" w:space="0" w:color="auto"/>
            <w:right w:val="none" w:sz="0" w:space="0" w:color="auto"/>
          </w:divBdr>
          <w:divsChild>
            <w:div w:id="172038230">
              <w:marLeft w:val="0"/>
              <w:marRight w:val="0"/>
              <w:marTop w:val="0"/>
              <w:marBottom w:val="0"/>
              <w:divBdr>
                <w:top w:val="none" w:sz="0" w:space="0" w:color="auto"/>
                <w:left w:val="none" w:sz="0" w:space="0" w:color="auto"/>
                <w:bottom w:val="none" w:sz="0" w:space="0" w:color="auto"/>
                <w:right w:val="none" w:sz="0" w:space="0" w:color="auto"/>
              </w:divBdr>
            </w:div>
            <w:div w:id="647318596">
              <w:marLeft w:val="0"/>
              <w:marRight w:val="0"/>
              <w:marTop w:val="0"/>
              <w:marBottom w:val="0"/>
              <w:divBdr>
                <w:top w:val="none" w:sz="0" w:space="0" w:color="auto"/>
                <w:left w:val="none" w:sz="0" w:space="0" w:color="auto"/>
                <w:bottom w:val="none" w:sz="0" w:space="0" w:color="auto"/>
                <w:right w:val="none" w:sz="0" w:space="0" w:color="auto"/>
              </w:divBdr>
            </w:div>
            <w:div w:id="1879583297">
              <w:marLeft w:val="0"/>
              <w:marRight w:val="0"/>
              <w:marTop w:val="0"/>
              <w:marBottom w:val="0"/>
              <w:divBdr>
                <w:top w:val="none" w:sz="0" w:space="0" w:color="auto"/>
                <w:left w:val="none" w:sz="0" w:space="0" w:color="auto"/>
                <w:bottom w:val="none" w:sz="0" w:space="0" w:color="auto"/>
                <w:right w:val="none" w:sz="0" w:space="0" w:color="auto"/>
              </w:divBdr>
            </w:div>
            <w:div w:id="1964457258">
              <w:marLeft w:val="0"/>
              <w:marRight w:val="0"/>
              <w:marTop w:val="0"/>
              <w:marBottom w:val="0"/>
              <w:divBdr>
                <w:top w:val="none" w:sz="0" w:space="0" w:color="auto"/>
                <w:left w:val="none" w:sz="0" w:space="0" w:color="auto"/>
                <w:bottom w:val="none" w:sz="0" w:space="0" w:color="auto"/>
                <w:right w:val="none" w:sz="0" w:space="0" w:color="auto"/>
              </w:divBdr>
            </w:div>
            <w:div w:id="2137916266">
              <w:marLeft w:val="0"/>
              <w:marRight w:val="0"/>
              <w:marTop w:val="0"/>
              <w:marBottom w:val="0"/>
              <w:divBdr>
                <w:top w:val="none" w:sz="0" w:space="0" w:color="auto"/>
                <w:left w:val="none" w:sz="0" w:space="0" w:color="auto"/>
                <w:bottom w:val="none" w:sz="0" w:space="0" w:color="auto"/>
                <w:right w:val="none" w:sz="0" w:space="0" w:color="auto"/>
              </w:divBdr>
            </w:div>
          </w:divsChild>
        </w:div>
        <w:div w:id="562840063">
          <w:marLeft w:val="0"/>
          <w:marRight w:val="0"/>
          <w:marTop w:val="0"/>
          <w:marBottom w:val="0"/>
          <w:divBdr>
            <w:top w:val="none" w:sz="0" w:space="0" w:color="auto"/>
            <w:left w:val="none" w:sz="0" w:space="0" w:color="auto"/>
            <w:bottom w:val="none" w:sz="0" w:space="0" w:color="auto"/>
            <w:right w:val="none" w:sz="0" w:space="0" w:color="auto"/>
          </w:divBdr>
        </w:div>
        <w:div w:id="564343123">
          <w:marLeft w:val="0"/>
          <w:marRight w:val="0"/>
          <w:marTop w:val="0"/>
          <w:marBottom w:val="0"/>
          <w:divBdr>
            <w:top w:val="none" w:sz="0" w:space="0" w:color="auto"/>
            <w:left w:val="none" w:sz="0" w:space="0" w:color="auto"/>
            <w:bottom w:val="none" w:sz="0" w:space="0" w:color="auto"/>
            <w:right w:val="none" w:sz="0" w:space="0" w:color="auto"/>
          </w:divBdr>
          <w:divsChild>
            <w:div w:id="569927361">
              <w:marLeft w:val="0"/>
              <w:marRight w:val="0"/>
              <w:marTop w:val="0"/>
              <w:marBottom w:val="0"/>
              <w:divBdr>
                <w:top w:val="none" w:sz="0" w:space="0" w:color="auto"/>
                <w:left w:val="none" w:sz="0" w:space="0" w:color="auto"/>
                <w:bottom w:val="none" w:sz="0" w:space="0" w:color="auto"/>
                <w:right w:val="none" w:sz="0" w:space="0" w:color="auto"/>
              </w:divBdr>
            </w:div>
            <w:div w:id="705837970">
              <w:marLeft w:val="0"/>
              <w:marRight w:val="0"/>
              <w:marTop w:val="0"/>
              <w:marBottom w:val="0"/>
              <w:divBdr>
                <w:top w:val="none" w:sz="0" w:space="0" w:color="auto"/>
                <w:left w:val="none" w:sz="0" w:space="0" w:color="auto"/>
                <w:bottom w:val="none" w:sz="0" w:space="0" w:color="auto"/>
                <w:right w:val="none" w:sz="0" w:space="0" w:color="auto"/>
              </w:divBdr>
            </w:div>
            <w:div w:id="851070545">
              <w:marLeft w:val="0"/>
              <w:marRight w:val="0"/>
              <w:marTop w:val="0"/>
              <w:marBottom w:val="0"/>
              <w:divBdr>
                <w:top w:val="none" w:sz="0" w:space="0" w:color="auto"/>
                <w:left w:val="none" w:sz="0" w:space="0" w:color="auto"/>
                <w:bottom w:val="none" w:sz="0" w:space="0" w:color="auto"/>
                <w:right w:val="none" w:sz="0" w:space="0" w:color="auto"/>
              </w:divBdr>
            </w:div>
            <w:div w:id="1959795054">
              <w:marLeft w:val="0"/>
              <w:marRight w:val="0"/>
              <w:marTop w:val="0"/>
              <w:marBottom w:val="0"/>
              <w:divBdr>
                <w:top w:val="none" w:sz="0" w:space="0" w:color="auto"/>
                <w:left w:val="none" w:sz="0" w:space="0" w:color="auto"/>
                <w:bottom w:val="none" w:sz="0" w:space="0" w:color="auto"/>
                <w:right w:val="none" w:sz="0" w:space="0" w:color="auto"/>
              </w:divBdr>
            </w:div>
            <w:div w:id="2088649050">
              <w:marLeft w:val="0"/>
              <w:marRight w:val="0"/>
              <w:marTop w:val="0"/>
              <w:marBottom w:val="0"/>
              <w:divBdr>
                <w:top w:val="none" w:sz="0" w:space="0" w:color="auto"/>
                <w:left w:val="none" w:sz="0" w:space="0" w:color="auto"/>
                <w:bottom w:val="none" w:sz="0" w:space="0" w:color="auto"/>
                <w:right w:val="none" w:sz="0" w:space="0" w:color="auto"/>
              </w:divBdr>
            </w:div>
          </w:divsChild>
        </w:div>
        <w:div w:id="646125789">
          <w:marLeft w:val="0"/>
          <w:marRight w:val="0"/>
          <w:marTop w:val="0"/>
          <w:marBottom w:val="0"/>
          <w:divBdr>
            <w:top w:val="none" w:sz="0" w:space="0" w:color="auto"/>
            <w:left w:val="none" w:sz="0" w:space="0" w:color="auto"/>
            <w:bottom w:val="none" w:sz="0" w:space="0" w:color="auto"/>
            <w:right w:val="none" w:sz="0" w:space="0" w:color="auto"/>
          </w:divBdr>
          <w:divsChild>
            <w:div w:id="450830316">
              <w:marLeft w:val="0"/>
              <w:marRight w:val="0"/>
              <w:marTop w:val="0"/>
              <w:marBottom w:val="0"/>
              <w:divBdr>
                <w:top w:val="none" w:sz="0" w:space="0" w:color="auto"/>
                <w:left w:val="none" w:sz="0" w:space="0" w:color="auto"/>
                <w:bottom w:val="none" w:sz="0" w:space="0" w:color="auto"/>
                <w:right w:val="none" w:sz="0" w:space="0" w:color="auto"/>
              </w:divBdr>
            </w:div>
            <w:div w:id="682896478">
              <w:marLeft w:val="0"/>
              <w:marRight w:val="0"/>
              <w:marTop w:val="0"/>
              <w:marBottom w:val="0"/>
              <w:divBdr>
                <w:top w:val="none" w:sz="0" w:space="0" w:color="auto"/>
                <w:left w:val="none" w:sz="0" w:space="0" w:color="auto"/>
                <w:bottom w:val="none" w:sz="0" w:space="0" w:color="auto"/>
                <w:right w:val="none" w:sz="0" w:space="0" w:color="auto"/>
              </w:divBdr>
            </w:div>
            <w:div w:id="983392319">
              <w:marLeft w:val="0"/>
              <w:marRight w:val="0"/>
              <w:marTop w:val="0"/>
              <w:marBottom w:val="0"/>
              <w:divBdr>
                <w:top w:val="none" w:sz="0" w:space="0" w:color="auto"/>
                <w:left w:val="none" w:sz="0" w:space="0" w:color="auto"/>
                <w:bottom w:val="none" w:sz="0" w:space="0" w:color="auto"/>
                <w:right w:val="none" w:sz="0" w:space="0" w:color="auto"/>
              </w:divBdr>
            </w:div>
            <w:div w:id="1997804303">
              <w:marLeft w:val="0"/>
              <w:marRight w:val="0"/>
              <w:marTop w:val="0"/>
              <w:marBottom w:val="0"/>
              <w:divBdr>
                <w:top w:val="none" w:sz="0" w:space="0" w:color="auto"/>
                <w:left w:val="none" w:sz="0" w:space="0" w:color="auto"/>
                <w:bottom w:val="none" w:sz="0" w:space="0" w:color="auto"/>
                <w:right w:val="none" w:sz="0" w:space="0" w:color="auto"/>
              </w:divBdr>
            </w:div>
            <w:div w:id="2009866400">
              <w:marLeft w:val="0"/>
              <w:marRight w:val="0"/>
              <w:marTop w:val="0"/>
              <w:marBottom w:val="0"/>
              <w:divBdr>
                <w:top w:val="none" w:sz="0" w:space="0" w:color="auto"/>
                <w:left w:val="none" w:sz="0" w:space="0" w:color="auto"/>
                <w:bottom w:val="none" w:sz="0" w:space="0" w:color="auto"/>
                <w:right w:val="none" w:sz="0" w:space="0" w:color="auto"/>
              </w:divBdr>
            </w:div>
          </w:divsChild>
        </w:div>
        <w:div w:id="682636277">
          <w:marLeft w:val="0"/>
          <w:marRight w:val="0"/>
          <w:marTop w:val="0"/>
          <w:marBottom w:val="0"/>
          <w:divBdr>
            <w:top w:val="none" w:sz="0" w:space="0" w:color="auto"/>
            <w:left w:val="none" w:sz="0" w:space="0" w:color="auto"/>
            <w:bottom w:val="none" w:sz="0" w:space="0" w:color="auto"/>
            <w:right w:val="none" w:sz="0" w:space="0" w:color="auto"/>
          </w:divBdr>
        </w:div>
        <w:div w:id="683627011">
          <w:marLeft w:val="0"/>
          <w:marRight w:val="0"/>
          <w:marTop w:val="0"/>
          <w:marBottom w:val="0"/>
          <w:divBdr>
            <w:top w:val="none" w:sz="0" w:space="0" w:color="auto"/>
            <w:left w:val="none" w:sz="0" w:space="0" w:color="auto"/>
            <w:bottom w:val="none" w:sz="0" w:space="0" w:color="auto"/>
            <w:right w:val="none" w:sz="0" w:space="0" w:color="auto"/>
          </w:divBdr>
        </w:div>
        <w:div w:id="695009462">
          <w:marLeft w:val="0"/>
          <w:marRight w:val="0"/>
          <w:marTop w:val="0"/>
          <w:marBottom w:val="0"/>
          <w:divBdr>
            <w:top w:val="none" w:sz="0" w:space="0" w:color="auto"/>
            <w:left w:val="none" w:sz="0" w:space="0" w:color="auto"/>
            <w:bottom w:val="none" w:sz="0" w:space="0" w:color="auto"/>
            <w:right w:val="none" w:sz="0" w:space="0" w:color="auto"/>
          </w:divBdr>
        </w:div>
        <w:div w:id="743574548">
          <w:marLeft w:val="0"/>
          <w:marRight w:val="0"/>
          <w:marTop w:val="0"/>
          <w:marBottom w:val="0"/>
          <w:divBdr>
            <w:top w:val="none" w:sz="0" w:space="0" w:color="auto"/>
            <w:left w:val="none" w:sz="0" w:space="0" w:color="auto"/>
            <w:bottom w:val="none" w:sz="0" w:space="0" w:color="auto"/>
            <w:right w:val="none" w:sz="0" w:space="0" w:color="auto"/>
          </w:divBdr>
          <w:divsChild>
            <w:div w:id="176624988">
              <w:marLeft w:val="0"/>
              <w:marRight w:val="0"/>
              <w:marTop w:val="0"/>
              <w:marBottom w:val="0"/>
              <w:divBdr>
                <w:top w:val="none" w:sz="0" w:space="0" w:color="auto"/>
                <w:left w:val="none" w:sz="0" w:space="0" w:color="auto"/>
                <w:bottom w:val="none" w:sz="0" w:space="0" w:color="auto"/>
                <w:right w:val="none" w:sz="0" w:space="0" w:color="auto"/>
              </w:divBdr>
            </w:div>
            <w:div w:id="1104572477">
              <w:marLeft w:val="0"/>
              <w:marRight w:val="0"/>
              <w:marTop w:val="0"/>
              <w:marBottom w:val="0"/>
              <w:divBdr>
                <w:top w:val="none" w:sz="0" w:space="0" w:color="auto"/>
                <w:left w:val="none" w:sz="0" w:space="0" w:color="auto"/>
                <w:bottom w:val="none" w:sz="0" w:space="0" w:color="auto"/>
                <w:right w:val="none" w:sz="0" w:space="0" w:color="auto"/>
              </w:divBdr>
            </w:div>
            <w:div w:id="1193692635">
              <w:marLeft w:val="0"/>
              <w:marRight w:val="0"/>
              <w:marTop w:val="0"/>
              <w:marBottom w:val="0"/>
              <w:divBdr>
                <w:top w:val="none" w:sz="0" w:space="0" w:color="auto"/>
                <w:left w:val="none" w:sz="0" w:space="0" w:color="auto"/>
                <w:bottom w:val="none" w:sz="0" w:space="0" w:color="auto"/>
                <w:right w:val="none" w:sz="0" w:space="0" w:color="auto"/>
              </w:divBdr>
            </w:div>
            <w:div w:id="1651598878">
              <w:marLeft w:val="0"/>
              <w:marRight w:val="0"/>
              <w:marTop w:val="0"/>
              <w:marBottom w:val="0"/>
              <w:divBdr>
                <w:top w:val="none" w:sz="0" w:space="0" w:color="auto"/>
                <w:left w:val="none" w:sz="0" w:space="0" w:color="auto"/>
                <w:bottom w:val="none" w:sz="0" w:space="0" w:color="auto"/>
                <w:right w:val="none" w:sz="0" w:space="0" w:color="auto"/>
              </w:divBdr>
            </w:div>
            <w:div w:id="2060811958">
              <w:marLeft w:val="0"/>
              <w:marRight w:val="0"/>
              <w:marTop w:val="0"/>
              <w:marBottom w:val="0"/>
              <w:divBdr>
                <w:top w:val="none" w:sz="0" w:space="0" w:color="auto"/>
                <w:left w:val="none" w:sz="0" w:space="0" w:color="auto"/>
                <w:bottom w:val="none" w:sz="0" w:space="0" w:color="auto"/>
                <w:right w:val="none" w:sz="0" w:space="0" w:color="auto"/>
              </w:divBdr>
            </w:div>
          </w:divsChild>
        </w:div>
        <w:div w:id="752823404">
          <w:marLeft w:val="0"/>
          <w:marRight w:val="0"/>
          <w:marTop w:val="0"/>
          <w:marBottom w:val="0"/>
          <w:divBdr>
            <w:top w:val="none" w:sz="0" w:space="0" w:color="auto"/>
            <w:left w:val="none" w:sz="0" w:space="0" w:color="auto"/>
            <w:bottom w:val="none" w:sz="0" w:space="0" w:color="auto"/>
            <w:right w:val="none" w:sz="0" w:space="0" w:color="auto"/>
          </w:divBdr>
        </w:div>
        <w:div w:id="781993702">
          <w:marLeft w:val="0"/>
          <w:marRight w:val="0"/>
          <w:marTop w:val="0"/>
          <w:marBottom w:val="0"/>
          <w:divBdr>
            <w:top w:val="none" w:sz="0" w:space="0" w:color="auto"/>
            <w:left w:val="none" w:sz="0" w:space="0" w:color="auto"/>
            <w:bottom w:val="none" w:sz="0" w:space="0" w:color="auto"/>
            <w:right w:val="none" w:sz="0" w:space="0" w:color="auto"/>
          </w:divBdr>
        </w:div>
        <w:div w:id="820777018">
          <w:marLeft w:val="0"/>
          <w:marRight w:val="0"/>
          <w:marTop w:val="0"/>
          <w:marBottom w:val="0"/>
          <w:divBdr>
            <w:top w:val="none" w:sz="0" w:space="0" w:color="auto"/>
            <w:left w:val="none" w:sz="0" w:space="0" w:color="auto"/>
            <w:bottom w:val="none" w:sz="0" w:space="0" w:color="auto"/>
            <w:right w:val="none" w:sz="0" w:space="0" w:color="auto"/>
          </w:divBdr>
        </w:div>
        <w:div w:id="881865750">
          <w:marLeft w:val="0"/>
          <w:marRight w:val="0"/>
          <w:marTop w:val="0"/>
          <w:marBottom w:val="0"/>
          <w:divBdr>
            <w:top w:val="none" w:sz="0" w:space="0" w:color="auto"/>
            <w:left w:val="none" w:sz="0" w:space="0" w:color="auto"/>
            <w:bottom w:val="none" w:sz="0" w:space="0" w:color="auto"/>
            <w:right w:val="none" w:sz="0" w:space="0" w:color="auto"/>
          </w:divBdr>
          <w:divsChild>
            <w:div w:id="503789109">
              <w:marLeft w:val="0"/>
              <w:marRight w:val="0"/>
              <w:marTop w:val="0"/>
              <w:marBottom w:val="0"/>
              <w:divBdr>
                <w:top w:val="none" w:sz="0" w:space="0" w:color="auto"/>
                <w:left w:val="none" w:sz="0" w:space="0" w:color="auto"/>
                <w:bottom w:val="none" w:sz="0" w:space="0" w:color="auto"/>
                <w:right w:val="none" w:sz="0" w:space="0" w:color="auto"/>
              </w:divBdr>
            </w:div>
            <w:div w:id="1427188906">
              <w:marLeft w:val="0"/>
              <w:marRight w:val="0"/>
              <w:marTop w:val="0"/>
              <w:marBottom w:val="0"/>
              <w:divBdr>
                <w:top w:val="none" w:sz="0" w:space="0" w:color="auto"/>
                <w:left w:val="none" w:sz="0" w:space="0" w:color="auto"/>
                <w:bottom w:val="none" w:sz="0" w:space="0" w:color="auto"/>
                <w:right w:val="none" w:sz="0" w:space="0" w:color="auto"/>
              </w:divBdr>
            </w:div>
          </w:divsChild>
        </w:div>
        <w:div w:id="928269935">
          <w:marLeft w:val="0"/>
          <w:marRight w:val="0"/>
          <w:marTop w:val="0"/>
          <w:marBottom w:val="0"/>
          <w:divBdr>
            <w:top w:val="none" w:sz="0" w:space="0" w:color="auto"/>
            <w:left w:val="none" w:sz="0" w:space="0" w:color="auto"/>
            <w:bottom w:val="none" w:sz="0" w:space="0" w:color="auto"/>
            <w:right w:val="none" w:sz="0" w:space="0" w:color="auto"/>
          </w:divBdr>
          <w:divsChild>
            <w:div w:id="599526594">
              <w:marLeft w:val="0"/>
              <w:marRight w:val="0"/>
              <w:marTop w:val="0"/>
              <w:marBottom w:val="0"/>
              <w:divBdr>
                <w:top w:val="none" w:sz="0" w:space="0" w:color="auto"/>
                <w:left w:val="none" w:sz="0" w:space="0" w:color="auto"/>
                <w:bottom w:val="none" w:sz="0" w:space="0" w:color="auto"/>
                <w:right w:val="none" w:sz="0" w:space="0" w:color="auto"/>
              </w:divBdr>
            </w:div>
            <w:div w:id="1092513202">
              <w:marLeft w:val="0"/>
              <w:marRight w:val="0"/>
              <w:marTop w:val="0"/>
              <w:marBottom w:val="0"/>
              <w:divBdr>
                <w:top w:val="none" w:sz="0" w:space="0" w:color="auto"/>
                <w:left w:val="none" w:sz="0" w:space="0" w:color="auto"/>
                <w:bottom w:val="none" w:sz="0" w:space="0" w:color="auto"/>
                <w:right w:val="none" w:sz="0" w:space="0" w:color="auto"/>
              </w:divBdr>
            </w:div>
            <w:div w:id="1120031949">
              <w:marLeft w:val="0"/>
              <w:marRight w:val="0"/>
              <w:marTop w:val="0"/>
              <w:marBottom w:val="0"/>
              <w:divBdr>
                <w:top w:val="none" w:sz="0" w:space="0" w:color="auto"/>
                <w:left w:val="none" w:sz="0" w:space="0" w:color="auto"/>
                <w:bottom w:val="none" w:sz="0" w:space="0" w:color="auto"/>
                <w:right w:val="none" w:sz="0" w:space="0" w:color="auto"/>
              </w:divBdr>
            </w:div>
            <w:div w:id="1549997546">
              <w:marLeft w:val="0"/>
              <w:marRight w:val="0"/>
              <w:marTop w:val="0"/>
              <w:marBottom w:val="0"/>
              <w:divBdr>
                <w:top w:val="none" w:sz="0" w:space="0" w:color="auto"/>
                <w:left w:val="none" w:sz="0" w:space="0" w:color="auto"/>
                <w:bottom w:val="none" w:sz="0" w:space="0" w:color="auto"/>
                <w:right w:val="none" w:sz="0" w:space="0" w:color="auto"/>
              </w:divBdr>
            </w:div>
            <w:div w:id="2116437562">
              <w:marLeft w:val="0"/>
              <w:marRight w:val="0"/>
              <w:marTop w:val="0"/>
              <w:marBottom w:val="0"/>
              <w:divBdr>
                <w:top w:val="none" w:sz="0" w:space="0" w:color="auto"/>
                <w:left w:val="none" w:sz="0" w:space="0" w:color="auto"/>
                <w:bottom w:val="none" w:sz="0" w:space="0" w:color="auto"/>
                <w:right w:val="none" w:sz="0" w:space="0" w:color="auto"/>
              </w:divBdr>
            </w:div>
          </w:divsChild>
        </w:div>
        <w:div w:id="976495704">
          <w:marLeft w:val="0"/>
          <w:marRight w:val="0"/>
          <w:marTop w:val="0"/>
          <w:marBottom w:val="0"/>
          <w:divBdr>
            <w:top w:val="none" w:sz="0" w:space="0" w:color="auto"/>
            <w:left w:val="none" w:sz="0" w:space="0" w:color="auto"/>
            <w:bottom w:val="none" w:sz="0" w:space="0" w:color="auto"/>
            <w:right w:val="none" w:sz="0" w:space="0" w:color="auto"/>
          </w:divBdr>
        </w:div>
        <w:div w:id="1003049066">
          <w:marLeft w:val="0"/>
          <w:marRight w:val="0"/>
          <w:marTop w:val="0"/>
          <w:marBottom w:val="0"/>
          <w:divBdr>
            <w:top w:val="none" w:sz="0" w:space="0" w:color="auto"/>
            <w:left w:val="none" w:sz="0" w:space="0" w:color="auto"/>
            <w:bottom w:val="none" w:sz="0" w:space="0" w:color="auto"/>
            <w:right w:val="none" w:sz="0" w:space="0" w:color="auto"/>
          </w:divBdr>
        </w:div>
        <w:div w:id="1051077838">
          <w:marLeft w:val="0"/>
          <w:marRight w:val="0"/>
          <w:marTop w:val="0"/>
          <w:marBottom w:val="0"/>
          <w:divBdr>
            <w:top w:val="none" w:sz="0" w:space="0" w:color="auto"/>
            <w:left w:val="none" w:sz="0" w:space="0" w:color="auto"/>
            <w:bottom w:val="none" w:sz="0" w:space="0" w:color="auto"/>
            <w:right w:val="none" w:sz="0" w:space="0" w:color="auto"/>
          </w:divBdr>
        </w:div>
        <w:div w:id="1089539680">
          <w:marLeft w:val="0"/>
          <w:marRight w:val="0"/>
          <w:marTop w:val="0"/>
          <w:marBottom w:val="0"/>
          <w:divBdr>
            <w:top w:val="none" w:sz="0" w:space="0" w:color="auto"/>
            <w:left w:val="none" w:sz="0" w:space="0" w:color="auto"/>
            <w:bottom w:val="none" w:sz="0" w:space="0" w:color="auto"/>
            <w:right w:val="none" w:sz="0" w:space="0" w:color="auto"/>
          </w:divBdr>
          <w:divsChild>
            <w:div w:id="780730930">
              <w:marLeft w:val="0"/>
              <w:marRight w:val="0"/>
              <w:marTop w:val="0"/>
              <w:marBottom w:val="0"/>
              <w:divBdr>
                <w:top w:val="none" w:sz="0" w:space="0" w:color="auto"/>
                <w:left w:val="none" w:sz="0" w:space="0" w:color="auto"/>
                <w:bottom w:val="none" w:sz="0" w:space="0" w:color="auto"/>
                <w:right w:val="none" w:sz="0" w:space="0" w:color="auto"/>
              </w:divBdr>
            </w:div>
            <w:div w:id="1072462186">
              <w:marLeft w:val="0"/>
              <w:marRight w:val="0"/>
              <w:marTop w:val="0"/>
              <w:marBottom w:val="0"/>
              <w:divBdr>
                <w:top w:val="none" w:sz="0" w:space="0" w:color="auto"/>
                <w:left w:val="none" w:sz="0" w:space="0" w:color="auto"/>
                <w:bottom w:val="none" w:sz="0" w:space="0" w:color="auto"/>
                <w:right w:val="none" w:sz="0" w:space="0" w:color="auto"/>
              </w:divBdr>
            </w:div>
          </w:divsChild>
        </w:div>
        <w:div w:id="1158771093">
          <w:marLeft w:val="0"/>
          <w:marRight w:val="0"/>
          <w:marTop w:val="0"/>
          <w:marBottom w:val="0"/>
          <w:divBdr>
            <w:top w:val="none" w:sz="0" w:space="0" w:color="auto"/>
            <w:left w:val="none" w:sz="0" w:space="0" w:color="auto"/>
            <w:bottom w:val="none" w:sz="0" w:space="0" w:color="auto"/>
            <w:right w:val="none" w:sz="0" w:space="0" w:color="auto"/>
          </w:divBdr>
        </w:div>
        <w:div w:id="1240822304">
          <w:marLeft w:val="0"/>
          <w:marRight w:val="0"/>
          <w:marTop w:val="0"/>
          <w:marBottom w:val="0"/>
          <w:divBdr>
            <w:top w:val="none" w:sz="0" w:space="0" w:color="auto"/>
            <w:left w:val="none" w:sz="0" w:space="0" w:color="auto"/>
            <w:bottom w:val="none" w:sz="0" w:space="0" w:color="auto"/>
            <w:right w:val="none" w:sz="0" w:space="0" w:color="auto"/>
          </w:divBdr>
        </w:div>
        <w:div w:id="1274509570">
          <w:marLeft w:val="0"/>
          <w:marRight w:val="0"/>
          <w:marTop w:val="0"/>
          <w:marBottom w:val="0"/>
          <w:divBdr>
            <w:top w:val="none" w:sz="0" w:space="0" w:color="auto"/>
            <w:left w:val="none" w:sz="0" w:space="0" w:color="auto"/>
            <w:bottom w:val="none" w:sz="0" w:space="0" w:color="auto"/>
            <w:right w:val="none" w:sz="0" w:space="0" w:color="auto"/>
          </w:divBdr>
          <w:divsChild>
            <w:div w:id="230895536">
              <w:marLeft w:val="0"/>
              <w:marRight w:val="0"/>
              <w:marTop w:val="0"/>
              <w:marBottom w:val="0"/>
              <w:divBdr>
                <w:top w:val="none" w:sz="0" w:space="0" w:color="auto"/>
                <w:left w:val="none" w:sz="0" w:space="0" w:color="auto"/>
                <w:bottom w:val="none" w:sz="0" w:space="0" w:color="auto"/>
                <w:right w:val="none" w:sz="0" w:space="0" w:color="auto"/>
              </w:divBdr>
            </w:div>
            <w:div w:id="262305375">
              <w:marLeft w:val="0"/>
              <w:marRight w:val="0"/>
              <w:marTop w:val="0"/>
              <w:marBottom w:val="0"/>
              <w:divBdr>
                <w:top w:val="none" w:sz="0" w:space="0" w:color="auto"/>
                <w:left w:val="none" w:sz="0" w:space="0" w:color="auto"/>
                <w:bottom w:val="none" w:sz="0" w:space="0" w:color="auto"/>
                <w:right w:val="none" w:sz="0" w:space="0" w:color="auto"/>
              </w:divBdr>
            </w:div>
            <w:div w:id="1386758154">
              <w:marLeft w:val="0"/>
              <w:marRight w:val="0"/>
              <w:marTop w:val="0"/>
              <w:marBottom w:val="0"/>
              <w:divBdr>
                <w:top w:val="none" w:sz="0" w:space="0" w:color="auto"/>
                <w:left w:val="none" w:sz="0" w:space="0" w:color="auto"/>
                <w:bottom w:val="none" w:sz="0" w:space="0" w:color="auto"/>
                <w:right w:val="none" w:sz="0" w:space="0" w:color="auto"/>
              </w:divBdr>
            </w:div>
            <w:div w:id="1540169182">
              <w:marLeft w:val="0"/>
              <w:marRight w:val="0"/>
              <w:marTop w:val="0"/>
              <w:marBottom w:val="0"/>
              <w:divBdr>
                <w:top w:val="none" w:sz="0" w:space="0" w:color="auto"/>
                <w:left w:val="none" w:sz="0" w:space="0" w:color="auto"/>
                <w:bottom w:val="none" w:sz="0" w:space="0" w:color="auto"/>
                <w:right w:val="none" w:sz="0" w:space="0" w:color="auto"/>
              </w:divBdr>
            </w:div>
            <w:div w:id="1572472324">
              <w:marLeft w:val="0"/>
              <w:marRight w:val="0"/>
              <w:marTop w:val="0"/>
              <w:marBottom w:val="0"/>
              <w:divBdr>
                <w:top w:val="none" w:sz="0" w:space="0" w:color="auto"/>
                <w:left w:val="none" w:sz="0" w:space="0" w:color="auto"/>
                <w:bottom w:val="none" w:sz="0" w:space="0" w:color="auto"/>
                <w:right w:val="none" w:sz="0" w:space="0" w:color="auto"/>
              </w:divBdr>
            </w:div>
          </w:divsChild>
        </w:div>
        <w:div w:id="1276793472">
          <w:marLeft w:val="0"/>
          <w:marRight w:val="0"/>
          <w:marTop w:val="0"/>
          <w:marBottom w:val="0"/>
          <w:divBdr>
            <w:top w:val="none" w:sz="0" w:space="0" w:color="auto"/>
            <w:left w:val="none" w:sz="0" w:space="0" w:color="auto"/>
            <w:bottom w:val="none" w:sz="0" w:space="0" w:color="auto"/>
            <w:right w:val="none" w:sz="0" w:space="0" w:color="auto"/>
          </w:divBdr>
        </w:div>
        <w:div w:id="1307781680">
          <w:marLeft w:val="0"/>
          <w:marRight w:val="0"/>
          <w:marTop w:val="0"/>
          <w:marBottom w:val="0"/>
          <w:divBdr>
            <w:top w:val="none" w:sz="0" w:space="0" w:color="auto"/>
            <w:left w:val="none" w:sz="0" w:space="0" w:color="auto"/>
            <w:bottom w:val="none" w:sz="0" w:space="0" w:color="auto"/>
            <w:right w:val="none" w:sz="0" w:space="0" w:color="auto"/>
          </w:divBdr>
        </w:div>
        <w:div w:id="1336615616">
          <w:marLeft w:val="0"/>
          <w:marRight w:val="0"/>
          <w:marTop w:val="0"/>
          <w:marBottom w:val="0"/>
          <w:divBdr>
            <w:top w:val="none" w:sz="0" w:space="0" w:color="auto"/>
            <w:left w:val="none" w:sz="0" w:space="0" w:color="auto"/>
            <w:bottom w:val="none" w:sz="0" w:space="0" w:color="auto"/>
            <w:right w:val="none" w:sz="0" w:space="0" w:color="auto"/>
          </w:divBdr>
        </w:div>
        <w:div w:id="1339961225">
          <w:marLeft w:val="0"/>
          <w:marRight w:val="0"/>
          <w:marTop w:val="0"/>
          <w:marBottom w:val="0"/>
          <w:divBdr>
            <w:top w:val="none" w:sz="0" w:space="0" w:color="auto"/>
            <w:left w:val="none" w:sz="0" w:space="0" w:color="auto"/>
            <w:bottom w:val="none" w:sz="0" w:space="0" w:color="auto"/>
            <w:right w:val="none" w:sz="0" w:space="0" w:color="auto"/>
          </w:divBdr>
        </w:div>
        <w:div w:id="1398937594">
          <w:marLeft w:val="0"/>
          <w:marRight w:val="0"/>
          <w:marTop w:val="0"/>
          <w:marBottom w:val="0"/>
          <w:divBdr>
            <w:top w:val="none" w:sz="0" w:space="0" w:color="auto"/>
            <w:left w:val="none" w:sz="0" w:space="0" w:color="auto"/>
            <w:bottom w:val="none" w:sz="0" w:space="0" w:color="auto"/>
            <w:right w:val="none" w:sz="0" w:space="0" w:color="auto"/>
          </w:divBdr>
        </w:div>
        <w:div w:id="1406609604">
          <w:marLeft w:val="0"/>
          <w:marRight w:val="0"/>
          <w:marTop w:val="0"/>
          <w:marBottom w:val="0"/>
          <w:divBdr>
            <w:top w:val="none" w:sz="0" w:space="0" w:color="auto"/>
            <w:left w:val="none" w:sz="0" w:space="0" w:color="auto"/>
            <w:bottom w:val="none" w:sz="0" w:space="0" w:color="auto"/>
            <w:right w:val="none" w:sz="0" w:space="0" w:color="auto"/>
          </w:divBdr>
        </w:div>
        <w:div w:id="1473211612">
          <w:marLeft w:val="0"/>
          <w:marRight w:val="0"/>
          <w:marTop w:val="0"/>
          <w:marBottom w:val="0"/>
          <w:divBdr>
            <w:top w:val="none" w:sz="0" w:space="0" w:color="auto"/>
            <w:left w:val="none" w:sz="0" w:space="0" w:color="auto"/>
            <w:bottom w:val="none" w:sz="0" w:space="0" w:color="auto"/>
            <w:right w:val="none" w:sz="0" w:space="0" w:color="auto"/>
          </w:divBdr>
        </w:div>
        <w:div w:id="1498962007">
          <w:marLeft w:val="0"/>
          <w:marRight w:val="0"/>
          <w:marTop w:val="0"/>
          <w:marBottom w:val="0"/>
          <w:divBdr>
            <w:top w:val="none" w:sz="0" w:space="0" w:color="auto"/>
            <w:left w:val="none" w:sz="0" w:space="0" w:color="auto"/>
            <w:bottom w:val="none" w:sz="0" w:space="0" w:color="auto"/>
            <w:right w:val="none" w:sz="0" w:space="0" w:color="auto"/>
          </w:divBdr>
        </w:div>
        <w:div w:id="1595478560">
          <w:marLeft w:val="0"/>
          <w:marRight w:val="0"/>
          <w:marTop w:val="0"/>
          <w:marBottom w:val="0"/>
          <w:divBdr>
            <w:top w:val="none" w:sz="0" w:space="0" w:color="auto"/>
            <w:left w:val="none" w:sz="0" w:space="0" w:color="auto"/>
            <w:bottom w:val="none" w:sz="0" w:space="0" w:color="auto"/>
            <w:right w:val="none" w:sz="0" w:space="0" w:color="auto"/>
          </w:divBdr>
        </w:div>
        <w:div w:id="1606039193">
          <w:marLeft w:val="0"/>
          <w:marRight w:val="0"/>
          <w:marTop w:val="0"/>
          <w:marBottom w:val="0"/>
          <w:divBdr>
            <w:top w:val="none" w:sz="0" w:space="0" w:color="auto"/>
            <w:left w:val="none" w:sz="0" w:space="0" w:color="auto"/>
            <w:bottom w:val="none" w:sz="0" w:space="0" w:color="auto"/>
            <w:right w:val="none" w:sz="0" w:space="0" w:color="auto"/>
          </w:divBdr>
        </w:div>
        <w:div w:id="1612975613">
          <w:marLeft w:val="0"/>
          <w:marRight w:val="0"/>
          <w:marTop w:val="0"/>
          <w:marBottom w:val="0"/>
          <w:divBdr>
            <w:top w:val="none" w:sz="0" w:space="0" w:color="auto"/>
            <w:left w:val="none" w:sz="0" w:space="0" w:color="auto"/>
            <w:bottom w:val="none" w:sz="0" w:space="0" w:color="auto"/>
            <w:right w:val="none" w:sz="0" w:space="0" w:color="auto"/>
          </w:divBdr>
        </w:div>
        <w:div w:id="1665431936">
          <w:marLeft w:val="0"/>
          <w:marRight w:val="0"/>
          <w:marTop w:val="0"/>
          <w:marBottom w:val="0"/>
          <w:divBdr>
            <w:top w:val="none" w:sz="0" w:space="0" w:color="auto"/>
            <w:left w:val="none" w:sz="0" w:space="0" w:color="auto"/>
            <w:bottom w:val="none" w:sz="0" w:space="0" w:color="auto"/>
            <w:right w:val="none" w:sz="0" w:space="0" w:color="auto"/>
          </w:divBdr>
          <w:divsChild>
            <w:div w:id="183909867">
              <w:marLeft w:val="0"/>
              <w:marRight w:val="0"/>
              <w:marTop w:val="0"/>
              <w:marBottom w:val="0"/>
              <w:divBdr>
                <w:top w:val="none" w:sz="0" w:space="0" w:color="auto"/>
                <w:left w:val="none" w:sz="0" w:space="0" w:color="auto"/>
                <w:bottom w:val="none" w:sz="0" w:space="0" w:color="auto"/>
                <w:right w:val="none" w:sz="0" w:space="0" w:color="auto"/>
              </w:divBdr>
            </w:div>
            <w:div w:id="380057830">
              <w:marLeft w:val="0"/>
              <w:marRight w:val="0"/>
              <w:marTop w:val="0"/>
              <w:marBottom w:val="0"/>
              <w:divBdr>
                <w:top w:val="none" w:sz="0" w:space="0" w:color="auto"/>
                <w:left w:val="none" w:sz="0" w:space="0" w:color="auto"/>
                <w:bottom w:val="none" w:sz="0" w:space="0" w:color="auto"/>
                <w:right w:val="none" w:sz="0" w:space="0" w:color="auto"/>
              </w:divBdr>
            </w:div>
            <w:div w:id="1233853188">
              <w:marLeft w:val="0"/>
              <w:marRight w:val="0"/>
              <w:marTop w:val="0"/>
              <w:marBottom w:val="0"/>
              <w:divBdr>
                <w:top w:val="none" w:sz="0" w:space="0" w:color="auto"/>
                <w:left w:val="none" w:sz="0" w:space="0" w:color="auto"/>
                <w:bottom w:val="none" w:sz="0" w:space="0" w:color="auto"/>
                <w:right w:val="none" w:sz="0" w:space="0" w:color="auto"/>
              </w:divBdr>
            </w:div>
            <w:div w:id="1594778903">
              <w:marLeft w:val="0"/>
              <w:marRight w:val="0"/>
              <w:marTop w:val="0"/>
              <w:marBottom w:val="0"/>
              <w:divBdr>
                <w:top w:val="none" w:sz="0" w:space="0" w:color="auto"/>
                <w:left w:val="none" w:sz="0" w:space="0" w:color="auto"/>
                <w:bottom w:val="none" w:sz="0" w:space="0" w:color="auto"/>
                <w:right w:val="none" w:sz="0" w:space="0" w:color="auto"/>
              </w:divBdr>
            </w:div>
            <w:div w:id="2048487990">
              <w:marLeft w:val="0"/>
              <w:marRight w:val="0"/>
              <w:marTop w:val="0"/>
              <w:marBottom w:val="0"/>
              <w:divBdr>
                <w:top w:val="none" w:sz="0" w:space="0" w:color="auto"/>
                <w:left w:val="none" w:sz="0" w:space="0" w:color="auto"/>
                <w:bottom w:val="none" w:sz="0" w:space="0" w:color="auto"/>
                <w:right w:val="none" w:sz="0" w:space="0" w:color="auto"/>
              </w:divBdr>
            </w:div>
          </w:divsChild>
        </w:div>
        <w:div w:id="1752652731">
          <w:marLeft w:val="0"/>
          <w:marRight w:val="0"/>
          <w:marTop w:val="0"/>
          <w:marBottom w:val="0"/>
          <w:divBdr>
            <w:top w:val="none" w:sz="0" w:space="0" w:color="auto"/>
            <w:left w:val="none" w:sz="0" w:space="0" w:color="auto"/>
            <w:bottom w:val="none" w:sz="0" w:space="0" w:color="auto"/>
            <w:right w:val="none" w:sz="0" w:space="0" w:color="auto"/>
          </w:divBdr>
        </w:div>
        <w:div w:id="1826894223">
          <w:marLeft w:val="0"/>
          <w:marRight w:val="0"/>
          <w:marTop w:val="0"/>
          <w:marBottom w:val="0"/>
          <w:divBdr>
            <w:top w:val="none" w:sz="0" w:space="0" w:color="auto"/>
            <w:left w:val="none" w:sz="0" w:space="0" w:color="auto"/>
            <w:bottom w:val="none" w:sz="0" w:space="0" w:color="auto"/>
            <w:right w:val="none" w:sz="0" w:space="0" w:color="auto"/>
          </w:divBdr>
          <w:divsChild>
            <w:div w:id="418866062">
              <w:marLeft w:val="0"/>
              <w:marRight w:val="0"/>
              <w:marTop w:val="0"/>
              <w:marBottom w:val="0"/>
              <w:divBdr>
                <w:top w:val="none" w:sz="0" w:space="0" w:color="auto"/>
                <w:left w:val="none" w:sz="0" w:space="0" w:color="auto"/>
                <w:bottom w:val="none" w:sz="0" w:space="0" w:color="auto"/>
                <w:right w:val="none" w:sz="0" w:space="0" w:color="auto"/>
              </w:divBdr>
            </w:div>
            <w:div w:id="1227642670">
              <w:marLeft w:val="0"/>
              <w:marRight w:val="0"/>
              <w:marTop w:val="0"/>
              <w:marBottom w:val="0"/>
              <w:divBdr>
                <w:top w:val="none" w:sz="0" w:space="0" w:color="auto"/>
                <w:left w:val="none" w:sz="0" w:space="0" w:color="auto"/>
                <w:bottom w:val="none" w:sz="0" w:space="0" w:color="auto"/>
                <w:right w:val="none" w:sz="0" w:space="0" w:color="auto"/>
              </w:divBdr>
            </w:div>
            <w:div w:id="1658655821">
              <w:marLeft w:val="0"/>
              <w:marRight w:val="0"/>
              <w:marTop w:val="0"/>
              <w:marBottom w:val="0"/>
              <w:divBdr>
                <w:top w:val="none" w:sz="0" w:space="0" w:color="auto"/>
                <w:left w:val="none" w:sz="0" w:space="0" w:color="auto"/>
                <w:bottom w:val="none" w:sz="0" w:space="0" w:color="auto"/>
                <w:right w:val="none" w:sz="0" w:space="0" w:color="auto"/>
              </w:divBdr>
            </w:div>
            <w:div w:id="1748578489">
              <w:marLeft w:val="0"/>
              <w:marRight w:val="0"/>
              <w:marTop w:val="0"/>
              <w:marBottom w:val="0"/>
              <w:divBdr>
                <w:top w:val="none" w:sz="0" w:space="0" w:color="auto"/>
                <w:left w:val="none" w:sz="0" w:space="0" w:color="auto"/>
                <w:bottom w:val="none" w:sz="0" w:space="0" w:color="auto"/>
                <w:right w:val="none" w:sz="0" w:space="0" w:color="auto"/>
              </w:divBdr>
            </w:div>
            <w:div w:id="1903442827">
              <w:marLeft w:val="0"/>
              <w:marRight w:val="0"/>
              <w:marTop w:val="0"/>
              <w:marBottom w:val="0"/>
              <w:divBdr>
                <w:top w:val="none" w:sz="0" w:space="0" w:color="auto"/>
                <w:left w:val="none" w:sz="0" w:space="0" w:color="auto"/>
                <w:bottom w:val="none" w:sz="0" w:space="0" w:color="auto"/>
                <w:right w:val="none" w:sz="0" w:space="0" w:color="auto"/>
              </w:divBdr>
            </w:div>
          </w:divsChild>
        </w:div>
        <w:div w:id="1878154951">
          <w:marLeft w:val="0"/>
          <w:marRight w:val="0"/>
          <w:marTop w:val="0"/>
          <w:marBottom w:val="0"/>
          <w:divBdr>
            <w:top w:val="none" w:sz="0" w:space="0" w:color="auto"/>
            <w:left w:val="none" w:sz="0" w:space="0" w:color="auto"/>
            <w:bottom w:val="none" w:sz="0" w:space="0" w:color="auto"/>
            <w:right w:val="none" w:sz="0" w:space="0" w:color="auto"/>
          </w:divBdr>
        </w:div>
        <w:div w:id="1972057077">
          <w:marLeft w:val="0"/>
          <w:marRight w:val="0"/>
          <w:marTop w:val="0"/>
          <w:marBottom w:val="0"/>
          <w:divBdr>
            <w:top w:val="none" w:sz="0" w:space="0" w:color="auto"/>
            <w:left w:val="none" w:sz="0" w:space="0" w:color="auto"/>
            <w:bottom w:val="none" w:sz="0" w:space="0" w:color="auto"/>
            <w:right w:val="none" w:sz="0" w:space="0" w:color="auto"/>
          </w:divBdr>
        </w:div>
        <w:div w:id="2045985130">
          <w:marLeft w:val="0"/>
          <w:marRight w:val="0"/>
          <w:marTop w:val="0"/>
          <w:marBottom w:val="0"/>
          <w:divBdr>
            <w:top w:val="none" w:sz="0" w:space="0" w:color="auto"/>
            <w:left w:val="none" w:sz="0" w:space="0" w:color="auto"/>
            <w:bottom w:val="none" w:sz="0" w:space="0" w:color="auto"/>
            <w:right w:val="none" w:sz="0" w:space="0" w:color="auto"/>
          </w:divBdr>
        </w:div>
        <w:div w:id="2127044527">
          <w:marLeft w:val="0"/>
          <w:marRight w:val="0"/>
          <w:marTop w:val="0"/>
          <w:marBottom w:val="0"/>
          <w:divBdr>
            <w:top w:val="none" w:sz="0" w:space="0" w:color="auto"/>
            <w:left w:val="none" w:sz="0" w:space="0" w:color="auto"/>
            <w:bottom w:val="none" w:sz="0" w:space="0" w:color="auto"/>
            <w:right w:val="none" w:sz="0" w:space="0" w:color="auto"/>
          </w:divBdr>
        </w:div>
        <w:div w:id="2133547257">
          <w:marLeft w:val="0"/>
          <w:marRight w:val="0"/>
          <w:marTop w:val="0"/>
          <w:marBottom w:val="0"/>
          <w:divBdr>
            <w:top w:val="none" w:sz="0" w:space="0" w:color="auto"/>
            <w:left w:val="none" w:sz="0" w:space="0" w:color="auto"/>
            <w:bottom w:val="none" w:sz="0" w:space="0" w:color="auto"/>
            <w:right w:val="none" w:sz="0" w:space="0" w:color="auto"/>
          </w:divBdr>
        </w:div>
      </w:divsChild>
    </w:div>
    <w:div w:id="746074952">
      <w:bodyDiv w:val="1"/>
      <w:marLeft w:val="0"/>
      <w:marRight w:val="0"/>
      <w:marTop w:val="0"/>
      <w:marBottom w:val="0"/>
      <w:divBdr>
        <w:top w:val="none" w:sz="0" w:space="0" w:color="auto"/>
        <w:left w:val="none" w:sz="0" w:space="0" w:color="auto"/>
        <w:bottom w:val="none" w:sz="0" w:space="0" w:color="auto"/>
        <w:right w:val="none" w:sz="0" w:space="0" w:color="auto"/>
      </w:divBdr>
    </w:div>
    <w:div w:id="762073986">
      <w:bodyDiv w:val="1"/>
      <w:marLeft w:val="0"/>
      <w:marRight w:val="0"/>
      <w:marTop w:val="0"/>
      <w:marBottom w:val="0"/>
      <w:divBdr>
        <w:top w:val="none" w:sz="0" w:space="0" w:color="auto"/>
        <w:left w:val="none" w:sz="0" w:space="0" w:color="auto"/>
        <w:bottom w:val="none" w:sz="0" w:space="0" w:color="auto"/>
        <w:right w:val="none" w:sz="0" w:space="0" w:color="auto"/>
      </w:divBdr>
    </w:div>
    <w:div w:id="764425157">
      <w:bodyDiv w:val="1"/>
      <w:marLeft w:val="0"/>
      <w:marRight w:val="0"/>
      <w:marTop w:val="0"/>
      <w:marBottom w:val="0"/>
      <w:divBdr>
        <w:top w:val="none" w:sz="0" w:space="0" w:color="auto"/>
        <w:left w:val="none" w:sz="0" w:space="0" w:color="auto"/>
        <w:bottom w:val="none" w:sz="0" w:space="0" w:color="auto"/>
        <w:right w:val="none" w:sz="0" w:space="0" w:color="auto"/>
      </w:divBdr>
    </w:div>
    <w:div w:id="799344524">
      <w:bodyDiv w:val="1"/>
      <w:marLeft w:val="0"/>
      <w:marRight w:val="0"/>
      <w:marTop w:val="0"/>
      <w:marBottom w:val="0"/>
      <w:divBdr>
        <w:top w:val="none" w:sz="0" w:space="0" w:color="auto"/>
        <w:left w:val="none" w:sz="0" w:space="0" w:color="auto"/>
        <w:bottom w:val="none" w:sz="0" w:space="0" w:color="auto"/>
        <w:right w:val="none" w:sz="0" w:space="0" w:color="auto"/>
      </w:divBdr>
    </w:div>
    <w:div w:id="803279125">
      <w:bodyDiv w:val="1"/>
      <w:marLeft w:val="0"/>
      <w:marRight w:val="0"/>
      <w:marTop w:val="0"/>
      <w:marBottom w:val="0"/>
      <w:divBdr>
        <w:top w:val="none" w:sz="0" w:space="0" w:color="auto"/>
        <w:left w:val="none" w:sz="0" w:space="0" w:color="auto"/>
        <w:bottom w:val="none" w:sz="0" w:space="0" w:color="auto"/>
        <w:right w:val="none" w:sz="0" w:space="0" w:color="auto"/>
      </w:divBdr>
      <w:divsChild>
        <w:div w:id="17390732">
          <w:marLeft w:val="0"/>
          <w:marRight w:val="0"/>
          <w:marTop w:val="0"/>
          <w:marBottom w:val="0"/>
          <w:divBdr>
            <w:top w:val="none" w:sz="0" w:space="0" w:color="auto"/>
            <w:left w:val="none" w:sz="0" w:space="0" w:color="auto"/>
            <w:bottom w:val="none" w:sz="0" w:space="0" w:color="auto"/>
            <w:right w:val="none" w:sz="0" w:space="0" w:color="auto"/>
          </w:divBdr>
        </w:div>
        <w:div w:id="58752707">
          <w:marLeft w:val="0"/>
          <w:marRight w:val="0"/>
          <w:marTop w:val="0"/>
          <w:marBottom w:val="0"/>
          <w:divBdr>
            <w:top w:val="none" w:sz="0" w:space="0" w:color="auto"/>
            <w:left w:val="none" w:sz="0" w:space="0" w:color="auto"/>
            <w:bottom w:val="none" w:sz="0" w:space="0" w:color="auto"/>
            <w:right w:val="none" w:sz="0" w:space="0" w:color="auto"/>
          </w:divBdr>
          <w:divsChild>
            <w:div w:id="655063932">
              <w:marLeft w:val="0"/>
              <w:marRight w:val="0"/>
              <w:marTop w:val="0"/>
              <w:marBottom w:val="0"/>
              <w:divBdr>
                <w:top w:val="none" w:sz="0" w:space="0" w:color="auto"/>
                <w:left w:val="none" w:sz="0" w:space="0" w:color="auto"/>
                <w:bottom w:val="none" w:sz="0" w:space="0" w:color="auto"/>
                <w:right w:val="none" w:sz="0" w:space="0" w:color="auto"/>
              </w:divBdr>
            </w:div>
            <w:div w:id="730615614">
              <w:marLeft w:val="0"/>
              <w:marRight w:val="0"/>
              <w:marTop w:val="0"/>
              <w:marBottom w:val="0"/>
              <w:divBdr>
                <w:top w:val="none" w:sz="0" w:space="0" w:color="auto"/>
                <w:left w:val="none" w:sz="0" w:space="0" w:color="auto"/>
                <w:bottom w:val="none" w:sz="0" w:space="0" w:color="auto"/>
                <w:right w:val="none" w:sz="0" w:space="0" w:color="auto"/>
              </w:divBdr>
            </w:div>
            <w:div w:id="1220441343">
              <w:marLeft w:val="0"/>
              <w:marRight w:val="0"/>
              <w:marTop w:val="0"/>
              <w:marBottom w:val="0"/>
              <w:divBdr>
                <w:top w:val="none" w:sz="0" w:space="0" w:color="auto"/>
                <w:left w:val="none" w:sz="0" w:space="0" w:color="auto"/>
                <w:bottom w:val="none" w:sz="0" w:space="0" w:color="auto"/>
                <w:right w:val="none" w:sz="0" w:space="0" w:color="auto"/>
              </w:divBdr>
            </w:div>
            <w:div w:id="1433626656">
              <w:marLeft w:val="0"/>
              <w:marRight w:val="0"/>
              <w:marTop w:val="0"/>
              <w:marBottom w:val="0"/>
              <w:divBdr>
                <w:top w:val="none" w:sz="0" w:space="0" w:color="auto"/>
                <w:left w:val="none" w:sz="0" w:space="0" w:color="auto"/>
                <w:bottom w:val="none" w:sz="0" w:space="0" w:color="auto"/>
                <w:right w:val="none" w:sz="0" w:space="0" w:color="auto"/>
              </w:divBdr>
            </w:div>
            <w:div w:id="1808888721">
              <w:marLeft w:val="0"/>
              <w:marRight w:val="0"/>
              <w:marTop w:val="0"/>
              <w:marBottom w:val="0"/>
              <w:divBdr>
                <w:top w:val="none" w:sz="0" w:space="0" w:color="auto"/>
                <w:left w:val="none" w:sz="0" w:space="0" w:color="auto"/>
                <w:bottom w:val="none" w:sz="0" w:space="0" w:color="auto"/>
                <w:right w:val="none" w:sz="0" w:space="0" w:color="auto"/>
              </w:divBdr>
            </w:div>
          </w:divsChild>
        </w:div>
        <w:div w:id="118573911">
          <w:marLeft w:val="0"/>
          <w:marRight w:val="0"/>
          <w:marTop w:val="0"/>
          <w:marBottom w:val="0"/>
          <w:divBdr>
            <w:top w:val="none" w:sz="0" w:space="0" w:color="auto"/>
            <w:left w:val="none" w:sz="0" w:space="0" w:color="auto"/>
            <w:bottom w:val="none" w:sz="0" w:space="0" w:color="auto"/>
            <w:right w:val="none" w:sz="0" w:space="0" w:color="auto"/>
          </w:divBdr>
          <w:divsChild>
            <w:div w:id="147283017">
              <w:marLeft w:val="0"/>
              <w:marRight w:val="0"/>
              <w:marTop w:val="0"/>
              <w:marBottom w:val="0"/>
              <w:divBdr>
                <w:top w:val="none" w:sz="0" w:space="0" w:color="auto"/>
                <w:left w:val="none" w:sz="0" w:space="0" w:color="auto"/>
                <w:bottom w:val="none" w:sz="0" w:space="0" w:color="auto"/>
                <w:right w:val="none" w:sz="0" w:space="0" w:color="auto"/>
              </w:divBdr>
            </w:div>
            <w:div w:id="923299213">
              <w:marLeft w:val="0"/>
              <w:marRight w:val="0"/>
              <w:marTop w:val="0"/>
              <w:marBottom w:val="0"/>
              <w:divBdr>
                <w:top w:val="none" w:sz="0" w:space="0" w:color="auto"/>
                <w:left w:val="none" w:sz="0" w:space="0" w:color="auto"/>
                <w:bottom w:val="none" w:sz="0" w:space="0" w:color="auto"/>
                <w:right w:val="none" w:sz="0" w:space="0" w:color="auto"/>
              </w:divBdr>
            </w:div>
            <w:div w:id="1538082036">
              <w:marLeft w:val="0"/>
              <w:marRight w:val="0"/>
              <w:marTop w:val="0"/>
              <w:marBottom w:val="0"/>
              <w:divBdr>
                <w:top w:val="none" w:sz="0" w:space="0" w:color="auto"/>
                <w:left w:val="none" w:sz="0" w:space="0" w:color="auto"/>
                <w:bottom w:val="none" w:sz="0" w:space="0" w:color="auto"/>
                <w:right w:val="none" w:sz="0" w:space="0" w:color="auto"/>
              </w:divBdr>
            </w:div>
            <w:div w:id="1832989734">
              <w:marLeft w:val="0"/>
              <w:marRight w:val="0"/>
              <w:marTop w:val="0"/>
              <w:marBottom w:val="0"/>
              <w:divBdr>
                <w:top w:val="none" w:sz="0" w:space="0" w:color="auto"/>
                <w:left w:val="none" w:sz="0" w:space="0" w:color="auto"/>
                <w:bottom w:val="none" w:sz="0" w:space="0" w:color="auto"/>
                <w:right w:val="none" w:sz="0" w:space="0" w:color="auto"/>
              </w:divBdr>
            </w:div>
            <w:div w:id="2086026374">
              <w:marLeft w:val="0"/>
              <w:marRight w:val="0"/>
              <w:marTop w:val="0"/>
              <w:marBottom w:val="0"/>
              <w:divBdr>
                <w:top w:val="none" w:sz="0" w:space="0" w:color="auto"/>
                <w:left w:val="none" w:sz="0" w:space="0" w:color="auto"/>
                <w:bottom w:val="none" w:sz="0" w:space="0" w:color="auto"/>
                <w:right w:val="none" w:sz="0" w:space="0" w:color="auto"/>
              </w:divBdr>
            </w:div>
          </w:divsChild>
        </w:div>
        <w:div w:id="147521967">
          <w:marLeft w:val="0"/>
          <w:marRight w:val="0"/>
          <w:marTop w:val="0"/>
          <w:marBottom w:val="0"/>
          <w:divBdr>
            <w:top w:val="none" w:sz="0" w:space="0" w:color="auto"/>
            <w:left w:val="none" w:sz="0" w:space="0" w:color="auto"/>
            <w:bottom w:val="none" w:sz="0" w:space="0" w:color="auto"/>
            <w:right w:val="none" w:sz="0" w:space="0" w:color="auto"/>
          </w:divBdr>
          <w:divsChild>
            <w:div w:id="355812964">
              <w:marLeft w:val="0"/>
              <w:marRight w:val="0"/>
              <w:marTop w:val="0"/>
              <w:marBottom w:val="0"/>
              <w:divBdr>
                <w:top w:val="none" w:sz="0" w:space="0" w:color="auto"/>
                <w:left w:val="none" w:sz="0" w:space="0" w:color="auto"/>
                <w:bottom w:val="none" w:sz="0" w:space="0" w:color="auto"/>
                <w:right w:val="none" w:sz="0" w:space="0" w:color="auto"/>
              </w:divBdr>
            </w:div>
            <w:div w:id="715159141">
              <w:marLeft w:val="0"/>
              <w:marRight w:val="0"/>
              <w:marTop w:val="0"/>
              <w:marBottom w:val="0"/>
              <w:divBdr>
                <w:top w:val="none" w:sz="0" w:space="0" w:color="auto"/>
                <w:left w:val="none" w:sz="0" w:space="0" w:color="auto"/>
                <w:bottom w:val="none" w:sz="0" w:space="0" w:color="auto"/>
                <w:right w:val="none" w:sz="0" w:space="0" w:color="auto"/>
              </w:divBdr>
            </w:div>
            <w:div w:id="2056005351">
              <w:marLeft w:val="0"/>
              <w:marRight w:val="0"/>
              <w:marTop w:val="0"/>
              <w:marBottom w:val="0"/>
              <w:divBdr>
                <w:top w:val="none" w:sz="0" w:space="0" w:color="auto"/>
                <w:left w:val="none" w:sz="0" w:space="0" w:color="auto"/>
                <w:bottom w:val="none" w:sz="0" w:space="0" w:color="auto"/>
                <w:right w:val="none" w:sz="0" w:space="0" w:color="auto"/>
              </w:divBdr>
            </w:div>
            <w:div w:id="2119134335">
              <w:marLeft w:val="0"/>
              <w:marRight w:val="0"/>
              <w:marTop w:val="0"/>
              <w:marBottom w:val="0"/>
              <w:divBdr>
                <w:top w:val="none" w:sz="0" w:space="0" w:color="auto"/>
                <w:left w:val="none" w:sz="0" w:space="0" w:color="auto"/>
                <w:bottom w:val="none" w:sz="0" w:space="0" w:color="auto"/>
                <w:right w:val="none" w:sz="0" w:space="0" w:color="auto"/>
              </w:divBdr>
            </w:div>
          </w:divsChild>
        </w:div>
        <w:div w:id="623579736">
          <w:marLeft w:val="0"/>
          <w:marRight w:val="0"/>
          <w:marTop w:val="0"/>
          <w:marBottom w:val="0"/>
          <w:divBdr>
            <w:top w:val="none" w:sz="0" w:space="0" w:color="auto"/>
            <w:left w:val="none" w:sz="0" w:space="0" w:color="auto"/>
            <w:bottom w:val="none" w:sz="0" w:space="0" w:color="auto"/>
            <w:right w:val="none" w:sz="0" w:space="0" w:color="auto"/>
          </w:divBdr>
        </w:div>
        <w:div w:id="653146198">
          <w:marLeft w:val="0"/>
          <w:marRight w:val="0"/>
          <w:marTop w:val="0"/>
          <w:marBottom w:val="0"/>
          <w:divBdr>
            <w:top w:val="none" w:sz="0" w:space="0" w:color="auto"/>
            <w:left w:val="none" w:sz="0" w:space="0" w:color="auto"/>
            <w:bottom w:val="none" w:sz="0" w:space="0" w:color="auto"/>
            <w:right w:val="none" w:sz="0" w:space="0" w:color="auto"/>
          </w:divBdr>
          <w:divsChild>
            <w:div w:id="115834343">
              <w:marLeft w:val="0"/>
              <w:marRight w:val="0"/>
              <w:marTop w:val="0"/>
              <w:marBottom w:val="0"/>
              <w:divBdr>
                <w:top w:val="none" w:sz="0" w:space="0" w:color="auto"/>
                <w:left w:val="none" w:sz="0" w:space="0" w:color="auto"/>
                <w:bottom w:val="none" w:sz="0" w:space="0" w:color="auto"/>
                <w:right w:val="none" w:sz="0" w:space="0" w:color="auto"/>
              </w:divBdr>
            </w:div>
            <w:div w:id="1131481334">
              <w:marLeft w:val="0"/>
              <w:marRight w:val="0"/>
              <w:marTop w:val="0"/>
              <w:marBottom w:val="0"/>
              <w:divBdr>
                <w:top w:val="none" w:sz="0" w:space="0" w:color="auto"/>
                <w:left w:val="none" w:sz="0" w:space="0" w:color="auto"/>
                <w:bottom w:val="none" w:sz="0" w:space="0" w:color="auto"/>
                <w:right w:val="none" w:sz="0" w:space="0" w:color="auto"/>
              </w:divBdr>
            </w:div>
            <w:div w:id="1474523588">
              <w:marLeft w:val="0"/>
              <w:marRight w:val="0"/>
              <w:marTop w:val="0"/>
              <w:marBottom w:val="0"/>
              <w:divBdr>
                <w:top w:val="none" w:sz="0" w:space="0" w:color="auto"/>
                <w:left w:val="none" w:sz="0" w:space="0" w:color="auto"/>
                <w:bottom w:val="none" w:sz="0" w:space="0" w:color="auto"/>
                <w:right w:val="none" w:sz="0" w:space="0" w:color="auto"/>
              </w:divBdr>
            </w:div>
          </w:divsChild>
        </w:div>
        <w:div w:id="690956142">
          <w:marLeft w:val="0"/>
          <w:marRight w:val="0"/>
          <w:marTop w:val="0"/>
          <w:marBottom w:val="0"/>
          <w:divBdr>
            <w:top w:val="none" w:sz="0" w:space="0" w:color="auto"/>
            <w:left w:val="none" w:sz="0" w:space="0" w:color="auto"/>
            <w:bottom w:val="none" w:sz="0" w:space="0" w:color="auto"/>
            <w:right w:val="none" w:sz="0" w:space="0" w:color="auto"/>
          </w:divBdr>
          <w:divsChild>
            <w:div w:id="291401980">
              <w:marLeft w:val="0"/>
              <w:marRight w:val="0"/>
              <w:marTop w:val="0"/>
              <w:marBottom w:val="0"/>
              <w:divBdr>
                <w:top w:val="none" w:sz="0" w:space="0" w:color="auto"/>
                <w:left w:val="none" w:sz="0" w:space="0" w:color="auto"/>
                <w:bottom w:val="none" w:sz="0" w:space="0" w:color="auto"/>
                <w:right w:val="none" w:sz="0" w:space="0" w:color="auto"/>
              </w:divBdr>
            </w:div>
            <w:div w:id="566303812">
              <w:marLeft w:val="0"/>
              <w:marRight w:val="0"/>
              <w:marTop w:val="0"/>
              <w:marBottom w:val="0"/>
              <w:divBdr>
                <w:top w:val="none" w:sz="0" w:space="0" w:color="auto"/>
                <w:left w:val="none" w:sz="0" w:space="0" w:color="auto"/>
                <w:bottom w:val="none" w:sz="0" w:space="0" w:color="auto"/>
                <w:right w:val="none" w:sz="0" w:space="0" w:color="auto"/>
              </w:divBdr>
            </w:div>
            <w:div w:id="1560021732">
              <w:marLeft w:val="0"/>
              <w:marRight w:val="0"/>
              <w:marTop w:val="0"/>
              <w:marBottom w:val="0"/>
              <w:divBdr>
                <w:top w:val="none" w:sz="0" w:space="0" w:color="auto"/>
                <w:left w:val="none" w:sz="0" w:space="0" w:color="auto"/>
                <w:bottom w:val="none" w:sz="0" w:space="0" w:color="auto"/>
                <w:right w:val="none" w:sz="0" w:space="0" w:color="auto"/>
              </w:divBdr>
            </w:div>
            <w:div w:id="1640502036">
              <w:marLeft w:val="0"/>
              <w:marRight w:val="0"/>
              <w:marTop w:val="0"/>
              <w:marBottom w:val="0"/>
              <w:divBdr>
                <w:top w:val="none" w:sz="0" w:space="0" w:color="auto"/>
                <w:left w:val="none" w:sz="0" w:space="0" w:color="auto"/>
                <w:bottom w:val="none" w:sz="0" w:space="0" w:color="auto"/>
                <w:right w:val="none" w:sz="0" w:space="0" w:color="auto"/>
              </w:divBdr>
            </w:div>
            <w:div w:id="1867332753">
              <w:marLeft w:val="0"/>
              <w:marRight w:val="0"/>
              <w:marTop w:val="0"/>
              <w:marBottom w:val="0"/>
              <w:divBdr>
                <w:top w:val="none" w:sz="0" w:space="0" w:color="auto"/>
                <w:left w:val="none" w:sz="0" w:space="0" w:color="auto"/>
                <w:bottom w:val="none" w:sz="0" w:space="0" w:color="auto"/>
                <w:right w:val="none" w:sz="0" w:space="0" w:color="auto"/>
              </w:divBdr>
            </w:div>
          </w:divsChild>
        </w:div>
        <w:div w:id="768890484">
          <w:marLeft w:val="0"/>
          <w:marRight w:val="0"/>
          <w:marTop w:val="0"/>
          <w:marBottom w:val="0"/>
          <w:divBdr>
            <w:top w:val="none" w:sz="0" w:space="0" w:color="auto"/>
            <w:left w:val="none" w:sz="0" w:space="0" w:color="auto"/>
            <w:bottom w:val="none" w:sz="0" w:space="0" w:color="auto"/>
            <w:right w:val="none" w:sz="0" w:space="0" w:color="auto"/>
          </w:divBdr>
        </w:div>
        <w:div w:id="1159804449">
          <w:marLeft w:val="0"/>
          <w:marRight w:val="0"/>
          <w:marTop w:val="0"/>
          <w:marBottom w:val="0"/>
          <w:divBdr>
            <w:top w:val="none" w:sz="0" w:space="0" w:color="auto"/>
            <w:left w:val="none" w:sz="0" w:space="0" w:color="auto"/>
            <w:bottom w:val="none" w:sz="0" w:space="0" w:color="auto"/>
            <w:right w:val="none" w:sz="0" w:space="0" w:color="auto"/>
          </w:divBdr>
        </w:div>
        <w:div w:id="1159930750">
          <w:marLeft w:val="0"/>
          <w:marRight w:val="0"/>
          <w:marTop w:val="0"/>
          <w:marBottom w:val="0"/>
          <w:divBdr>
            <w:top w:val="none" w:sz="0" w:space="0" w:color="auto"/>
            <w:left w:val="none" w:sz="0" w:space="0" w:color="auto"/>
            <w:bottom w:val="none" w:sz="0" w:space="0" w:color="auto"/>
            <w:right w:val="none" w:sz="0" w:space="0" w:color="auto"/>
          </w:divBdr>
          <w:divsChild>
            <w:div w:id="215046403">
              <w:marLeft w:val="0"/>
              <w:marRight w:val="0"/>
              <w:marTop w:val="0"/>
              <w:marBottom w:val="0"/>
              <w:divBdr>
                <w:top w:val="none" w:sz="0" w:space="0" w:color="auto"/>
                <w:left w:val="none" w:sz="0" w:space="0" w:color="auto"/>
                <w:bottom w:val="none" w:sz="0" w:space="0" w:color="auto"/>
                <w:right w:val="none" w:sz="0" w:space="0" w:color="auto"/>
              </w:divBdr>
            </w:div>
            <w:div w:id="355354047">
              <w:marLeft w:val="0"/>
              <w:marRight w:val="0"/>
              <w:marTop w:val="0"/>
              <w:marBottom w:val="0"/>
              <w:divBdr>
                <w:top w:val="none" w:sz="0" w:space="0" w:color="auto"/>
                <w:left w:val="none" w:sz="0" w:space="0" w:color="auto"/>
                <w:bottom w:val="none" w:sz="0" w:space="0" w:color="auto"/>
                <w:right w:val="none" w:sz="0" w:space="0" w:color="auto"/>
              </w:divBdr>
            </w:div>
            <w:div w:id="1308244935">
              <w:marLeft w:val="0"/>
              <w:marRight w:val="0"/>
              <w:marTop w:val="0"/>
              <w:marBottom w:val="0"/>
              <w:divBdr>
                <w:top w:val="none" w:sz="0" w:space="0" w:color="auto"/>
                <w:left w:val="none" w:sz="0" w:space="0" w:color="auto"/>
                <w:bottom w:val="none" w:sz="0" w:space="0" w:color="auto"/>
                <w:right w:val="none" w:sz="0" w:space="0" w:color="auto"/>
              </w:divBdr>
            </w:div>
            <w:div w:id="1317953493">
              <w:marLeft w:val="0"/>
              <w:marRight w:val="0"/>
              <w:marTop w:val="0"/>
              <w:marBottom w:val="0"/>
              <w:divBdr>
                <w:top w:val="none" w:sz="0" w:space="0" w:color="auto"/>
                <w:left w:val="none" w:sz="0" w:space="0" w:color="auto"/>
                <w:bottom w:val="none" w:sz="0" w:space="0" w:color="auto"/>
                <w:right w:val="none" w:sz="0" w:space="0" w:color="auto"/>
              </w:divBdr>
            </w:div>
            <w:div w:id="1910454531">
              <w:marLeft w:val="0"/>
              <w:marRight w:val="0"/>
              <w:marTop w:val="0"/>
              <w:marBottom w:val="0"/>
              <w:divBdr>
                <w:top w:val="none" w:sz="0" w:space="0" w:color="auto"/>
                <w:left w:val="none" w:sz="0" w:space="0" w:color="auto"/>
                <w:bottom w:val="none" w:sz="0" w:space="0" w:color="auto"/>
                <w:right w:val="none" w:sz="0" w:space="0" w:color="auto"/>
              </w:divBdr>
            </w:div>
          </w:divsChild>
        </w:div>
        <w:div w:id="1173763509">
          <w:marLeft w:val="0"/>
          <w:marRight w:val="0"/>
          <w:marTop w:val="0"/>
          <w:marBottom w:val="0"/>
          <w:divBdr>
            <w:top w:val="none" w:sz="0" w:space="0" w:color="auto"/>
            <w:left w:val="none" w:sz="0" w:space="0" w:color="auto"/>
            <w:bottom w:val="none" w:sz="0" w:space="0" w:color="auto"/>
            <w:right w:val="none" w:sz="0" w:space="0" w:color="auto"/>
          </w:divBdr>
        </w:div>
        <w:div w:id="1332223554">
          <w:marLeft w:val="0"/>
          <w:marRight w:val="0"/>
          <w:marTop w:val="0"/>
          <w:marBottom w:val="0"/>
          <w:divBdr>
            <w:top w:val="none" w:sz="0" w:space="0" w:color="auto"/>
            <w:left w:val="none" w:sz="0" w:space="0" w:color="auto"/>
            <w:bottom w:val="none" w:sz="0" w:space="0" w:color="auto"/>
            <w:right w:val="none" w:sz="0" w:space="0" w:color="auto"/>
          </w:divBdr>
        </w:div>
        <w:div w:id="1534417474">
          <w:marLeft w:val="0"/>
          <w:marRight w:val="0"/>
          <w:marTop w:val="0"/>
          <w:marBottom w:val="0"/>
          <w:divBdr>
            <w:top w:val="none" w:sz="0" w:space="0" w:color="auto"/>
            <w:left w:val="none" w:sz="0" w:space="0" w:color="auto"/>
            <w:bottom w:val="none" w:sz="0" w:space="0" w:color="auto"/>
            <w:right w:val="none" w:sz="0" w:space="0" w:color="auto"/>
          </w:divBdr>
          <w:divsChild>
            <w:div w:id="629555690">
              <w:marLeft w:val="0"/>
              <w:marRight w:val="0"/>
              <w:marTop w:val="0"/>
              <w:marBottom w:val="0"/>
              <w:divBdr>
                <w:top w:val="none" w:sz="0" w:space="0" w:color="auto"/>
                <w:left w:val="none" w:sz="0" w:space="0" w:color="auto"/>
                <w:bottom w:val="none" w:sz="0" w:space="0" w:color="auto"/>
                <w:right w:val="none" w:sz="0" w:space="0" w:color="auto"/>
              </w:divBdr>
            </w:div>
            <w:div w:id="991833050">
              <w:marLeft w:val="0"/>
              <w:marRight w:val="0"/>
              <w:marTop w:val="0"/>
              <w:marBottom w:val="0"/>
              <w:divBdr>
                <w:top w:val="none" w:sz="0" w:space="0" w:color="auto"/>
                <w:left w:val="none" w:sz="0" w:space="0" w:color="auto"/>
                <w:bottom w:val="none" w:sz="0" w:space="0" w:color="auto"/>
                <w:right w:val="none" w:sz="0" w:space="0" w:color="auto"/>
              </w:divBdr>
            </w:div>
            <w:div w:id="1227691270">
              <w:marLeft w:val="0"/>
              <w:marRight w:val="0"/>
              <w:marTop w:val="0"/>
              <w:marBottom w:val="0"/>
              <w:divBdr>
                <w:top w:val="none" w:sz="0" w:space="0" w:color="auto"/>
                <w:left w:val="none" w:sz="0" w:space="0" w:color="auto"/>
                <w:bottom w:val="none" w:sz="0" w:space="0" w:color="auto"/>
                <w:right w:val="none" w:sz="0" w:space="0" w:color="auto"/>
              </w:divBdr>
            </w:div>
            <w:div w:id="1277252532">
              <w:marLeft w:val="0"/>
              <w:marRight w:val="0"/>
              <w:marTop w:val="0"/>
              <w:marBottom w:val="0"/>
              <w:divBdr>
                <w:top w:val="none" w:sz="0" w:space="0" w:color="auto"/>
                <w:left w:val="none" w:sz="0" w:space="0" w:color="auto"/>
                <w:bottom w:val="none" w:sz="0" w:space="0" w:color="auto"/>
                <w:right w:val="none" w:sz="0" w:space="0" w:color="auto"/>
              </w:divBdr>
            </w:div>
          </w:divsChild>
        </w:div>
        <w:div w:id="1688171636">
          <w:marLeft w:val="0"/>
          <w:marRight w:val="0"/>
          <w:marTop w:val="0"/>
          <w:marBottom w:val="0"/>
          <w:divBdr>
            <w:top w:val="none" w:sz="0" w:space="0" w:color="auto"/>
            <w:left w:val="none" w:sz="0" w:space="0" w:color="auto"/>
            <w:bottom w:val="none" w:sz="0" w:space="0" w:color="auto"/>
            <w:right w:val="none" w:sz="0" w:space="0" w:color="auto"/>
          </w:divBdr>
        </w:div>
        <w:div w:id="2022971371">
          <w:marLeft w:val="0"/>
          <w:marRight w:val="0"/>
          <w:marTop w:val="0"/>
          <w:marBottom w:val="0"/>
          <w:divBdr>
            <w:top w:val="none" w:sz="0" w:space="0" w:color="auto"/>
            <w:left w:val="none" w:sz="0" w:space="0" w:color="auto"/>
            <w:bottom w:val="none" w:sz="0" w:space="0" w:color="auto"/>
            <w:right w:val="none" w:sz="0" w:space="0" w:color="auto"/>
          </w:divBdr>
          <w:divsChild>
            <w:div w:id="149684951">
              <w:marLeft w:val="0"/>
              <w:marRight w:val="0"/>
              <w:marTop w:val="0"/>
              <w:marBottom w:val="0"/>
              <w:divBdr>
                <w:top w:val="none" w:sz="0" w:space="0" w:color="auto"/>
                <w:left w:val="none" w:sz="0" w:space="0" w:color="auto"/>
                <w:bottom w:val="none" w:sz="0" w:space="0" w:color="auto"/>
                <w:right w:val="none" w:sz="0" w:space="0" w:color="auto"/>
              </w:divBdr>
            </w:div>
            <w:div w:id="1473593668">
              <w:marLeft w:val="0"/>
              <w:marRight w:val="0"/>
              <w:marTop w:val="0"/>
              <w:marBottom w:val="0"/>
              <w:divBdr>
                <w:top w:val="none" w:sz="0" w:space="0" w:color="auto"/>
                <w:left w:val="none" w:sz="0" w:space="0" w:color="auto"/>
                <w:bottom w:val="none" w:sz="0" w:space="0" w:color="auto"/>
                <w:right w:val="none" w:sz="0" w:space="0" w:color="auto"/>
              </w:divBdr>
            </w:div>
            <w:div w:id="2023622093">
              <w:marLeft w:val="0"/>
              <w:marRight w:val="0"/>
              <w:marTop w:val="0"/>
              <w:marBottom w:val="0"/>
              <w:divBdr>
                <w:top w:val="none" w:sz="0" w:space="0" w:color="auto"/>
                <w:left w:val="none" w:sz="0" w:space="0" w:color="auto"/>
                <w:bottom w:val="none" w:sz="0" w:space="0" w:color="auto"/>
                <w:right w:val="none" w:sz="0" w:space="0" w:color="auto"/>
              </w:divBdr>
            </w:div>
          </w:divsChild>
        </w:div>
        <w:div w:id="2099056422">
          <w:marLeft w:val="0"/>
          <w:marRight w:val="0"/>
          <w:marTop w:val="0"/>
          <w:marBottom w:val="0"/>
          <w:divBdr>
            <w:top w:val="none" w:sz="0" w:space="0" w:color="auto"/>
            <w:left w:val="none" w:sz="0" w:space="0" w:color="auto"/>
            <w:bottom w:val="none" w:sz="0" w:space="0" w:color="auto"/>
            <w:right w:val="none" w:sz="0" w:space="0" w:color="auto"/>
          </w:divBdr>
        </w:div>
      </w:divsChild>
    </w:div>
    <w:div w:id="806821212">
      <w:bodyDiv w:val="1"/>
      <w:marLeft w:val="0"/>
      <w:marRight w:val="0"/>
      <w:marTop w:val="0"/>
      <w:marBottom w:val="0"/>
      <w:divBdr>
        <w:top w:val="none" w:sz="0" w:space="0" w:color="auto"/>
        <w:left w:val="none" w:sz="0" w:space="0" w:color="auto"/>
        <w:bottom w:val="none" w:sz="0" w:space="0" w:color="auto"/>
        <w:right w:val="none" w:sz="0" w:space="0" w:color="auto"/>
      </w:divBdr>
    </w:div>
    <w:div w:id="835462876">
      <w:bodyDiv w:val="1"/>
      <w:marLeft w:val="0"/>
      <w:marRight w:val="0"/>
      <w:marTop w:val="0"/>
      <w:marBottom w:val="0"/>
      <w:divBdr>
        <w:top w:val="none" w:sz="0" w:space="0" w:color="auto"/>
        <w:left w:val="none" w:sz="0" w:space="0" w:color="auto"/>
        <w:bottom w:val="none" w:sz="0" w:space="0" w:color="auto"/>
        <w:right w:val="none" w:sz="0" w:space="0" w:color="auto"/>
      </w:divBdr>
      <w:divsChild>
        <w:div w:id="210655867">
          <w:marLeft w:val="0"/>
          <w:marRight w:val="0"/>
          <w:marTop w:val="0"/>
          <w:marBottom w:val="0"/>
          <w:divBdr>
            <w:top w:val="none" w:sz="0" w:space="0" w:color="auto"/>
            <w:left w:val="none" w:sz="0" w:space="0" w:color="auto"/>
            <w:bottom w:val="none" w:sz="0" w:space="0" w:color="auto"/>
            <w:right w:val="none" w:sz="0" w:space="0" w:color="auto"/>
          </w:divBdr>
          <w:divsChild>
            <w:div w:id="741635688">
              <w:marLeft w:val="0"/>
              <w:marRight w:val="0"/>
              <w:marTop w:val="30"/>
              <w:marBottom w:val="30"/>
              <w:divBdr>
                <w:top w:val="none" w:sz="0" w:space="0" w:color="auto"/>
                <w:left w:val="none" w:sz="0" w:space="0" w:color="auto"/>
                <w:bottom w:val="none" w:sz="0" w:space="0" w:color="auto"/>
                <w:right w:val="none" w:sz="0" w:space="0" w:color="auto"/>
              </w:divBdr>
              <w:divsChild>
                <w:div w:id="25953785">
                  <w:marLeft w:val="0"/>
                  <w:marRight w:val="0"/>
                  <w:marTop w:val="0"/>
                  <w:marBottom w:val="0"/>
                  <w:divBdr>
                    <w:top w:val="none" w:sz="0" w:space="0" w:color="auto"/>
                    <w:left w:val="none" w:sz="0" w:space="0" w:color="auto"/>
                    <w:bottom w:val="none" w:sz="0" w:space="0" w:color="auto"/>
                    <w:right w:val="none" w:sz="0" w:space="0" w:color="auto"/>
                  </w:divBdr>
                  <w:divsChild>
                    <w:div w:id="659847753">
                      <w:marLeft w:val="0"/>
                      <w:marRight w:val="0"/>
                      <w:marTop w:val="0"/>
                      <w:marBottom w:val="0"/>
                      <w:divBdr>
                        <w:top w:val="none" w:sz="0" w:space="0" w:color="auto"/>
                        <w:left w:val="none" w:sz="0" w:space="0" w:color="auto"/>
                        <w:bottom w:val="none" w:sz="0" w:space="0" w:color="auto"/>
                        <w:right w:val="none" w:sz="0" w:space="0" w:color="auto"/>
                      </w:divBdr>
                    </w:div>
                  </w:divsChild>
                </w:div>
                <w:div w:id="52243072">
                  <w:marLeft w:val="0"/>
                  <w:marRight w:val="0"/>
                  <w:marTop w:val="0"/>
                  <w:marBottom w:val="0"/>
                  <w:divBdr>
                    <w:top w:val="none" w:sz="0" w:space="0" w:color="auto"/>
                    <w:left w:val="none" w:sz="0" w:space="0" w:color="auto"/>
                    <w:bottom w:val="none" w:sz="0" w:space="0" w:color="auto"/>
                    <w:right w:val="none" w:sz="0" w:space="0" w:color="auto"/>
                  </w:divBdr>
                  <w:divsChild>
                    <w:div w:id="1172331697">
                      <w:marLeft w:val="0"/>
                      <w:marRight w:val="0"/>
                      <w:marTop w:val="0"/>
                      <w:marBottom w:val="0"/>
                      <w:divBdr>
                        <w:top w:val="none" w:sz="0" w:space="0" w:color="auto"/>
                        <w:left w:val="none" w:sz="0" w:space="0" w:color="auto"/>
                        <w:bottom w:val="none" w:sz="0" w:space="0" w:color="auto"/>
                        <w:right w:val="none" w:sz="0" w:space="0" w:color="auto"/>
                      </w:divBdr>
                    </w:div>
                  </w:divsChild>
                </w:div>
                <w:div w:id="66000307">
                  <w:marLeft w:val="0"/>
                  <w:marRight w:val="0"/>
                  <w:marTop w:val="0"/>
                  <w:marBottom w:val="0"/>
                  <w:divBdr>
                    <w:top w:val="none" w:sz="0" w:space="0" w:color="auto"/>
                    <w:left w:val="none" w:sz="0" w:space="0" w:color="auto"/>
                    <w:bottom w:val="none" w:sz="0" w:space="0" w:color="auto"/>
                    <w:right w:val="none" w:sz="0" w:space="0" w:color="auto"/>
                  </w:divBdr>
                  <w:divsChild>
                    <w:div w:id="211964553">
                      <w:marLeft w:val="0"/>
                      <w:marRight w:val="0"/>
                      <w:marTop w:val="0"/>
                      <w:marBottom w:val="0"/>
                      <w:divBdr>
                        <w:top w:val="none" w:sz="0" w:space="0" w:color="auto"/>
                        <w:left w:val="none" w:sz="0" w:space="0" w:color="auto"/>
                        <w:bottom w:val="none" w:sz="0" w:space="0" w:color="auto"/>
                        <w:right w:val="none" w:sz="0" w:space="0" w:color="auto"/>
                      </w:divBdr>
                    </w:div>
                  </w:divsChild>
                </w:div>
                <w:div w:id="82264261">
                  <w:marLeft w:val="0"/>
                  <w:marRight w:val="0"/>
                  <w:marTop w:val="0"/>
                  <w:marBottom w:val="0"/>
                  <w:divBdr>
                    <w:top w:val="none" w:sz="0" w:space="0" w:color="auto"/>
                    <w:left w:val="none" w:sz="0" w:space="0" w:color="auto"/>
                    <w:bottom w:val="none" w:sz="0" w:space="0" w:color="auto"/>
                    <w:right w:val="none" w:sz="0" w:space="0" w:color="auto"/>
                  </w:divBdr>
                  <w:divsChild>
                    <w:div w:id="1535193141">
                      <w:marLeft w:val="0"/>
                      <w:marRight w:val="0"/>
                      <w:marTop w:val="0"/>
                      <w:marBottom w:val="0"/>
                      <w:divBdr>
                        <w:top w:val="none" w:sz="0" w:space="0" w:color="auto"/>
                        <w:left w:val="none" w:sz="0" w:space="0" w:color="auto"/>
                        <w:bottom w:val="none" w:sz="0" w:space="0" w:color="auto"/>
                        <w:right w:val="none" w:sz="0" w:space="0" w:color="auto"/>
                      </w:divBdr>
                    </w:div>
                  </w:divsChild>
                </w:div>
                <w:div w:id="99373363">
                  <w:marLeft w:val="0"/>
                  <w:marRight w:val="0"/>
                  <w:marTop w:val="0"/>
                  <w:marBottom w:val="0"/>
                  <w:divBdr>
                    <w:top w:val="none" w:sz="0" w:space="0" w:color="auto"/>
                    <w:left w:val="none" w:sz="0" w:space="0" w:color="auto"/>
                    <w:bottom w:val="none" w:sz="0" w:space="0" w:color="auto"/>
                    <w:right w:val="none" w:sz="0" w:space="0" w:color="auto"/>
                  </w:divBdr>
                  <w:divsChild>
                    <w:div w:id="658120096">
                      <w:marLeft w:val="0"/>
                      <w:marRight w:val="0"/>
                      <w:marTop w:val="0"/>
                      <w:marBottom w:val="0"/>
                      <w:divBdr>
                        <w:top w:val="none" w:sz="0" w:space="0" w:color="auto"/>
                        <w:left w:val="none" w:sz="0" w:space="0" w:color="auto"/>
                        <w:bottom w:val="none" w:sz="0" w:space="0" w:color="auto"/>
                        <w:right w:val="none" w:sz="0" w:space="0" w:color="auto"/>
                      </w:divBdr>
                    </w:div>
                  </w:divsChild>
                </w:div>
                <w:div w:id="109593522">
                  <w:marLeft w:val="0"/>
                  <w:marRight w:val="0"/>
                  <w:marTop w:val="0"/>
                  <w:marBottom w:val="0"/>
                  <w:divBdr>
                    <w:top w:val="none" w:sz="0" w:space="0" w:color="auto"/>
                    <w:left w:val="none" w:sz="0" w:space="0" w:color="auto"/>
                    <w:bottom w:val="none" w:sz="0" w:space="0" w:color="auto"/>
                    <w:right w:val="none" w:sz="0" w:space="0" w:color="auto"/>
                  </w:divBdr>
                  <w:divsChild>
                    <w:div w:id="278342909">
                      <w:marLeft w:val="0"/>
                      <w:marRight w:val="0"/>
                      <w:marTop w:val="0"/>
                      <w:marBottom w:val="0"/>
                      <w:divBdr>
                        <w:top w:val="none" w:sz="0" w:space="0" w:color="auto"/>
                        <w:left w:val="none" w:sz="0" w:space="0" w:color="auto"/>
                        <w:bottom w:val="none" w:sz="0" w:space="0" w:color="auto"/>
                        <w:right w:val="none" w:sz="0" w:space="0" w:color="auto"/>
                      </w:divBdr>
                    </w:div>
                  </w:divsChild>
                </w:div>
                <w:div w:id="109713188">
                  <w:marLeft w:val="0"/>
                  <w:marRight w:val="0"/>
                  <w:marTop w:val="0"/>
                  <w:marBottom w:val="0"/>
                  <w:divBdr>
                    <w:top w:val="none" w:sz="0" w:space="0" w:color="auto"/>
                    <w:left w:val="none" w:sz="0" w:space="0" w:color="auto"/>
                    <w:bottom w:val="none" w:sz="0" w:space="0" w:color="auto"/>
                    <w:right w:val="none" w:sz="0" w:space="0" w:color="auto"/>
                  </w:divBdr>
                  <w:divsChild>
                    <w:div w:id="1863663827">
                      <w:marLeft w:val="0"/>
                      <w:marRight w:val="0"/>
                      <w:marTop w:val="0"/>
                      <w:marBottom w:val="0"/>
                      <w:divBdr>
                        <w:top w:val="none" w:sz="0" w:space="0" w:color="auto"/>
                        <w:left w:val="none" w:sz="0" w:space="0" w:color="auto"/>
                        <w:bottom w:val="none" w:sz="0" w:space="0" w:color="auto"/>
                        <w:right w:val="none" w:sz="0" w:space="0" w:color="auto"/>
                      </w:divBdr>
                    </w:div>
                  </w:divsChild>
                </w:div>
                <w:div w:id="118182302">
                  <w:marLeft w:val="0"/>
                  <w:marRight w:val="0"/>
                  <w:marTop w:val="0"/>
                  <w:marBottom w:val="0"/>
                  <w:divBdr>
                    <w:top w:val="none" w:sz="0" w:space="0" w:color="auto"/>
                    <w:left w:val="none" w:sz="0" w:space="0" w:color="auto"/>
                    <w:bottom w:val="none" w:sz="0" w:space="0" w:color="auto"/>
                    <w:right w:val="none" w:sz="0" w:space="0" w:color="auto"/>
                  </w:divBdr>
                  <w:divsChild>
                    <w:div w:id="376471191">
                      <w:marLeft w:val="0"/>
                      <w:marRight w:val="0"/>
                      <w:marTop w:val="0"/>
                      <w:marBottom w:val="0"/>
                      <w:divBdr>
                        <w:top w:val="none" w:sz="0" w:space="0" w:color="auto"/>
                        <w:left w:val="none" w:sz="0" w:space="0" w:color="auto"/>
                        <w:bottom w:val="none" w:sz="0" w:space="0" w:color="auto"/>
                        <w:right w:val="none" w:sz="0" w:space="0" w:color="auto"/>
                      </w:divBdr>
                    </w:div>
                  </w:divsChild>
                </w:div>
                <w:div w:id="223831392">
                  <w:marLeft w:val="0"/>
                  <w:marRight w:val="0"/>
                  <w:marTop w:val="0"/>
                  <w:marBottom w:val="0"/>
                  <w:divBdr>
                    <w:top w:val="none" w:sz="0" w:space="0" w:color="auto"/>
                    <w:left w:val="none" w:sz="0" w:space="0" w:color="auto"/>
                    <w:bottom w:val="none" w:sz="0" w:space="0" w:color="auto"/>
                    <w:right w:val="none" w:sz="0" w:space="0" w:color="auto"/>
                  </w:divBdr>
                  <w:divsChild>
                    <w:div w:id="615329589">
                      <w:marLeft w:val="0"/>
                      <w:marRight w:val="0"/>
                      <w:marTop w:val="0"/>
                      <w:marBottom w:val="0"/>
                      <w:divBdr>
                        <w:top w:val="none" w:sz="0" w:space="0" w:color="auto"/>
                        <w:left w:val="none" w:sz="0" w:space="0" w:color="auto"/>
                        <w:bottom w:val="none" w:sz="0" w:space="0" w:color="auto"/>
                        <w:right w:val="none" w:sz="0" w:space="0" w:color="auto"/>
                      </w:divBdr>
                    </w:div>
                  </w:divsChild>
                </w:div>
                <w:div w:id="237636597">
                  <w:marLeft w:val="0"/>
                  <w:marRight w:val="0"/>
                  <w:marTop w:val="0"/>
                  <w:marBottom w:val="0"/>
                  <w:divBdr>
                    <w:top w:val="none" w:sz="0" w:space="0" w:color="auto"/>
                    <w:left w:val="none" w:sz="0" w:space="0" w:color="auto"/>
                    <w:bottom w:val="none" w:sz="0" w:space="0" w:color="auto"/>
                    <w:right w:val="none" w:sz="0" w:space="0" w:color="auto"/>
                  </w:divBdr>
                  <w:divsChild>
                    <w:div w:id="39860392">
                      <w:marLeft w:val="0"/>
                      <w:marRight w:val="0"/>
                      <w:marTop w:val="0"/>
                      <w:marBottom w:val="0"/>
                      <w:divBdr>
                        <w:top w:val="none" w:sz="0" w:space="0" w:color="auto"/>
                        <w:left w:val="none" w:sz="0" w:space="0" w:color="auto"/>
                        <w:bottom w:val="none" w:sz="0" w:space="0" w:color="auto"/>
                        <w:right w:val="none" w:sz="0" w:space="0" w:color="auto"/>
                      </w:divBdr>
                    </w:div>
                  </w:divsChild>
                </w:div>
                <w:div w:id="276108782">
                  <w:marLeft w:val="0"/>
                  <w:marRight w:val="0"/>
                  <w:marTop w:val="0"/>
                  <w:marBottom w:val="0"/>
                  <w:divBdr>
                    <w:top w:val="none" w:sz="0" w:space="0" w:color="auto"/>
                    <w:left w:val="none" w:sz="0" w:space="0" w:color="auto"/>
                    <w:bottom w:val="none" w:sz="0" w:space="0" w:color="auto"/>
                    <w:right w:val="none" w:sz="0" w:space="0" w:color="auto"/>
                  </w:divBdr>
                  <w:divsChild>
                    <w:div w:id="393938454">
                      <w:marLeft w:val="0"/>
                      <w:marRight w:val="0"/>
                      <w:marTop w:val="0"/>
                      <w:marBottom w:val="0"/>
                      <w:divBdr>
                        <w:top w:val="none" w:sz="0" w:space="0" w:color="auto"/>
                        <w:left w:val="none" w:sz="0" w:space="0" w:color="auto"/>
                        <w:bottom w:val="none" w:sz="0" w:space="0" w:color="auto"/>
                        <w:right w:val="none" w:sz="0" w:space="0" w:color="auto"/>
                      </w:divBdr>
                    </w:div>
                  </w:divsChild>
                </w:div>
                <w:div w:id="331952426">
                  <w:marLeft w:val="0"/>
                  <w:marRight w:val="0"/>
                  <w:marTop w:val="0"/>
                  <w:marBottom w:val="0"/>
                  <w:divBdr>
                    <w:top w:val="none" w:sz="0" w:space="0" w:color="auto"/>
                    <w:left w:val="none" w:sz="0" w:space="0" w:color="auto"/>
                    <w:bottom w:val="none" w:sz="0" w:space="0" w:color="auto"/>
                    <w:right w:val="none" w:sz="0" w:space="0" w:color="auto"/>
                  </w:divBdr>
                  <w:divsChild>
                    <w:div w:id="30497982">
                      <w:marLeft w:val="0"/>
                      <w:marRight w:val="0"/>
                      <w:marTop w:val="0"/>
                      <w:marBottom w:val="0"/>
                      <w:divBdr>
                        <w:top w:val="none" w:sz="0" w:space="0" w:color="auto"/>
                        <w:left w:val="none" w:sz="0" w:space="0" w:color="auto"/>
                        <w:bottom w:val="none" w:sz="0" w:space="0" w:color="auto"/>
                        <w:right w:val="none" w:sz="0" w:space="0" w:color="auto"/>
                      </w:divBdr>
                    </w:div>
                  </w:divsChild>
                </w:div>
                <w:div w:id="432170645">
                  <w:marLeft w:val="0"/>
                  <w:marRight w:val="0"/>
                  <w:marTop w:val="0"/>
                  <w:marBottom w:val="0"/>
                  <w:divBdr>
                    <w:top w:val="none" w:sz="0" w:space="0" w:color="auto"/>
                    <w:left w:val="none" w:sz="0" w:space="0" w:color="auto"/>
                    <w:bottom w:val="none" w:sz="0" w:space="0" w:color="auto"/>
                    <w:right w:val="none" w:sz="0" w:space="0" w:color="auto"/>
                  </w:divBdr>
                  <w:divsChild>
                    <w:div w:id="1079210082">
                      <w:marLeft w:val="0"/>
                      <w:marRight w:val="0"/>
                      <w:marTop w:val="0"/>
                      <w:marBottom w:val="0"/>
                      <w:divBdr>
                        <w:top w:val="none" w:sz="0" w:space="0" w:color="auto"/>
                        <w:left w:val="none" w:sz="0" w:space="0" w:color="auto"/>
                        <w:bottom w:val="none" w:sz="0" w:space="0" w:color="auto"/>
                        <w:right w:val="none" w:sz="0" w:space="0" w:color="auto"/>
                      </w:divBdr>
                    </w:div>
                  </w:divsChild>
                </w:div>
                <w:div w:id="500973766">
                  <w:marLeft w:val="0"/>
                  <w:marRight w:val="0"/>
                  <w:marTop w:val="0"/>
                  <w:marBottom w:val="0"/>
                  <w:divBdr>
                    <w:top w:val="none" w:sz="0" w:space="0" w:color="auto"/>
                    <w:left w:val="none" w:sz="0" w:space="0" w:color="auto"/>
                    <w:bottom w:val="none" w:sz="0" w:space="0" w:color="auto"/>
                    <w:right w:val="none" w:sz="0" w:space="0" w:color="auto"/>
                  </w:divBdr>
                  <w:divsChild>
                    <w:div w:id="839083273">
                      <w:marLeft w:val="0"/>
                      <w:marRight w:val="0"/>
                      <w:marTop w:val="0"/>
                      <w:marBottom w:val="0"/>
                      <w:divBdr>
                        <w:top w:val="none" w:sz="0" w:space="0" w:color="auto"/>
                        <w:left w:val="none" w:sz="0" w:space="0" w:color="auto"/>
                        <w:bottom w:val="none" w:sz="0" w:space="0" w:color="auto"/>
                        <w:right w:val="none" w:sz="0" w:space="0" w:color="auto"/>
                      </w:divBdr>
                    </w:div>
                  </w:divsChild>
                </w:div>
                <w:div w:id="573319181">
                  <w:marLeft w:val="0"/>
                  <w:marRight w:val="0"/>
                  <w:marTop w:val="0"/>
                  <w:marBottom w:val="0"/>
                  <w:divBdr>
                    <w:top w:val="none" w:sz="0" w:space="0" w:color="auto"/>
                    <w:left w:val="none" w:sz="0" w:space="0" w:color="auto"/>
                    <w:bottom w:val="none" w:sz="0" w:space="0" w:color="auto"/>
                    <w:right w:val="none" w:sz="0" w:space="0" w:color="auto"/>
                  </w:divBdr>
                  <w:divsChild>
                    <w:div w:id="1509057837">
                      <w:marLeft w:val="0"/>
                      <w:marRight w:val="0"/>
                      <w:marTop w:val="0"/>
                      <w:marBottom w:val="0"/>
                      <w:divBdr>
                        <w:top w:val="none" w:sz="0" w:space="0" w:color="auto"/>
                        <w:left w:val="none" w:sz="0" w:space="0" w:color="auto"/>
                        <w:bottom w:val="none" w:sz="0" w:space="0" w:color="auto"/>
                        <w:right w:val="none" w:sz="0" w:space="0" w:color="auto"/>
                      </w:divBdr>
                    </w:div>
                  </w:divsChild>
                </w:div>
                <w:div w:id="633802493">
                  <w:marLeft w:val="0"/>
                  <w:marRight w:val="0"/>
                  <w:marTop w:val="0"/>
                  <w:marBottom w:val="0"/>
                  <w:divBdr>
                    <w:top w:val="none" w:sz="0" w:space="0" w:color="auto"/>
                    <w:left w:val="none" w:sz="0" w:space="0" w:color="auto"/>
                    <w:bottom w:val="none" w:sz="0" w:space="0" w:color="auto"/>
                    <w:right w:val="none" w:sz="0" w:space="0" w:color="auto"/>
                  </w:divBdr>
                  <w:divsChild>
                    <w:div w:id="1485780586">
                      <w:marLeft w:val="0"/>
                      <w:marRight w:val="0"/>
                      <w:marTop w:val="0"/>
                      <w:marBottom w:val="0"/>
                      <w:divBdr>
                        <w:top w:val="none" w:sz="0" w:space="0" w:color="auto"/>
                        <w:left w:val="none" w:sz="0" w:space="0" w:color="auto"/>
                        <w:bottom w:val="none" w:sz="0" w:space="0" w:color="auto"/>
                        <w:right w:val="none" w:sz="0" w:space="0" w:color="auto"/>
                      </w:divBdr>
                    </w:div>
                  </w:divsChild>
                </w:div>
                <w:div w:id="675613150">
                  <w:marLeft w:val="0"/>
                  <w:marRight w:val="0"/>
                  <w:marTop w:val="0"/>
                  <w:marBottom w:val="0"/>
                  <w:divBdr>
                    <w:top w:val="none" w:sz="0" w:space="0" w:color="auto"/>
                    <w:left w:val="none" w:sz="0" w:space="0" w:color="auto"/>
                    <w:bottom w:val="none" w:sz="0" w:space="0" w:color="auto"/>
                    <w:right w:val="none" w:sz="0" w:space="0" w:color="auto"/>
                  </w:divBdr>
                  <w:divsChild>
                    <w:div w:id="1488207190">
                      <w:marLeft w:val="0"/>
                      <w:marRight w:val="0"/>
                      <w:marTop w:val="0"/>
                      <w:marBottom w:val="0"/>
                      <w:divBdr>
                        <w:top w:val="none" w:sz="0" w:space="0" w:color="auto"/>
                        <w:left w:val="none" w:sz="0" w:space="0" w:color="auto"/>
                        <w:bottom w:val="none" w:sz="0" w:space="0" w:color="auto"/>
                        <w:right w:val="none" w:sz="0" w:space="0" w:color="auto"/>
                      </w:divBdr>
                    </w:div>
                  </w:divsChild>
                </w:div>
                <w:div w:id="729763755">
                  <w:marLeft w:val="0"/>
                  <w:marRight w:val="0"/>
                  <w:marTop w:val="0"/>
                  <w:marBottom w:val="0"/>
                  <w:divBdr>
                    <w:top w:val="none" w:sz="0" w:space="0" w:color="auto"/>
                    <w:left w:val="none" w:sz="0" w:space="0" w:color="auto"/>
                    <w:bottom w:val="none" w:sz="0" w:space="0" w:color="auto"/>
                    <w:right w:val="none" w:sz="0" w:space="0" w:color="auto"/>
                  </w:divBdr>
                  <w:divsChild>
                    <w:div w:id="272516335">
                      <w:marLeft w:val="0"/>
                      <w:marRight w:val="0"/>
                      <w:marTop w:val="0"/>
                      <w:marBottom w:val="0"/>
                      <w:divBdr>
                        <w:top w:val="none" w:sz="0" w:space="0" w:color="auto"/>
                        <w:left w:val="none" w:sz="0" w:space="0" w:color="auto"/>
                        <w:bottom w:val="none" w:sz="0" w:space="0" w:color="auto"/>
                        <w:right w:val="none" w:sz="0" w:space="0" w:color="auto"/>
                      </w:divBdr>
                    </w:div>
                  </w:divsChild>
                </w:div>
                <w:div w:id="756366565">
                  <w:marLeft w:val="0"/>
                  <w:marRight w:val="0"/>
                  <w:marTop w:val="0"/>
                  <w:marBottom w:val="0"/>
                  <w:divBdr>
                    <w:top w:val="none" w:sz="0" w:space="0" w:color="auto"/>
                    <w:left w:val="none" w:sz="0" w:space="0" w:color="auto"/>
                    <w:bottom w:val="none" w:sz="0" w:space="0" w:color="auto"/>
                    <w:right w:val="none" w:sz="0" w:space="0" w:color="auto"/>
                  </w:divBdr>
                  <w:divsChild>
                    <w:div w:id="496506182">
                      <w:marLeft w:val="0"/>
                      <w:marRight w:val="0"/>
                      <w:marTop w:val="0"/>
                      <w:marBottom w:val="0"/>
                      <w:divBdr>
                        <w:top w:val="none" w:sz="0" w:space="0" w:color="auto"/>
                        <w:left w:val="none" w:sz="0" w:space="0" w:color="auto"/>
                        <w:bottom w:val="none" w:sz="0" w:space="0" w:color="auto"/>
                        <w:right w:val="none" w:sz="0" w:space="0" w:color="auto"/>
                      </w:divBdr>
                    </w:div>
                  </w:divsChild>
                </w:div>
                <w:div w:id="814373278">
                  <w:marLeft w:val="0"/>
                  <w:marRight w:val="0"/>
                  <w:marTop w:val="0"/>
                  <w:marBottom w:val="0"/>
                  <w:divBdr>
                    <w:top w:val="none" w:sz="0" w:space="0" w:color="auto"/>
                    <w:left w:val="none" w:sz="0" w:space="0" w:color="auto"/>
                    <w:bottom w:val="none" w:sz="0" w:space="0" w:color="auto"/>
                    <w:right w:val="none" w:sz="0" w:space="0" w:color="auto"/>
                  </w:divBdr>
                  <w:divsChild>
                    <w:div w:id="274338389">
                      <w:marLeft w:val="0"/>
                      <w:marRight w:val="0"/>
                      <w:marTop w:val="0"/>
                      <w:marBottom w:val="0"/>
                      <w:divBdr>
                        <w:top w:val="none" w:sz="0" w:space="0" w:color="auto"/>
                        <w:left w:val="none" w:sz="0" w:space="0" w:color="auto"/>
                        <w:bottom w:val="none" w:sz="0" w:space="0" w:color="auto"/>
                        <w:right w:val="none" w:sz="0" w:space="0" w:color="auto"/>
                      </w:divBdr>
                    </w:div>
                    <w:div w:id="1336345862">
                      <w:marLeft w:val="0"/>
                      <w:marRight w:val="0"/>
                      <w:marTop w:val="0"/>
                      <w:marBottom w:val="0"/>
                      <w:divBdr>
                        <w:top w:val="none" w:sz="0" w:space="0" w:color="auto"/>
                        <w:left w:val="none" w:sz="0" w:space="0" w:color="auto"/>
                        <w:bottom w:val="none" w:sz="0" w:space="0" w:color="auto"/>
                        <w:right w:val="none" w:sz="0" w:space="0" w:color="auto"/>
                      </w:divBdr>
                    </w:div>
                  </w:divsChild>
                </w:div>
                <w:div w:id="886912549">
                  <w:marLeft w:val="0"/>
                  <w:marRight w:val="0"/>
                  <w:marTop w:val="0"/>
                  <w:marBottom w:val="0"/>
                  <w:divBdr>
                    <w:top w:val="none" w:sz="0" w:space="0" w:color="auto"/>
                    <w:left w:val="none" w:sz="0" w:space="0" w:color="auto"/>
                    <w:bottom w:val="none" w:sz="0" w:space="0" w:color="auto"/>
                    <w:right w:val="none" w:sz="0" w:space="0" w:color="auto"/>
                  </w:divBdr>
                  <w:divsChild>
                    <w:div w:id="1145244888">
                      <w:marLeft w:val="0"/>
                      <w:marRight w:val="0"/>
                      <w:marTop w:val="0"/>
                      <w:marBottom w:val="0"/>
                      <w:divBdr>
                        <w:top w:val="none" w:sz="0" w:space="0" w:color="auto"/>
                        <w:left w:val="none" w:sz="0" w:space="0" w:color="auto"/>
                        <w:bottom w:val="none" w:sz="0" w:space="0" w:color="auto"/>
                        <w:right w:val="none" w:sz="0" w:space="0" w:color="auto"/>
                      </w:divBdr>
                    </w:div>
                  </w:divsChild>
                </w:div>
                <w:div w:id="967514815">
                  <w:marLeft w:val="0"/>
                  <w:marRight w:val="0"/>
                  <w:marTop w:val="0"/>
                  <w:marBottom w:val="0"/>
                  <w:divBdr>
                    <w:top w:val="none" w:sz="0" w:space="0" w:color="auto"/>
                    <w:left w:val="none" w:sz="0" w:space="0" w:color="auto"/>
                    <w:bottom w:val="none" w:sz="0" w:space="0" w:color="auto"/>
                    <w:right w:val="none" w:sz="0" w:space="0" w:color="auto"/>
                  </w:divBdr>
                  <w:divsChild>
                    <w:div w:id="727806015">
                      <w:marLeft w:val="0"/>
                      <w:marRight w:val="0"/>
                      <w:marTop w:val="0"/>
                      <w:marBottom w:val="0"/>
                      <w:divBdr>
                        <w:top w:val="none" w:sz="0" w:space="0" w:color="auto"/>
                        <w:left w:val="none" w:sz="0" w:space="0" w:color="auto"/>
                        <w:bottom w:val="none" w:sz="0" w:space="0" w:color="auto"/>
                        <w:right w:val="none" w:sz="0" w:space="0" w:color="auto"/>
                      </w:divBdr>
                    </w:div>
                  </w:divsChild>
                </w:div>
                <w:div w:id="1038430762">
                  <w:marLeft w:val="0"/>
                  <w:marRight w:val="0"/>
                  <w:marTop w:val="0"/>
                  <w:marBottom w:val="0"/>
                  <w:divBdr>
                    <w:top w:val="none" w:sz="0" w:space="0" w:color="auto"/>
                    <w:left w:val="none" w:sz="0" w:space="0" w:color="auto"/>
                    <w:bottom w:val="none" w:sz="0" w:space="0" w:color="auto"/>
                    <w:right w:val="none" w:sz="0" w:space="0" w:color="auto"/>
                  </w:divBdr>
                  <w:divsChild>
                    <w:div w:id="829449672">
                      <w:marLeft w:val="0"/>
                      <w:marRight w:val="0"/>
                      <w:marTop w:val="0"/>
                      <w:marBottom w:val="0"/>
                      <w:divBdr>
                        <w:top w:val="none" w:sz="0" w:space="0" w:color="auto"/>
                        <w:left w:val="none" w:sz="0" w:space="0" w:color="auto"/>
                        <w:bottom w:val="none" w:sz="0" w:space="0" w:color="auto"/>
                        <w:right w:val="none" w:sz="0" w:space="0" w:color="auto"/>
                      </w:divBdr>
                    </w:div>
                  </w:divsChild>
                </w:div>
                <w:div w:id="1059981326">
                  <w:marLeft w:val="0"/>
                  <w:marRight w:val="0"/>
                  <w:marTop w:val="0"/>
                  <w:marBottom w:val="0"/>
                  <w:divBdr>
                    <w:top w:val="none" w:sz="0" w:space="0" w:color="auto"/>
                    <w:left w:val="none" w:sz="0" w:space="0" w:color="auto"/>
                    <w:bottom w:val="none" w:sz="0" w:space="0" w:color="auto"/>
                    <w:right w:val="none" w:sz="0" w:space="0" w:color="auto"/>
                  </w:divBdr>
                  <w:divsChild>
                    <w:div w:id="576862238">
                      <w:marLeft w:val="0"/>
                      <w:marRight w:val="0"/>
                      <w:marTop w:val="0"/>
                      <w:marBottom w:val="0"/>
                      <w:divBdr>
                        <w:top w:val="none" w:sz="0" w:space="0" w:color="auto"/>
                        <w:left w:val="none" w:sz="0" w:space="0" w:color="auto"/>
                        <w:bottom w:val="none" w:sz="0" w:space="0" w:color="auto"/>
                        <w:right w:val="none" w:sz="0" w:space="0" w:color="auto"/>
                      </w:divBdr>
                    </w:div>
                    <w:div w:id="1966345125">
                      <w:marLeft w:val="0"/>
                      <w:marRight w:val="0"/>
                      <w:marTop w:val="0"/>
                      <w:marBottom w:val="0"/>
                      <w:divBdr>
                        <w:top w:val="none" w:sz="0" w:space="0" w:color="auto"/>
                        <w:left w:val="none" w:sz="0" w:space="0" w:color="auto"/>
                        <w:bottom w:val="none" w:sz="0" w:space="0" w:color="auto"/>
                        <w:right w:val="none" w:sz="0" w:space="0" w:color="auto"/>
                      </w:divBdr>
                    </w:div>
                  </w:divsChild>
                </w:div>
                <w:div w:id="1140462048">
                  <w:marLeft w:val="0"/>
                  <w:marRight w:val="0"/>
                  <w:marTop w:val="0"/>
                  <w:marBottom w:val="0"/>
                  <w:divBdr>
                    <w:top w:val="none" w:sz="0" w:space="0" w:color="auto"/>
                    <w:left w:val="none" w:sz="0" w:space="0" w:color="auto"/>
                    <w:bottom w:val="none" w:sz="0" w:space="0" w:color="auto"/>
                    <w:right w:val="none" w:sz="0" w:space="0" w:color="auto"/>
                  </w:divBdr>
                  <w:divsChild>
                    <w:div w:id="929197833">
                      <w:marLeft w:val="0"/>
                      <w:marRight w:val="0"/>
                      <w:marTop w:val="0"/>
                      <w:marBottom w:val="0"/>
                      <w:divBdr>
                        <w:top w:val="none" w:sz="0" w:space="0" w:color="auto"/>
                        <w:left w:val="none" w:sz="0" w:space="0" w:color="auto"/>
                        <w:bottom w:val="none" w:sz="0" w:space="0" w:color="auto"/>
                        <w:right w:val="none" w:sz="0" w:space="0" w:color="auto"/>
                      </w:divBdr>
                    </w:div>
                  </w:divsChild>
                </w:div>
                <w:div w:id="1141650094">
                  <w:marLeft w:val="0"/>
                  <w:marRight w:val="0"/>
                  <w:marTop w:val="0"/>
                  <w:marBottom w:val="0"/>
                  <w:divBdr>
                    <w:top w:val="none" w:sz="0" w:space="0" w:color="auto"/>
                    <w:left w:val="none" w:sz="0" w:space="0" w:color="auto"/>
                    <w:bottom w:val="none" w:sz="0" w:space="0" w:color="auto"/>
                    <w:right w:val="none" w:sz="0" w:space="0" w:color="auto"/>
                  </w:divBdr>
                  <w:divsChild>
                    <w:div w:id="916137988">
                      <w:marLeft w:val="0"/>
                      <w:marRight w:val="0"/>
                      <w:marTop w:val="0"/>
                      <w:marBottom w:val="0"/>
                      <w:divBdr>
                        <w:top w:val="none" w:sz="0" w:space="0" w:color="auto"/>
                        <w:left w:val="none" w:sz="0" w:space="0" w:color="auto"/>
                        <w:bottom w:val="none" w:sz="0" w:space="0" w:color="auto"/>
                        <w:right w:val="none" w:sz="0" w:space="0" w:color="auto"/>
                      </w:divBdr>
                    </w:div>
                    <w:div w:id="1556164753">
                      <w:marLeft w:val="0"/>
                      <w:marRight w:val="0"/>
                      <w:marTop w:val="0"/>
                      <w:marBottom w:val="0"/>
                      <w:divBdr>
                        <w:top w:val="none" w:sz="0" w:space="0" w:color="auto"/>
                        <w:left w:val="none" w:sz="0" w:space="0" w:color="auto"/>
                        <w:bottom w:val="none" w:sz="0" w:space="0" w:color="auto"/>
                        <w:right w:val="none" w:sz="0" w:space="0" w:color="auto"/>
                      </w:divBdr>
                    </w:div>
                  </w:divsChild>
                </w:div>
                <w:div w:id="1146891686">
                  <w:marLeft w:val="0"/>
                  <w:marRight w:val="0"/>
                  <w:marTop w:val="0"/>
                  <w:marBottom w:val="0"/>
                  <w:divBdr>
                    <w:top w:val="none" w:sz="0" w:space="0" w:color="auto"/>
                    <w:left w:val="none" w:sz="0" w:space="0" w:color="auto"/>
                    <w:bottom w:val="none" w:sz="0" w:space="0" w:color="auto"/>
                    <w:right w:val="none" w:sz="0" w:space="0" w:color="auto"/>
                  </w:divBdr>
                  <w:divsChild>
                    <w:div w:id="1184977897">
                      <w:marLeft w:val="0"/>
                      <w:marRight w:val="0"/>
                      <w:marTop w:val="0"/>
                      <w:marBottom w:val="0"/>
                      <w:divBdr>
                        <w:top w:val="none" w:sz="0" w:space="0" w:color="auto"/>
                        <w:left w:val="none" w:sz="0" w:space="0" w:color="auto"/>
                        <w:bottom w:val="none" w:sz="0" w:space="0" w:color="auto"/>
                        <w:right w:val="none" w:sz="0" w:space="0" w:color="auto"/>
                      </w:divBdr>
                    </w:div>
                  </w:divsChild>
                </w:div>
                <w:div w:id="1197736587">
                  <w:marLeft w:val="0"/>
                  <w:marRight w:val="0"/>
                  <w:marTop w:val="0"/>
                  <w:marBottom w:val="0"/>
                  <w:divBdr>
                    <w:top w:val="none" w:sz="0" w:space="0" w:color="auto"/>
                    <w:left w:val="none" w:sz="0" w:space="0" w:color="auto"/>
                    <w:bottom w:val="none" w:sz="0" w:space="0" w:color="auto"/>
                    <w:right w:val="none" w:sz="0" w:space="0" w:color="auto"/>
                  </w:divBdr>
                  <w:divsChild>
                    <w:div w:id="589579868">
                      <w:marLeft w:val="0"/>
                      <w:marRight w:val="0"/>
                      <w:marTop w:val="0"/>
                      <w:marBottom w:val="0"/>
                      <w:divBdr>
                        <w:top w:val="none" w:sz="0" w:space="0" w:color="auto"/>
                        <w:left w:val="none" w:sz="0" w:space="0" w:color="auto"/>
                        <w:bottom w:val="none" w:sz="0" w:space="0" w:color="auto"/>
                        <w:right w:val="none" w:sz="0" w:space="0" w:color="auto"/>
                      </w:divBdr>
                    </w:div>
                  </w:divsChild>
                </w:div>
                <w:div w:id="1291672413">
                  <w:marLeft w:val="0"/>
                  <w:marRight w:val="0"/>
                  <w:marTop w:val="0"/>
                  <w:marBottom w:val="0"/>
                  <w:divBdr>
                    <w:top w:val="none" w:sz="0" w:space="0" w:color="auto"/>
                    <w:left w:val="none" w:sz="0" w:space="0" w:color="auto"/>
                    <w:bottom w:val="none" w:sz="0" w:space="0" w:color="auto"/>
                    <w:right w:val="none" w:sz="0" w:space="0" w:color="auto"/>
                  </w:divBdr>
                  <w:divsChild>
                    <w:div w:id="1242174771">
                      <w:marLeft w:val="0"/>
                      <w:marRight w:val="0"/>
                      <w:marTop w:val="0"/>
                      <w:marBottom w:val="0"/>
                      <w:divBdr>
                        <w:top w:val="none" w:sz="0" w:space="0" w:color="auto"/>
                        <w:left w:val="none" w:sz="0" w:space="0" w:color="auto"/>
                        <w:bottom w:val="none" w:sz="0" w:space="0" w:color="auto"/>
                        <w:right w:val="none" w:sz="0" w:space="0" w:color="auto"/>
                      </w:divBdr>
                    </w:div>
                  </w:divsChild>
                </w:div>
                <w:div w:id="1317026535">
                  <w:marLeft w:val="0"/>
                  <w:marRight w:val="0"/>
                  <w:marTop w:val="0"/>
                  <w:marBottom w:val="0"/>
                  <w:divBdr>
                    <w:top w:val="none" w:sz="0" w:space="0" w:color="auto"/>
                    <w:left w:val="none" w:sz="0" w:space="0" w:color="auto"/>
                    <w:bottom w:val="none" w:sz="0" w:space="0" w:color="auto"/>
                    <w:right w:val="none" w:sz="0" w:space="0" w:color="auto"/>
                  </w:divBdr>
                  <w:divsChild>
                    <w:div w:id="2054379845">
                      <w:marLeft w:val="0"/>
                      <w:marRight w:val="0"/>
                      <w:marTop w:val="0"/>
                      <w:marBottom w:val="0"/>
                      <w:divBdr>
                        <w:top w:val="none" w:sz="0" w:space="0" w:color="auto"/>
                        <w:left w:val="none" w:sz="0" w:space="0" w:color="auto"/>
                        <w:bottom w:val="none" w:sz="0" w:space="0" w:color="auto"/>
                        <w:right w:val="none" w:sz="0" w:space="0" w:color="auto"/>
                      </w:divBdr>
                    </w:div>
                  </w:divsChild>
                </w:div>
                <w:div w:id="1358116267">
                  <w:marLeft w:val="0"/>
                  <w:marRight w:val="0"/>
                  <w:marTop w:val="0"/>
                  <w:marBottom w:val="0"/>
                  <w:divBdr>
                    <w:top w:val="none" w:sz="0" w:space="0" w:color="auto"/>
                    <w:left w:val="none" w:sz="0" w:space="0" w:color="auto"/>
                    <w:bottom w:val="none" w:sz="0" w:space="0" w:color="auto"/>
                    <w:right w:val="none" w:sz="0" w:space="0" w:color="auto"/>
                  </w:divBdr>
                  <w:divsChild>
                    <w:div w:id="183909426">
                      <w:marLeft w:val="0"/>
                      <w:marRight w:val="0"/>
                      <w:marTop w:val="0"/>
                      <w:marBottom w:val="0"/>
                      <w:divBdr>
                        <w:top w:val="none" w:sz="0" w:space="0" w:color="auto"/>
                        <w:left w:val="none" w:sz="0" w:space="0" w:color="auto"/>
                        <w:bottom w:val="none" w:sz="0" w:space="0" w:color="auto"/>
                        <w:right w:val="none" w:sz="0" w:space="0" w:color="auto"/>
                      </w:divBdr>
                    </w:div>
                  </w:divsChild>
                </w:div>
                <w:div w:id="1358703034">
                  <w:marLeft w:val="0"/>
                  <w:marRight w:val="0"/>
                  <w:marTop w:val="0"/>
                  <w:marBottom w:val="0"/>
                  <w:divBdr>
                    <w:top w:val="none" w:sz="0" w:space="0" w:color="auto"/>
                    <w:left w:val="none" w:sz="0" w:space="0" w:color="auto"/>
                    <w:bottom w:val="none" w:sz="0" w:space="0" w:color="auto"/>
                    <w:right w:val="none" w:sz="0" w:space="0" w:color="auto"/>
                  </w:divBdr>
                  <w:divsChild>
                    <w:div w:id="1238514481">
                      <w:marLeft w:val="0"/>
                      <w:marRight w:val="0"/>
                      <w:marTop w:val="0"/>
                      <w:marBottom w:val="0"/>
                      <w:divBdr>
                        <w:top w:val="none" w:sz="0" w:space="0" w:color="auto"/>
                        <w:left w:val="none" w:sz="0" w:space="0" w:color="auto"/>
                        <w:bottom w:val="none" w:sz="0" w:space="0" w:color="auto"/>
                        <w:right w:val="none" w:sz="0" w:space="0" w:color="auto"/>
                      </w:divBdr>
                    </w:div>
                  </w:divsChild>
                </w:div>
                <w:div w:id="1504395971">
                  <w:marLeft w:val="0"/>
                  <w:marRight w:val="0"/>
                  <w:marTop w:val="0"/>
                  <w:marBottom w:val="0"/>
                  <w:divBdr>
                    <w:top w:val="none" w:sz="0" w:space="0" w:color="auto"/>
                    <w:left w:val="none" w:sz="0" w:space="0" w:color="auto"/>
                    <w:bottom w:val="none" w:sz="0" w:space="0" w:color="auto"/>
                    <w:right w:val="none" w:sz="0" w:space="0" w:color="auto"/>
                  </w:divBdr>
                  <w:divsChild>
                    <w:div w:id="1806578557">
                      <w:marLeft w:val="0"/>
                      <w:marRight w:val="0"/>
                      <w:marTop w:val="0"/>
                      <w:marBottom w:val="0"/>
                      <w:divBdr>
                        <w:top w:val="none" w:sz="0" w:space="0" w:color="auto"/>
                        <w:left w:val="none" w:sz="0" w:space="0" w:color="auto"/>
                        <w:bottom w:val="none" w:sz="0" w:space="0" w:color="auto"/>
                        <w:right w:val="none" w:sz="0" w:space="0" w:color="auto"/>
                      </w:divBdr>
                    </w:div>
                  </w:divsChild>
                </w:div>
                <w:div w:id="1517648856">
                  <w:marLeft w:val="0"/>
                  <w:marRight w:val="0"/>
                  <w:marTop w:val="0"/>
                  <w:marBottom w:val="0"/>
                  <w:divBdr>
                    <w:top w:val="none" w:sz="0" w:space="0" w:color="auto"/>
                    <w:left w:val="none" w:sz="0" w:space="0" w:color="auto"/>
                    <w:bottom w:val="none" w:sz="0" w:space="0" w:color="auto"/>
                    <w:right w:val="none" w:sz="0" w:space="0" w:color="auto"/>
                  </w:divBdr>
                  <w:divsChild>
                    <w:div w:id="123236759">
                      <w:marLeft w:val="0"/>
                      <w:marRight w:val="0"/>
                      <w:marTop w:val="0"/>
                      <w:marBottom w:val="0"/>
                      <w:divBdr>
                        <w:top w:val="none" w:sz="0" w:space="0" w:color="auto"/>
                        <w:left w:val="none" w:sz="0" w:space="0" w:color="auto"/>
                        <w:bottom w:val="none" w:sz="0" w:space="0" w:color="auto"/>
                        <w:right w:val="none" w:sz="0" w:space="0" w:color="auto"/>
                      </w:divBdr>
                    </w:div>
                  </w:divsChild>
                </w:div>
                <w:div w:id="1579900569">
                  <w:marLeft w:val="0"/>
                  <w:marRight w:val="0"/>
                  <w:marTop w:val="0"/>
                  <w:marBottom w:val="0"/>
                  <w:divBdr>
                    <w:top w:val="none" w:sz="0" w:space="0" w:color="auto"/>
                    <w:left w:val="none" w:sz="0" w:space="0" w:color="auto"/>
                    <w:bottom w:val="none" w:sz="0" w:space="0" w:color="auto"/>
                    <w:right w:val="none" w:sz="0" w:space="0" w:color="auto"/>
                  </w:divBdr>
                  <w:divsChild>
                    <w:div w:id="1335449048">
                      <w:marLeft w:val="0"/>
                      <w:marRight w:val="0"/>
                      <w:marTop w:val="0"/>
                      <w:marBottom w:val="0"/>
                      <w:divBdr>
                        <w:top w:val="none" w:sz="0" w:space="0" w:color="auto"/>
                        <w:left w:val="none" w:sz="0" w:space="0" w:color="auto"/>
                        <w:bottom w:val="none" w:sz="0" w:space="0" w:color="auto"/>
                        <w:right w:val="none" w:sz="0" w:space="0" w:color="auto"/>
                      </w:divBdr>
                    </w:div>
                  </w:divsChild>
                </w:div>
                <w:div w:id="1685671657">
                  <w:marLeft w:val="0"/>
                  <w:marRight w:val="0"/>
                  <w:marTop w:val="0"/>
                  <w:marBottom w:val="0"/>
                  <w:divBdr>
                    <w:top w:val="none" w:sz="0" w:space="0" w:color="auto"/>
                    <w:left w:val="none" w:sz="0" w:space="0" w:color="auto"/>
                    <w:bottom w:val="none" w:sz="0" w:space="0" w:color="auto"/>
                    <w:right w:val="none" w:sz="0" w:space="0" w:color="auto"/>
                  </w:divBdr>
                  <w:divsChild>
                    <w:div w:id="78914778">
                      <w:marLeft w:val="0"/>
                      <w:marRight w:val="0"/>
                      <w:marTop w:val="0"/>
                      <w:marBottom w:val="0"/>
                      <w:divBdr>
                        <w:top w:val="none" w:sz="0" w:space="0" w:color="auto"/>
                        <w:left w:val="none" w:sz="0" w:space="0" w:color="auto"/>
                        <w:bottom w:val="none" w:sz="0" w:space="0" w:color="auto"/>
                        <w:right w:val="none" w:sz="0" w:space="0" w:color="auto"/>
                      </w:divBdr>
                    </w:div>
                  </w:divsChild>
                </w:div>
                <w:div w:id="1693536524">
                  <w:marLeft w:val="0"/>
                  <w:marRight w:val="0"/>
                  <w:marTop w:val="0"/>
                  <w:marBottom w:val="0"/>
                  <w:divBdr>
                    <w:top w:val="none" w:sz="0" w:space="0" w:color="auto"/>
                    <w:left w:val="none" w:sz="0" w:space="0" w:color="auto"/>
                    <w:bottom w:val="none" w:sz="0" w:space="0" w:color="auto"/>
                    <w:right w:val="none" w:sz="0" w:space="0" w:color="auto"/>
                  </w:divBdr>
                  <w:divsChild>
                    <w:div w:id="94444732">
                      <w:marLeft w:val="0"/>
                      <w:marRight w:val="0"/>
                      <w:marTop w:val="0"/>
                      <w:marBottom w:val="0"/>
                      <w:divBdr>
                        <w:top w:val="none" w:sz="0" w:space="0" w:color="auto"/>
                        <w:left w:val="none" w:sz="0" w:space="0" w:color="auto"/>
                        <w:bottom w:val="none" w:sz="0" w:space="0" w:color="auto"/>
                        <w:right w:val="none" w:sz="0" w:space="0" w:color="auto"/>
                      </w:divBdr>
                    </w:div>
                  </w:divsChild>
                </w:div>
                <w:div w:id="1751850186">
                  <w:marLeft w:val="0"/>
                  <w:marRight w:val="0"/>
                  <w:marTop w:val="0"/>
                  <w:marBottom w:val="0"/>
                  <w:divBdr>
                    <w:top w:val="none" w:sz="0" w:space="0" w:color="auto"/>
                    <w:left w:val="none" w:sz="0" w:space="0" w:color="auto"/>
                    <w:bottom w:val="none" w:sz="0" w:space="0" w:color="auto"/>
                    <w:right w:val="none" w:sz="0" w:space="0" w:color="auto"/>
                  </w:divBdr>
                  <w:divsChild>
                    <w:div w:id="125320896">
                      <w:marLeft w:val="0"/>
                      <w:marRight w:val="0"/>
                      <w:marTop w:val="0"/>
                      <w:marBottom w:val="0"/>
                      <w:divBdr>
                        <w:top w:val="none" w:sz="0" w:space="0" w:color="auto"/>
                        <w:left w:val="none" w:sz="0" w:space="0" w:color="auto"/>
                        <w:bottom w:val="none" w:sz="0" w:space="0" w:color="auto"/>
                        <w:right w:val="none" w:sz="0" w:space="0" w:color="auto"/>
                      </w:divBdr>
                    </w:div>
                  </w:divsChild>
                </w:div>
                <w:div w:id="1930583108">
                  <w:marLeft w:val="0"/>
                  <w:marRight w:val="0"/>
                  <w:marTop w:val="0"/>
                  <w:marBottom w:val="0"/>
                  <w:divBdr>
                    <w:top w:val="none" w:sz="0" w:space="0" w:color="auto"/>
                    <w:left w:val="none" w:sz="0" w:space="0" w:color="auto"/>
                    <w:bottom w:val="none" w:sz="0" w:space="0" w:color="auto"/>
                    <w:right w:val="none" w:sz="0" w:space="0" w:color="auto"/>
                  </w:divBdr>
                  <w:divsChild>
                    <w:div w:id="1419329990">
                      <w:marLeft w:val="0"/>
                      <w:marRight w:val="0"/>
                      <w:marTop w:val="0"/>
                      <w:marBottom w:val="0"/>
                      <w:divBdr>
                        <w:top w:val="none" w:sz="0" w:space="0" w:color="auto"/>
                        <w:left w:val="none" w:sz="0" w:space="0" w:color="auto"/>
                        <w:bottom w:val="none" w:sz="0" w:space="0" w:color="auto"/>
                        <w:right w:val="none" w:sz="0" w:space="0" w:color="auto"/>
                      </w:divBdr>
                    </w:div>
                  </w:divsChild>
                </w:div>
                <w:div w:id="1949316997">
                  <w:marLeft w:val="0"/>
                  <w:marRight w:val="0"/>
                  <w:marTop w:val="0"/>
                  <w:marBottom w:val="0"/>
                  <w:divBdr>
                    <w:top w:val="none" w:sz="0" w:space="0" w:color="auto"/>
                    <w:left w:val="none" w:sz="0" w:space="0" w:color="auto"/>
                    <w:bottom w:val="none" w:sz="0" w:space="0" w:color="auto"/>
                    <w:right w:val="none" w:sz="0" w:space="0" w:color="auto"/>
                  </w:divBdr>
                  <w:divsChild>
                    <w:div w:id="247034120">
                      <w:marLeft w:val="0"/>
                      <w:marRight w:val="0"/>
                      <w:marTop w:val="0"/>
                      <w:marBottom w:val="0"/>
                      <w:divBdr>
                        <w:top w:val="none" w:sz="0" w:space="0" w:color="auto"/>
                        <w:left w:val="none" w:sz="0" w:space="0" w:color="auto"/>
                        <w:bottom w:val="none" w:sz="0" w:space="0" w:color="auto"/>
                        <w:right w:val="none" w:sz="0" w:space="0" w:color="auto"/>
                      </w:divBdr>
                    </w:div>
                  </w:divsChild>
                </w:div>
                <w:div w:id="1952545137">
                  <w:marLeft w:val="0"/>
                  <w:marRight w:val="0"/>
                  <w:marTop w:val="0"/>
                  <w:marBottom w:val="0"/>
                  <w:divBdr>
                    <w:top w:val="none" w:sz="0" w:space="0" w:color="auto"/>
                    <w:left w:val="none" w:sz="0" w:space="0" w:color="auto"/>
                    <w:bottom w:val="none" w:sz="0" w:space="0" w:color="auto"/>
                    <w:right w:val="none" w:sz="0" w:space="0" w:color="auto"/>
                  </w:divBdr>
                  <w:divsChild>
                    <w:div w:id="2012443305">
                      <w:marLeft w:val="0"/>
                      <w:marRight w:val="0"/>
                      <w:marTop w:val="0"/>
                      <w:marBottom w:val="0"/>
                      <w:divBdr>
                        <w:top w:val="none" w:sz="0" w:space="0" w:color="auto"/>
                        <w:left w:val="none" w:sz="0" w:space="0" w:color="auto"/>
                        <w:bottom w:val="none" w:sz="0" w:space="0" w:color="auto"/>
                        <w:right w:val="none" w:sz="0" w:space="0" w:color="auto"/>
                      </w:divBdr>
                    </w:div>
                  </w:divsChild>
                </w:div>
                <w:div w:id="1999844172">
                  <w:marLeft w:val="0"/>
                  <w:marRight w:val="0"/>
                  <w:marTop w:val="0"/>
                  <w:marBottom w:val="0"/>
                  <w:divBdr>
                    <w:top w:val="none" w:sz="0" w:space="0" w:color="auto"/>
                    <w:left w:val="none" w:sz="0" w:space="0" w:color="auto"/>
                    <w:bottom w:val="none" w:sz="0" w:space="0" w:color="auto"/>
                    <w:right w:val="none" w:sz="0" w:space="0" w:color="auto"/>
                  </w:divBdr>
                  <w:divsChild>
                    <w:div w:id="424419617">
                      <w:marLeft w:val="0"/>
                      <w:marRight w:val="0"/>
                      <w:marTop w:val="0"/>
                      <w:marBottom w:val="0"/>
                      <w:divBdr>
                        <w:top w:val="none" w:sz="0" w:space="0" w:color="auto"/>
                        <w:left w:val="none" w:sz="0" w:space="0" w:color="auto"/>
                        <w:bottom w:val="none" w:sz="0" w:space="0" w:color="auto"/>
                        <w:right w:val="none" w:sz="0" w:space="0" w:color="auto"/>
                      </w:divBdr>
                    </w:div>
                  </w:divsChild>
                </w:div>
                <w:div w:id="2039698328">
                  <w:marLeft w:val="0"/>
                  <w:marRight w:val="0"/>
                  <w:marTop w:val="0"/>
                  <w:marBottom w:val="0"/>
                  <w:divBdr>
                    <w:top w:val="none" w:sz="0" w:space="0" w:color="auto"/>
                    <w:left w:val="none" w:sz="0" w:space="0" w:color="auto"/>
                    <w:bottom w:val="none" w:sz="0" w:space="0" w:color="auto"/>
                    <w:right w:val="none" w:sz="0" w:space="0" w:color="auto"/>
                  </w:divBdr>
                  <w:divsChild>
                    <w:div w:id="1499298971">
                      <w:marLeft w:val="0"/>
                      <w:marRight w:val="0"/>
                      <w:marTop w:val="0"/>
                      <w:marBottom w:val="0"/>
                      <w:divBdr>
                        <w:top w:val="none" w:sz="0" w:space="0" w:color="auto"/>
                        <w:left w:val="none" w:sz="0" w:space="0" w:color="auto"/>
                        <w:bottom w:val="none" w:sz="0" w:space="0" w:color="auto"/>
                        <w:right w:val="none" w:sz="0" w:space="0" w:color="auto"/>
                      </w:divBdr>
                    </w:div>
                  </w:divsChild>
                </w:div>
                <w:div w:id="2081518583">
                  <w:marLeft w:val="0"/>
                  <w:marRight w:val="0"/>
                  <w:marTop w:val="0"/>
                  <w:marBottom w:val="0"/>
                  <w:divBdr>
                    <w:top w:val="none" w:sz="0" w:space="0" w:color="auto"/>
                    <w:left w:val="none" w:sz="0" w:space="0" w:color="auto"/>
                    <w:bottom w:val="none" w:sz="0" w:space="0" w:color="auto"/>
                    <w:right w:val="none" w:sz="0" w:space="0" w:color="auto"/>
                  </w:divBdr>
                  <w:divsChild>
                    <w:div w:id="1957907694">
                      <w:marLeft w:val="0"/>
                      <w:marRight w:val="0"/>
                      <w:marTop w:val="0"/>
                      <w:marBottom w:val="0"/>
                      <w:divBdr>
                        <w:top w:val="none" w:sz="0" w:space="0" w:color="auto"/>
                        <w:left w:val="none" w:sz="0" w:space="0" w:color="auto"/>
                        <w:bottom w:val="none" w:sz="0" w:space="0" w:color="auto"/>
                        <w:right w:val="none" w:sz="0" w:space="0" w:color="auto"/>
                      </w:divBdr>
                    </w:div>
                    <w:div w:id="2007199555">
                      <w:marLeft w:val="0"/>
                      <w:marRight w:val="0"/>
                      <w:marTop w:val="0"/>
                      <w:marBottom w:val="0"/>
                      <w:divBdr>
                        <w:top w:val="none" w:sz="0" w:space="0" w:color="auto"/>
                        <w:left w:val="none" w:sz="0" w:space="0" w:color="auto"/>
                        <w:bottom w:val="none" w:sz="0" w:space="0" w:color="auto"/>
                        <w:right w:val="none" w:sz="0" w:space="0" w:color="auto"/>
                      </w:divBdr>
                    </w:div>
                  </w:divsChild>
                </w:div>
                <w:div w:id="2087536604">
                  <w:marLeft w:val="0"/>
                  <w:marRight w:val="0"/>
                  <w:marTop w:val="0"/>
                  <w:marBottom w:val="0"/>
                  <w:divBdr>
                    <w:top w:val="none" w:sz="0" w:space="0" w:color="auto"/>
                    <w:left w:val="none" w:sz="0" w:space="0" w:color="auto"/>
                    <w:bottom w:val="none" w:sz="0" w:space="0" w:color="auto"/>
                    <w:right w:val="none" w:sz="0" w:space="0" w:color="auto"/>
                  </w:divBdr>
                  <w:divsChild>
                    <w:div w:id="13010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334352">
          <w:marLeft w:val="0"/>
          <w:marRight w:val="0"/>
          <w:marTop w:val="0"/>
          <w:marBottom w:val="0"/>
          <w:divBdr>
            <w:top w:val="none" w:sz="0" w:space="0" w:color="auto"/>
            <w:left w:val="none" w:sz="0" w:space="0" w:color="auto"/>
            <w:bottom w:val="none" w:sz="0" w:space="0" w:color="auto"/>
            <w:right w:val="none" w:sz="0" w:space="0" w:color="auto"/>
          </w:divBdr>
        </w:div>
      </w:divsChild>
    </w:div>
    <w:div w:id="836073318">
      <w:bodyDiv w:val="1"/>
      <w:marLeft w:val="0"/>
      <w:marRight w:val="0"/>
      <w:marTop w:val="0"/>
      <w:marBottom w:val="0"/>
      <w:divBdr>
        <w:top w:val="none" w:sz="0" w:space="0" w:color="auto"/>
        <w:left w:val="none" w:sz="0" w:space="0" w:color="auto"/>
        <w:bottom w:val="none" w:sz="0" w:space="0" w:color="auto"/>
        <w:right w:val="none" w:sz="0" w:space="0" w:color="auto"/>
      </w:divBdr>
      <w:divsChild>
        <w:div w:id="61560582">
          <w:marLeft w:val="0"/>
          <w:marRight w:val="0"/>
          <w:marTop w:val="0"/>
          <w:marBottom w:val="0"/>
          <w:divBdr>
            <w:top w:val="none" w:sz="0" w:space="0" w:color="auto"/>
            <w:left w:val="none" w:sz="0" w:space="0" w:color="auto"/>
            <w:bottom w:val="none" w:sz="0" w:space="0" w:color="auto"/>
            <w:right w:val="none" w:sz="0" w:space="0" w:color="auto"/>
          </w:divBdr>
        </w:div>
        <w:div w:id="634678691">
          <w:marLeft w:val="0"/>
          <w:marRight w:val="0"/>
          <w:marTop w:val="0"/>
          <w:marBottom w:val="0"/>
          <w:divBdr>
            <w:top w:val="none" w:sz="0" w:space="0" w:color="auto"/>
            <w:left w:val="none" w:sz="0" w:space="0" w:color="auto"/>
            <w:bottom w:val="none" w:sz="0" w:space="0" w:color="auto"/>
            <w:right w:val="none" w:sz="0" w:space="0" w:color="auto"/>
          </w:divBdr>
        </w:div>
      </w:divsChild>
    </w:div>
    <w:div w:id="850068917">
      <w:bodyDiv w:val="1"/>
      <w:marLeft w:val="0"/>
      <w:marRight w:val="0"/>
      <w:marTop w:val="0"/>
      <w:marBottom w:val="0"/>
      <w:divBdr>
        <w:top w:val="none" w:sz="0" w:space="0" w:color="auto"/>
        <w:left w:val="none" w:sz="0" w:space="0" w:color="auto"/>
        <w:bottom w:val="none" w:sz="0" w:space="0" w:color="auto"/>
        <w:right w:val="none" w:sz="0" w:space="0" w:color="auto"/>
      </w:divBdr>
      <w:divsChild>
        <w:div w:id="113252543">
          <w:marLeft w:val="0"/>
          <w:marRight w:val="0"/>
          <w:marTop w:val="0"/>
          <w:marBottom w:val="0"/>
          <w:divBdr>
            <w:top w:val="none" w:sz="0" w:space="0" w:color="auto"/>
            <w:left w:val="none" w:sz="0" w:space="0" w:color="auto"/>
            <w:bottom w:val="none" w:sz="0" w:space="0" w:color="auto"/>
            <w:right w:val="none" w:sz="0" w:space="0" w:color="auto"/>
          </w:divBdr>
        </w:div>
        <w:div w:id="695422671">
          <w:marLeft w:val="0"/>
          <w:marRight w:val="0"/>
          <w:marTop w:val="0"/>
          <w:marBottom w:val="0"/>
          <w:divBdr>
            <w:top w:val="none" w:sz="0" w:space="0" w:color="auto"/>
            <w:left w:val="none" w:sz="0" w:space="0" w:color="auto"/>
            <w:bottom w:val="none" w:sz="0" w:space="0" w:color="auto"/>
            <w:right w:val="none" w:sz="0" w:space="0" w:color="auto"/>
          </w:divBdr>
        </w:div>
        <w:div w:id="729231048">
          <w:marLeft w:val="0"/>
          <w:marRight w:val="0"/>
          <w:marTop w:val="0"/>
          <w:marBottom w:val="0"/>
          <w:divBdr>
            <w:top w:val="none" w:sz="0" w:space="0" w:color="auto"/>
            <w:left w:val="none" w:sz="0" w:space="0" w:color="auto"/>
            <w:bottom w:val="none" w:sz="0" w:space="0" w:color="auto"/>
            <w:right w:val="none" w:sz="0" w:space="0" w:color="auto"/>
          </w:divBdr>
        </w:div>
        <w:div w:id="2039699210">
          <w:marLeft w:val="0"/>
          <w:marRight w:val="0"/>
          <w:marTop w:val="0"/>
          <w:marBottom w:val="0"/>
          <w:divBdr>
            <w:top w:val="none" w:sz="0" w:space="0" w:color="auto"/>
            <w:left w:val="none" w:sz="0" w:space="0" w:color="auto"/>
            <w:bottom w:val="none" w:sz="0" w:space="0" w:color="auto"/>
            <w:right w:val="none" w:sz="0" w:space="0" w:color="auto"/>
          </w:divBdr>
        </w:div>
      </w:divsChild>
    </w:div>
    <w:div w:id="862864008">
      <w:bodyDiv w:val="1"/>
      <w:marLeft w:val="0"/>
      <w:marRight w:val="0"/>
      <w:marTop w:val="0"/>
      <w:marBottom w:val="0"/>
      <w:divBdr>
        <w:top w:val="none" w:sz="0" w:space="0" w:color="auto"/>
        <w:left w:val="none" w:sz="0" w:space="0" w:color="auto"/>
        <w:bottom w:val="none" w:sz="0" w:space="0" w:color="auto"/>
        <w:right w:val="none" w:sz="0" w:space="0" w:color="auto"/>
      </w:divBdr>
    </w:div>
    <w:div w:id="879980198">
      <w:bodyDiv w:val="1"/>
      <w:marLeft w:val="0"/>
      <w:marRight w:val="0"/>
      <w:marTop w:val="0"/>
      <w:marBottom w:val="0"/>
      <w:divBdr>
        <w:top w:val="none" w:sz="0" w:space="0" w:color="auto"/>
        <w:left w:val="none" w:sz="0" w:space="0" w:color="auto"/>
        <w:bottom w:val="none" w:sz="0" w:space="0" w:color="auto"/>
        <w:right w:val="none" w:sz="0" w:space="0" w:color="auto"/>
      </w:divBdr>
      <w:divsChild>
        <w:div w:id="102695636">
          <w:marLeft w:val="0"/>
          <w:marRight w:val="0"/>
          <w:marTop w:val="0"/>
          <w:marBottom w:val="0"/>
          <w:divBdr>
            <w:top w:val="none" w:sz="0" w:space="0" w:color="auto"/>
            <w:left w:val="none" w:sz="0" w:space="0" w:color="auto"/>
            <w:bottom w:val="none" w:sz="0" w:space="0" w:color="auto"/>
            <w:right w:val="none" w:sz="0" w:space="0" w:color="auto"/>
          </w:divBdr>
          <w:divsChild>
            <w:div w:id="491456829">
              <w:marLeft w:val="0"/>
              <w:marRight w:val="0"/>
              <w:marTop w:val="0"/>
              <w:marBottom w:val="0"/>
              <w:divBdr>
                <w:top w:val="none" w:sz="0" w:space="0" w:color="auto"/>
                <w:left w:val="none" w:sz="0" w:space="0" w:color="auto"/>
                <w:bottom w:val="none" w:sz="0" w:space="0" w:color="auto"/>
                <w:right w:val="none" w:sz="0" w:space="0" w:color="auto"/>
              </w:divBdr>
            </w:div>
            <w:div w:id="771172560">
              <w:marLeft w:val="0"/>
              <w:marRight w:val="0"/>
              <w:marTop w:val="0"/>
              <w:marBottom w:val="0"/>
              <w:divBdr>
                <w:top w:val="none" w:sz="0" w:space="0" w:color="auto"/>
                <w:left w:val="none" w:sz="0" w:space="0" w:color="auto"/>
                <w:bottom w:val="none" w:sz="0" w:space="0" w:color="auto"/>
                <w:right w:val="none" w:sz="0" w:space="0" w:color="auto"/>
              </w:divBdr>
            </w:div>
            <w:div w:id="1111053685">
              <w:marLeft w:val="0"/>
              <w:marRight w:val="0"/>
              <w:marTop w:val="0"/>
              <w:marBottom w:val="0"/>
              <w:divBdr>
                <w:top w:val="none" w:sz="0" w:space="0" w:color="auto"/>
                <w:left w:val="none" w:sz="0" w:space="0" w:color="auto"/>
                <w:bottom w:val="none" w:sz="0" w:space="0" w:color="auto"/>
                <w:right w:val="none" w:sz="0" w:space="0" w:color="auto"/>
              </w:divBdr>
            </w:div>
            <w:div w:id="1242714672">
              <w:marLeft w:val="0"/>
              <w:marRight w:val="0"/>
              <w:marTop w:val="0"/>
              <w:marBottom w:val="0"/>
              <w:divBdr>
                <w:top w:val="none" w:sz="0" w:space="0" w:color="auto"/>
                <w:left w:val="none" w:sz="0" w:space="0" w:color="auto"/>
                <w:bottom w:val="none" w:sz="0" w:space="0" w:color="auto"/>
                <w:right w:val="none" w:sz="0" w:space="0" w:color="auto"/>
              </w:divBdr>
            </w:div>
            <w:div w:id="1306273526">
              <w:marLeft w:val="0"/>
              <w:marRight w:val="0"/>
              <w:marTop w:val="0"/>
              <w:marBottom w:val="0"/>
              <w:divBdr>
                <w:top w:val="none" w:sz="0" w:space="0" w:color="auto"/>
                <w:left w:val="none" w:sz="0" w:space="0" w:color="auto"/>
                <w:bottom w:val="none" w:sz="0" w:space="0" w:color="auto"/>
                <w:right w:val="none" w:sz="0" w:space="0" w:color="auto"/>
              </w:divBdr>
            </w:div>
          </w:divsChild>
        </w:div>
        <w:div w:id="787816446">
          <w:marLeft w:val="0"/>
          <w:marRight w:val="0"/>
          <w:marTop w:val="0"/>
          <w:marBottom w:val="0"/>
          <w:divBdr>
            <w:top w:val="none" w:sz="0" w:space="0" w:color="auto"/>
            <w:left w:val="none" w:sz="0" w:space="0" w:color="auto"/>
            <w:bottom w:val="none" w:sz="0" w:space="0" w:color="auto"/>
            <w:right w:val="none" w:sz="0" w:space="0" w:color="auto"/>
          </w:divBdr>
          <w:divsChild>
            <w:div w:id="220598794">
              <w:marLeft w:val="0"/>
              <w:marRight w:val="0"/>
              <w:marTop w:val="0"/>
              <w:marBottom w:val="0"/>
              <w:divBdr>
                <w:top w:val="none" w:sz="0" w:space="0" w:color="auto"/>
                <w:left w:val="none" w:sz="0" w:space="0" w:color="auto"/>
                <w:bottom w:val="none" w:sz="0" w:space="0" w:color="auto"/>
                <w:right w:val="none" w:sz="0" w:space="0" w:color="auto"/>
              </w:divBdr>
            </w:div>
            <w:div w:id="291059079">
              <w:marLeft w:val="0"/>
              <w:marRight w:val="0"/>
              <w:marTop w:val="0"/>
              <w:marBottom w:val="0"/>
              <w:divBdr>
                <w:top w:val="none" w:sz="0" w:space="0" w:color="auto"/>
                <w:left w:val="none" w:sz="0" w:space="0" w:color="auto"/>
                <w:bottom w:val="none" w:sz="0" w:space="0" w:color="auto"/>
                <w:right w:val="none" w:sz="0" w:space="0" w:color="auto"/>
              </w:divBdr>
            </w:div>
            <w:div w:id="627706181">
              <w:marLeft w:val="0"/>
              <w:marRight w:val="0"/>
              <w:marTop w:val="0"/>
              <w:marBottom w:val="0"/>
              <w:divBdr>
                <w:top w:val="none" w:sz="0" w:space="0" w:color="auto"/>
                <w:left w:val="none" w:sz="0" w:space="0" w:color="auto"/>
                <w:bottom w:val="none" w:sz="0" w:space="0" w:color="auto"/>
                <w:right w:val="none" w:sz="0" w:space="0" w:color="auto"/>
              </w:divBdr>
            </w:div>
          </w:divsChild>
        </w:div>
        <w:div w:id="1002590209">
          <w:marLeft w:val="0"/>
          <w:marRight w:val="0"/>
          <w:marTop w:val="0"/>
          <w:marBottom w:val="0"/>
          <w:divBdr>
            <w:top w:val="none" w:sz="0" w:space="0" w:color="auto"/>
            <w:left w:val="none" w:sz="0" w:space="0" w:color="auto"/>
            <w:bottom w:val="none" w:sz="0" w:space="0" w:color="auto"/>
            <w:right w:val="none" w:sz="0" w:space="0" w:color="auto"/>
          </w:divBdr>
          <w:divsChild>
            <w:div w:id="1081297784">
              <w:marLeft w:val="0"/>
              <w:marRight w:val="0"/>
              <w:marTop w:val="0"/>
              <w:marBottom w:val="0"/>
              <w:divBdr>
                <w:top w:val="none" w:sz="0" w:space="0" w:color="auto"/>
                <w:left w:val="none" w:sz="0" w:space="0" w:color="auto"/>
                <w:bottom w:val="none" w:sz="0" w:space="0" w:color="auto"/>
                <w:right w:val="none" w:sz="0" w:space="0" w:color="auto"/>
              </w:divBdr>
            </w:div>
            <w:div w:id="1191577105">
              <w:marLeft w:val="0"/>
              <w:marRight w:val="0"/>
              <w:marTop w:val="0"/>
              <w:marBottom w:val="0"/>
              <w:divBdr>
                <w:top w:val="none" w:sz="0" w:space="0" w:color="auto"/>
                <w:left w:val="none" w:sz="0" w:space="0" w:color="auto"/>
                <w:bottom w:val="none" w:sz="0" w:space="0" w:color="auto"/>
                <w:right w:val="none" w:sz="0" w:space="0" w:color="auto"/>
              </w:divBdr>
            </w:div>
            <w:div w:id="1292251072">
              <w:marLeft w:val="0"/>
              <w:marRight w:val="0"/>
              <w:marTop w:val="0"/>
              <w:marBottom w:val="0"/>
              <w:divBdr>
                <w:top w:val="none" w:sz="0" w:space="0" w:color="auto"/>
                <w:left w:val="none" w:sz="0" w:space="0" w:color="auto"/>
                <w:bottom w:val="none" w:sz="0" w:space="0" w:color="auto"/>
                <w:right w:val="none" w:sz="0" w:space="0" w:color="auto"/>
              </w:divBdr>
            </w:div>
            <w:div w:id="1891377930">
              <w:marLeft w:val="0"/>
              <w:marRight w:val="0"/>
              <w:marTop w:val="0"/>
              <w:marBottom w:val="0"/>
              <w:divBdr>
                <w:top w:val="none" w:sz="0" w:space="0" w:color="auto"/>
                <w:left w:val="none" w:sz="0" w:space="0" w:color="auto"/>
                <w:bottom w:val="none" w:sz="0" w:space="0" w:color="auto"/>
                <w:right w:val="none" w:sz="0" w:space="0" w:color="auto"/>
              </w:divBdr>
            </w:div>
          </w:divsChild>
        </w:div>
        <w:div w:id="1833253153">
          <w:marLeft w:val="0"/>
          <w:marRight w:val="0"/>
          <w:marTop w:val="0"/>
          <w:marBottom w:val="0"/>
          <w:divBdr>
            <w:top w:val="none" w:sz="0" w:space="0" w:color="auto"/>
            <w:left w:val="none" w:sz="0" w:space="0" w:color="auto"/>
            <w:bottom w:val="none" w:sz="0" w:space="0" w:color="auto"/>
            <w:right w:val="none" w:sz="0" w:space="0" w:color="auto"/>
          </w:divBdr>
          <w:divsChild>
            <w:div w:id="668482187">
              <w:marLeft w:val="0"/>
              <w:marRight w:val="0"/>
              <w:marTop w:val="0"/>
              <w:marBottom w:val="0"/>
              <w:divBdr>
                <w:top w:val="none" w:sz="0" w:space="0" w:color="auto"/>
                <w:left w:val="none" w:sz="0" w:space="0" w:color="auto"/>
                <w:bottom w:val="none" w:sz="0" w:space="0" w:color="auto"/>
                <w:right w:val="none" w:sz="0" w:space="0" w:color="auto"/>
              </w:divBdr>
            </w:div>
            <w:div w:id="1214122965">
              <w:marLeft w:val="0"/>
              <w:marRight w:val="0"/>
              <w:marTop w:val="0"/>
              <w:marBottom w:val="0"/>
              <w:divBdr>
                <w:top w:val="none" w:sz="0" w:space="0" w:color="auto"/>
                <w:left w:val="none" w:sz="0" w:space="0" w:color="auto"/>
                <w:bottom w:val="none" w:sz="0" w:space="0" w:color="auto"/>
                <w:right w:val="none" w:sz="0" w:space="0" w:color="auto"/>
              </w:divBdr>
            </w:div>
            <w:div w:id="1854563574">
              <w:marLeft w:val="0"/>
              <w:marRight w:val="0"/>
              <w:marTop w:val="0"/>
              <w:marBottom w:val="0"/>
              <w:divBdr>
                <w:top w:val="none" w:sz="0" w:space="0" w:color="auto"/>
                <w:left w:val="none" w:sz="0" w:space="0" w:color="auto"/>
                <w:bottom w:val="none" w:sz="0" w:space="0" w:color="auto"/>
                <w:right w:val="none" w:sz="0" w:space="0" w:color="auto"/>
              </w:divBdr>
            </w:div>
            <w:div w:id="204028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904468">
      <w:bodyDiv w:val="1"/>
      <w:marLeft w:val="0"/>
      <w:marRight w:val="0"/>
      <w:marTop w:val="0"/>
      <w:marBottom w:val="0"/>
      <w:divBdr>
        <w:top w:val="none" w:sz="0" w:space="0" w:color="auto"/>
        <w:left w:val="none" w:sz="0" w:space="0" w:color="auto"/>
        <w:bottom w:val="none" w:sz="0" w:space="0" w:color="auto"/>
        <w:right w:val="none" w:sz="0" w:space="0" w:color="auto"/>
      </w:divBdr>
    </w:div>
    <w:div w:id="885332759">
      <w:bodyDiv w:val="1"/>
      <w:marLeft w:val="0"/>
      <w:marRight w:val="0"/>
      <w:marTop w:val="0"/>
      <w:marBottom w:val="0"/>
      <w:divBdr>
        <w:top w:val="none" w:sz="0" w:space="0" w:color="auto"/>
        <w:left w:val="none" w:sz="0" w:space="0" w:color="auto"/>
        <w:bottom w:val="none" w:sz="0" w:space="0" w:color="auto"/>
        <w:right w:val="none" w:sz="0" w:space="0" w:color="auto"/>
      </w:divBdr>
    </w:div>
    <w:div w:id="886532795">
      <w:bodyDiv w:val="1"/>
      <w:marLeft w:val="0"/>
      <w:marRight w:val="0"/>
      <w:marTop w:val="0"/>
      <w:marBottom w:val="0"/>
      <w:divBdr>
        <w:top w:val="none" w:sz="0" w:space="0" w:color="auto"/>
        <w:left w:val="none" w:sz="0" w:space="0" w:color="auto"/>
        <w:bottom w:val="none" w:sz="0" w:space="0" w:color="auto"/>
        <w:right w:val="none" w:sz="0" w:space="0" w:color="auto"/>
      </w:divBdr>
      <w:divsChild>
        <w:div w:id="82576057">
          <w:marLeft w:val="0"/>
          <w:marRight w:val="0"/>
          <w:marTop w:val="0"/>
          <w:marBottom w:val="0"/>
          <w:divBdr>
            <w:top w:val="none" w:sz="0" w:space="0" w:color="auto"/>
            <w:left w:val="none" w:sz="0" w:space="0" w:color="auto"/>
            <w:bottom w:val="none" w:sz="0" w:space="0" w:color="auto"/>
            <w:right w:val="none" w:sz="0" w:space="0" w:color="auto"/>
          </w:divBdr>
        </w:div>
        <w:div w:id="104808138">
          <w:marLeft w:val="0"/>
          <w:marRight w:val="0"/>
          <w:marTop w:val="0"/>
          <w:marBottom w:val="0"/>
          <w:divBdr>
            <w:top w:val="none" w:sz="0" w:space="0" w:color="auto"/>
            <w:left w:val="none" w:sz="0" w:space="0" w:color="auto"/>
            <w:bottom w:val="none" w:sz="0" w:space="0" w:color="auto"/>
            <w:right w:val="none" w:sz="0" w:space="0" w:color="auto"/>
          </w:divBdr>
        </w:div>
        <w:div w:id="257838187">
          <w:marLeft w:val="0"/>
          <w:marRight w:val="0"/>
          <w:marTop w:val="0"/>
          <w:marBottom w:val="0"/>
          <w:divBdr>
            <w:top w:val="none" w:sz="0" w:space="0" w:color="auto"/>
            <w:left w:val="none" w:sz="0" w:space="0" w:color="auto"/>
            <w:bottom w:val="none" w:sz="0" w:space="0" w:color="auto"/>
            <w:right w:val="none" w:sz="0" w:space="0" w:color="auto"/>
          </w:divBdr>
        </w:div>
        <w:div w:id="575823663">
          <w:marLeft w:val="0"/>
          <w:marRight w:val="0"/>
          <w:marTop w:val="0"/>
          <w:marBottom w:val="0"/>
          <w:divBdr>
            <w:top w:val="none" w:sz="0" w:space="0" w:color="auto"/>
            <w:left w:val="none" w:sz="0" w:space="0" w:color="auto"/>
            <w:bottom w:val="none" w:sz="0" w:space="0" w:color="auto"/>
            <w:right w:val="none" w:sz="0" w:space="0" w:color="auto"/>
          </w:divBdr>
        </w:div>
        <w:div w:id="1269779468">
          <w:marLeft w:val="0"/>
          <w:marRight w:val="0"/>
          <w:marTop w:val="0"/>
          <w:marBottom w:val="0"/>
          <w:divBdr>
            <w:top w:val="none" w:sz="0" w:space="0" w:color="auto"/>
            <w:left w:val="none" w:sz="0" w:space="0" w:color="auto"/>
            <w:bottom w:val="none" w:sz="0" w:space="0" w:color="auto"/>
            <w:right w:val="none" w:sz="0" w:space="0" w:color="auto"/>
          </w:divBdr>
        </w:div>
        <w:div w:id="1450590780">
          <w:marLeft w:val="0"/>
          <w:marRight w:val="0"/>
          <w:marTop w:val="0"/>
          <w:marBottom w:val="0"/>
          <w:divBdr>
            <w:top w:val="none" w:sz="0" w:space="0" w:color="auto"/>
            <w:left w:val="none" w:sz="0" w:space="0" w:color="auto"/>
            <w:bottom w:val="none" w:sz="0" w:space="0" w:color="auto"/>
            <w:right w:val="none" w:sz="0" w:space="0" w:color="auto"/>
          </w:divBdr>
        </w:div>
        <w:div w:id="1670400046">
          <w:marLeft w:val="0"/>
          <w:marRight w:val="0"/>
          <w:marTop w:val="0"/>
          <w:marBottom w:val="0"/>
          <w:divBdr>
            <w:top w:val="none" w:sz="0" w:space="0" w:color="auto"/>
            <w:left w:val="none" w:sz="0" w:space="0" w:color="auto"/>
            <w:bottom w:val="none" w:sz="0" w:space="0" w:color="auto"/>
            <w:right w:val="none" w:sz="0" w:space="0" w:color="auto"/>
          </w:divBdr>
        </w:div>
        <w:div w:id="2034645441">
          <w:marLeft w:val="0"/>
          <w:marRight w:val="0"/>
          <w:marTop w:val="0"/>
          <w:marBottom w:val="0"/>
          <w:divBdr>
            <w:top w:val="none" w:sz="0" w:space="0" w:color="auto"/>
            <w:left w:val="none" w:sz="0" w:space="0" w:color="auto"/>
            <w:bottom w:val="none" w:sz="0" w:space="0" w:color="auto"/>
            <w:right w:val="none" w:sz="0" w:space="0" w:color="auto"/>
          </w:divBdr>
        </w:div>
      </w:divsChild>
    </w:div>
    <w:div w:id="899367803">
      <w:bodyDiv w:val="1"/>
      <w:marLeft w:val="0"/>
      <w:marRight w:val="0"/>
      <w:marTop w:val="0"/>
      <w:marBottom w:val="0"/>
      <w:divBdr>
        <w:top w:val="none" w:sz="0" w:space="0" w:color="auto"/>
        <w:left w:val="none" w:sz="0" w:space="0" w:color="auto"/>
        <w:bottom w:val="none" w:sz="0" w:space="0" w:color="auto"/>
        <w:right w:val="none" w:sz="0" w:space="0" w:color="auto"/>
      </w:divBdr>
    </w:div>
    <w:div w:id="944311655">
      <w:bodyDiv w:val="1"/>
      <w:marLeft w:val="0"/>
      <w:marRight w:val="0"/>
      <w:marTop w:val="0"/>
      <w:marBottom w:val="0"/>
      <w:divBdr>
        <w:top w:val="none" w:sz="0" w:space="0" w:color="auto"/>
        <w:left w:val="none" w:sz="0" w:space="0" w:color="auto"/>
        <w:bottom w:val="none" w:sz="0" w:space="0" w:color="auto"/>
        <w:right w:val="none" w:sz="0" w:space="0" w:color="auto"/>
      </w:divBdr>
    </w:div>
    <w:div w:id="970860803">
      <w:bodyDiv w:val="1"/>
      <w:marLeft w:val="0"/>
      <w:marRight w:val="0"/>
      <w:marTop w:val="0"/>
      <w:marBottom w:val="0"/>
      <w:divBdr>
        <w:top w:val="none" w:sz="0" w:space="0" w:color="auto"/>
        <w:left w:val="none" w:sz="0" w:space="0" w:color="auto"/>
        <w:bottom w:val="none" w:sz="0" w:space="0" w:color="auto"/>
        <w:right w:val="none" w:sz="0" w:space="0" w:color="auto"/>
      </w:divBdr>
    </w:div>
    <w:div w:id="989016539">
      <w:bodyDiv w:val="1"/>
      <w:marLeft w:val="0"/>
      <w:marRight w:val="0"/>
      <w:marTop w:val="0"/>
      <w:marBottom w:val="0"/>
      <w:divBdr>
        <w:top w:val="none" w:sz="0" w:space="0" w:color="auto"/>
        <w:left w:val="none" w:sz="0" w:space="0" w:color="auto"/>
        <w:bottom w:val="none" w:sz="0" w:space="0" w:color="auto"/>
        <w:right w:val="none" w:sz="0" w:space="0" w:color="auto"/>
      </w:divBdr>
    </w:div>
    <w:div w:id="993994906">
      <w:bodyDiv w:val="1"/>
      <w:marLeft w:val="0"/>
      <w:marRight w:val="0"/>
      <w:marTop w:val="0"/>
      <w:marBottom w:val="0"/>
      <w:divBdr>
        <w:top w:val="none" w:sz="0" w:space="0" w:color="auto"/>
        <w:left w:val="none" w:sz="0" w:space="0" w:color="auto"/>
        <w:bottom w:val="none" w:sz="0" w:space="0" w:color="auto"/>
        <w:right w:val="none" w:sz="0" w:space="0" w:color="auto"/>
      </w:divBdr>
    </w:div>
    <w:div w:id="1004554594">
      <w:bodyDiv w:val="1"/>
      <w:marLeft w:val="0"/>
      <w:marRight w:val="0"/>
      <w:marTop w:val="0"/>
      <w:marBottom w:val="0"/>
      <w:divBdr>
        <w:top w:val="none" w:sz="0" w:space="0" w:color="auto"/>
        <w:left w:val="none" w:sz="0" w:space="0" w:color="auto"/>
        <w:bottom w:val="none" w:sz="0" w:space="0" w:color="auto"/>
        <w:right w:val="none" w:sz="0" w:space="0" w:color="auto"/>
      </w:divBdr>
      <w:divsChild>
        <w:div w:id="282853645">
          <w:marLeft w:val="0"/>
          <w:marRight w:val="0"/>
          <w:marTop w:val="0"/>
          <w:marBottom w:val="0"/>
          <w:divBdr>
            <w:top w:val="none" w:sz="0" w:space="0" w:color="auto"/>
            <w:left w:val="none" w:sz="0" w:space="0" w:color="auto"/>
            <w:bottom w:val="none" w:sz="0" w:space="0" w:color="auto"/>
            <w:right w:val="none" w:sz="0" w:space="0" w:color="auto"/>
          </w:divBdr>
        </w:div>
        <w:div w:id="379289003">
          <w:marLeft w:val="0"/>
          <w:marRight w:val="0"/>
          <w:marTop w:val="0"/>
          <w:marBottom w:val="0"/>
          <w:divBdr>
            <w:top w:val="none" w:sz="0" w:space="0" w:color="auto"/>
            <w:left w:val="none" w:sz="0" w:space="0" w:color="auto"/>
            <w:bottom w:val="none" w:sz="0" w:space="0" w:color="auto"/>
            <w:right w:val="none" w:sz="0" w:space="0" w:color="auto"/>
          </w:divBdr>
        </w:div>
        <w:div w:id="903445680">
          <w:marLeft w:val="0"/>
          <w:marRight w:val="0"/>
          <w:marTop w:val="0"/>
          <w:marBottom w:val="0"/>
          <w:divBdr>
            <w:top w:val="none" w:sz="0" w:space="0" w:color="auto"/>
            <w:left w:val="none" w:sz="0" w:space="0" w:color="auto"/>
            <w:bottom w:val="none" w:sz="0" w:space="0" w:color="auto"/>
            <w:right w:val="none" w:sz="0" w:space="0" w:color="auto"/>
          </w:divBdr>
          <w:divsChild>
            <w:div w:id="487017986">
              <w:marLeft w:val="-75"/>
              <w:marRight w:val="0"/>
              <w:marTop w:val="30"/>
              <w:marBottom w:val="30"/>
              <w:divBdr>
                <w:top w:val="none" w:sz="0" w:space="0" w:color="auto"/>
                <w:left w:val="none" w:sz="0" w:space="0" w:color="auto"/>
                <w:bottom w:val="none" w:sz="0" w:space="0" w:color="auto"/>
                <w:right w:val="none" w:sz="0" w:space="0" w:color="auto"/>
              </w:divBdr>
              <w:divsChild>
                <w:div w:id="4788127">
                  <w:marLeft w:val="0"/>
                  <w:marRight w:val="0"/>
                  <w:marTop w:val="0"/>
                  <w:marBottom w:val="0"/>
                  <w:divBdr>
                    <w:top w:val="none" w:sz="0" w:space="0" w:color="auto"/>
                    <w:left w:val="none" w:sz="0" w:space="0" w:color="auto"/>
                    <w:bottom w:val="none" w:sz="0" w:space="0" w:color="auto"/>
                    <w:right w:val="none" w:sz="0" w:space="0" w:color="auto"/>
                  </w:divBdr>
                  <w:divsChild>
                    <w:div w:id="1073773890">
                      <w:marLeft w:val="0"/>
                      <w:marRight w:val="0"/>
                      <w:marTop w:val="0"/>
                      <w:marBottom w:val="0"/>
                      <w:divBdr>
                        <w:top w:val="none" w:sz="0" w:space="0" w:color="auto"/>
                        <w:left w:val="none" w:sz="0" w:space="0" w:color="auto"/>
                        <w:bottom w:val="none" w:sz="0" w:space="0" w:color="auto"/>
                        <w:right w:val="none" w:sz="0" w:space="0" w:color="auto"/>
                      </w:divBdr>
                    </w:div>
                  </w:divsChild>
                </w:div>
                <w:div w:id="23216178">
                  <w:marLeft w:val="0"/>
                  <w:marRight w:val="0"/>
                  <w:marTop w:val="0"/>
                  <w:marBottom w:val="0"/>
                  <w:divBdr>
                    <w:top w:val="none" w:sz="0" w:space="0" w:color="auto"/>
                    <w:left w:val="none" w:sz="0" w:space="0" w:color="auto"/>
                    <w:bottom w:val="none" w:sz="0" w:space="0" w:color="auto"/>
                    <w:right w:val="none" w:sz="0" w:space="0" w:color="auto"/>
                  </w:divBdr>
                  <w:divsChild>
                    <w:div w:id="1685475464">
                      <w:marLeft w:val="0"/>
                      <w:marRight w:val="0"/>
                      <w:marTop w:val="0"/>
                      <w:marBottom w:val="0"/>
                      <w:divBdr>
                        <w:top w:val="none" w:sz="0" w:space="0" w:color="auto"/>
                        <w:left w:val="none" w:sz="0" w:space="0" w:color="auto"/>
                        <w:bottom w:val="none" w:sz="0" w:space="0" w:color="auto"/>
                        <w:right w:val="none" w:sz="0" w:space="0" w:color="auto"/>
                      </w:divBdr>
                    </w:div>
                  </w:divsChild>
                </w:div>
                <w:div w:id="24721657">
                  <w:marLeft w:val="0"/>
                  <w:marRight w:val="0"/>
                  <w:marTop w:val="0"/>
                  <w:marBottom w:val="0"/>
                  <w:divBdr>
                    <w:top w:val="none" w:sz="0" w:space="0" w:color="auto"/>
                    <w:left w:val="none" w:sz="0" w:space="0" w:color="auto"/>
                    <w:bottom w:val="none" w:sz="0" w:space="0" w:color="auto"/>
                    <w:right w:val="none" w:sz="0" w:space="0" w:color="auto"/>
                  </w:divBdr>
                  <w:divsChild>
                    <w:div w:id="2061662777">
                      <w:marLeft w:val="0"/>
                      <w:marRight w:val="0"/>
                      <w:marTop w:val="0"/>
                      <w:marBottom w:val="0"/>
                      <w:divBdr>
                        <w:top w:val="none" w:sz="0" w:space="0" w:color="auto"/>
                        <w:left w:val="none" w:sz="0" w:space="0" w:color="auto"/>
                        <w:bottom w:val="none" w:sz="0" w:space="0" w:color="auto"/>
                        <w:right w:val="none" w:sz="0" w:space="0" w:color="auto"/>
                      </w:divBdr>
                    </w:div>
                  </w:divsChild>
                </w:div>
                <w:div w:id="51465467">
                  <w:marLeft w:val="0"/>
                  <w:marRight w:val="0"/>
                  <w:marTop w:val="0"/>
                  <w:marBottom w:val="0"/>
                  <w:divBdr>
                    <w:top w:val="none" w:sz="0" w:space="0" w:color="auto"/>
                    <w:left w:val="none" w:sz="0" w:space="0" w:color="auto"/>
                    <w:bottom w:val="none" w:sz="0" w:space="0" w:color="auto"/>
                    <w:right w:val="none" w:sz="0" w:space="0" w:color="auto"/>
                  </w:divBdr>
                  <w:divsChild>
                    <w:div w:id="124660502">
                      <w:marLeft w:val="0"/>
                      <w:marRight w:val="0"/>
                      <w:marTop w:val="0"/>
                      <w:marBottom w:val="0"/>
                      <w:divBdr>
                        <w:top w:val="none" w:sz="0" w:space="0" w:color="auto"/>
                        <w:left w:val="none" w:sz="0" w:space="0" w:color="auto"/>
                        <w:bottom w:val="none" w:sz="0" w:space="0" w:color="auto"/>
                        <w:right w:val="none" w:sz="0" w:space="0" w:color="auto"/>
                      </w:divBdr>
                    </w:div>
                  </w:divsChild>
                </w:div>
                <w:div w:id="82537761">
                  <w:marLeft w:val="0"/>
                  <w:marRight w:val="0"/>
                  <w:marTop w:val="0"/>
                  <w:marBottom w:val="0"/>
                  <w:divBdr>
                    <w:top w:val="none" w:sz="0" w:space="0" w:color="auto"/>
                    <w:left w:val="none" w:sz="0" w:space="0" w:color="auto"/>
                    <w:bottom w:val="none" w:sz="0" w:space="0" w:color="auto"/>
                    <w:right w:val="none" w:sz="0" w:space="0" w:color="auto"/>
                  </w:divBdr>
                  <w:divsChild>
                    <w:div w:id="1991133656">
                      <w:marLeft w:val="0"/>
                      <w:marRight w:val="0"/>
                      <w:marTop w:val="0"/>
                      <w:marBottom w:val="0"/>
                      <w:divBdr>
                        <w:top w:val="none" w:sz="0" w:space="0" w:color="auto"/>
                        <w:left w:val="none" w:sz="0" w:space="0" w:color="auto"/>
                        <w:bottom w:val="none" w:sz="0" w:space="0" w:color="auto"/>
                        <w:right w:val="none" w:sz="0" w:space="0" w:color="auto"/>
                      </w:divBdr>
                    </w:div>
                  </w:divsChild>
                </w:div>
                <w:div w:id="92021004">
                  <w:marLeft w:val="0"/>
                  <w:marRight w:val="0"/>
                  <w:marTop w:val="0"/>
                  <w:marBottom w:val="0"/>
                  <w:divBdr>
                    <w:top w:val="none" w:sz="0" w:space="0" w:color="auto"/>
                    <w:left w:val="none" w:sz="0" w:space="0" w:color="auto"/>
                    <w:bottom w:val="none" w:sz="0" w:space="0" w:color="auto"/>
                    <w:right w:val="none" w:sz="0" w:space="0" w:color="auto"/>
                  </w:divBdr>
                  <w:divsChild>
                    <w:div w:id="747845799">
                      <w:marLeft w:val="0"/>
                      <w:marRight w:val="0"/>
                      <w:marTop w:val="0"/>
                      <w:marBottom w:val="0"/>
                      <w:divBdr>
                        <w:top w:val="none" w:sz="0" w:space="0" w:color="auto"/>
                        <w:left w:val="none" w:sz="0" w:space="0" w:color="auto"/>
                        <w:bottom w:val="none" w:sz="0" w:space="0" w:color="auto"/>
                        <w:right w:val="none" w:sz="0" w:space="0" w:color="auto"/>
                      </w:divBdr>
                    </w:div>
                  </w:divsChild>
                </w:div>
                <w:div w:id="100803413">
                  <w:marLeft w:val="0"/>
                  <w:marRight w:val="0"/>
                  <w:marTop w:val="0"/>
                  <w:marBottom w:val="0"/>
                  <w:divBdr>
                    <w:top w:val="none" w:sz="0" w:space="0" w:color="auto"/>
                    <w:left w:val="none" w:sz="0" w:space="0" w:color="auto"/>
                    <w:bottom w:val="none" w:sz="0" w:space="0" w:color="auto"/>
                    <w:right w:val="none" w:sz="0" w:space="0" w:color="auto"/>
                  </w:divBdr>
                  <w:divsChild>
                    <w:div w:id="391126985">
                      <w:marLeft w:val="0"/>
                      <w:marRight w:val="0"/>
                      <w:marTop w:val="0"/>
                      <w:marBottom w:val="0"/>
                      <w:divBdr>
                        <w:top w:val="none" w:sz="0" w:space="0" w:color="auto"/>
                        <w:left w:val="none" w:sz="0" w:space="0" w:color="auto"/>
                        <w:bottom w:val="none" w:sz="0" w:space="0" w:color="auto"/>
                        <w:right w:val="none" w:sz="0" w:space="0" w:color="auto"/>
                      </w:divBdr>
                    </w:div>
                  </w:divsChild>
                </w:div>
                <w:div w:id="126121927">
                  <w:marLeft w:val="0"/>
                  <w:marRight w:val="0"/>
                  <w:marTop w:val="0"/>
                  <w:marBottom w:val="0"/>
                  <w:divBdr>
                    <w:top w:val="none" w:sz="0" w:space="0" w:color="auto"/>
                    <w:left w:val="none" w:sz="0" w:space="0" w:color="auto"/>
                    <w:bottom w:val="none" w:sz="0" w:space="0" w:color="auto"/>
                    <w:right w:val="none" w:sz="0" w:space="0" w:color="auto"/>
                  </w:divBdr>
                  <w:divsChild>
                    <w:div w:id="879705519">
                      <w:marLeft w:val="0"/>
                      <w:marRight w:val="0"/>
                      <w:marTop w:val="0"/>
                      <w:marBottom w:val="0"/>
                      <w:divBdr>
                        <w:top w:val="none" w:sz="0" w:space="0" w:color="auto"/>
                        <w:left w:val="none" w:sz="0" w:space="0" w:color="auto"/>
                        <w:bottom w:val="none" w:sz="0" w:space="0" w:color="auto"/>
                        <w:right w:val="none" w:sz="0" w:space="0" w:color="auto"/>
                      </w:divBdr>
                    </w:div>
                  </w:divsChild>
                </w:div>
                <w:div w:id="127237694">
                  <w:marLeft w:val="0"/>
                  <w:marRight w:val="0"/>
                  <w:marTop w:val="0"/>
                  <w:marBottom w:val="0"/>
                  <w:divBdr>
                    <w:top w:val="none" w:sz="0" w:space="0" w:color="auto"/>
                    <w:left w:val="none" w:sz="0" w:space="0" w:color="auto"/>
                    <w:bottom w:val="none" w:sz="0" w:space="0" w:color="auto"/>
                    <w:right w:val="none" w:sz="0" w:space="0" w:color="auto"/>
                  </w:divBdr>
                  <w:divsChild>
                    <w:div w:id="2059276002">
                      <w:marLeft w:val="0"/>
                      <w:marRight w:val="0"/>
                      <w:marTop w:val="0"/>
                      <w:marBottom w:val="0"/>
                      <w:divBdr>
                        <w:top w:val="none" w:sz="0" w:space="0" w:color="auto"/>
                        <w:left w:val="none" w:sz="0" w:space="0" w:color="auto"/>
                        <w:bottom w:val="none" w:sz="0" w:space="0" w:color="auto"/>
                        <w:right w:val="none" w:sz="0" w:space="0" w:color="auto"/>
                      </w:divBdr>
                    </w:div>
                  </w:divsChild>
                </w:div>
                <w:div w:id="130098779">
                  <w:marLeft w:val="0"/>
                  <w:marRight w:val="0"/>
                  <w:marTop w:val="0"/>
                  <w:marBottom w:val="0"/>
                  <w:divBdr>
                    <w:top w:val="none" w:sz="0" w:space="0" w:color="auto"/>
                    <w:left w:val="none" w:sz="0" w:space="0" w:color="auto"/>
                    <w:bottom w:val="none" w:sz="0" w:space="0" w:color="auto"/>
                    <w:right w:val="none" w:sz="0" w:space="0" w:color="auto"/>
                  </w:divBdr>
                  <w:divsChild>
                    <w:div w:id="46301030">
                      <w:marLeft w:val="0"/>
                      <w:marRight w:val="0"/>
                      <w:marTop w:val="0"/>
                      <w:marBottom w:val="0"/>
                      <w:divBdr>
                        <w:top w:val="none" w:sz="0" w:space="0" w:color="auto"/>
                        <w:left w:val="none" w:sz="0" w:space="0" w:color="auto"/>
                        <w:bottom w:val="none" w:sz="0" w:space="0" w:color="auto"/>
                        <w:right w:val="none" w:sz="0" w:space="0" w:color="auto"/>
                      </w:divBdr>
                    </w:div>
                  </w:divsChild>
                </w:div>
                <w:div w:id="149828392">
                  <w:marLeft w:val="0"/>
                  <w:marRight w:val="0"/>
                  <w:marTop w:val="0"/>
                  <w:marBottom w:val="0"/>
                  <w:divBdr>
                    <w:top w:val="none" w:sz="0" w:space="0" w:color="auto"/>
                    <w:left w:val="none" w:sz="0" w:space="0" w:color="auto"/>
                    <w:bottom w:val="none" w:sz="0" w:space="0" w:color="auto"/>
                    <w:right w:val="none" w:sz="0" w:space="0" w:color="auto"/>
                  </w:divBdr>
                  <w:divsChild>
                    <w:div w:id="323749785">
                      <w:marLeft w:val="0"/>
                      <w:marRight w:val="0"/>
                      <w:marTop w:val="0"/>
                      <w:marBottom w:val="0"/>
                      <w:divBdr>
                        <w:top w:val="none" w:sz="0" w:space="0" w:color="auto"/>
                        <w:left w:val="none" w:sz="0" w:space="0" w:color="auto"/>
                        <w:bottom w:val="none" w:sz="0" w:space="0" w:color="auto"/>
                        <w:right w:val="none" w:sz="0" w:space="0" w:color="auto"/>
                      </w:divBdr>
                    </w:div>
                  </w:divsChild>
                </w:div>
                <w:div w:id="151223121">
                  <w:marLeft w:val="0"/>
                  <w:marRight w:val="0"/>
                  <w:marTop w:val="0"/>
                  <w:marBottom w:val="0"/>
                  <w:divBdr>
                    <w:top w:val="none" w:sz="0" w:space="0" w:color="auto"/>
                    <w:left w:val="none" w:sz="0" w:space="0" w:color="auto"/>
                    <w:bottom w:val="none" w:sz="0" w:space="0" w:color="auto"/>
                    <w:right w:val="none" w:sz="0" w:space="0" w:color="auto"/>
                  </w:divBdr>
                  <w:divsChild>
                    <w:div w:id="900284504">
                      <w:marLeft w:val="0"/>
                      <w:marRight w:val="0"/>
                      <w:marTop w:val="0"/>
                      <w:marBottom w:val="0"/>
                      <w:divBdr>
                        <w:top w:val="none" w:sz="0" w:space="0" w:color="auto"/>
                        <w:left w:val="none" w:sz="0" w:space="0" w:color="auto"/>
                        <w:bottom w:val="none" w:sz="0" w:space="0" w:color="auto"/>
                        <w:right w:val="none" w:sz="0" w:space="0" w:color="auto"/>
                      </w:divBdr>
                    </w:div>
                  </w:divsChild>
                </w:div>
                <w:div w:id="151457426">
                  <w:marLeft w:val="0"/>
                  <w:marRight w:val="0"/>
                  <w:marTop w:val="0"/>
                  <w:marBottom w:val="0"/>
                  <w:divBdr>
                    <w:top w:val="none" w:sz="0" w:space="0" w:color="auto"/>
                    <w:left w:val="none" w:sz="0" w:space="0" w:color="auto"/>
                    <w:bottom w:val="none" w:sz="0" w:space="0" w:color="auto"/>
                    <w:right w:val="none" w:sz="0" w:space="0" w:color="auto"/>
                  </w:divBdr>
                  <w:divsChild>
                    <w:div w:id="1309700441">
                      <w:marLeft w:val="0"/>
                      <w:marRight w:val="0"/>
                      <w:marTop w:val="0"/>
                      <w:marBottom w:val="0"/>
                      <w:divBdr>
                        <w:top w:val="none" w:sz="0" w:space="0" w:color="auto"/>
                        <w:left w:val="none" w:sz="0" w:space="0" w:color="auto"/>
                        <w:bottom w:val="none" w:sz="0" w:space="0" w:color="auto"/>
                        <w:right w:val="none" w:sz="0" w:space="0" w:color="auto"/>
                      </w:divBdr>
                    </w:div>
                  </w:divsChild>
                </w:div>
                <w:div w:id="178930638">
                  <w:marLeft w:val="0"/>
                  <w:marRight w:val="0"/>
                  <w:marTop w:val="0"/>
                  <w:marBottom w:val="0"/>
                  <w:divBdr>
                    <w:top w:val="none" w:sz="0" w:space="0" w:color="auto"/>
                    <w:left w:val="none" w:sz="0" w:space="0" w:color="auto"/>
                    <w:bottom w:val="none" w:sz="0" w:space="0" w:color="auto"/>
                    <w:right w:val="none" w:sz="0" w:space="0" w:color="auto"/>
                  </w:divBdr>
                  <w:divsChild>
                    <w:div w:id="2031101705">
                      <w:marLeft w:val="0"/>
                      <w:marRight w:val="0"/>
                      <w:marTop w:val="0"/>
                      <w:marBottom w:val="0"/>
                      <w:divBdr>
                        <w:top w:val="none" w:sz="0" w:space="0" w:color="auto"/>
                        <w:left w:val="none" w:sz="0" w:space="0" w:color="auto"/>
                        <w:bottom w:val="none" w:sz="0" w:space="0" w:color="auto"/>
                        <w:right w:val="none" w:sz="0" w:space="0" w:color="auto"/>
                      </w:divBdr>
                    </w:div>
                  </w:divsChild>
                </w:div>
                <w:div w:id="191192515">
                  <w:marLeft w:val="0"/>
                  <w:marRight w:val="0"/>
                  <w:marTop w:val="0"/>
                  <w:marBottom w:val="0"/>
                  <w:divBdr>
                    <w:top w:val="none" w:sz="0" w:space="0" w:color="auto"/>
                    <w:left w:val="none" w:sz="0" w:space="0" w:color="auto"/>
                    <w:bottom w:val="none" w:sz="0" w:space="0" w:color="auto"/>
                    <w:right w:val="none" w:sz="0" w:space="0" w:color="auto"/>
                  </w:divBdr>
                  <w:divsChild>
                    <w:div w:id="58984972">
                      <w:marLeft w:val="0"/>
                      <w:marRight w:val="0"/>
                      <w:marTop w:val="0"/>
                      <w:marBottom w:val="0"/>
                      <w:divBdr>
                        <w:top w:val="none" w:sz="0" w:space="0" w:color="auto"/>
                        <w:left w:val="none" w:sz="0" w:space="0" w:color="auto"/>
                        <w:bottom w:val="none" w:sz="0" w:space="0" w:color="auto"/>
                        <w:right w:val="none" w:sz="0" w:space="0" w:color="auto"/>
                      </w:divBdr>
                    </w:div>
                  </w:divsChild>
                </w:div>
                <w:div w:id="192573681">
                  <w:marLeft w:val="0"/>
                  <w:marRight w:val="0"/>
                  <w:marTop w:val="0"/>
                  <w:marBottom w:val="0"/>
                  <w:divBdr>
                    <w:top w:val="none" w:sz="0" w:space="0" w:color="auto"/>
                    <w:left w:val="none" w:sz="0" w:space="0" w:color="auto"/>
                    <w:bottom w:val="none" w:sz="0" w:space="0" w:color="auto"/>
                    <w:right w:val="none" w:sz="0" w:space="0" w:color="auto"/>
                  </w:divBdr>
                  <w:divsChild>
                    <w:div w:id="1342008478">
                      <w:marLeft w:val="0"/>
                      <w:marRight w:val="0"/>
                      <w:marTop w:val="0"/>
                      <w:marBottom w:val="0"/>
                      <w:divBdr>
                        <w:top w:val="none" w:sz="0" w:space="0" w:color="auto"/>
                        <w:left w:val="none" w:sz="0" w:space="0" w:color="auto"/>
                        <w:bottom w:val="none" w:sz="0" w:space="0" w:color="auto"/>
                        <w:right w:val="none" w:sz="0" w:space="0" w:color="auto"/>
                      </w:divBdr>
                    </w:div>
                  </w:divsChild>
                </w:div>
                <w:div w:id="196478682">
                  <w:marLeft w:val="0"/>
                  <w:marRight w:val="0"/>
                  <w:marTop w:val="0"/>
                  <w:marBottom w:val="0"/>
                  <w:divBdr>
                    <w:top w:val="none" w:sz="0" w:space="0" w:color="auto"/>
                    <w:left w:val="none" w:sz="0" w:space="0" w:color="auto"/>
                    <w:bottom w:val="none" w:sz="0" w:space="0" w:color="auto"/>
                    <w:right w:val="none" w:sz="0" w:space="0" w:color="auto"/>
                  </w:divBdr>
                  <w:divsChild>
                    <w:div w:id="1587618148">
                      <w:marLeft w:val="0"/>
                      <w:marRight w:val="0"/>
                      <w:marTop w:val="0"/>
                      <w:marBottom w:val="0"/>
                      <w:divBdr>
                        <w:top w:val="none" w:sz="0" w:space="0" w:color="auto"/>
                        <w:left w:val="none" w:sz="0" w:space="0" w:color="auto"/>
                        <w:bottom w:val="none" w:sz="0" w:space="0" w:color="auto"/>
                        <w:right w:val="none" w:sz="0" w:space="0" w:color="auto"/>
                      </w:divBdr>
                    </w:div>
                  </w:divsChild>
                </w:div>
                <w:div w:id="217012427">
                  <w:marLeft w:val="0"/>
                  <w:marRight w:val="0"/>
                  <w:marTop w:val="0"/>
                  <w:marBottom w:val="0"/>
                  <w:divBdr>
                    <w:top w:val="none" w:sz="0" w:space="0" w:color="auto"/>
                    <w:left w:val="none" w:sz="0" w:space="0" w:color="auto"/>
                    <w:bottom w:val="none" w:sz="0" w:space="0" w:color="auto"/>
                    <w:right w:val="none" w:sz="0" w:space="0" w:color="auto"/>
                  </w:divBdr>
                  <w:divsChild>
                    <w:div w:id="767117147">
                      <w:marLeft w:val="0"/>
                      <w:marRight w:val="0"/>
                      <w:marTop w:val="0"/>
                      <w:marBottom w:val="0"/>
                      <w:divBdr>
                        <w:top w:val="none" w:sz="0" w:space="0" w:color="auto"/>
                        <w:left w:val="none" w:sz="0" w:space="0" w:color="auto"/>
                        <w:bottom w:val="none" w:sz="0" w:space="0" w:color="auto"/>
                        <w:right w:val="none" w:sz="0" w:space="0" w:color="auto"/>
                      </w:divBdr>
                    </w:div>
                  </w:divsChild>
                </w:div>
                <w:div w:id="222110062">
                  <w:marLeft w:val="0"/>
                  <w:marRight w:val="0"/>
                  <w:marTop w:val="0"/>
                  <w:marBottom w:val="0"/>
                  <w:divBdr>
                    <w:top w:val="none" w:sz="0" w:space="0" w:color="auto"/>
                    <w:left w:val="none" w:sz="0" w:space="0" w:color="auto"/>
                    <w:bottom w:val="none" w:sz="0" w:space="0" w:color="auto"/>
                    <w:right w:val="none" w:sz="0" w:space="0" w:color="auto"/>
                  </w:divBdr>
                  <w:divsChild>
                    <w:div w:id="463474239">
                      <w:marLeft w:val="0"/>
                      <w:marRight w:val="0"/>
                      <w:marTop w:val="0"/>
                      <w:marBottom w:val="0"/>
                      <w:divBdr>
                        <w:top w:val="none" w:sz="0" w:space="0" w:color="auto"/>
                        <w:left w:val="none" w:sz="0" w:space="0" w:color="auto"/>
                        <w:bottom w:val="none" w:sz="0" w:space="0" w:color="auto"/>
                        <w:right w:val="none" w:sz="0" w:space="0" w:color="auto"/>
                      </w:divBdr>
                    </w:div>
                  </w:divsChild>
                </w:div>
                <w:div w:id="228275280">
                  <w:marLeft w:val="0"/>
                  <w:marRight w:val="0"/>
                  <w:marTop w:val="0"/>
                  <w:marBottom w:val="0"/>
                  <w:divBdr>
                    <w:top w:val="none" w:sz="0" w:space="0" w:color="auto"/>
                    <w:left w:val="none" w:sz="0" w:space="0" w:color="auto"/>
                    <w:bottom w:val="none" w:sz="0" w:space="0" w:color="auto"/>
                    <w:right w:val="none" w:sz="0" w:space="0" w:color="auto"/>
                  </w:divBdr>
                  <w:divsChild>
                    <w:div w:id="649285725">
                      <w:marLeft w:val="0"/>
                      <w:marRight w:val="0"/>
                      <w:marTop w:val="0"/>
                      <w:marBottom w:val="0"/>
                      <w:divBdr>
                        <w:top w:val="none" w:sz="0" w:space="0" w:color="auto"/>
                        <w:left w:val="none" w:sz="0" w:space="0" w:color="auto"/>
                        <w:bottom w:val="none" w:sz="0" w:space="0" w:color="auto"/>
                        <w:right w:val="none" w:sz="0" w:space="0" w:color="auto"/>
                      </w:divBdr>
                    </w:div>
                  </w:divsChild>
                </w:div>
                <w:div w:id="246236306">
                  <w:marLeft w:val="0"/>
                  <w:marRight w:val="0"/>
                  <w:marTop w:val="0"/>
                  <w:marBottom w:val="0"/>
                  <w:divBdr>
                    <w:top w:val="none" w:sz="0" w:space="0" w:color="auto"/>
                    <w:left w:val="none" w:sz="0" w:space="0" w:color="auto"/>
                    <w:bottom w:val="none" w:sz="0" w:space="0" w:color="auto"/>
                    <w:right w:val="none" w:sz="0" w:space="0" w:color="auto"/>
                  </w:divBdr>
                  <w:divsChild>
                    <w:div w:id="634918123">
                      <w:marLeft w:val="0"/>
                      <w:marRight w:val="0"/>
                      <w:marTop w:val="0"/>
                      <w:marBottom w:val="0"/>
                      <w:divBdr>
                        <w:top w:val="none" w:sz="0" w:space="0" w:color="auto"/>
                        <w:left w:val="none" w:sz="0" w:space="0" w:color="auto"/>
                        <w:bottom w:val="none" w:sz="0" w:space="0" w:color="auto"/>
                        <w:right w:val="none" w:sz="0" w:space="0" w:color="auto"/>
                      </w:divBdr>
                    </w:div>
                  </w:divsChild>
                </w:div>
                <w:div w:id="253056634">
                  <w:marLeft w:val="0"/>
                  <w:marRight w:val="0"/>
                  <w:marTop w:val="0"/>
                  <w:marBottom w:val="0"/>
                  <w:divBdr>
                    <w:top w:val="none" w:sz="0" w:space="0" w:color="auto"/>
                    <w:left w:val="none" w:sz="0" w:space="0" w:color="auto"/>
                    <w:bottom w:val="none" w:sz="0" w:space="0" w:color="auto"/>
                    <w:right w:val="none" w:sz="0" w:space="0" w:color="auto"/>
                  </w:divBdr>
                  <w:divsChild>
                    <w:div w:id="1158377660">
                      <w:marLeft w:val="0"/>
                      <w:marRight w:val="0"/>
                      <w:marTop w:val="0"/>
                      <w:marBottom w:val="0"/>
                      <w:divBdr>
                        <w:top w:val="none" w:sz="0" w:space="0" w:color="auto"/>
                        <w:left w:val="none" w:sz="0" w:space="0" w:color="auto"/>
                        <w:bottom w:val="none" w:sz="0" w:space="0" w:color="auto"/>
                        <w:right w:val="none" w:sz="0" w:space="0" w:color="auto"/>
                      </w:divBdr>
                    </w:div>
                  </w:divsChild>
                </w:div>
                <w:div w:id="261687539">
                  <w:marLeft w:val="0"/>
                  <w:marRight w:val="0"/>
                  <w:marTop w:val="0"/>
                  <w:marBottom w:val="0"/>
                  <w:divBdr>
                    <w:top w:val="none" w:sz="0" w:space="0" w:color="auto"/>
                    <w:left w:val="none" w:sz="0" w:space="0" w:color="auto"/>
                    <w:bottom w:val="none" w:sz="0" w:space="0" w:color="auto"/>
                    <w:right w:val="none" w:sz="0" w:space="0" w:color="auto"/>
                  </w:divBdr>
                  <w:divsChild>
                    <w:div w:id="1785883332">
                      <w:marLeft w:val="0"/>
                      <w:marRight w:val="0"/>
                      <w:marTop w:val="0"/>
                      <w:marBottom w:val="0"/>
                      <w:divBdr>
                        <w:top w:val="none" w:sz="0" w:space="0" w:color="auto"/>
                        <w:left w:val="none" w:sz="0" w:space="0" w:color="auto"/>
                        <w:bottom w:val="none" w:sz="0" w:space="0" w:color="auto"/>
                        <w:right w:val="none" w:sz="0" w:space="0" w:color="auto"/>
                      </w:divBdr>
                    </w:div>
                  </w:divsChild>
                </w:div>
                <w:div w:id="269289524">
                  <w:marLeft w:val="0"/>
                  <w:marRight w:val="0"/>
                  <w:marTop w:val="0"/>
                  <w:marBottom w:val="0"/>
                  <w:divBdr>
                    <w:top w:val="none" w:sz="0" w:space="0" w:color="auto"/>
                    <w:left w:val="none" w:sz="0" w:space="0" w:color="auto"/>
                    <w:bottom w:val="none" w:sz="0" w:space="0" w:color="auto"/>
                    <w:right w:val="none" w:sz="0" w:space="0" w:color="auto"/>
                  </w:divBdr>
                  <w:divsChild>
                    <w:div w:id="1495997739">
                      <w:marLeft w:val="0"/>
                      <w:marRight w:val="0"/>
                      <w:marTop w:val="0"/>
                      <w:marBottom w:val="0"/>
                      <w:divBdr>
                        <w:top w:val="none" w:sz="0" w:space="0" w:color="auto"/>
                        <w:left w:val="none" w:sz="0" w:space="0" w:color="auto"/>
                        <w:bottom w:val="none" w:sz="0" w:space="0" w:color="auto"/>
                        <w:right w:val="none" w:sz="0" w:space="0" w:color="auto"/>
                      </w:divBdr>
                    </w:div>
                  </w:divsChild>
                </w:div>
                <w:div w:id="271744589">
                  <w:marLeft w:val="0"/>
                  <w:marRight w:val="0"/>
                  <w:marTop w:val="0"/>
                  <w:marBottom w:val="0"/>
                  <w:divBdr>
                    <w:top w:val="none" w:sz="0" w:space="0" w:color="auto"/>
                    <w:left w:val="none" w:sz="0" w:space="0" w:color="auto"/>
                    <w:bottom w:val="none" w:sz="0" w:space="0" w:color="auto"/>
                    <w:right w:val="none" w:sz="0" w:space="0" w:color="auto"/>
                  </w:divBdr>
                  <w:divsChild>
                    <w:div w:id="1667198857">
                      <w:marLeft w:val="0"/>
                      <w:marRight w:val="0"/>
                      <w:marTop w:val="0"/>
                      <w:marBottom w:val="0"/>
                      <w:divBdr>
                        <w:top w:val="none" w:sz="0" w:space="0" w:color="auto"/>
                        <w:left w:val="none" w:sz="0" w:space="0" w:color="auto"/>
                        <w:bottom w:val="none" w:sz="0" w:space="0" w:color="auto"/>
                        <w:right w:val="none" w:sz="0" w:space="0" w:color="auto"/>
                      </w:divBdr>
                    </w:div>
                  </w:divsChild>
                </w:div>
                <w:div w:id="277029399">
                  <w:marLeft w:val="0"/>
                  <w:marRight w:val="0"/>
                  <w:marTop w:val="0"/>
                  <w:marBottom w:val="0"/>
                  <w:divBdr>
                    <w:top w:val="none" w:sz="0" w:space="0" w:color="auto"/>
                    <w:left w:val="none" w:sz="0" w:space="0" w:color="auto"/>
                    <w:bottom w:val="none" w:sz="0" w:space="0" w:color="auto"/>
                    <w:right w:val="none" w:sz="0" w:space="0" w:color="auto"/>
                  </w:divBdr>
                  <w:divsChild>
                    <w:div w:id="2115976991">
                      <w:marLeft w:val="0"/>
                      <w:marRight w:val="0"/>
                      <w:marTop w:val="0"/>
                      <w:marBottom w:val="0"/>
                      <w:divBdr>
                        <w:top w:val="none" w:sz="0" w:space="0" w:color="auto"/>
                        <w:left w:val="none" w:sz="0" w:space="0" w:color="auto"/>
                        <w:bottom w:val="none" w:sz="0" w:space="0" w:color="auto"/>
                        <w:right w:val="none" w:sz="0" w:space="0" w:color="auto"/>
                      </w:divBdr>
                    </w:div>
                  </w:divsChild>
                </w:div>
                <w:div w:id="286816043">
                  <w:marLeft w:val="0"/>
                  <w:marRight w:val="0"/>
                  <w:marTop w:val="0"/>
                  <w:marBottom w:val="0"/>
                  <w:divBdr>
                    <w:top w:val="none" w:sz="0" w:space="0" w:color="auto"/>
                    <w:left w:val="none" w:sz="0" w:space="0" w:color="auto"/>
                    <w:bottom w:val="none" w:sz="0" w:space="0" w:color="auto"/>
                    <w:right w:val="none" w:sz="0" w:space="0" w:color="auto"/>
                  </w:divBdr>
                  <w:divsChild>
                    <w:div w:id="573976436">
                      <w:marLeft w:val="0"/>
                      <w:marRight w:val="0"/>
                      <w:marTop w:val="0"/>
                      <w:marBottom w:val="0"/>
                      <w:divBdr>
                        <w:top w:val="none" w:sz="0" w:space="0" w:color="auto"/>
                        <w:left w:val="none" w:sz="0" w:space="0" w:color="auto"/>
                        <w:bottom w:val="none" w:sz="0" w:space="0" w:color="auto"/>
                        <w:right w:val="none" w:sz="0" w:space="0" w:color="auto"/>
                      </w:divBdr>
                    </w:div>
                  </w:divsChild>
                </w:div>
                <w:div w:id="286863036">
                  <w:marLeft w:val="0"/>
                  <w:marRight w:val="0"/>
                  <w:marTop w:val="0"/>
                  <w:marBottom w:val="0"/>
                  <w:divBdr>
                    <w:top w:val="none" w:sz="0" w:space="0" w:color="auto"/>
                    <w:left w:val="none" w:sz="0" w:space="0" w:color="auto"/>
                    <w:bottom w:val="none" w:sz="0" w:space="0" w:color="auto"/>
                    <w:right w:val="none" w:sz="0" w:space="0" w:color="auto"/>
                  </w:divBdr>
                  <w:divsChild>
                    <w:div w:id="1750617728">
                      <w:marLeft w:val="0"/>
                      <w:marRight w:val="0"/>
                      <w:marTop w:val="0"/>
                      <w:marBottom w:val="0"/>
                      <w:divBdr>
                        <w:top w:val="none" w:sz="0" w:space="0" w:color="auto"/>
                        <w:left w:val="none" w:sz="0" w:space="0" w:color="auto"/>
                        <w:bottom w:val="none" w:sz="0" w:space="0" w:color="auto"/>
                        <w:right w:val="none" w:sz="0" w:space="0" w:color="auto"/>
                      </w:divBdr>
                    </w:div>
                  </w:divsChild>
                </w:div>
                <w:div w:id="298415702">
                  <w:marLeft w:val="0"/>
                  <w:marRight w:val="0"/>
                  <w:marTop w:val="0"/>
                  <w:marBottom w:val="0"/>
                  <w:divBdr>
                    <w:top w:val="none" w:sz="0" w:space="0" w:color="auto"/>
                    <w:left w:val="none" w:sz="0" w:space="0" w:color="auto"/>
                    <w:bottom w:val="none" w:sz="0" w:space="0" w:color="auto"/>
                    <w:right w:val="none" w:sz="0" w:space="0" w:color="auto"/>
                  </w:divBdr>
                  <w:divsChild>
                    <w:div w:id="1189295101">
                      <w:marLeft w:val="0"/>
                      <w:marRight w:val="0"/>
                      <w:marTop w:val="0"/>
                      <w:marBottom w:val="0"/>
                      <w:divBdr>
                        <w:top w:val="none" w:sz="0" w:space="0" w:color="auto"/>
                        <w:left w:val="none" w:sz="0" w:space="0" w:color="auto"/>
                        <w:bottom w:val="none" w:sz="0" w:space="0" w:color="auto"/>
                        <w:right w:val="none" w:sz="0" w:space="0" w:color="auto"/>
                      </w:divBdr>
                    </w:div>
                  </w:divsChild>
                </w:div>
                <w:div w:id="302779790">
                  <w:marLeft w:val="0"/>
                  <w:marRight w:val="0"/>
                  <w:marTop w:val="0"/>
                  <w:marBottom w:val="0"/>
                  <w:divBdr>
                    <w:top w:val="none" w:sz="0" w:space="0" w:color="auto"/>
                    <w:left w:val="none" w:sz="0" w:space="0" w:color="auto"/>
                    <w:bottom w:val="none" w:sz="0" w:space="0" w:color="auto"/>
                    <w:right w:val="none" w:sz="0" w:space="0" w:color="auto"/>
                  </w:divBdr>
                  <w:divsChild>
                    <w:div w:id="1295601089">
                      <w:marLeft w:val="0"/>
                      <w:marRight w:val="0"/>
                      <w:marTop w:val="0"/>
                      <w:marBottom w:val="0"/>
                      <w:divBdr>
                        <w:top w:val="none" w:sz="0" w:space="0" w:color="auto"/>
                        <w:left w:val="none" w:sz="0" w:space="0" w:color="auto"/>
                        <w:bottom w:val="none" w:sz="0" w:space="0" w:color="auto"/>
                        <w:right w:val="none" w:sz="0" w:space="0" w:color="auto"/>
                      </w:divBdr>
                    </w:div>
                  </w:divsChild>
                </w:div>
                <w:div w:id="333266190">
                  <w:marLeft w:val="0"/>
                  <w:marRight w:val="0"/>
                  <w:marTop w:val="0"/>
                  <w:marBottom w:val="0"/>
                  <w:divBdr>
                    <w:top w:val="none" w:sz="0" w:space="0" w:color="auto"/>
                    <w:left w:val="none" w:sz="0" w:space="0" w:color="auto"/>
                    <w:bottom w:val="none" w:sz="0" w:space="0" w:color="auto"/>
                    <w:right w:val="none" w:sz="0" w:space="0" w:color="auto"/>
                  </w:divBdr>
                  <w:divsChild>
                    <w:div w:id="1915359063">
                      <w:marLeft w:val="0"/>
                      <w:marRight w:val="0"/>
                      <w:marTop w:val="0"/>
                      <w:marBottom w:val="0"/>
                      <w:divBdr>
                        <w:top w:val="none" w:sz="0" w:space="0" w:color="auto"/>
                        <w:left w:val="none" w:sz="0" w:space="0" w:color="auto"/>
                        <w:bottom w:val="none" w:sz="0" w:space="0" w:color="auto"/>
                        <w:right w:val="none" w:sz="0" w:space="0" w:color="auto"/>
                      </w:divBdr>
                    </w:div>
                  </w:divsChild>
                </w:div>
                <w:div w:id="345446455">
                  <w:marLeft w:val="0"/>
                  <w:marRight w:val="0"/>
                  <w:marTop w:val="0"/>
                  <w:marBottom w:val="0"/>
                  <w:divBdr>
                    <w:top w:val="none" w:sz="0" w:space="0" w:color="auto"/>
                    <w:left w:val="none" w:sz="0" w:space="0" w:color="auto"/>
                    <w:bottom w:val="none" w:sz="0" w:space="0" w:color="auto"/>
                    <w:right w:val="none" w:sz="0" w:space="0" w:color="auto"/>
                  </w:divBdr>
                  <w:divsChild>
                    <w:div w:id="495539904">
                      <w:marLeft w:val="0"/>
                      <w:marRight w:val="0"/>
                      <w:marTop w:val="0"/>
                      <w:marBottom w:val="0"/>
                      <w:divBdr>
                        <w:top w:val="none" w:sz="0" w:space="0" w:color="auto"/>
                        <w:left w:val="none" w:sz="0" w:space="0" w:color="auto"/>
                        <w:bottom w:val="none" w:sz="0" w:space="0" w:color="auto"/>
                        <w:right w:val="none" w:sz="0" w:space="0" w:color="auto"/>
                      </w:divBdr>
                    </w:div>
                  </w:divsChild>
                </w:div>
                <w:div w:id="354812973">
                  <w:marLeft w:val="0"/>
                  <w:marRight w:val="0"/>
                  <w:marTop w:val="0"/>
                  <w:marBottom w:val="0"/>
                  <w:divBdr>
                    <w:top w:val="none" w:sz="0" w:space="0" w:color="auto"/>
                    <w:left w:val="none" w:sz="0" w:space="0" w:color="auto"/>
                    <w:bottom w:val="none" w:sz="0" w:space="0" w:color="auto"/>
                    <w:right w:val="none" w:sz="0" w:space="0" w:color="auto"/>
                  </w:divBdr>
                  <w:divsChild>
                    <w:div w:id="1125540324">
                      <w:marLeft w:val="0"/>
                      <w:marRight w:val="0"/>
                      <w:marTop w:val="0"/>
                      <w:marBottom w:val="0"/>
                      <w:divBdr>
                        <w:top w:val="none" w:sz="0" w:space="0" w:color="auto"/>
                        <w:left w:val="none" w:sz="0" w:space="0" w:color="auto"/>
                        <w:bottom w:val="none" w:sz="0" w:space="0" w:color="auto"/>
                        <w:right w:val="none" w:sz="0" w:space="0" w:color="auto"/>
                      </w:divBdr>
                    </w:div>
                  </w:divsChild>
                </w:div>
                <w:div w:id="360866087">
                  <w:marLeft w:val="0"/>
                  <w:marRight w:val="0"/>
                  <w:marTop w:val="0"/>
                  <w:marBottom w:val="0"/>
                  <w:divBdr>
                    <w:top w:val="none" w:sz="0" w:space="0" w:color="auto"/>
                    <w:left w:val="none" w:sz="0" w:space="0" w:color="auto"/>
                    <w:bottom w:val="none" w:sz="0" w:space="0" w:color="auto"/>
                    <w:right w:val="none" w:sz="0" w:space="0" w:color="auto"/>
                  </w:divBdr>
                  <w:divsChild>
                    <w:div w:id="1185023924">
                      <w:marLeft w:val="0"/>
                      <w:marRight w:val="0"/>
                      <w:marTop w:val="0"/>
                      <w:marBottom w:val="0"/>
                      <w:divBdr>
                        <w:top w:val="none" w:sz="0" w:space="0" w:color="auto"/>
                        <w:left w:val="none" w:sz="0" w:space="0" w:color="auto"/>
                        <w:bottom w:val="none" w:sz="0" w:space="0" w:color="auto"/>
                        <w:right w:val="none" w:sz="0" w:space="0" w:color="auto"/>
                      </w:divBdr>
                    </w:div>
                  </w:divsChild>
                </w:div>
                <w:div w:id="371807918">
                  <w:marLeft w:val="0"/>
                  <w:marRight w:val="0"/>
                  <w:marTop w:val="0"/>
                  <w:marBottom w:val="0"/>
                  <w:divBdr>
                    <w:top w:val="none" w:sz="0" w:space="0" w:color="auto"/>
                    <w:left w:val="none" w:sz="0" w:space="0" w:color="auto"/>
                    <w:bottom w:val="none" w:sz="0" w:space="0" w:color="auto"/>
                    <w:right w:val="none" w:sz="0" w:space="0" w:color="auto"/>
                  </w:divBdr>
                  <w:divsChild>
                    <w:div w:id="1441023535">
                      <w:marLeft w:val="0"/>
                      <w:marRight w:val="0"/>
                      <w:marTop w:val="0"/>
                      <w:marBottom w:val="0"/>
                      <w:divBdr>
                        <w:top w:val="none" w:sz="0" w:space="0" w:color="auto"/>
                        <w:left w:val="none" w:sz="0" w:space="0" w:color="auto"/>
                        <w:bottom w:val="none" w:sz="0" w:space="0" w:color="auto"/>
                        <w:right w:val="none" w:sz="0" w:space="0" w:color="auto"/>
                      </w:divBdr>
                    </w:div>
                  </w:divsChild>
                </w:div>
                <w:div w:id="382944480">
                  <w:marLeft w:val="0"/>
                  <w:marRight w:val="0"/>
                  <w:marTop w:val="0"/>
                  <w:marBottom w:val="0"/>
                  <w:divBdr>
                    <w:top w:val="none" w:sz="0" w:space="0" w:color="auto"/>
                    <w:left w:val="none" w:sz="0" w:space="0" w:color="auto"/>
                    <w:bottom w:val="none" w:sz="0" w:space="0" w:color="auto"/>
                    <w:right w:val="none" w:sz="0" w:space="0" w:color="auto"/>
                  </w:divBdr>
                  <w:divsChild>
                    <w:div w:id="926890045">
                      <w:marLeft w:val="0"/>
                      <w:marRight w:val="0"/>
                      <w:marTop w:val="0"/>
                      <w:marBottom w:val="0"/>
                      <w:divBdr>
                        <w:top w:val="none" w:sz="0" w:space="0" w:color="auto"/>
                        <w:left w:val="none" w:sz="0" w:space="0" w:color="auto"/>
                        <w:bottom w:val="none" w:sz="0" w:space="0" w:color="auto"/>
                        <w:right w:val="none" w:sz="0" w:space="0" w:color="auto"/>
                      </w:divBdr>
                    </w:div>
                  </w:divsChild>
                </w:div>
                <w:div w:id="385572465">
                  <w:marLeft w:val="0"/>
                  <w:marRight w:val="0"/>
                  <w:marTop w:val="0"/>
                  <w:marBottom w:val="0"/>
                  <w:divBdr>
                    <w:top w:val="none" w:sz="0" w:space="0" w:color="auto"/>
                    <w:left w:val="none" w:sz="0" w:space="0" w:color="auto"/>
                    <w:bottom w:val="none" w:sz="0" w:space="0" w:color="auto"/>
                    <w:right w:val="none" w:sz="0" w:space="0" w:color="auto"/>
                  </w:divBdr>
                  <w:divsChild>
                    <w:div w:id="1783956571">
                      <w:marLeft w:val="0"/>
                      <w:marRight w:val="0"/>
                      <w:marTop w:val="0"/>
                      <w:marBottom w:val="0"/>
                      <w:divBdr>
                        <w:top w:val="none" w:sz="0" w:space="0" w:color="auto"/>
                        <w:left w:val="none" w:sz="0" w:space="0" w:color="auto"/>
                        <w:bottom w:val="none" w:sz="0" w:space="0" w:color="auto"/>
                        <w:right w:val="none" w:sz="0" w:space="0" w:color="auto"/>
                      </w:divBdr>
                    </w:div>
                  </w:divsChild>
                </w:div>
                <w:div w:id="403573423">
                  <w:marLeft w:val="0"/>
                  <w:marRight w:val="0"/>
                  <w:marTop w:val="0"/>
                  <w:marBottom w:val="0"/>
                  <w:divBdr>
                    <w:top w:val="none" w:sz="0" w:space="0" w:color="auto"/>
                    <w:left w:val="none" w:sz="0" w:space="0" w:color="auto"/>
                    <w:bottom w:val="none" w:sz="0" w:space="0" w:color="auto"/>
                    <w:right w:val="none" w:sz="0" w:space="0" w:color="auto"/>
                  </w:divBdr>
                  <w:divsChild>
                    <w:div w:id="174997843">
                      <w:marLeft w:val="0"/>
                      <w:marRight w:val="0"/>
                      <w:marTop w:val="0"/>
                      <w:marBottom w:val="0"/>
                      <w:divBdr>
                        <w:top w:val="none" w:sz="0" w:space="0" w:color="auto"/>
                        <w:left w:val="none" w:sz="0" w:space="0" w:color="auto"/>
                        <w:bottom w:val="none" w:sz="0" w:space="0" w:color="auto"/>
                        <w:right w:val="none" w:sz="0" w:space="0" w:color="auto"/>
                      </w:divBdr>
                    </w:div>
                  </w:divsChild>
                </w:div>
                <w:div w:id="422917546">
                  <w:marLeft w:val="0"/>
                  <w:marRight w:val="0"/>
                  <w:marTop w:val="0"/>
                  <w:marBottom w:val="0"/>
                  <w:divBdr>
                    <w:top w:val="none" w:sz="0" w:space="0" w:color="auto"/>
                    <w:left w:val="none" w:sz="0" w:space="0" w:color="auto"/>
                    <w:bottom w:val="none" w:sz="0" w:space="0" w:color="auto"/>
                    <w:right w:val="none" w:sz="0" w:space="0" w:color="auto"/>
                  </w:divBdr>
                  <w:divsChild>
                    <w:div w:id="1270552258">
                      <w:marLeft w:val="0"/>
                      <w:marRight w:val="0"/>
                      <w:marTop w:val="0"/>
                      <w:marBottom w:val="0"/>
                      <w:divBdr>
                        <w:top w:val="none" w:sz="0" w:space="0" w:color="auto"/>
                        <w:left w:val="none" w:sz="0" w:space="0" w:color="auto"/>
                        <w:bottom w:val="none" w:sz="0" w:space="0" w:color="auto"/>
                        <w:right w:val="none" w:sz="0" w:space="0" w:color="auto"/>
                      </w:divBdr>
                    </w:div>
                  </w:divsChild>
                </w:div>
                <w:div w:id="423384463">
                  <w:marLeft w:val="0"/>
                  <w:marRight w:val="0"/>
                  <w:marTop w:val="0"/>
                  <w:marBottom w:val="0"/>
                  <w:divBdr>
                    <w:top w:val="none" w:sz="0" w:space="0" w:color="auto"/>
                    <w:left w:val="none" w:sz="0" w:space="0" w:color="auto"/>
                    <w:bottom w:val="none" w:sz="0" w:space="0" w:color="auto"/>
                    <w:right w:val="none" w:sz="0" w:space="0" w:color="auto"/>
                  </w:divBdr>
                  <w:divsChild>
                    <w:div w:id="362901232">
                      <w:marLeft w:val="0"/>
                      <w:marRight w:val="0"/>
                      <w:marTop w:val="0"/>
                      <w:marBottom w:val="0"/>
                      <w:divBdr>
                        <w:top w:val="none" w:sz="0" w:space="0" w:color="auto"/>
                        <w:left w:val="none" w:sz="0" w:space="0" w:color="auto"/>
                        <w:bottom w:val="none" w:sz="0" w:space="0" w:color="auto"/>
                        <w:right w:val="none" w:sz="0" w:space="0" w:color="auto"/>
                      </w:divBdr>
                    </w:div>
                  </w:divsChild>
                </w:div>
                <w:div w:id="443576550">
                  <w:marLeft w:val="0"/>
                  <w:marRight w:val="0"/>
                  <w:marTop w:val="0"/>
                  <w:marBottom w:val="0"/>
                  <w:divBdr>
                    <w:top w:val="none" w:sz="0" w:space="0" w:color="auto"/>
                    <w:left w:val="none" w:sz="0" w:space="0" w:color="auto"/>
                    <w:bottom w:val="none" w:sz="0" w:space="0" w:color="auto"/>
                    <w:right w:val="none" w:sz="0" w:space="0" w:color="auto"/>
                  </w:divBdr>
                  <w:divsChild>
                    <w:div w:id="597324745">
                      <w:marLeft w:val="0"/>
                      <w:marRight w:val="0"/>
                      <w:marTop w:val="0"/>
                      <w:marBottom w:val="0"/>
                      <w:divBdr>
                        <w:top w:val="none" w:sz="0" w:space="0" w:color="auto"/>
                        <w:left w:val="none" w:sz="0" w:space="0" w:color="auto"/>
                        <w:bottom w:val="none" w:sz="0" w:space="0" w:color="auto"/>
                        <w:right w:val="none" w:sz="0" w:space="0" w:color="auto"/>
                      </w:divBdr>
                    </w:div>
                  </w:divsChild>
                </w:div>
                <w:div w:id="461390802">
                  <w:marLeft w:val="0"/>
                  <w:marRight w:val="0"/>
                  <w:marTop w:val="0"/>
                  <w:marBottom w:val="0"/>
                  <w:divBdr>
                    <w:top w:val="none" w:sz="0" w:space="0" w:color="auto"/>
                    <w:left w:val="none" w:sz="0" w:space="0" w:color="auto"/>
                    <w:bottom w:val="none" w:sz="0" w:space="0" w:color="auto"/>
                    <w:right w:val="none" w:sz="0" w:space="0" w:color="auto"/>
                  </w:divBdr>
                  <w:divsChild>
                    <w:div w:id="1217161301">
                      <w:marLeft w:val="0"/>
                      <w:marRight w:val="0"/>
                      <w:marTop w:val="0"/>
                      <w:marBottom w:val="0"/>
                      <w:divBdr>
                        <w:top w:val="none" w:sz="0" w:space="0" w:color="auto"/>
                        <w:left w:val="none" w:sz="0" w:space="0" w:color="auto"/>
                        <w:bottom w:val="none" w:sz="0" w:space="0" w:color="auto"/>
                        <w:right w:val="none" w:sz="0" w:space="0" w:color="auto"/>
                      </w:divBdr>
                    </w:div>
                  </w:divsChild>
                </w:div>
                <w:div w:id="482507153">
                  <w:marLeft w:val="0"/>
                  <w:marRight w:val="0"/>
                  <w:marTop w:val="0"/>
                  <w:marBottom w:val="0"/>
                  <w:divBdr>
                    <w:top w:val="none" w:sz="0" w:space="0" w:color="auto"/>
                    <w:left w:val="none" w:sz="0" w:space="0" w:color="auto"/>
                    <w:bottom w:val="none" w:sz="0" w:space="0" w:color="auto"/>
                    <w:right w:val="none" w:sz="0" w:space="0" w:color="auto"/>
                  </w:divBdr>
                  <w:divsChild>
                    <w:div w:id="1675381556">
                      <w:marLeft w:val="0"/>
                      <w:marRight w:val="0"/>
                      <w:marTop w:val="0"/>
                      <w:marBottom w:val="0"/>
                      <w:divBdr>
                        <w:top w:val="none" w:sz="0" w:space="0" w:color="auto"/>
                        <w:left w:val="none" w:sz="0" w:space="0" w:color="auto"/>
                        <w:bottom w:val="none" w:sz="0" w:space="0" w:color="auto"/>
                        <w:right w:val="none" w:sz="0" w:space="0" w:color="auto"/>
                      </w:divBdr>
                    </w:div>
                  </w:divsChild>
                </w:div>
                <w:div w:id="487481630">
                  <w:marLeft w:val="0"/>
                  <w:marRight w:val="0"/>
                  <w:marTop w:val="0"/>
                  <w:marBottom w:val="0"/>
                  <w:divBdr>
                    <w:top w:val="none" w:sz="0" w:space="0" w:color="auto"/>
                    <w:left w:val="none" w:sz="0" w:space="0" w:color="auto"/>
                    <w:bottom w:val="none" w:sz="0" w:space="0" w:color="auto"/>
                    <w:right w:val="none" w:sz="0" w:space="0" w:color="auto"/>
                  </w:divBdr>
                  <w:divsChild>
                    <w:div w:id="1270510337">
                      <w:marLeft w:val="0"/>
                      <w:marRight w:val="0"/>
                      <w:marTop w:val="0"/>
                      <w:marBottom w:val="0"/>
                      <w:divBdr>
                        <w:top w:val="none" w:sz="0" w:space="0" w:color="auto"/>
                        <w:left w:val="none" w:sz="0" w:space="0" w:color="auto"/>
                        <w:bottom w:val="none" w:sz="0" w:space="0" w:color="auto"/>
                        <w:right w:val="none" w:sz="0" w:space="0" w:color="auto"/>
                      </w:divBdr>
                    </w:div>
                  </w:divsChild>
                </w:div>
                <w:div w:id="500241826">
                  <w:marLeft w:val="0"/>
                  <w:marRight w:val="0"/>
                  <w:marTop w:val="0"/>
                  <w:marBottom w:val="0"/>
                  <w:divBdr>
                    <w:top w:val="none" w:sz="0" w:space="0" w:color="auto"/>
                    <w:left w:val="none" w:sz="0" w:space="0" w:color="auto"/>
                    <w:bottom w:val="none" w:sz="0" w:space="0" w:color="auto"/>
                    <w:right w:val="none" w:sz="0" w:space="0" w:color="auto"/>
                  </w:divBdr>
                  <w:divsChild>
                    <w:div w:id="360740349">
                      <w:marLeft w:val="0"/>
                      <w:marRight w:val="0"/>
                      <w:marTop w:val="0"/>
                      <w:marBottom w:val="0"/>
                      <w:divBdr>
                        <w:top w:val="none" w:sz="0" w:space="0" w:color="auto"/>
                        <w:left w:val="none" w:sz="0" w:space="0" w:color="auto"/>
                        <w:bottom w:val="none" w:sz="0" w:space="0" w:color="auto"/>
                        <w:right w:val="none" w:sz="0" w:space="0" w:color="auto"/>
                      </w:divBdr>
                    </w:div>
                  </w:divsChild>
                </w:div>
                <w:div w:id="516504699">
                  <w:marLeft w:val="0"/>
                  <w:marRight w:val="0"/>
                  <w:marTop w:val="0"/>
                  <w:marBottom w:val="0"/>
                  <w:divBdr>
                    <w:top w:val="none" w:sz="0" w:space="0" w:color="auto"/>
                    <w:left w:val="none" w:sz="0" w:space="0" w:color="auto"/>
                    <w:bottom w:val="none" w:sz="0" w:space="0" w:color="auto"/>
                    <w:right w:val="none" w:sz="0" w:space="0" w:color="auto"/>
                  </w:divBdr>
                  <w:divsChild>
                    <w:div w:id="292366403">
                      <w:marLeft w:val="0"/>
                      <w:marRight w:val="0"/>
                      <w:marTop w:val="0"/>
                      <w:marBottom w:val="0"/>
                      <w:divBdr>
                        <w:top w:val="none" w:sz="0" w:space="0" w:color="auto"/>
                        <w:left w:val="none" w:sz="0" w:space="0" w:color="auto"/>
                        <w:bottom w:val="none" w:sz="0" w:space="0" w:color="auto"/>
                        <w:right w:val="none" w:sz="0" w:space="0" w:color="auto"/>
                      </w:divBdr>
                    </w:div>
                  </w:divsChild>
                </w:div>
                <w:div w:id="523204241">
                  <w:marLeft w:val="0"/>
                  <w:marRight w:val="0"/>
                  <w:marTop w:val="0"/>
                  <w:marBottom w:val="0"/>
                  <w:divBdr>
                    <w:top w:val="none" w:sz="0" w:space="0" w:color="auto"/>
                    <w:left w:val="none" w:sz="0" w:space="0" w:color="auto"/>
                    <w:bottom w:val="none" w:sz="0" w:space="0" w:color="auto"/>
                    <w:right w:val="none" w:sz="0" w:space="0" w:color="auto"/>
                  </w:divBdr>
                  <w:divsChild>
                    <w:div w:id="41829378">
                      <w:marLeft w:val="0"/>
                      <w:marRight w:val="0"/>
                      <w:marTop w:val="0"/>
                      <w:marBottom w:val="0"/>
                      <w:divBdr>
                        <w:top w:val="none" w:sz="0" w:space="0" w:color="auto"/>
                        <w:left w:val="none" w:sz="0" w:space="0" w:color="auto"/>
                        <w:bottom w:val="none" w:sz="0" w:space="0" w:color="auto"/>
                        <w:right w:val="none" w:sz="0" w:space="0" w:color="auto"/>
                      </w:divBdr>
                    </w:div>
                  </w:divsChild>
                </w:div>
                <w:div w:id="524363564">
                  <w:marLeft w:val="0"/>
                  <w:marRight w:val="0"/>
                  <w:marTop w:val="0"/>
                  <w:marBottom w:val="0"/>
                  <w:divBdr>
                    <w:top w:val="none" w:sz="0" w:space="0" w:color="auto"/>
                    <w:left w:val="none" w:sz="0" w:space="0" w:color="auto"/>
                    <w:bottom w:val="none" w:sz="0" w:space="0" w:color="auto"/>
                    <w:right w:val="none" w:sz="0" w:space="0" w:color="auto"/>
                  </w:divBdr>
                  <w:divsChild>
                    <w:div w:id="786853743">
                      <w:marLeft w:val="0"/>
                      <w:marRight w:val="0"/>
                      <w:marTop w:val="0"/>
                      <w:marBottom w:val="0"/>
                      <w:divBdr>
                        <w:top w:val="none" w:sz="0" w:space="0" w:color="auto"/>
                        <w:left w:val="none" w:sz="0" w:space="0" w:color="auto"/>
                        <w:bottom w:val="none" w:sz="0" w:space="0" w:color="auto"/>
                        <w:right w:val="none" w:sz="0" w:space="0" w:color="auto"/>
                      </w:divBdr>
                    </w:div>
                  </w:divsChild>
                </w:div>
                <w:div w:id="530918996">
                  <w:marLeft w:val="0"/>
                  <w:marRight w:val="0"/>
                  <w:marTop w:val="0"/>
                  <w:marBottom w:val="0"/>
                  <w:divBdr>
                    <w:top w:val="none" w:sz="0" w:space="0" w:color="auto"/>
                    <w:left w:val="none" w:sz="0" w:space="0" w:color="auto"/>
                    <w:bottom w:val="none" w:sz="0" w:space="0" w:color="auto"/>
                    <w:right w:val="none" w:sz="0" w:space="0" w:color="auto"/>
                  </w:divBdr>
                  <w:divsChild>
                    <w:div w:id="1076055383">
                      <w:marLeft w:val="0"/>
                      <w:marRight w:val="0"/>
                      <w:marTop w:val="0"/>
                      <w:marBottom w:val="0"/>
                      <w:divBdr>
                        <w:top w:val="none" w:sz="0" w:space="0" w:color="auto"/>
                        <w:left w:val="none" w:sz="0" w:space="0" w:color="auto"/>
                        <w:bottom w:val="none" w:sz="0" w:space="0" w:color="auto"/>
                        <w:right w:val="none" w:sz="0" w:space="0" w:color="auto"/>
                      </w:divBdr>
                    </w:div>
                  </w:divsChild>
                </w:div>
                <w:div w:id="548155257">
                  <w:marLeft w:val="0"/>
                  <w:marRight w:val="0"/>
                  <w:marTop w:val="0"/>
                  <w:marBottom w:val="0"/>
                  <w:divBdr>
                    <w:top w:val="none" w:sz="0" w:space="0" w:color="auto"/>
                    <w:left w:val="none" w:sz="0" w:space="0" w:color="auto"/>
                    <w:bottom w:val="none" w:sz="0" w:space="0" w:color="auto"/>
                    <w:right w:val="none" w:sz="0" w:space="0" w:color="auto"/>
                  </w:divBdr>
                  <w:divsChild>
                    <w:div w:id="254293280">
                      <w:marLeft w:val="0"/>
                      <w:marRight w:val="0"/>
                      <w:marTop w:val="0"/>
                      <w:marBottom w:val="0"/>
                      <w:divBdr>
                        <w:top w:val="none" w:sz="0" w:space="0" w:color="auto"/>
                        <w:left w:val="none" w:sz="0" w:space="0" w:color="auto"/>
                        <w:bottom w:val="none" w:sz="0" w:space="0" w:color="auto"/>
                        <w:right w:val="none" w:sz="0" w:space="0" w:color="auto"/>
                      </w:divBdr>
                    </w:div>
                  </w:divsChild>
                </w:div>
                <w:div w:id="618411207">
                  <w:marLeft w:val="0"/>
                  <w:marRight w:val="0"/>
                  <w:marTop w:val="0"/>
                  <w:marBottom w:val="0"/>
                  <w:divBdr>
                    <w:top w:val="none" w:sz="0" w:space="0" w:color="auto"/>
                    <w:left w:val="none" w:sz="0" w:space="0" w:color="auto"/>
                    <w:bottom w:val="none" w:sz="0" w:space="0" w:color="auto"/>
                    <w:right w:val="none" w:sz="0" w:space="0" w:color="auto"/>
                  </w:divBdr>
                  <w:divsChild>
                    <w:div w:id="1289436395">
                      <w:marLeft w:val="0"/>
                      <w:marRight w:val="0"/>
                      <w:marTop w:val="0"/>
                      <w:marBottom w:val="0"/>
                      <w:divBdr>
                        <w:top w:val="none" w:sz="0" w:space="0" w:color="auto"/>
                        <w:left w:val="none" w:sz="0" w:space="0" w:color="auto"/>
                        <w:bottom w:val="none" w:sz="0" w:space="0" w:color="auto"/>
                        <w:right w:val="none" w:sz="0" w:space="0" w:color="auto"/>
                      </w:divBdr>
                    </w:div>
                  </w:divsChild>
                </w:div>
                <w:div w:id="629363713">
                  <w:marLeft w:val="0"/>
                  <w:marRight w:val="0"/>
                  <w:marTop w:val="0"/>
                  <w:marBottom w:val="0"/>
                  <w:divBdr>
                    <w:top w:val="none" w:sz="0" w:space="0" w:color="auto"/>
                    <w:left w:val="none" w:sz="0" w:space="0" w:color="auto"/>
                    <w:bottom w:val="none" w:sz="0" w:space="0" w:color="auto"/>
                    <w:right w:val="none" w:sz="0" w:space="0" w:color="auto"/>
                  </w:divBdr>
                  <w:divsChild>
                    <w:div w:id="630210912">
                      <w:marLeft w:val="0"/>
                      <w:marRight w:val="0"/>
                      <w:marTop w:val="0"/>
                      <w:marBottom w:val="0"/>
                      <w:divBdr>
                        <w:top w:val="none" w:sz="0" w:space="0" w:color="auto"/>
                        <w:left w:val="none" w:sz="0" w:space="0" w:color="auto"/>
                        <w:bottom w:val="none" w:sz="0" w:space="0" w:color="auto"/>
                        <w:right w:val="none" w:sz="0" w:space="0" w:color="auto"/>
                      </w:divBdr>
                    </w:div>
                  </w:divsChild>
                </w:div>
                <w:div w:id="634608460">
                  <w:marLeft w:val="0"/>
                  <w:marRight w:val="0"/>
                  <w:marTop w:val="0"/>
                  <w:marBottom w:val="0"/>
                  <w:divBdr>
                    <w:top w:val="none" w:sz="0" w:space="0" w:color="auto"/>
                    <w:left w:val="none" w:sz="0" w:space="0" w:color="auto"/>
                    <w:bottom w:val="none" w:sz="0" w:space="0" w:color="auto"/>
                    <w:right w:val="none" w:sz="0" w:space="0" w:color="auto"/>
                  </w:divBdr>
                  <w:divsChild>
                    <w:div w:id="1315988798">
                      <w:marLeft w:val="0"/>
                      <w:marRight w:val="0"/>
                      <w:marTop w:val="0"/>
                      <w:marBottom w:val="0"/>
                      <w:divBdr>
                        <w:top w:val="none" w:sz="0" w:space="0" w:color="auto"/>
                        <w:left w:val="none" w:sz="0" w:space="0" w:color="auto"/>
                        <w:bottom w:val="none" w:sz="0" w:space="0" w:color="auto"/>
                        <w:right w:val="none" w:sz="0" w:space="0" w:color="auto"/>
                      </w:divBdr>
                    </w:div>
                  </w:divsChild>
                </w:div>
                <w:div w:id="638877375">
                  <w:marLeft w:val="0"/>
                  <w:marRight w:val="0"/>
                  <w:marTop w:val="0"/>
                  <w:marBottom w:val="0"/>
                  <w:divBdr>
                    <w:top w:val="none" w:sz="0" w:space="0" w:color="auto"/>
                    <w:left w:val="none" w:sz="0" w:space="0" w:color="auto"/>
                    <w:bottom w:val="none" w:sz="0" w:space="0" w:color="auto"/>
                    <w:right w:val="none" w:sz="0" w:space="0" w:color="auto"/>
                  </w:divBdr>
                  <w:divsChild>
                    <w:div w:id="920020566">
                      <w:marLeft w:val="0"/>
                      <w:marRight w:val="0"/>
                      <w:marTop w:val="0"/>
                      <w:marBottom w:val="0"/>
                      <w:divBdr>
                        <w:top w:val="none" w:sz="0" w:space="0" w:color="auto"/>
                        <w:left w:val="none" w:sz="0" w:space="0" w:color="auto"/>
                        <w:bottom w:val="none" w:sz="0" w:space="0" w:color="auto"/>
                        <w:right w:val="none" w:sz="0" w:space="0" w:color="auto"/>
                      </w:divBdr>
                    </w:div>
                  </w:divsChild>
                </w:div>
                <w:div w:id="642124125">
                  <w:marLeft w:val="0"/>
                  <w:marRight w:val="0"/>
                  <w:marTop w:val="0"/>
                  <w:marBottom w:val="0"/>
                  <w:divBdr>
                    <w:top w:val="none" w:sz="0" w:space="0" w:color="auto"/>
                    <w:left w:val="none" w:sz="0" w:space="0" w:color="auto"/>
                    <w:bottom w:val="none" w:sz="0" w:space="0" w:color="auto"/>
                    <w:right w:val="none" w:sz="0" w:space="0" w:color="auto"/>
                  </w:divBdr>
                  <w:divsChild>
                    <w:div w:id="1556158116">
                      <w:marLeft w:val="0"/>
                      <w:marRight w:val="0"/>
                      <w:marTop w:val="0"/>
                      <w:marBottom w:val="0"/>
                      <w:divBdr>
                        <w:top w:val="none" w:sz="0" w:space="0" w:color="auto"/>
                        <w:left w:val="none" w:sz="0" w:space="0" w:color="auto"/>
                        <w:bottom w:val="none" w:sz="0" w:space="0" w:color="auto"/>
                        <w:right w:val="none" w:sz="0" w:space="0" w:color="auto"/>
                      </w:divBdr>
                    </w:div>
                  </w:divsChild>
                </w:div>
                <w:div w:id="653335323">
                  <w:marLeft w:val="0"/>
                  <w:marRight w:val="0"/>
                  <w:marTop w:val="0"/>
                  <w:marBottom w:val="0"/>
                  <w:divBdr>
                    <w:top w:val="none" w:sz="0" w:space="0" w:color="auto"/>
                    <w:left w:val="none" w:sz="0" w:space="0" w:color="auto"/>
                    <w:bottom w:val="none" w:sz="0" w:space="0" w:color="auto"/>
                    <w:right w:val="none" w:sz="0" w:space="0" w:color="auto"/>
                  </w:divBdr>
                  <w:divsChild>
                    <w:div w:id="1535577330">
                      <w:marLeft w:val="0"/>
                      <w:marRight w:val="0"/>
                      <w:marTop w:val="0"/>
                      <w:marBottom w:val="0"/>
                      <w:divBdr>
                        <w:top w:val="none" w:sz="0" w:space="0" w:color="auto"/>
                        <w:left w:val="none" w:sz="0" w:space="0" w:color="auto"/>
                        <w:bottom w:val="none" w:sz="0" w:space="0" w:color="auto"/>
                        <w:right w:val="none" w:sz="0" w:space="0" w:color="auto"/>
                      </w:divBdr>
                    </w:div>
                  </w:divsChild>
                </w:div>
                <w:div w:id="656306133">
                  <w:marLeft w:val="0"/>
                  <w:marRight w:val="0"/>
                  <w:marTop w:val="0"/>
                  <w:marBottom w:val="0"/>
                  <w:divBdr>
                    <w:top w:val="none" w:sz="0" w:space="0" w:color="auto"/>
                    <w:left w:val="none" w:sz="0" w:space="0" w:color="auto"/>
                    <w:bottom w:val="none" w:sz="0" w:space="0" w:color="auto"/>
                    <w:right w:val="none" w:sz="0" w:space="0" w:color="auto"/>
                  </w:divBdr>
                  <w:divsChild>
                    <w:div w:id="571736065">
                      <w:marLeft w:val="0"/>
                      <w:marRight w:val="0"/>
                      <w:marTop w:val="0"/>
                      <w:marBottom w:val="0"/>
                      <w:divBdr>
                        <w:top w:val="none" w:sz="0" w:space="0" w:color="auto"/>
                        <w:left w:val="none" w:sz="0" w:space="0" w:color="auto"/>
                        <w:bottom w:val="none" w:sz="0" w:space="0" w:color="auto"/>
                        <w:right w:val="none" w:sz="0" w:space="0" w:color="auto"/>
                      </w:divBdr>
                    </w:div>
                  </w:divsChild>
                </w:div>
                <w:div w:id="681278280">
                  <w:marLeft w:val="0"/>
                  <w:marRight w:val="0"/>
                  <w:marTop w:val="0"/>
                  <w:marBottom w:val="0"/>
                  <w:divBdr>
                    <w:top w:val="none" w:sz="0" w:space="0" w:color="auto"/>
                    <w:left w:val="none" w:sz="0" w:space="0" w:color="auto"/>
                    <w:bottom w:val="none" w:sz="0" w:space="0" w:color="auto"/>
                    <w:right w:val="none" w:sz="0" w:space="0" w:color="auto"/>
                  </w:divBdr>
                  <w:divsChild>
                    <w:div w:id="195705524">
                      <w:marLeft w:val="0"/>
                      <w:marRight w:val="0"/>
                      <w:marTop w:val="0"/>
                      <w:marBottom w:val="0"/>
                      <w:divBdr>
                        <w:top w:val="none" w:sz="0" w:space="0" w:color="auto"/>
                        <w:left w:val="none" w:sz="0" w:space="0" w:color="auto"/>
                        <w:bottom w:val="none" w:sz="0" w:space="0" w:color="auto"/>
                        <w:right w:val="none" w:sz="0" w:space="0" w:color="auto"/>
                      </w:divBdr>
                    </w:div>
                  </w:divsChild>
                </w:div>
                <w:div w:id="685640343">
                  <w:marLeft w:val="0"/>
                  <w:marRight w:val="0"/>
                  <w:marTop w:val="0"/>
                  <w:marBottom w:val="0"/>
                  <w:divBdr>
                    <w:top w:val="none" w:sz="0" w:space="0" w:color="auto"/>
                    <w:left w:val="none" w:sz="0" w:space="0" w:color="auto"/>
                    <w:bottom w:val="none" w:sz="0" w:space="0" w:color="auto"/>
                    <w:right w:val="none" w:sz="0" w:space="0" w:color="auto"/>
                  </w:divBdr>
                  <w:divsChild>
                    <w:div w:id="968390318">
                      <w:marLeft w:val="0"/>
                      <w:marRight w:val="0"/>
                      <w:marTop w:val="0"/>
                      <w:marBottom w:val="0"/>
                      <w:divBdr>
                        <w:top w:val="none" w:sz="0" w:space="0" w:color="auto"/>
                        <w:left w:val="none" w:sz="0" w:space="0" w:color="auto"/>
                        <w:bottom w:val="none" w:sz="0" w:space="0" w:color="auto"/>
                        <w:right w:val="none" w:sz="0" w:space="0" w:color="auto"/>
                      </w:divBdr>
                    </w:div>
                  </w:divsChild>
                </w:div>
                <w:div w:id="689334797">
                  <w:marLeft w:val="0"/>
                  <w:marRight w:val="0"/>
                  <w:marTop w:val="0"/>
                  <w:marBottom w:val="0"/>
                  <w:divBdr>
                    <w:top w:val="none" w:sz="0" w:space="0" w:color="auto"/>
                    <w:left w:val="none" w:sz="0" w:space="0" w:color="auto"/>
                    <w:bottom w:val="none" w:sz="0" w:space="0" w:color="auto"/>
                    <w:right w:val="none" w:sz="0" w:space="0" w:color="auto"/>
                  </w:divBdr>
                  <w:divsChild>
                    <w:div w:id="920873389">
                      <w:marLeft w:val="0"/>
                      <w:marRight w:val="0"/>
                      <w:marTop w:val="0"/>
                      <w:marBottom w:val="0"/>
                      <w:divBdr>
                        <w:top w:val="none" w:sz="0" w:space="0" w:color="auto"/>
                        <w:left w:val="none" w:sz="0" w:space="0" w:color="auto"/>
                        <w:bottom w:val="none" w:sz="0" w:space="0" w:color="auto"/>
                        <w:right w:val="none" w:sz="0" w:space="0" w:color="auto"/>
                      </w:divBdr>
                    </w:div>
                  </w:divsChild>
                </w:div>
                <w:div w:id="706416641">
                  <w:marLeft w:val="0"/>
                  <w:marRight w:val="0"/>
                  <w:marTop w:val="0"/>
                  <w:marBottom w:val="0"/>
                  <w:divBdr>
                    <w:top w:val="none" w:sz="0" w:space="0" w:color="auto"/>
                    <w:left w:val="none" w:sz="0" w:space="0" w:color="auto"/>
                    <w:bottom w:val="none" w:sz="0" w:space="0" w:color="auto"/>
                    <w:right w:val="none" w:sz="0" w:space="0" w:color="auto"/>
                  </w:divBdr>
                  <w:divsChild>
                    <w:div w:id="388842071">
                      <w:marLeft w:val="0"/>
                      <w:marRight w:val="0"/>
                      <w:marTop w:val="0"/>
                      <w:marBottom w:val="0"/>
                      <w:divBdr>
                        <w:top w:val="none" w:sz="0" w:space="0" w:color="auto"/>
                        <w:left w:val="none" w:sz="0" w:space="0" w:color="auto"/>
                        <w:bottom w:val="none" w:sz="0" w:space="0" w:color="auto"/>
                        <w:right w:val="none" w:sz="0" w:space="0" w:color="auto"/>
                      </w:divBdr>
                    </w:div>
                  </w:divsChild>
                </w:div>
                <w:div w:id="713850069">
                  <w:marLeft w:val="0"/>
                  <w:marRight w:val="0"/>
                  <w:marTop w:val="0"/>
                  <w:marBottom w:val="0"/>
                  <w:divBdr>
                    <w:top w:val="none" w:sz="0" w:space="0" w:color="auto"/>
                    <w:left w:val="none" w:sz="0" w:space="0" w:color="auto"/>
                    <w:bottom w:val="none" w:sz="0" w:space="0" w:color="auto"/>
                    <w:right w:val="none" w:sz="0" w:space="0" w:color="auto"/>
                  </w:divBdr>
                  <w:divsChild>
                    <w:div w:id="298345230">
                      <w:marLeft w:val="0"/>
                      <w:marRight w:val="0"/>
                      <w:marTop w:val="0"/>
                      <w:marBottom w:val="0"/>
                      <w:divBdr>
                        <w:top w:val="none" w:sz="0" w:space="0" w:color="auto"/>
                        <w:left w:val="none" w:sz="0" w:space="0" w:color="auto"/>
                        <w:bottom w:val="none" w:sz="0" w:space="0" w:color="auto"/>
                        <w:right w:val="none" w:sz="0" w:space="0" w:color="auto"/>
                      </w:divBdr>
                    </w:div>
                  </w:divsChild>
                </w:div>
                <w:div w:id="718745878">
                  <w:marLeft w:val="0"/>
                  <w:marRight w:val="0"/>
                  <w:marTop w:val="0"/>
                  <w:marBottom w:val="0"/>
                  <w:divBdr>
                    <w:top w:val="none" w:sz="0" w:space="0" w:color="auto"/>
                    <w:left w:val="none" w:sz="0" w:space="0" w:color="auto"/>
                    <w:bottom w:val="none" w:sz="0" w:space="0" w:color="auto"/>
                    <w:right w:val="none" w:sz="0" w:space="0" w:color="auto"/>
                  </w:divBdr>
                  <w:divsChild>
                    <w:div w:id="688027077">
                      <w:marLeft w:val="0"/>
                      <w:marRight w:val="0"/>
                      <w:marTop w:val="0"/>
                      <w:marBottom w:val="0"/>
                      <w:divBdr>
                        <w:top w:val="none" w:sz="0" w:space="0" w:color="auto"/>
                        <w:left w:val="none" w:sz="0" w:space="0" w:color="auto"/>
                        <w:bottom w:val="none" w:sz="0" w:space="0" w:color="auto"/>
                        <w:right w:val="none" w:sz="0" w:space="0" w:color="auto"/>
                      </w:divBdr>
                    </w:div>
                  </w:divsChild>
                </w:div>
                <w:div w:id="723988613">
                  <w:marLeft w:val="0"/>
                  <w:marRight w:val="0"/>
                  <w:marTop w:val="0"/>
                  <w:marBottom w:val="0"/>
                  <w:divBdr>
                    <w:top w:val="none" w:sz="0" w:space="0" w:color="auto"/>
                    <w:left w:val="none" w:sz="0" w:space="0" w:color="auto"/>
                    <w:bottom w:val="none" w:sz="0" w:space="0" w:color="auto"/>
                    <w:right w:val="none" w:sz="0" w:space="0" w:color="auto"/>
                  </w:divBdr>
                  <w:divsChild>
                    <w:div w:id="1372415121">
                      <w:marLeft w:val="0"/>
                      <w:marRight w:val="0"/>
                      <w:marTop w:val="0"/>
                      <w:marBottom w:val="0"/>
                      <w:divBdr>
                        <w:top w:val="none" w:sz="0" w:space="0" w:color="auto"/>
                        <w:left w:val="none" w:sz="0" w:space="0" w:color="auto"/>
                        <w:bottom w:val="none" w:sz="0" w:space="0" w:color="auto"/>
                        <w:right w:val="none" w:sz="0" w:space="0" w:color="auto"/>
                      </w:divBdr>
                    </w:div>
                  </w:divsChild>
                </w:div>
                <w:div w:id="737283094">
                  <w:marLeft w:val="0"/>
                  <w:marRight w:val="0"/>
                  <w:marTop w:val="0"/>
                  <w:marBottom w:val="0"/>
                  <w:divBdr>
                    <w:top w:val="none" w:sz="0" w:space="0" w:color="auto"/>
                    <w:left w:val="none" w:sz="0" w:space="0" w:color="auto"/>
                    <w:bottom w:val="none" w:sz="0" w:space="0" w:color="auto"/>
                    <w:right w:val="none" w:sz="0" w:space="0" w:color="auto"/>
                  </w:divBdr>
                  <w:divsChild>
                    <w:div w:id="1286496921">
                      <w:marLeft w:val="0"/>
                      <w:marRight w:val="0"/>
                      <w:marTop w:val="0"/>
                      <w:marBottom w:val="0"/>
                      <w:divBdr>
                        <w:top w:val="none" w:sz="0" w:space="0" w:color="auto"/>
                        <w:left w:val="none" w:sz="0" w:space="0" w:color="auto"/>
                        <w:bottom w:val="none" w:sz="0" w:space="0" w:color="auto"/>
                        <w:right w:val="none" w:sz="0" w:space="0" w:color="auto"/>
                      </w:divBdr>
                    </w:div>
                  </w:divsChild>
                </w:div>
                <w:div w:id="740248966">
                  <w:marLeft w:val="0"/>
                  <w:marRight w:val="0"/>
                  <w:marTop w:val="0"/>
                  <w:marBottom w:val="0"/>
                  <w:divBdr>
                    <w:top w:val="none" w:sz="0" w:space="0" w:color="auto"/>
                    <w:left w:val="none" w:sz="0" w:space="0" w:color="auto"/>
                    <w:bottom w:val="none" w:sz="0" w:space="0" w:color="auto"/>
                    <w:right w:val="none" w:sz="0" w:space="0" w:color="auto"/>
                  </w:divBdr>
                  <w:divsChild>
                    <w:div w:id="1597857846">
                      <w:marLeft w:val="0"/>
                      <w:marRight w:val="0"/>
                      <w:marTop w:val="0"/>
                      <w:marBottom w:val="0"/>
                      <w:divBdr>
                        <w:top w:val="none" w:sz="0" w:space="0" w:color="auto"/>
                        <w:left w:val="none" w:sz="0" w:space="0" w:color="auto"/>
                        <w:bottom w:val="none" w:sz="0" w:space="0" w:color="auto"/>
                        <w:right w:val="none" w:sz="0" w:space="0" w:color="auto"/>
                      </w:divBdr>
                    </w:div>
                  </w:divsChild>
                </w:div>
                <w:div w:id="751197760">
                  <w:marLeft w:val="0"/>
                  <w:marRight w:val="0"/>
                  <w:marTop w:val="0"/>
                  <w:marBottom w:val="0"/>
                  <w:divBdr>
                    <w:top w:val="none" w:sz="0" w:space="0" w:color="auto"/>
                    <w:left w:val="none" w:sz="0" w:space="0" w:color="auto"/>
                    <w:bottom w:val="none" w:sz="0" w:space="0" w:color="auto"/>
                    <w:right w:val="none" w:sz="0" w:space="0" w:color="auto"/>
                  </w:divBdr>
                  <w:divsChild>
                    <w:div w:id="1366980971">
                      <w:marLeft w:val="0"/>
                      <w:marRight w:val="0"/>
                      <w:marTop w:val="0"/>
                      <w:marBottom w:val="0"/>
                      <w:divBdr>
                        <w:top w:val="none" w:sz="0" w:space="0" w:color="auto"/>
                        <w:left w:val="none" w:sz="0" w:space="0" w:color="auto"/>
                        <w:bottom w:val="none" w:sz="0" w:space="0" w:color="auto"/>
                        <w:right w:val="none" w:sz="0" w:space="0" w:color="auto"/>
                      </w:divBdr>
                    </w:div>
                  </w:divsChild>
                </w:div>
                <w:div w:id="753625912">
                  <w:marLeft w:val="0"/>
                  <w:marRight w:val="0"/>
                  <w:marTop w:val="0"/>
                  <w:marBottom w:val="0"/>
                  <w:divBdr>
                    <w:top w:val="none" w:sz="0" w:space="0" w:color="auto"/>
                    <w:left w:val="none" w:sz="0" w:space="0" w:color="auto"/>
                    <w:bottom w:val="none" w:sz="0" w:space="0" w:color="auto"/>
                    <w:right w:val="none" w:sz="0" w:space="0" w:color="auto"/>
                  </w:divBdr>
                  <w:divsChild>
                    <w:div w:id="1986623314">
                      <w:marLeft w:val="0"/>
                      <w:marRight w:val="0"/>
                      <w:marTop w:val="0"/>
                      <w:marBottom w:val="0"/>
                      <w:divBdr>
                        <w:top w:val="none" w:sz="0" w:space="0" w:color="auto"/>
                        <w:left w:val="none" w:sz="0" w:space="0" w:color="auto"/>
                        <w:bottom w:val="none" w:sz="0" w:space="0" w:color="auto"/>
                        <w:right w:val="none" w:sz="0" w:space="0" w:color="auto"/>
                      </w:divBdr>
                    </w:div>
                  </w:divsChild>
                </w:div>
                <w:div w:id="764806506">
                  <w:marLeft w:val="0"/>
                  <w:marRight w:val="0"/>
                  <w:marTop w:val="0"/>
                  <w:marBottom w:val="0"/>
                  <w:divBdr>
                    <w:top w:val="none" w:sz="0" w:space="0" w:color="auto"/>
                    <w:left w:val="none" w:sz="0" w:space="0" w:color="auto"/>
                    <w:bottom w:val="none" w:sz="0" w:space="0" w:color="auto"/>
                    <w:right w:val="none" w:sz="0" w:space="0" w:color="auto"/>
                  </w:divBdr>
                  <w:divsChild>
                    <w:div w:id="1267999471">
                      <w:marLeft w:val="0"/>
                      <w:marRight w:val="0"/>
                      <w:marTop w:val="0"/>
                      <w:marBottom w:val="0"/>
                      <w:divBdr>
                        <w:top w:val="none" w:sz="0" w:space="0" w:color="auto"/>
                        <w:left w:val="none" w:sz="0" w:space="0" w:color="auto"/>
                        <w:bottom w:val="none" w:sz="0" w:space="0" w:color="auto"/>
                        <w:right w:val="none" w:sz="0" w:space="0" w:color="auto"/>
                      </w:divBdr>
                    </w:div>
                  </w:divsChild>
                </w:div>
                <w:div w:id="788402898">
                  <w:marLeft w:val="0"/>
                  <w:marRight w:val="0"/>
                  <w:marTop w:val="0"/>
                  <w:marBottom w:val="0"/>
                  <w:divBdr>
                    <w:top w:val="none" w:sz="0" w:space="0" w:color="auto"/>
                    <w:left w:val="none" w:sz="0" w:space="0" w:color="auto"/>
                    <w:bottom w:val="none" w:sz="0" w:space="0" w:color="auto"/>
                    <w:right w:val="none" w:sz="0" w:space="0" w:color="auto"/>
                  </w:divBdr>
                  <w:divsChild>
                    <w:div w:id="1485972147">
                      <w:marLeft w:val="0"/>
                      <w:marRight w:val="0"/>
                      <w:marTop w:val="0"/>
                      <w:marBottom w:val="0"/>
                      <w:divBdr>
                        <w:top w:val="none" w:sz="0" w:space="0" w:color="auto"/>
                        <w:left w:val="none" w:sz="0" w:space="0" w:color="auto"/>
                        <w:bottom w:val="none" w:sz="0" w:space="0" w:color="auto"/>
                        <w:right w:val="none" w:sz="0" w:space="0" w:color="auto"/>
                      </w:divBdr>
                    </w:div>
                  </w:divsChild>
                </w:div>
                <w:div w:id="803619649">
                  <w:marLeft w:val="0"/>
                  <w:marRight w:val="0"/>
                  <w:marTop w:val="0"/>
                  <w:marBottom w:val="0"/>
                  <w:divBdr>
                    <w:top w:val="none" w:sz="0" w:space="0" w:color="auto"/>
                    <w:left w:val="none" w:sz="0" w:space="0" w:color="auto"/>
                    <w:bottom w:val="none" w:sz="0" w:space="0" w:color="auto"/>
                    <w:right w:val="none" w:sz="0" w:space="0" w:color="auto"/>
                  </w:divBdr>
                  <w:divsChild>
                    <w:div w:id="289092880">
                      <w:marLeft w:val="0"/>
                      <w:marRight w:val="0"/>
                      <w:marTop w:val="0"/>
                      <w:marBottom w:val="0"/>
                      <w:divBdr>
                        <w:top w:val="none" w:sz="0" w:space="0" w:color="auto"/>
                        <w:left w:val="none" w:sz="0" w:space="0" w:color="auto"/>
                        <w:bottom w:val="none" w:sz="0" w:space="0" w:color="auto"/>
                        <w:right w:val="none" w:sz="0" w:space="0" w:color="auto"/>
                      </w:divBdr>
                    </w:div>
                  </w:divsChild>
                </w:div>
                <w:div w:id="806312346">
                  <w:marLeft w:val="0"/>
                  <w:marRight w:val="0"/>
                  <w:marTop w:val="0"/>
                  <w:marBottom w:val="0"/>
                  <w:divBdr>
                    <w:top w:val="none" w:sz="0" w:space="0" w:color="auto"/>
                    <w:left w:val="none" w:sz="0" w:space="0" w:color="auto"/>
                    <w:bottom w:val="none" w:sz="0" w:space="0" w:color="auto"/>
                    <w:right w:val="none" w:sz="0" w:space="0" w:color="auto"/>
                  </w:divBdr>
                  <w:divsChild>
                    <w:div w:id="1148012143">
                      <w:marLeft w:val="0"/>
                      <w:marRight w:val="0"/>
                      <w:marTop w:val="0"/>
                      <w:marBottom w:val="0"/>
                      <w:divBdr>
                        <w:top w:val="none" w:sz="0" w:space="0" w:color="auto"/>
                        <w:left w:val="none" w:sz="0" w:space="0" w:color="auto"/>
                        <w:bottom w:val="none" w:sz="0" w:space="0" w:color="auto"/>
                        <w:right w:val="none" w:sz="0" w:space="0" w:color="auto"/>
                      </w:divBdr>
                    </w:div>
                  </w:divsChild>
                </w:div>
                <w:div w:id="811941916">
                  <w:marLeft w:val="0"/>
                  <w:marRight w:val="0"/>
                  <w:marTop w:val="0"/>
                  <w:marBottom w:val="0"/>
                  <w:divBdr>
                    <w:top w:val="none" w:sz="0" w:space="0" w:color="auto"/>
                    <w:left w:val="none" w:sz="0" w:space="0" w:color="auto"/>
                    <w:bottom w:val="none" w:sz="0" w:space="0" w:color="auto"/>
                    <w:right w:val="none" w:sz="0" w:space="0" w:color="auto"/>
                  </w:divBdr>
                  <w:divsChild>
                    <w:div w:id="677122130">
                      <w:marLeft w:val="0"/>
                      <w:marRight w:val="0"/>
                      <w:marTop w:val="0"/>
                      <w:marBottom w:val="0"/>
                      <w:divBdr>
                        <w:top w:val="none" w:sz="0" w:space="0" w:color="auto"/>
                        <w:left w:val="none" w:sz="0" w:space="0" w:color="auto"/>
                        <w:bottom w:val="none" w:sz="0" w:space="0" w:color="auto"/>
                        <w:right w:val="none" w:sz="0" w:space="0" w:color="auto"/>
                      </w:divBdr>
                    </w:div>
                  </w:divsChild>
                </w:div>
                <w:div w:id="820737502">
                  <w:marLeft w:val="0"/>
                  <w:marRight w:val="0"/>
                  <w:marTop w:val="0"/>
                  <w:marBottom w:val="0"/>
                  <w:divBdr>
                    <w:top w:val="none" w:sz="0" w:space="0" w:color="auto"/>
                    <w:left w:val="none" w:sz="0" w:space="0" w:color="auto"/>
                    <w:bottom w:val="none" w:sz="0" w:space="0" w:color="auto"/>
                    <w:right w:val="none" w:sz="0" w:space="0" w:color="auto"/>
                  </w:divBdr>
                  <w:divsChild>
                    <w:div w:id="450364204">
                      <w:marLeft w:val="0"/>
                      <w:marRight w:val="0"/>
                      <w:marTop w:val="0"/>
                      <w:marBottom w:val="0"/>
                      <w:divBdr>
                        <w:top w:val="none" w:sz="0" w:space="0" w:color="auto"/>
                        <w:left w:val="none" w:sz="0" w:space="0" w:color="auto"/>
                        <w:bottom w:val="none" w:sz="0" w:space="0" w:color="auto"/>
                        <w:right w:val="none" w:sz="0" w:space="0" w:color="auto"/>
                      </w:divBdr>
                    </w:div>
                  </w:divsChild>
                </w:div>
                <w:div w:id="826096866">
                  <w:marLeft w:val="0"/>
                  <w:marRight w:val="0"/>
                  <w:marTop w:val="0"/>
                  <w:marBottom w:val="0"/>
                  <w:divBdr>
                    <w:top w:val="none" w:sz="0" w:space="0" w:color="auto"/>
                    <w:left w:val="none" w:sz="0" w:space="0" w:color="auto"/>
                    <w:bottom w:val="none" w:sz="0" w:space="0" w:color="auto"/>
                    <w:right w:val="none" w:sz="0" w:space="0" w:color="auto"/>
                  </w:divBdr>
                  <w:divsChild>
                    <w:div w:id="1491368159">
                      <w:marLeft w:val="0"/>
                      <w:marRight w:val="0"/>
                      <w:marTop w:val="0"/>
                      <w:marBottom w:val="0"/>
                      <w:divBdr>
                        <w:top w:val="none" w:sz="0" w:space="0" w:color="auto"/>
                        <w:left w:val="none" w:sz="0" w:space="0" w:color="auto"/>
                        <w:bottom w:val="none" w:sz="0" w:space="0" w:color="auto"/>
                        <w:right w:val="none" w:sz="0" w:space="0" w:color="auto"/>
                      </w:divBdr>
                    </w:div>
                  </w:divsChild>
                </w:div>
                <w:div w:id="833448085">
                  <w:marLeft w:val="0"/>
                  <w:marRight w:val="0"/>
                  <w:marTop w:val="0"/>
                  <w:marBottom w:val="0"/>
                  <w:divBdr>
                    <w:top w:val="none" w:sz="0" w:space="0" w:color="auto"/>
                    <w:left w:val="none" w:sz="0" w:space="0" w:color="auto"/>
                    <w:bottom w:val="none" w:sz="0" w:space="0" w:color="auto"/>
                    <w:right w:val="none" w:sz="0" w:space="0" w:color="auto"/>
                  </w:divBdr>
                  <w:divsChild>
                    <w:div w:id="1267151967">
                      <w:marLeft w:val="0"/>
                      <w:marRight w:val="0"/>
                      <w:marTop w:val="0"/>
                      <w:marBottom w:val="0"/>
                      <w:divBdr>
                        <w:top w:val="none" w:sz="0" w:space="0" w:color="auto"/>
                        <w:left w:val="none" w:sz="0" w:space="0" w:color="auto"/>
                        <w:bottom w:val="none" w:sz="0" w:space="0" w:color="auto"/>
                        <w:right w:val="none" w:sz="0" w:space="0" w:color="auto"/>
                      </w:divBdr>
                    </w:div>
                  </w:divsChild>
                </w:div>
                <w:div w:id="874736372">
                  <w:marLeft w:val="0"/>
                  <w:marRight w:val="0"/>
                  <w:marTop w:val="0"/>
                  <w:marBottom w:val="0"/>
                  <w:divBdr>
                    <w:top w:val="none" w:sz="0" w:space="0" w:color="auto"/>
                    <w:left w:val="none" w:sz="0" w:space="0" w:color="auto"/>
                    <w:bottom w:val="none" w:sz="0" w:space="0" w:color="auto"/>
                    <w:right w:val="none" w:sz="0" w:space="0" w:color="auto"/>
                  </w:divBdr>
                  <w:divsChild>
                    <w:div w:id="1839954367">
                      <w:marLeft w:val="0"/>
                      <w:marRight w:val="0"/>
                      <w:marTop w:val="0"/>
                      <w:marBottom w:val="0"/>
                      <w:divBdr>
                        <w:top w:val="none" w:sz="0" w:space="0" w:color="auto"/>
                        <w:left w:val="none" w:sz="0" w:space="0" w:color="auto"/>
                        <w:bottom w:val="none" w:sz="0" w:space="0" w:color="auto"/>
                        <w:right w:val="none" w:sz="0" w:space="0" w:color="auto"/>
                      </w:divBdr>
                    </w:div>
                  </w:divsChild>
                </w:div>
                <w:div w:id="897208145">
                  <w:marLeft w:val="0"/>
                  <w:marRight w:val="0"/>
                  <w:marTop w:val="0"/>
                  <w:marBottom w:val="0"/>
                  <w:divBdr>
                    <w:top w:val="none" w:sz="0" w:space="0" w:color="auto"/>
                    <w:left w:val="none" w:sz="0" w:space="0" w:color="auto"/>
                    <w:bottom w:val="none" w:sz="0" w:space="0" w:color="auto"/>
                    <w:right w:val="none" w:sz="0" w:space="0" w:color="auto"/>
                  </w:divBdr>
                  <w:divsChild>
                    <w:div w:id="1877235509">
                      <w:marLeft w:val="0"/>
                      <w:marRight w:val="0"/>
                      <w:marTop w:val="0"/>
                      <w:marBottom w:val="0"/>
                      <w:divBdr>
                        <w:top w:val="none" w:sz="0" w:space="0" w:color="auto"/>
                        <w:left w:val="none" w:sz="0" w:space="0" w:color="auto"/>
                        <w:bottom w:val="none" w:sz="0" w:space="0" w:color="auto"/>
                        <w:right w:val="none" w:sz="0" w:space="0" w:color="auto"/>
                      </w:divBdr>
                    </w:div>
                  </w:divsChild>
                </w:div>
                <w:div w:id="897787372">
                  <w:marLeft w:val="0"/>
                  <w:marRight w:val="0"/>
                  <w:marTop w:val="0"/>
                  <w:marBottom w:val="0"/>
                  <w:divBdr>
                    <w:top w:val="none" w:sz="0" w:space="0" w:color="auto"/>
                    <w:left w:val="none" w:sz="0" w:space="0" w:color="auto"/>
                    <w:bottom w:val="none" w:sz="0" w:space="0" w:color="auto"/>
                    <w:right w:val="none" w:sz="0" w:space="0" w:color="auto"/>
                  </w:divBdr>
                  <w:divsChild>
                    <w:div w:id="2108844825">
                      <w:marLeft w:val="0"/>
                      <w:marRight w:val="0"/>
                      <w:marTop w:val="0"/>
                      <w:marBottom w:val="0"/>
                      <w:divBdr>
                        <w:top w:val="none" w:sz="0" w:space="0" w:color="auto"/>
                        <w:left w:val="none" w:sz="0" w:space="0" w:color="auto"/>
                        <w:bottom w:val="none" w:sz="0" w:space="0" w:color="auto"/>
                        <w:right w:val="none" w:sz="0" w:space="0" w:color="auto"/>
                      </w:divBdr>
                    </w:div>
                  </w:divsChild>
                </w:div>
                <w:div w:id="898368702">
                  <w:marLeft w:val="0"/>
                  <w:marRight w:val="0"/>
                  <w:marTop w:val="0"/>
                  <w:marBottom w:val="0"/>
                  <w:divBdr>
                    <w:top w:val="none" w:sz="0" w:space="0" w:color="auto"/>
                    <w:left w:val="none" w:sz="0" w:space="0" w:color="auto"/>
                    <w:bottom w:val="none" w:sz="0" w:space="0" w:color="auto"/>
                    <w:right w:val="none" w:sz="0" w:space="0" w:color="auto"/>
                  </w:divBdr>
                  <w:divsChild>
                    <w:div w:id="777532087">
                      <w:marLeft w:val="0"/>
                      <w:marRight w:val="0"/>
                      <w:marTop w:val="0"/>
                      <w:marBottom w:val="0"/>
                      <w:divBdr>
                        <w:top w:val="none" w:sz="0" w:space="0" w:color="auto"/>
                        <w:left w:val="none" w:sz="0" w:space="0" w:color="auto"/>
                        <w:bottom w:val="none" w:sz="0" w:space="0" w:color="auto"/>
                        <w:right w:val="none" w:sz="0" w:space="0" w:color="auto"/>
                      </w:divBdr>
                    </w:div>
                  </w:divsChild>
                </w:div>
                <w:div w:id="923223170">
                  <w:marLeft w:val="0"/>
                  <w:marRight w:val="0"/>
                  <w:marTop w:val="0"/>
                  <w:marBottom w:val="0"/>
                  <w:divBdr>
                    <w:top w:val="none" w:sz="0" w:space="0" w:color="auto"/>
                    <w:left w:val="none" w:sz="0" w:space="0" w:color="auto"/>
                    <w:bottom w:val="none" w:sz="0" w:space="0" w:color="auto"/>
                    <w:right w:val="none" w:sz="0" w:space="0" w:color="auto"/>
                  </w:divBdr>
                  <w:divsChild>
                    <w:div w:id="783158388">
                      <w:marLeft w:val="0"/>
                      <w:marRight w:val="0"/>
                      <w:marTop w:val="0"/>
                      <w:marBottom w:val="0"/>
                      <w:divBdr>
                        <w:top w:val="none" w:sz="0" w:space="0" w:color="auto"/>
                        <w:left w:val="none" w:sz="0" w:space="0" w:color="auto"/>
                        <w:bottom w:val="none" w:sz="0" w:space="0" w:color="auto"/>
                        <w:right w:val="none" w:sz="0" w:space="0" w:color="auto"/>
                      </w:divBdr>
                    </w:div>
                  </w:divsChild>
                </w:div>
                <w:div w:id="944314559">
                  <w:marLeft w:val="0"/>
                  <w:marRight w:val="0"/>
                  <w:marTop w:val="0"/>
                  <w:marBottom w:val="0"/>
                  <w:divBdr>
                    <w:top w:val="none" w:sz="0" w:space="0" w:color="auto"/>
                    <w:left w:val="none" w:sz="0" w:space="0" w:color="auto"/>
                    <w:bottom w:val="none" w:sz="0" w:space="0" w:color="auto"/>
                    <w:right w:val="none" w:sz="0" w:space="0" w:color="auto"/>
                  </w:divBdr>
                  <w:divsChild>
                    <w:div w:id="1257904581">
                      <w:marLeft w:val="0"/>
                      <w:marRight w:val="0"/>
                      <w:marTop w:val="0"/>
                      <w:marBottom w:val="0"/>
                      <w:divBdr>
                        <w:top w:val="none" w:sz="0" w:space="0" w:color="auto"/>
                        <w:left w:val="none" w:sz="0" w:space="0" w:color="auto"/>
                        <w:bottom w:val="none" w:sz="0" w:space="0" w:color="auto"/>
                        <w:right w:val="none" w:sz="0" w:space="0" w:color="auto"/>
                      </w:divBdr>
                    </w:div>
                  </w:divsChild>
                </w:div>
                <w:div w:id="958681414">
                  <w:marLeft w:val="0"/>
                  <w:marRight w:val="0"/>
                  <w:marTop w:val="0"/>
                  <w:marBottom w:val="0"/>
                  <w:divBdr>
                    <w:top w:val="none" w:sz="0" w:space="0" w:color="auto"/>
                    <w:left w:val="none" w:sz="0" w:space="0" w:color="auto"/>
                    <w:bottom w:val="none" w:sz="0" w:space="0" w:color="auto"/>
                    <w:right w:val="none" w:sz="0" w:space="0" w:color="auto"/>
                  </w:divBdr>
                  <w:divsChild>
                    <w:div w:id="1802574247">
                      <w:marLeft w:val="0"/>
                      <w:marRight w:val="0"/>
                      <w:marTop w:val="0"/>
                      <w:marBottom w:val="0"/>
                      <w:divBdr>
                        <w:top w:val="none" w:sz="0" w:space="0" w:color="auto"/>
                        <w:left w:val="none" w:sz="0" w:space="0" w:color="auto"/>
                        <w:bottom w:val="none" w:sz="0" w:space="0" w:color="auto"/>
                        <w:right w:val="none" w:sz="0" w:space="0" w:color="auto"/>
                      </w:divBdr>
                    </w:div>
                  </w:divsChild>
                </w:div>
                <w:div w:id="963774215">
                  <w:marLeft w:val="0"/>
                  <w:marRight w:val="0"/>
                  <w:marTop w:val="0"/>
                  <w:marBottom w:val="0"/>
                  <w:divBdr>
                    <w:top w:val="none" w:sz="0" w:space="0" w:color="auto"/>
                    <w:left w:val="none" w:sz="0" w:space="0" w:color="auto"/>
                    <w:bottom w:val="none" w:sz="0" w:space="0" w:color="auto"/>
                    <w:right w:val="none" w:sz="0" w:space="0" w:color="auto"/>
                  </w:divBdr>
                  <w:divsChild>
                    <w:div w:id="1911453345">
                      <w:marLeft w:val="0"/>
                      <w:marRight w:val="0"/>
                      <w:marTop w:val="0"/>
                      <w:marBottom w:val="0"/>
                      <w:divBdr>
                        <w:top w:val="none" w:sz="0" w:space="0" w:color="auto"/>
                        <w:left w:val="none" w:sz="0" w:space="0" w:color="auto"/>
                        <w:bottom w:val="none" w:sz="0" w:space="0" w:color="auto"/>
                        <w:right w:val="none" w:sz="0" w:space="0" w:color="auto"/>
                      </w:divBdr>
                    </w:div>
                  </w:divsChild>
                </w:div>
                <w:div w:id="975186187">
                  <w:marLeft w:val="0"/>
                  <w:marRight w:val="0"/>
                  <w:marTop w:val="0"/>
                  <w:marBottom w:val="0"/>
                  <w:divBdr>
                    <w:top w:val="none" w:sz="0" w:space="0" w:color="auto"/>
                    <w:left w:val="none" w:sz="0" w:space="0" w:color="auto"/>
                    <w:bottom w:val="none" w:sz="0" w:space="0" w:color="auto"/>
                    <w:right w:val="none" w:sz="0" w:space="0" w:color="auto"/>
                  </w:divBdr>
                  <w:divsChild>
                    <w:div w:id="533885608">
                      <w:marLeft w:val="0"/>
                      <w:marRight w:val="0"/>
                      <w:marTop w:val="0"/>
                      <w:marBottom w:val="0"/>
                      <w:divBdr>
                        <w:top w:val="none" w:sz="0" w:space="0" w:color="auto"/>
                        <w:left w:val="none" w:sz="0" w:space="0" w:color="auto"/>
                        <w:bottom w:val="none" w:sz="0" w:space="0" w:color="auto"/>
                        <w:right w:val="none" w:sz="0" w:space="0" w:color="auto"/>
                      </w:divBdr>
                    </w:div>
                  </w:divsChild>
                </w:div>
                <w:div w:id="987439830">
                  <w:marLeft w:val="0"/>
                  <w:marRight w:val="0"/>
                  <w:marTop w:val="0"/>
                  <w:marBottom w:val="0"/>
                  <w:divBdr>
                    <w:top w:val="none" w:sz="0" w:space="0" w:color="auto"/>
                    <w:left w:val="none" w:sz="0" w:space="0" w:color="auto"/>
                    <w:bottom w:val="none" w:sz="0" w:space="0" w:color="auto"/>
                    <w:right w:val="none" w:sz="0" w:space="0" w:color="auto"/>
                  </w:divBdr>
                  <w:divsChild>
                    <w:div w:id="229579466">
                      <w:marLeft w:val="0"/>
                      <w:marRight w:val="0"/>
                      <w:marTop w:val="0"/>
                      <w:marBottom w:val="0"/>
                      <w:divBdr>
                        <w:top w:val="none" w:sz="0" w:space="0" w:color="auto"/>
                        <w:left w:val="none" w:sz="0" w:space="0" w:color="auto"/>
                        <w:bottom w:val="none" w:sz="0" w:space="0" w:color="auto"/>
                        <w:right w:val="none" w:sz="0" w:space="0" w:color="auto"/>
                      </w:divBdr>
                    </w:div>
                  </w:divsChild>
                </w:div>
                <w:div w:id="1002047507">
                  <w:marLeft w:val="0"/>
                  <w:marRight w:val="0"/>
                  <w:marTop w:val="0"/>
                  <w:marBottom w:val="0"/>
                  <w:divBdr>
                    <w:top w:val="none" w:sz="0" w:space="0" w:color="auto"/>
                    <w:left w:val="none" w:sz="0" w:space="0" w:color="auto"/>
                    <w:bottom w:val="none" w:sz="0" w:space="0" w:color="auto"/>
                    <w:right w:val="none" w:sz="0" w:space="0" w:color="auto"/>
                  </w:divBdr>
                  <w:divsChild>
                    <w:div w:id="65887490">
                      <w:marLeft w:val="0"/>
                      <w:marRight w:val="0"/>
                      <w:marTop w:val="0"/>
                      <w:marBottom w:val="0"/>
                      <w:divBdr>
                        <w:top w:val="none" w:sz="0" w:space="0" w:color="auto"/>
                        <w:left w:val="none" w:sz="0" w:space="0" w:color="auto"/>
                        <w:bottom w:val="none" w:sz="0" w:space="0" w:color="auto"/>
                        <w:right w:val="none" w:sz="0" w:space="0" w:color="auto"/>
                      </w:divBdr>
                    </w:div>
                  </w:divsChild>
                </w:div>
                <w:div w:id="1015570970">
                  <w:marLeft w:val="0"/>
                  <w:marRight w:val="0"/>
                  <w:marTop w:val="0"/>
                  <w:marBottom w:val="0"/>
                  <w:divBdr>
                    <w:top w:val="none" w:sz="0" w:space="0" w:color="auto"/>
                    <w:left w:val="none" w:sz="0" w:space="0" w:color="auto"/>
                    <w:bottom w:val="none" w:sz="0" w:space="0" w:color="auto"/>
                    <w:right w:val="none" w:sz="0" w:space="0" w:color="auto"/>
                  </w:divBdr>
                  <w:divsChild>
                    <w:div w:id="1225532066">
                      <w:marLeft w:val="0"/>
                      <w:marRight w:val="0"/>
                      <w:marTop w:val="0"/>
                      <w:marBottom w:val="0"/>
                      <w:divBdr>
                        <w:top w:val="none" w:sz="0" w:space="0" w:color="auto"/>
                        <w:left w:val="none" w:sz="0" w:space="0" w:color="auto"/>
                        <w:bottom w:val="none" w:sz="0" w:space="0" w:color="auto"/>
                        <w:right w:val="none" w:sz="0" w:space="0" w:color="auto"/>
                      </w:divBdr>
                    </w:div>
                  </w:divsChild>
                </w:div>
                <w:div w:id="1038628797">
                  <w:marLeft w:val="0"/>
                  <w:marRight w:val="0"/>
                  <w:marTop w:val="0"/>
                  <w:marBottom w:val="0"/>
                  <w:divBdr>
                    <w:top w:val="none" w:sz="0" w:space="0" w:color="auto"/>
                    <w:left w:val="none" w:sz="0" w:space="0" w:color="auto"/>
                    <w:bottom w:val="none" w:sz="0" w:space="0" w:color="auto"/>
                    <w:right w:val="none" w:sz="0" w:space="0" w:color="auto"/>
                  </w:divBdr>
                  <w:divsChild>
                    <w:div w:id="325978628">
                      <w:marLeft w:val="0"/>
                      <w:marRight w:val="0"/>
                      <w:marTop w:val="0"/>
                      <w:marBottom w:val="0"/>
                      <w:divBdr>
                        <w:top w:val="none" w:sz="0" w:space="0" w:color="auto"/>
                        <w:left w:val="none" w:sz="0" w:space="0" w:color="auto"/>
                        <w:bottom w:val="none" w:sz="0" w:space="0" w:color="auto"/>
                        <w:right w:val="none" w:sz="0" w:space="0" w:color="auto"/>
                      </w:divBdr>
                    </w:div>
                  </w:divsChild>
                </w:div>
                <w:div w:id="1040320443">
                  <w:marLeft w:val="0"/>
                  <w:marRight w:val="0"/>
                  <w:marTop w:val="0"/>
                  <w:marBottom w:val="0"/>
                  <w:divBdr>
                    <w:top w:val="none" w:sz="0" w:space="0" w:color="auto"/>
                    <w:left w:val="none" w:sz="0" w:space="0" w:color="auto"/>
                    <w:bottom w:val="none" w:sz="0" w:space="0" w:color="auto"/>
                    <w:right w:val="none" w:sz="0" w:space="0" w:color="auto"/>
                  </w:divBdr>
                  <w:divsChild>
                    <w:div w:id="1323316886">
                      <w:marLeft w:val="0"/>
                      <w:marRight w:val="0"/>
                      <w:marTop w:val="0"/>
                      <w:marBottom w:val="0"/>
                      <w:divBdr>
                        <w:top w:val="none" w:sz="0" w:space="0" w:color="auto"/>
                        <w:left w:val="none" w:sz="0" w:space="0" w:color="auto"/>
                        <w:bottom w:val="none" w:sz="0" w:space="0" w:color="auto"/>
                        <w:right w:val="none" w:sz="0" w:space="0" w:color="auto"/>
                      </w:divBdr>
                    </w:div>
                  </w:divsChild>
                </w:div>
                <w:div w:id="1041321748">
                  <w:marLeft w:val="0"/>
                  <w:marRight w:val="0"/>
                  <w:marTop w:val="0"/>
                  <w:marBottom w:val="0"/>
                  <w:divBdr>
                    <w:top w:val="none" w:sz="0" w:space="0" w:color="auto"/>
                    <w:left w:val="none" w:sz="0" w:space="0" w:color="auto"/>
                    <w:bottom w:val="none" w:sz="0" w:space="0" w:color="auto"/>
                    <w:right w:val="none" w:sz="0" w:space="0" w:color="auto"/>
                  </w:divBdr>
                  <w:divsChild>
                    <w:div w:id="778647941">
                      <w:marLeft w:val="0"/>
                      <w:marRight w:val="0"/>
                      <w:marTop w:val="0"/>
                      <w:marBottom w:val="0"/>
                      <w:divBdr>
                        <w:top w:val="none" w:sz="0" w:space="0" w:color="auto"/>
                        <w:left w:val="none" w:sz="0" w:space="0" w:color="auto"/>
                        <w:bottom w:val="none" w:sz="0" w:space="0" w:color="auto"/>
                        <w:right w:val="none" w:sz="0" w:space="0" w:color="auto"/>
                      </w:divBdr>
                    </w:div>
                  </w:divsChild>
                </w:div>
                <w:div w:id="1054701560">
                  <w:marLeft w:val="0"/>
                  <w:marRight w:val="0"/>
                  <w:marTop w:val="0"/>
                  <w:marBottom w:val="0"/>
                  <w:divBdr>
                    <w:top w:val="none" w:sz="0" w:space="0" w:color="auto"/>
                    <w:left w:val="none" w:sz="0" w:space="0" w:color="auto"/>
                    <w:bottom w:val="none" w:sz="0" w:space="0" w:color="auto"/>
                    <w:right w:val="none" w:sz="0" w:space="0" w:color="auto"/>
                  </w:divBdr>
                  <w:divsChild>
                    <w:div w:id="1755586210">
                      <w:marLeft w:val="0"/>
                      <w:marRight w:val="0"/>
                      <w:marTop w:val="0"/>
                      <w:marBottom w:val="0"/>
                      <w:divBdr>
                        <w:top w:val="none" w:sz="0" w:space="0" w:color="auto"/>
                        <w:left w:val="none" w:sz="0" w:space="0" w:color="auto"/>
                        <w:bottom w:val="none" w:sz="0" w:space="0" w:color="auto"/>
                        <w:right w:val="none" w:sz="0" w:space="0" w:color="auto"/>
                      </w:divBdr>
                    </w:div>
                  </w:divsChild>
                </w:div>
                <w:div w:id="1057513726">
                  <w:marLeft w:val="0"/>
                  <w:marRight w:val="0"/>
                  <w:marTop w:val="0"/>
                  <w:marBottom w:val="0"/>
                  <w:divBdr>
                    <w:top w:val="none" w:sz="0" w:space="0" w:color="auto"/>
                    <w:left w:val="none" w:sz="0" w:space="0" w:color="auto"/>
                    <w:bottom w:val="none" w:sz="0" w:space="0" w:color="auto"/>
                    <w:right w:val="none" w:sz="0" w:space="0" w:color="auto"/>
                  </w:divBdr>
                  <w:divsChild>
                    <w:div w:id="389040618">
                      <w:marLeft w:val="0"/>
                      <w:marRight w:val="0"/>
                      <w:marTop w:val="0"/>
                      <w:marBottom w:val="0"/>
                      <w:divBdr>
                        <w:top w:val="none" w:sz="0" w:space="0" w:color="auto"/>
                        <w:left w:val="none" w:sz="0" w:space="0" w:color="auto"/>
                        <w:bottom w:val="none" w:sz="0" w:space="0" w:color="auto"/>
                        <w:right w:val="none" w:sz="0" w:space="0" w:color="auto"/>
                      </w:divBdr>
                    </w:div>
                  </w:divsChild>
                </w:div>
                <w:div w:id="1064835019">
                  <w:marLeft w:val="0"/>
                  <w:marRight w:val="0"/>
                  <w:marTop w:val="0"/>
                  <w:marBottom w:val="0"/>
                  <w:divBdr>
                    <w:top w:val="none" w:sz="0" w:space="0" w:color="auto"/>
                    <w:left w:val="none" w:sz="0" w:space="0" w:color="auto"/>
                    <w:bottom w:val="none" w:sz="0" w:space="0" w:color="auto"/>
                    <w:right w:val="none" w:sz="0" w:space="0" w:color="auto"/>
                  </w:divBdr>
                  <w:divsChild>
                    <w:div w:id="527840058">
                      <w:marLeft w:val="0"/>
                      <w:marRight w:val="0"/>
                      <w:marTop w:val="0"/>
                      <w:marBottom w:val="0"/>
                      <w:divBdr>
                        <w:top w:val="none" w:sz="0" w:space="0" w:color="auto"/>
                        <w:left w:val="none" w:sz="0" w:space="0" w:color="auto"/>
                        <w:bottom w:val="none" w:sz="0" w:space="0" w:color="auto"/>
                        <w:right w:val="none" w:sz="0" w:space="0" w:color="auto"/>
                      </w:divBdr>
                    </w:div>
                  </w:divsChild>
                </w:div>
                <w:div w:id="1070343145">
                  <w:marLeft w:val="0"/>
                  <w:marRight w:val="0"/>
                  <w:marTop w:val="0"/>
                  <w:marBottom w:val="0"/>
                  <w:divBdr>
                    <w:top w:val="none" w:sz="0" w:space="0" w:color="auto"/>
                    <w:left w:val="none" w:sz="0" w:space="0" w:color="auto"/>
                    <w:bottom w:val="none" w:sz="0" w:space="0" w:color="auto"/>
                    <w:right w:val="none" w:sz="0" w:space="0" w:color="auto"/>
                  </w:divBdr>
                  <w:divsChild>
                    <w:div w:id="1438912201">
                      <w:marLeft w:val="0"/>
                      <w:marRight w:val="0"/>
                      <w:marTop w:val="0"/>
                      <w:marBottom w:val="0"/>
                      <w:divBdr>
                        <w:top w:val="none" w:sz="0" w:space="0" w:color="auto"/>
                        <w:left w:val="none" w:sz="0" w:space="0" w:color="auto"/>
                        <w:bottom w:val="none" w:sz="0" w:space="0" w:color="auto"/>
                        <w:right w:val="none" w:sz="0" w:space="0" w:color="auto"/>
                      </w:divBdr>
                    </w:div>
                  </w:divsChild>
                </w:div>
                <w:div w:id="1083645059">
                  <w:marLeft w:val="0"/>
                  <w:marRight w:val="0"/>
                  <w:marTop w:val="0"/>
                  <w:marBottom w:val="0"/>
                  <w:divBdr>
                    <w:top w:val="none" w:sz="0" w:space="0" w:color="auto"/>
                    <w:left w:val="none" w:sz="0" w:space="0" w:color="auto"/>
                    <w:bottom w:val="none" w:sz="0" w:space="0" w:color="auto"/>
                    <w:right w:val="none" w:sz="0" w:space="0" w:color="auto"/>
                  </w:divBdr>
                  <w:divsChild>
                    <w:div w:id="1134830209">
                      <w:marLeft w:val="0"/>
                      <w:marRight w:val="0"/>
                      <w:marTop w:val="0"/>
                      <w:marBottom w:val="0"/>
                      <w:divBdr>
                        <w:top w:val="none" w:sz="0" w:space="0" w:color="auto"/>
                        <w:left w:val="none" w:sz="0" w:space="0" w:color="auto"/>
                        <w:bottom w:val="none" w:sz="0" w:space="0" w:color="auto"/>
                        <w:right w:val="none" w:sz="0" w:space="0" w:color="auto"/>
                      </w:divBdr>
                    </w:div>
                  </w:divsChild>
                </w:div>
                <w:div w:id="1090275115">
                  <w:marLeft w:val="0"/>
                  <w:marRight w:val="0"/>
                  <w:marTop w:val="0"/>
                  <w:marBottom w:val="0"/>
                  <w:divBdr>
                    <w:top w:val="none" w:sz="0" w:space="0" w:color="auto"/>
                    <w:left w:val="none" w:sz="0" w:space="0" w:color="auto"/>
                    <w:bottom w:val="none" w:sz="0" w:space="0" w:color="auto"/>
                    <w:right w:val="none" w:sz="0" w:space="0" w:color="auto"/>
                  </w:divBdr>
                  <w:divsChild>
                    <w:div w:id="1766000782">
                      <w:marLeft w:val="0"/>
                      <w:marRight w:val="0"/>
                      <w:marTop w:val="0"/>
                      <w:marBottom w:val="0"/>
                      <w:divBdr>
                        <w:top w:val="none" w:sz="0" w:space="0" w:color="auto"/>
                        <w:left w:val="none" w:sz="0" w:space="0" w:color="auto"/>
                        <w:bottom w:val="none" w:sz="0" w:space="0" w:color="auto"/>
                        <w:right w:val="none" w:sz="0" w:space="0" w:color="auto"/>
                      </w:divBdr>
                    </w:div>
                  </w:divsChild>
                </w:div>
                <w:div w:id="1096360958">
                  <w:marLeft w:val="0"/>
                  <w:marRight w:val="0"/>
                  <w:marTop w:val="0"/>
                  <w:marBottom w:val="0"/>
                  <w:divBdr>
                    <w:top w:val="none" w:sz="0" w:space="0" w:color="auto"/>
                    <w:left w:val="none" w:sz="0" w:space="0" w:color="auto"/>
                    <w:bottom w:val="none" w:sz="0" w:space="0" w:color="auto"/>
                    <w:right w:val="none" w:sz="0" w:space="0" w:color="auto"/>
                  </w:divBdr>
                  <w:divsChild>
                    <w:div w:id="379669611">
                      <w:marLeft w:val="0"/>
                      <w:marRight w:val="0"/>
                      <w:marTop w:val="0"/>
                      <w:marBottom w:val="0"/>
                      <w:divBdr>
                        <w:top w:val="none" w:sz="0" w:space="0" w:color="auto"/>
                        <w:left w:val="none" w:sz="0" w:space="0" w:color="auto"/>
                        <w:bottom w:val="none" w:sz="0" w:space="0" w:color="auto"/>
                        <w:right w:val="none" w:sz="0" w:space="0" w:color="auto"/>
                      </w:divBdr>
                    </w:div>
                  </w:divsChild>
                </w:div>
                <w:div w:id="1111516507">
                  <w:marLeft w:val="0"/>
                  <w:marRight w:val="0"/>
                  <w:marTop w:val="0"/>
                  <w:marBottom w:val="0"/>
                  <w:divBdr>
                    <w:top w:val="none" w:sz="0" w:space="0" w:color="auto"/>
                    <w:left w:val="none" w:sz="0" w:space="0" w:color="auto"/>
                    <w:bottom w:val="none" w:sz="0" w:space="0" w:color="auto"/>
                    <w:right w:val="none" w:sz="0" w:space="0" w:color="auto"/>
                  </w:divBdr>
                  <w:divsChild>
                    <w:div w:id="1942298921">
                      <w:marLeft w:val="0"/>
                      <w:marRight w:val="0"/>
                      <w:marTop w:val="0"/>
                      <w:marBottom w:val="0"/>
                      <w:divBdr>
                        <w:top w:val="none" w:sz="0" w:space="0" w:color="auto"/>
                        <w:left w:val="none" w:sz="0" w:space="0" w:color="auto"/>
                        <w:bottom w:val="none" w:sz="0" w:space="0" w:color="auto"/>
                        <w:right w:val="none" w:sz="0" w:space="0" w:color="auto"/>
                      </w:divBdr>
                    </w:div>
                  </w:divsChild>
                </w:div>
                <w:div w:id="1123813989">
                  <w:marLeft w:val="0"/>
                  <w:marRight w:val="0"/>
                  <w:marTop w:val="0"/>
                  <w:marBottom w:val="0"/>
                  <w:divBdr>
                    <w:top w:val="none" w:sz="0" w:space="0" w:color="auto"/>
                    <w:left w:val="none" w:sz="0" w:space="0" w:color="auto"/>
                    <w:bottom w:val="none" w:sz="0" w:space="0" w:color="auto"/>
                    <w:right w:val="none" w:sz="0" w:space="0" w:color="auto"/>
                  </w:divBdr>
                  <w:divsChild>
                    <w:div w:id="1650358946">
                      <w:marLeft w:val="0"/>
                      <w:marRight w:val="0"/>
                      <w:marTop w:val="0"/>
                      <w:marBottom w:val="0"/>
                      <w:divBdr>
                        <w:top w:val="none" w:sz="0" w:space="0" w:color="auto"/>
                        <w:left w:val="none" w:sz="0" w:space="0" w:color="auto"/>
                        <w:bottom w:val="none" w:sz="0" w:space="0" w:color="auto"/>
                        <w:right w:val="none" w:sz="0" w:space="0" w:color="auto"/>
                      </w:divBdr>
                    </w:div>
                  </w:divsChild>
                </w:div>
                <w:div w:id="1129663001">
                  <w:marLeft w:val="0"/>
                  <w:marRight w:val="0"/>
                  <w:marTop w:val="0"/>
                  <w:marBottom w:val="0"/>
                  <w:divBdr>
                    <w:top w:val="none" w:sz="0" w:space="0" w:color="auto"/>
                    <w:left w:val="none" w:sz="0" w:space="0" w:color="auto"/>
                    <w:bottom w:val="none" w:sz="0" w:space="0" w:color="auto"/>
                    <w:right w:val="none" w:sz="0" w:space="0" w:color="auto"/>
                  </w:divBdr>
                  <w:divsChild>
                    <w:div w:id="898588427">
                      <w:marLeft w:val="0"/>
                      <w:marRight w:val="0"/>
                      <w:marTop w:val="0"/>
                      <w:marBottom w:val="0"/>
                      <w:divBdr>
                        <w:top w:val="none" w:sz="0" w:space="0" w:color="auto"/>
                        <w:left w:val="none" w:sz="0" w:space="0" w:color="auto"/>
                        <w:bottom w:val="none" w:sz="0" w:space="0" w:color="auto"/>
                        <w:right w:val="none" w:sz="0" w:space="0" w:color="auto"/>
                      </w:divBdr>
                    </w:div>
                  </w:divsChild>
                </w:div>
                <w:div w:id="1138912190">
                  <w:marLeft w:val="0"/>
                  <w:marRight w:val="0"/>
                  <w:marTop w:val="0"/>
                  <w:marBottom w:val="0"/>
                  <w:divBdr>
                    <w:top w:val="none" w:sz="0" w:space="0" w:color="auto"/>
                    <w:left w:val="none" w:sz="0" w:space="0" w:color="auto"/>
                    <w:bottom w:val="none" w:sz="0" w:space="0" w:color="auto"/>
                    <w:right w:val="none" w:sz="0" w:space="0" w:color="auto"/>
                  </w:divBdr>
                  <w:divsChild>
                    <w:div w:id="1348558639">
                      <w:marLeft w:val="0"/>
                      <w:marRight w:val="0"/>
                      <w:marTop w:val="0"/>
                      <w:marBottom w:val="0"/>
                      <w:divBdr>
                        <w:top w:val="none" w:sz="0" w:space="0" w:color="auto"/>
                        <w:left w:val="none" w:sz="0" w:space="0" w:color="auto"/>
                        <w:bottom w:val="none" w:sz="0" w:space="0" w:color="auto"/>
                        <w:right w:val="none" w:sz="0" w:space="0" w:color="auto"/>
                      </w:divBdr>
                    </w:div>
                  </w:divsChild>
                </w:div>
                <w:div w:id="1142234875">
                  <w:marLeft w:val="0"/>
                  <w:marRight w:val="0"/>
                  <w:marTop w:val="0"/>
                  <w:marBottom w:val="0"/>
                  <w:divBdr>
                    <w:top w:val="none" w:sz="0" w:space="0" w:color="auto"/>
                    <w:left w:val="none" w:sz="0" w:space="0" w:color="auto"/>
                    <w:bottom w:val="none" w:sz="0" w:space="0" w:color="auto"/>
                    <w:right w:val="none" w:sz="0" w:space="0" w:color="auto"/>
                  </w:divBdr>
                  <w:divsChild>
                    <w:div w:id="152182978">
                      <w:marLeft w:val="0"/>
                      <w:marRight w:val="0"/>
                      <w:marTop w:val="0"/>
                      <w:marBottom w:val="0"/>
                      <w:divBdr>
                        <w:top w:val="none" w:sz="0" w:space="0" w:color="auto"/>
                        <w:left w:val="none" w:sz="0" w:space="0" w:color="auto"/>
                        <w:bottom w:val="none" w:sz="0" w:space="0" w:color="auto"/>
                        <w:right w:val="none" w:sz="0" w:space="0" w:color="auto"/>
                      </w:divBdr>
                    </w:div>
                  </w:divsChild>
                </w:div>
                <w:div w:id="1149518056">
                  <w:marLeft w:val="0"/>
                  <w:marRight w:val="0"/>
                  <w:marTop w:val="0"/>
                  <w:marBottom w:val="0"/>
                  <w:divBdr>
                    <w:top w:val="none" w:sz="0" w:space="0" w:color="auto"/>
                    <w:left w:val="none" w:sz="0" w:space="0" w:color="auto"/>
                    <w:bottom w:val="none" w:sz="0" w:space="0" w:color="auto"/>
                    <w:right w:val="none" w:sz="0" w:space="0" w:color="auto"/>
                  </w:divBdr>
                  <w:divsChild>
                    <w:div w:id="45304799">
                      <w:marLeft w:val="0"/>
                      <w:marRight w:val="0"/>
                      <w:marTop w:val="0"/>
                      <w:marBottom w:val="0"/>
                      <w:divBdr>
                        <w:top w:val="none" w:sz="0" w:space="0" w:color="auto"/>
                        <w:left w:val="none" w:sz="0" w:space="0" w:color="auto"/>
                        <w:bottom w:val="none" w:sz="0" w:space="0" w:color="auto"/>
                        <w:right w:val="none" w:sz="0" w:space="0" w:color="auto"/>
                      </w:divBdr>
                    </w:div>
                  </w:divsChild>
                </w:div>
                <w:div w:id="1151290891">
                  <w:marLeft w:val="0"/>
                  <w:marRight w:val="0"/>
                  <w:marTop w:val="0"/>
                  <w:marBottom w:val="0"/>
                  <w:divBdr>
                    <w:top w:val="none" w:sz="0" w:space="0" w:color="auto"/>
                    <w:left w:val="none" w:sz="0" w:space="0" w:color="auto"/>
                    <w:bottom w:val="none" w:sz="0" w:space="0" w:color="auto"/>
                    <w:right w:val="none" w:sz="0" w:space="0" w:color="auto"/>
                  </w:divBdr>
                  <w:divsChild>
                    <w:div w:id="945380163">
                      <w:marLeft w:val="0"/>
                      <w:marRight w:val="0"/>
                      <w:marTop w:val="0"/>
                      <w:marBottom w:val="0"/>
                      <w:divBdr>
                        <w:top w:val="none" w:sz="0" w:space="0" w:color="auto"/>
                        <w:left w:val="none" w:sz="0" w:space="0" w:color="auto"/>
                        <w:bottom w:val="none" w:sz="0" w:space="0" w:color="auto"/>
                        <w:right w:val="none" w:sz="0" w:space="0" w:color="auto"/>
                      </w:divBdr>
                    </w:div>
                  </w:divsChild>
                </w:div>
                <w:div w:id="1163349968">
                  <w:marLeft w:val="0"/>
                  <w:marRight w:val="0"/>
                  <w:marTop w:val="0"/>
                  <w:marBottom w:val="0"/>
                  <w:divBdr>
                    <w:top w:val="none" w:sz="0" w:space="0" w:color="auto"/>
                    <w:left w:val="none" w:sz="0" w:space="0" w:color="auto"/>
                    <w:bottom w:val="none" w:sz="0" w:space="0" w:color="auto"/>
                    <w:right w:val="none" w:sz="0" w:space="0" w:color="auto"/>
                  </w:divBdr>
                  <w:divsChild>
                    <w:div w:id="313609517">
                      <w:marLeft w:val="0"/>
                      <w:marRight w:val="0"/>
                      <w:marTop w:val="0"/>
                      <w:marBottom w:val="0"/>
                      <w:divBdr>
                        <w:top w:val="none" w:sz="0" w:space="0" w:color="auto"/>
                        <w:left w:val="none" w:sz="0" w:space="0" w:color="auto"/>
                        <w:bottom w:val="none" w:sz="0" w:space="0" w:color="auto"/>
                        <w:right w:val="none" w:sz="0" w:space="0" w:color="auto"/>
                      </w:divBdr>
                    </w:div>
                  </w:divsChild>
                </w:div>
                <w:div w:id="1178932862">
                  <w:marLeft w:val="0"/>
                  <w:marRight w:val="0"/>
                  <w:marTop w:val="0"/>
                  <w:marBottom w:val="0"/>
                  <w:divBdr>
                    <w:top w:val="none" w:sz="0" w:space="0" w:color="auto"/>
                    <w:left w:val="none" w:sz="0" w:space="0" w:color="auto"/>
                    <w:bottom w:val="none" w:sz="0" w:space="0" w:color="auto"/>
                    <w:right w:val="none" w:sz="0" w:space="0" w:color="auto"/>
                  </w:divBdr>
                  <w:divsChild>
                    <w:div w:id="2047174134">
                      <w:marLeft w:val="0"/>
                      <w:marRight w:val="0"/>
                      <w:marTop w:val="0"/>
                      <w:marBottom w:val="0"/>
                      <w:divBdr>
                        <w:top w:val="none" w:sz="0" w:space="0" w:color="auto"/>
                        <w:left w:val="none" w:sz="0" w:space="0" w:color="auto"/>
                        <w:bottom w:val="none" w:sz="0" w:space="0" w:color="auto"/>
                        <w:right w:val="none" w:sz="0" w:space="0" w:color="auto"/>
                      </w:divBdr>
                    </w:div>
                  </w:divsChild>
                </w:div>
                <w:div w:id="1186942332">
                  <w:marLeft w:val="0"/>
                  <w:marRight w:val="0"/>
                  <w:marTop w:val="0"/>
                  <w:marBottom w:val="0"/>
                  <w:divBdr>
                    <w:top w:val="none" w:sz="0" w:space="0" w:color="auto"/>
                    <w:left w:val="none" w:sz="0" w:space="0" w:color="auto"/>
                    <w:bottom w:val="none" w:sz="0" w:space="0" w:color="auto"/>
                    <w:right w:val="none" w:sz="0" w:space="0" w:color="auto"/>
                  </w:divBdr>
                  <w:divsChild>
                    <w:div w:id="439184940">
                      <w:marLeft w:val="0"/>
                      <w:marRight w:val="0"/>
                      <w:marTop w:val="0"/>
                      <w:marBottom w:val="0"/>
                      <w:divBdr>
                        <w:top w:val="none" w:sz="0" w:space="0" w:color="auto"/>
                        <w:left w:val="none" w:sz="0" w:space="0" w:color="auto"/>
                        <w:bottom w:val="none" w:sz="0" w:space="0" w:color="auto"/>
                        <w:right w:val="none" w:sz="0" w:space="0" w:color="auto"/>
                      </w:divBdr>
                    </w:div>
                  </w:divsChild>
                </w:div>
                <w:div w:id="1203782596">
                  <w:marLeft w:val="0"/>
                  <w:marRight w:val="0"/>
                  <w:marTop w:val="0"/>
                  <w:marBottom w:val="0"/>
                  <w:divBdr>
                    <w:top w:val="none" w:sz="0" w:space="0" w:color="auto"/>
                    <w:left w:val="none" w:sz="0" w:space="0" w:color="auto"/>
                    <w:bottom w:val="none" w:sz="0" w:space="0" w:color="auto"/>
                    <w:right w:val="none" w:sz="0" w:space="0" w:color="auto"/>
                  </w:divBdr>
                  <w:divsChild>
                    <w:div w:id="648754945">
                      <w:marLeft w:val="0"/>
                      <w:marRight w:val="0"/>
                      <w:marTop w:val="0"/>
                      <w:marBottom w:val="0"/>
                      <w:divBdr>
                        <w:top w:val="none" w:sz="0" w:space="0" w:color="auto"/>
                        <w:left w:val="none" w:sz="0" w:space="0" w:color="auto"/>
                        <w:bottom w:val="none" w:sz="0" w:space="0" w:color="auto"/>
                        <w:right w:val="none" w:sz="0" w:space="0" w:color="auto"/>
                      </w:divBdr>
                    </w:div>
                  </w:divsChild>
                </w:div>
                <w:div w:id="1247690274">
                  <w:marLeft w:val="0"/>
                  <w:marRight w:val="0"/>
                  <w:marTop w:val="0"/>
                  <w:marBottom w:val="0"/>
                  <w:divBdr>
                    <w:top w:val="none" w:sz="0" w:space="0" w:color="auto"/>
                    <w:left w:val="none" w:sz="0" w:space="0" w:color="auto"/>
                    <w:bottom w:val="none" w:sz="0" w:space="0" w:color="auto"/>
                    <w:right w:val="none" w:sz="0" w:space="0" w:color="auto"/>
                  </w:divBdr>
                  <w:divsChild>
                    <w:div w:id="2117753797">
                      <w:marLeft w:val="0"/>
                      <w:marRight w:val="0"/>
                      <w:marTop w:val="0"/>
                      <w:marBottom w:val="0"/>
                      <w:divBdr>
                        <w:top w:val="none" w:sz="0" w:space="0" w:color="auto"/>
                        <w:left w:val="none" w:sz="0" w:space="0" w:color="auto"/>
                        <w:bottom w:val="none" w:sz="0" w:space="0" w:color="auto"/>
                        <w:right w:val="none" w:sz="0" w:space="0" w:color="auto"/>
                      </w:divBdr>
                    </w:div>
                  </w:divsChild>
                </w:div>
                <w:div w:id="1267545477">
                  <w:marLeft w:val="0"/>
                  <w:marRight w:val="0"/>
                  <w:marTop w:val="0"/>
                  <w:marBottom w:val="0"/>
                  <w:divBdr>
                    <w:top w:val="none" w:sz="0" w:space="0" w:color="auto"/>
                    <w:left w:val="none" w:sz="0" w:space="0" w:color="auto"/>
                    <w:bottom w:val="none" w:sz="0" w:space="0" w:color="auto"/>
                    <w:right w:val="none" w:sz="0" w:space="0" w:color="auto"/>
                  </w:divBdr>
                  <w:divsChild>
                    <w:div w:id="479662276">
                      <w:marLeft w:val="0"/>
                      <w:marRight w:val="0"/>
                      <w:marTop w:val="0"/>
                      <w:marBottom w:val="0"/>
                      <w:divBdr>
                        <w:top w:val="none" w:sz="0" w:space="0" w:color="auto"/>
                        <w:left w:val="none" w:sz="0" w:space="0" w:color="auto"/>
                        <w:bottom w:val="none" w:sz="0" w:space="0" w:color="auto"/>
                        <w:right w:val="none" w:sz="0" w:space="0" w:color="auto"/>
                      </w:divBdr>
                    </w:div>
                  </w:divsChild>
                </w:div>
                <w:div w:id="1269003872">
                  <w:marLeft w:val="0"/>
                  <w:marRight w:val="0"/>
                  <w:marTop w:val="0"/>
                  <w:marBottom w:val="0"/>
                  <w:divBdr>
                    <w:top w:val="none" w:sz="0" w:space="0" w:color="auto"/>
                    <w:left w:val="none" w:sz="0" w:space="0" w:color="auto"/>
                    <w:bottom w:val="none" w:sz="0" w:space="0" w:color="auto"/>
                    <w:right w:val="none" w:sz="0" w:space="0" w:color="auto"/>
                  </w:divBdr>
                  <w:divsChild>
                    <w:div w:id="1546067111">
                      <w:marLeft w:val="0"/>
                      <w:marRight w:val="0"/>
                      <w:marTop w:val="0"/>
                      <w:marBottom w:val="0"/>
                      <w:divBdr>
                        <w:top w:val="none" w:sz="0" w:space="0" w:color="auto"/>
                        <w:left w:val="none" w:sz="0" w:space="0" w:color="auto"/>
                        <w:bottom w:val="none" w:sz="0" w:space="0" w:color="auto"/>
                        <w:right w:val="none" w:sz="0" w:space="0" w:color="auto"/>
                      </w:divBdr>
                    </w:div>
                  </w:divsChild>
                </w:div>
                <w:div w:id="1276323687">
                  <w:marLeft w:val="0"/>
                  <w:marRight w:val="0"/>
                  <w:marTop w:val="0"/>
                  <w:marBottom w:val="0"/>
                  <w:divBdr>
                    <w:top w:val="none" w:sz="0" w:space="0" w:color="auto"/>
                    <w:left w:val="none" w:sz="0" w:space="0" w:color="auto"/>
                    <w:bottom w:val="none" w:sz="0" w:space="0" w:color="auto"/>
                    <w:right w:val="none" w:sz="0" w:space="0" w:color="auto"/>
                  </w:divBdr>
                  <w:divsChild>
                    <w:div w:id="478034349">
                      <w:marLeft w:val="0"/>
                      <w:marRight w:val="0"/>
                      <w:marTop w:val="0"/>
                      <w:marBottom w:val="0"/>
                      <w:divBdr>
                        <w:top w:val="none" w:sz="0" w:space="0" w:color="auto"/>
                        <w:left w:val="none" w:sz="0" w:space="0" w:color="auto"/>
                        <w:bottom w:val="none" w:sz="0" w:space="0" w:color="auto"/>
                        <w:right w:val="none" w:sz="0" w:space="0" w:color="auto"/>
                      </w:divBdr>
                    </w:div>
                  </w:divsChild>
                </w:div>
                <w:div w:id="1279722650">
                  <w:marLeft w:val="0"/>
                  <w:marRight w:val="0"/>
                  <w:marTop w:val="0"/>
                  <w:marBottom w:val="0"/>
                  <w:divBdr>
                    <w:top w:val="none" w:sz="0" w:space="0" w:color="auto"/>
                    <w:left w:val="none" w:sz="0" w:space="0" w:color="auto"/>
                    <w:bottom w:val="none" w:sz="0" w:space="0" w:color="auto"/>
                    <w:right w:val="none" w:sz="0" w:space="0" w:color="auto"/>
                  </w:divBdr>
                  <w:divsChild>
                    <w:div w:id="24722381">
                      <w:marLeft w:val="0"/>
                      <w:marRight w:val="0"/>
                      <w:marTop w:val="0"/>
                      <w:marBottom w:val="0"/>
                      <w:divBdr>
                        <w:top w:val="none" w:sz="0" w:space="0" w:color="auto"/>
                        <w:left w:val="none" w:sz="0" w:space="0" w:color="auto"/>
                        <w:bottom w:val="none" w:sz="0" w:space="0" w:color="auto"/>
                        <w:right w:val="none" w:sz="0" w:space="0" w:color="auto"/>
                      </w:divBdr>
                    </w:div>
                  </w:divsChild>
                </w:div>
                <w:div w:id="1287159278">
                  <w:marLeft w:val="0"/>
                  <w:marRight w:val="0"/>
                  <w:marTop w:val="0"/>
                  <w:marBottom w:val="0"/>
                  <w:divBdr>
                    <w:top w:val="none" w:sz="0" w:space="0" w:color="auto"/>
                    <w:left w:val="none" w:sz="0" w:space="0" w:color="auto"/>
                    <w:bottom w:val="none" w:sz="0" w:space="0" w:color="auto"/>
                    <w:right w:val="none" w:sz="0" w:space="0" w:color="auto"/>
                  </w:divBdr>
                  <w:divsChild>
                    <w:div w:id="1644044799">
                      <w:marLeft w:val="0"/>
                      <w:marRight w:val="0"/>
                      <w:marTop w:val="0"/>
                      <w:marBottom w:val="0"/>
                      <w:divBdr>
                        <w:top w:val="none" w:sz="0" w:space="0" w:color="auto"/>
                        <w:left w:val="none" w:sz="0" w:space="0" w:color="auto"/>
                        <w:bottom w:val="none" w:sz="0" w:space="0" w:color="auto"/>
                        <w:right w:val="none" w:sz="0" w:space="0" w:color="auto"/>
                      </w:divBdr>
                    </w:div>
                  </w:divsChild>
                </w:div>
                <w:div w:id="1304501332">
                  <w:marLeft w:val="0"/>
                  <w:marRight w:val="0"/>
                  <w:marTop w:val="0"/>
                  <w:marBottom w:val="0"/>
                  <w:divBdr>
                    <w:top w:val="none" w:sz="0" w:space="0" w:color="auto"/>
                    <w:left w:val="none" w:sz="0" w:space="0" w:color="auto"/>
                    <w:bottom w:val="none" w:sz="0" w:space="0" w:color="auto"/>
                    <w:right w:val="none" w:sz="0" w:space="0" w:color="auto"/>
                  </w:divBdr>
                  <w:divsChild>
                    <w:div w:id="1452481964">
                      <w:marLeft w:val="0"/>
                      <w:marRight w:val="0"/>
                      <w:marTop w:val="0"/>
                      <w:marBottom w:val="0"/>
                      <w:divBdr>
                        <w:top w:val="none" w:sz="0" w:space="0" w:color="auto"/>
                        <w:left w:val="none" w:sz="0" w:space="0" w:color="auto"/>
                        <w:bottom w:val="none" w:sz="0" w:space="0" w:color="auto"/>
                        <w:right w:val="none" w:sz="0" w:space="0" w:color="auto"/>
                      </w:divBdr>
                    </w:div>
                  </w:divsChild>
                </w:div>
                <w:div w:id="1312518193">
                  <w:marLeft w:val="0"/>
                  <w:marRight w:val="0"/>
                  <w:marTop w:val="0"/>
                  <w:marBottom w:val="0"/>
                  <w:divBdr>
                    <w:top w:val="none" w:sz="0" w:space="0" w:color="auto"/>
                    <w:left w:val="none" w:sz="0" w:space="0" w:color="auto"/>
                    <w:bottom w:val="none" w:sz="0" w:space="0" w:color="auto"/>
                    <w:right w:val="none" w:sz="0" w:space="0" w:color="auto"/>
                  </w:divBdr>
                  <w:divsChild>
                    <w:div w:id="1593971582">
                      <w:marLeft w:val="0"/>
                      <w:marRight w:val="0"/>
                      <w:marTop w:val="0"/>
                      <w:marBottom w:val="0"/>
                      <w:divBdr>
                        <w:top w:val="none" w:sz="0" w:space="0" w:color="auto"/>
                        <w:left w:val="none" w:sz="0" w:space="0" w:color="auto"/>
                        <w:bottom w:val="none" w:sz="0" w:space="0" w:color="auto"/>
                        <w:right w:val="none" w:sz="0" w:space="0" w:color="auto"/>
                      </w:divBdr>
                    </w:div>
                  </w:divsChild>
                </w:div>
                <w:div w:id="1324312918">
                  <w:marLeft w:val="0"/>
                  <w:marRight w:val="0"/>
                  <w:marTop w:val="0"/>
                  <w:marBottom w:val="0"/>
                  <w:divBdr>
                    <w:top w:val="none" w:sz="0" w:space="0" w:color="auto"/>
                    <w:left w:val="none" w:sz="0" w:space="0" w:color="auto"/>
                    <w:bottom w:val="none" w:sz="0" w:space="0" w:color="auto"/>
                    <w:right w:val="none" w:sz="0" w:space="0" w:color="auto"/>
                  </w:divBdr>
                  <w:divsChild>
                    <w:div w:id="491877036">
                      <w:marLeft w:val="0"/>
                      <w:marRight w:val="0"/>
                      <w:marTop w:val="0"/>
                      <w:marBottom w:val="0"/>
                      <w:divBdr>
                        <w:top w:val="none" w:sz="0" w:space="0" w:color="auto"/>
                        <w:left w:val="none" w:sz="0" w:space="0" w:color="auto"/>
                        <w:bottom w:val="none" w:sz="0" w:space="0" w:color="auto"/>
                        <w:right w:val="none" w:sz="0" w:space="0" w:color="auto"/>
                      </w:divBdr>
                    </w:div>
                  </w:divsChild>
                </w:div>
                <w:div w:id="1324967039">
                  <w:marLeft w:val="0"/>
                  <w:marRight w:val="0"/>
                  <w:marTop w:val="0"/>
                  <w:marBottom w:val="0"/>
                  <w:divBdr>
                    <w:top w:val="none" w:sz="0" w:space="0" w:color="auto"/>
                    <w:left w:val="none" w:sz="0" w:space="0" w:color="auto"/>
                    <w:bottom w:val="none" w:sz="0" w:space="0" w:color="auto"/>
                    <w:right w:val="none" w:sz="0" w:space="0" w:color="auto"/>
                  </w:divBdr>
                  <w:divsChild>
                    <w:div w:id="1540363000">
                      <w:marLeft w:val="0"/>
                      <w:marRight w:val="0"/>
                      <w:marTop w:val="0"/>
                      <w:marBottom w:val="0"/>
                      <w:divBdr>
                        <w:top w:val="none" w:sz="0" w:space="0" w:color="auto"/>
                        <w:left w:val="none" w:sz="0" w:space="0" w:color="auto"/>
                        <w:bottom w:val="none" w:sz="0" w:space="0" w:color="auto"/>
                        <w:right w:val="none" w:sz="0" w:space="0" w:color="auto"/>
                      </w:divBdr>
                    </w:div>
                  </w:divsChild>
                </w:div>
                <w:div w:id="1341616789">
                  <w:marLeft w:val="0"/>
                  <w:marRight w:val="0"/>
                  <w:marTop w:val="0"/>
                  <w:marBottom w:val="0"/>
                  <w:divBdr>
                    <w:top w:val="none" w:sz="0" w:space="0" w:color="auto"/>
                    <w:left w:val="none" w:sz="0" w:space="0" w:color="auto"/>
                    <w:bottom w:val="none" w:sz="0" w:space="0" w:color="auto"/>
                    <w:right w:val="none" w:sz="0" w:space="0" w:color="auto"/>
                  </w:divBdr>
                  <w:divsChild>
                    <w:div w:id="417479616">
                      <w:marLeft w:val="0"/>
                      <w:marRight w:val="0"/>
                      <w:marTop w:val="0"/>
                      <w:marBottom w:val="0"/>
                      <w:divBdr>
                        <w:top w:val="none" w:sz="0" w:space="0" w:color="auto"/>
                        <w:left w:val="none" w:sz="0" w:space="0" w:color="auto"/>
                        <w:bottom w:val="none" w:sz="0" w:space="0" w:color="auto"/>
                        <w:right w:val="none" w:sz="0" w:space="0" w:color="auto"/>
                      </w:divBdr>
                    </w:div>
                  </w:divsChild>
                </w:div>
                <w:div w:id="1367632181">
                  <w:marLeft w:val="0"/>
                  <w:marRight w:val="0"/>
                  <w:marTop w:val="0"/>
                  <w:marBottom w:val="0"/>
                  <w:divBdr>
                    <w:top w:val="none" w:sz="0" w:space="0" w:color="auto"/>
                    <w:left w:val="none" w:sz="0" w:space="0" w:color="auto"/>
                    <w:bottom w:val="none" w:sz="0" w:space="0" w:color="auto"/>
                    <w:right w:val="none" w:sz="0" w:space="0" w:color="auto"/>
                  </w:divBdr>
                  <w:divsChild>
                    <w:div w:id="1374966321">
                      <w:marLeft w:val="0"/>
                      <w:marRight w:val="0"/>
                      <w:marTop w:val="0"/>
                      <w:marBottom w:val="0"/>
                      <w:divBdr>
                        <w:top w:val="none" w:sz="0" w:space="0" w:color="auto"/>
                        <w:left w:val="none" w:sz="0" w:space="0" w:color="auto"/>
                        <w:bottom w:val="none" w:sz="0" w:space="0" w:color="auto"/>
                        <w:right w:val="none" w:sz="0" w:space="0" w:color="auto"/>
                      </w:divBdr>
                    </w:div>
                  </w:divsChild>
                </w:div>
                <w:div w:id="1373503967">
                  <w:marLeft w:val="0"/>
                  <w:marRight w:val="0"/>
                  <w:marTop w:val="0"/>
                  <w:marBottom w:val="0"/>
                  <w:divBdr>
                    <w:top w:val="none" w:sz="0" w:space="0" w:color="auto"/>
                    <w:left w:val="none" w:sz="0" w:space="0" w:color="auto"/>
                    <w:bottom w:val="none" w:sz="0" w:space="0" w:color="auto"/>
                    <w:right w:val="none" w:sz="0" w:space="0" w:color="auto"/>
                  </w:divBdr>
                  <w:divsChild>
                    <w:div w:id="561139129">
                      <w:marLeft w:val="0"/>
                      <w:marRight w:val="0"/>
                      <w:marTop w:val="0"/>
                      <w:marBottom w:val="0"/>
                      <w:divBdr>
                        <w:top w:val="none" w:sz="0" w:space="0" w:color="auto"/>
                        <w:left w:val="none" w:sz="0" w:space="0" w:color="auto"/>
                        <w:bottom w:val="none" w:sz="0" w:space="0" w:color="auto"/>
                        <w:right w:val="none" w:sz="0" w:space="0" w:color="auto"/>
                      </w:divBdr>
                    </w:div>
                  </w:divsChild>
                </w:div>
                <w:div w:id="1378894801">
                  <w:marLeft w:val="0"/>
                  <w:marRight w:val="0"/>
                  <w:marTop w:val="0"/>
                  <w:marBottom w:val="0"/>
                  <w:divBdr>
                    <w:top w:val="none" w:sz="0" w:space="0" w:color="auto"/>
                    <w:left w:val="none" w:sz="0" w:space="0" w:color="auto"/>
                    <w:bottom w:val="none" w:sz="0" w:space="0" w:color="auto"/>
                    <w:right w:val="none" w:sz="0" w:space="0" w:color="auto"/>
                  </w:divBdr>
                  <w:divsChild>
                    <w:div w:id="799499370">
                      <w:marLeft w:val="0"/>
                      <w:marRight w:val="0"/>
                      <w:marTop w:val="0"/>
                      <w:marBottom w:val="0"/>
                      <w:divBdr>
                        <w:top w:val="none" w:sz="0" w:space="0" w:color="auto"/>
                        <w:left w:val="none" w:sz="0" w:space="0" w:color="auto"/>
                        <w:bottom w:val="none" w:sz="0" w:space="0" w:color="auto"/>
                        <w:right w:val="none" w:sz="0" w:space="0" w:color="auto"/>
                      </w:divBdr>
                    </w:div>
                  </w:divsChild>
                </w:div>
                <w:div w:id="1380740563">
                  <w:marLeft w:val="0"/>
                  <w:marRight w:val="0"/>
                  <w:marTop w:val="0"/>
                  <w:marBottom w:val="0"/>
                  <w:divBdr>
                    <w:top w:val="none" w:sz="0" w:space="0" w:color="auto"/>
                    <w:left w:val="none" w:sz="0" w:space="0" w:color="auto"/>
                    <w:bottom w:val="none" w:sz="0" w:space="0" w:color="auto"/>
                    <w:right w:val="none" w:sz="0" w:space="0" w:color="auto"/>
                  </w:divBdr>
                  <w:divsChild>
                    <w:div w:id="367412081">
                      <w:marLeft w:val="0"/>
                      <w:marRight w:val="0"/>
                      <w:marTop w:val="0"/>
                      <w:marBottom w:val="0"/>
                      <w:divBdr>
                        <w:top w:val="none" w:sz="0" w:space="0" w:color="auto"/>
                        <w:left w:val="none" w:sz="0" w:space="0" w:color="auto"/>
                        <w:bottom w:val="none" w:sz="0" w:space="0" w:color="auto"/>
                        <w:right w:val="none" w:sz="0" w:space="0" w:color="auto"/>
                      </w:divBdr>
                    </w:div>
                  </w:divsChild>
                </w:div>
                <w:div w:id="1394541385">
                  <w:marLeft w:val="0"/>
                  <w:marRight w:val="0"/>
                  <w:marTop w:val="0"/>
                  <w:marBottom w:val="0"/>
                  <w:divBdr>
                    <w:top w:val="none" w:sz="0" w:space="0" w:color="auto"/>
                    <w:left w:val="none" w:sz="0" w:space="0" w:color="auto"/>
                    <w:bottom w:val="none" w:sz="0" w:space="0" w:color="auto"/>
                    <w:right w:val="none" w:sz="0" w:space="0" w:color="auto"/>
                  </w:divBdr>
                  <w:divsChild>
                    <w:div w:id="2122065451">
                      <w:marLeft w:val="0"/>
                      <w:marRight w:val="0"/>
                      <w:marTop w:val="0"/>
                      <w:marBottom w:val="0"/>
                      <w:divBdr>
                        <w:top w:val="none" w:sz="0" w:space="0" w:color="auto"/>
                        <w:left w:val="none" w:sz="0" w:space="0" w:color="auto"/>
                        <w:bottom w:val="none" w:sz="0" w:space="0" w:color="auto"/>
                        <w:right w:val="none" w:sz="0" w:space="0" w:color="auto"/>
                      </w:divBdr>
                    </w:div>
                  </w:divsChild>
                </w:div>
                <w:div w:id="1418670778">
                  <w:marLeft w:val="0"/>
                  <w:marRight w:val="0"/>
                  <w:marTop w:val="0"/>
                  <w:marBottom w:val="0"/>
                  <w:divBdr>
                    <w:top w:val="none" w:sz="0" w:space="0" w:color="auto"/>
                    <w:left w:val="none" w:sz="0" w:space="0" w:color="auto"/>
                    <w:bottom w:val="none" w:sz="0" w:space="0" w:color="auto"/>
                    <w:right w:val="none" w:sz="0" w:space="0" w:color="auto"/>
                  </w:divBdr>
                  <w:divsChild>
                    <w:div w:id="1883790311">
                      <w:marLeft w:val="0"/>
                      <w:marRight w:val="0"/>
                      <w:marTop w:val="0"/>
                      <w:marBottom w:val="0"/>
                      <w:divBdr>
                        <w:top w:val="none" w:sz="0" w:space="0" w:color="auto"/>
                        <w:left w:val="none" w:sz="0" w:space="0" w:color="auto"/>
                        <w:bottom w:val="none" w:sz="0" w:space="0" w:color="auto"/>
                        <w:right w:val="none" w:sz="0" w:space="0" w:color="auto"/>
                      </w:divBdr>
                    </w:div>
                  </w:divsChild>
                </w:div>
                <w:div w:id="1425109711">
                  <w:marLeft w:val="0"/>
                  <w:marRight w:val="0"/>
                  <w:marTop w:val="0"/>
                  <w:marBottom w:val="0"/>
                  <w:divBdr>
                    <w:top w:val="none" w:sz="0" w:space="0" w:color="auto"/>
                    <w:left w:val="none" w:sz="0" w:space="0" w:color="auto"/>
                    <w:bottom w:val="none" w:sz="0" w:space="0" w:color="auto"/>
                    <w:right w:val="none" w:sz="0" w:space="0" w:color="auto"/>
                  </w:divBdr>
                  <w:divsChild>
                    <w:div w:id="1634796466">
                      <w:marLeft w:val="0"/>
                      <w:marRight w:val="0"/>
                      <w:marTop w:val="0"/>
                      <w:marBottom w:val="0"/>
                      <w:divBdr>
                        <w:top w:val="none" w:sz="0" w:space="0" w:color="auto"/>
                        <w:left w:val="none" w:sz="0" w:space="0" w:color="auto"/>
                        <w:bottom w:val="none" w:sz="0" w:space="0" w:color="auto"/>
                        <w:right w:val="none" w:sz="0" w:space="0" w:color="auto"/>
                      </w:divBdr>
                    </w:div>
                  </w:divsChild>
                </w:div>
                <w:div w:id="1430809154">
                  <w:marLeft w:val="0"/>
                  <w:marRight w:val="0"/>
                  <w:marTop w:val="0"/>
                  <w:marBottom w:val="0"/>
                  <w:divBdr>
                    <w:top w:val="none" w:sz="0" w:space="0" w:color="auto"/>
                    <w:left w:val="none" w:sz="0" w:space="0" w:color="auto"/>
                    <w:bottom w:val="none" w:sz="0" w:space="0" w:color="auto"/>
                    <w:right w:val="none" w:sz="0" w:space="0" w:color="auto"/>
                  </w:divBdr>
                  <w:divsChild>
                    <w:div w:id="335808118">
                      <w:marLeft w:val="0"/>
                      <w:marRight w:val="0"/>
                      <w:marTop w:val="0"/>
                      <w:marBottom w:val="0"/>
                      <w:divBdr>
                        <w:top w:val="none" w:sz="0" w:space="0" w:color="auto"/>
                        <w:left w:val="none" w:sz="0" w:space="0" w:color="auto"/>
                        <w:bottom w:val="none" w:sz="0" w:space="0" w:color="auto"/>
                        <w:right w:val="none" w:sz="0" w:space="0" w:color="auto"/>
                      </w:divBdr>
                    </w:div>
                  </w:divsChild>
                </w:div>
                <w:div w:id="1454521634">
                  <w:marLeft w:val="0"/>
                  <w:marRight w:val="0"/>
                  <w:marTop w:val="0"/>
                  <w:marBottom w:val="0"/>
                  <w:divBdr>
                    <w:top w:val="none" w:sz="0" w:space="0" w:color="auto"/>
                    <w:left w:val="none" w:sz="0" w:space="0" w:color="auto"/>
                    <w:bottom w:val="none" w:sz="0" w:space="0" w:color="auto"/>
                    <w:right w:val="none" w:sz="0" w:space="0" w:color="auto"/>
                  </w:divBdr>
                  <w:divsChild>
                    <w:div w:id="1409503410">
                      <w:marLeft w:val="0"/>
                      <w:marRight w:val="0"/>
                      <w:marTop w:val="0"/>
                      <w:marBottom w:val="0"/>
                      <w:divBdr>
                        <w:top w:val="none" w:sz="0" w:space="0" w:color="auto"/>
                        <w:left w:val="none" w:sz="0" w:space="0" w:color="auto"/>
                        <w:bottom w:val="none" w:sz="0" w:space="0" w:color="auto"/>
                        <w:right w:val="none" w:sz="0" w:space="0" w:color="auto"/>
                      </w:divBdr>
                    </w:div>
                  </w:divsChild>
                </w:div>
                <w:div w:id="1483039461">
                  <w:marLeft w:val="0"/>
                  <w:marRight w:val="0"/>
                  <w:marTop w:val="0"/>
                  <w:marBottom w:val="0"/>
                  <w:divBdr>
                    <w:top w:val="none" w:sz="0" w:space="0" w:color="auto"/>
                    <w:left w:val="none" w:sz="0" w:space="0" w:color="auto"/>
                    <w:bottom w:val="none" w:sz="0" w:space="0" w:color="auto"/>
                    <w:right w:val="none" w:sz="0" w:space="0" w:color="auto"/>
                  </w:divBdr>
                  <w:divsChild>
                    <w:div w:id="288702651">
                      <w:marLeft w:val="0"/>
                      <w:marRight w:val="0"/>
                      <w:marTop w:val="0"/>
                      <w:marBottom w:val="0"/>
                      <w:divBdr>
                        <w:top w:val="none" w:sz="0" w:space="0" w:color="auto"/>
                        <w:left w:val="none" w:sz="0" w:space="0" w:color="auto"/>
                        <w:bottom w:val="none" w:sz="0" w:space="0" w:color="auto"/>
                        <w:right w:val="none" w:sz="0" w:space="0" w:color="auto"/>
                      </w:divBdr>
                    </w:div>
                  </w:divsChild>
                </w:div>
                <w:div w:id="1490361589">
                  <w:marLeft w:val="0"/>
                  <w:marRight w:val="0"/>
                  <w:marTop w:val="0"/>
                  <w:marBottom w:val="0"/>
                  <w:divBdr>
                    <w:top w:val="none" w:sz="0" w:space="0" w:color="auto"/>
                    <w:left w:val="none" w:sz="0" w:space="0" w:color="auto"/>
                    <w:bottom w:val="none" w:sz="0" w:space="0" w:color="auto"/>
                    <w:right w:val="none" w:sz="0" w:space="0" w:color="auto"/>
                  </w:divBdr>
                  <w:divsChild>
                    <w:div w:id="928730116">
                      <w:marLeft w:val="0"/>
                      <w:marRight w:val="0"/>
                      <w:marTop w:val="0"/>
                      <w:marBottom w:val="0"/>
                      <w:divBdr>
                        <w:top w:val="none" w:sz="0" w:space="0" w:color="auto"/>
                        <w:left w:val="none" w:sz="0" w:space="0" w:color="auto"/>
                        <w:bottom w:val="none" w:sz="0" w:space="0" w:color="auto"/>
                        <w:right w:val="none" w:sz="0" w:space="0" w:color="auto"/>
                      </w:divBdr>
                    </w:div>
                  </w:divsChild>
                </w:div>
                <w:div w:id="1522233915">
                  <w:marLeft w:val="0"/>
                  <w:marRight w:val="0"/>
                  <w:marTop w:val="0"/>
                  <w:marBottom w:val="0"/>
                  <w:divBdr>
                    <w:top w:val="none" w:sz="0" w:space="0" w:color="auto"/>
                    <w:left w:val="none" w:sz="0" w:space="0" w:color="auto"/>
                    <w:bottom w:val="none" w:sz="0" w:space="0" w:color="auto"/>
                    <w:right w:val="none" w:sz="0" w:space="0" w:color="auto"/>
                  </w:divBdr>
                  <w:divsChild>
                    <w:div w:id="1676685848">
                      <w:marLeft w:val="0"/>
                      <w:marRight w:val="0"/>
                      <w:marTop w:val="0"/>
                      <w:marBottom w:val="0"/>
                      <w:divBdr>
                        <w:top w:val="none" w:sz="0" w:space="0" w:color="auto"/>
                        <w:left w:val="none" w:sz="0" w:space="0" w:color="auto"/>
                        <w:bottom w:val="none" w:sz="0" w:space="0" w:color="auto"/>
                        <w:right w:val="none" w:sz="0" w:space="0" w:color="auto"/>
                      </w:divBdr>
                    </w:div>
                  </w:divsChild>
                </w:div>
                <w:div w:id="1524318607">
                  <w:marLeft w:val="0"/>
                  <w:marRight w:val="0"/>
                  <w:marTop w:val="0"/>
                  <w:marBottom w:val="0"/>
                  <w:divBdr>
                    <w:top w:val="none" w:sz="0" w:space="0" w:color="auto"/>
                    <w:left w:val="none" w:sz="0" w:space="0" w:color="auto"/>
                    <w:bottom w:val="none" w:sz="0" w:space="0" w:color="auto"/>
                    <w:right w:val="none" w:sz="0" w:space="0" w:color="auto"/>
                  </w:divBdr>
                  <w:divsChild>
                    <w:div w:id="1148668332">
                      <w:marLeft w:val="0"/>
                      <w:marRight w:val="0"/>
                      <w:marTop w:val="0"/>
                      <w:marBottom w:val="0"/>
                      <w:divBdr>
                        <w:top w:val="none" w:sz="0" w:space="0" w:color="auto"/>
                        <w:left w:val="none" w:sz="0" w:space="0" w:color="auto"/>
                        <w:bottom w:val="none" w:sz="0" w:space="0" w:color="auto"/>
                        <w:right w:val="none" w:sz="0" w:space="0" w:color="auto"/>
                      </w:divBdr>
                    </w:div>
                  </w:divsChild>
                </w:div>
                <w:div w:id="1531526353">
                  <w:marLeft w:val="0"/>
                  <w:marRight w:val="0"/>
                  <w:marTop w:val="0"/>
                  <w:marBottom w:val="0"/>
                  <w:divBdr>
                    <w:top w:val="none" w:sz="0" w:space="0" w:color="auto"/>
                    <w:left w:val="none" w:sz="0" w:space="0" w:color="auto"/>
                    <w:bottom w:val="none" w:sz="0" w:space="0" w:color="auto"/>
                    <w:right w:val="none" w:sz="0" w:space="0" w:color="auto"/>
                  </w:divBdr>
                  <w:divsChild>
                    <w:div w:id="773865816">
                      <w:marLeft w:val="0"/>
                      <w:marRight w:val="0"/>
                      <w:marTop w:val="0"/>
                      <w:marBottom w:val="0"/>
                      <w:divBdr>
                        <w:top w:val="none" w:sz="0" w:space="0" w:color="auto"/>
                        <w:left w:val="none" w:sz="0" w:space="0" w:color="auto"/>
                        <w:bottom w:val="none" w:sz="0" w:space="0" w:color="auto"/>
                        <w:right w:val="none" w:sz="0" w:space="0" w:color="auto"/>
                      </w:divBdr>
                    </w:div>
                  </w:divsChild>
                </w:div>
                <w:div w:id="1556624379">
                  <w:marLeft w:val="0"/>
                  <w:marRight w:val="0"/>
                  <w:marTop w:val="0"/>
                  <w:marBottom w:val="0"/>
                  <w:divBdr>
                    <w:top w:val="none" w:sz="0" w:space="0" w:color="auto"/>
                    <w:left w:val="none" w:sz="0" w:space="0" w:color="auto"/>
                    <w:bottom w:val="none" w:sz="0" w:space="0" w:color="auto"/>
                    <w:right w:val="none" w:sz="0" w:space="0" w:color="auto"/>
                  </w:divBdr>
                  <w:divsChild>
                    <w:div w:id="1571772478">
                      <w:marLeft w:val="0"/>
                      <w:marRight w:val="0"/>
                      <w:marTop w:val="0"/>
                      <w:marBottom w:val="0"/>
                      <w:divBdr>
                        <w:top w:val="none" w:sz="0" w:space="0" w:color="auto"/>
                        <w:left w:val="none" w:sz="0" w:space="0" w:color="auto"/>
                        <w:bottom w:val="none" w:sz="0" w:space="0" w:color="auto"/>
                        <w:right w:val="none" w:sz="0" w:space="0" w:color="auto"/>
                      </w:divBdr>
                    </w:div>
                  </w:divsChild>
                </w:div>
                <w:div w:id="1566913408">
                  <w:marLeft w:val="0"/>
                  <w:marRight w:val="0"/>
                  <w:marTop w:val="0"/>
                  <w:marBottom w:val="0"/>
                  <w:divBdr>
                    <w:top w:val="none" w:sz="0" w:space="0" w:color="auto"/>
                    <w:left w:val="none" w:sz="0" w:space="0" w:color="auto"/>
                    <w:bottom w:val="none" w:sz="0" w:space="0" w:color="auto"/>
                    <w:right w:val="none" w:sz="0" w:space="0" w:color="auto"/>
                  </w:divBdr>
                  <w:divsChild>
                    <w:div w:id="901211529">
                      <w:marLeft w:val="0"/>
                      <w:marRight w:val="0"/>
                      <w:marTop w:val="0"/>
                      <w:marBottom w:val="0"/>
                      <w:divBdr>
                        <w:top w:val="none" w:sz="0" w:space="0" w:color="auto"/>
                        <w:left w:val="none" w:sz="0" w:space="0" w:color="auto"/>
                        <w:bottom w:val="none" w:sz="0" w:space="0" w:color="auto"/>
                        <w:right w:val="none" w:sz="0" w:space="0" w:color="auto"/>
                      </w:divBdr>
                    </w:div>
                  </w:divsChild>
                </w:div>
                <w:div w:id="1571430197">
                  <w:marLeft w:val="0"/>
                  <w:marRight w:val="0"/>
                  <w:marTop w:val="0"/>
                  <w:marBottom w:val="0"/>
                  <w:divBdr>
                    <w:top w:val="none" w:sz="0" w:space="0" w:color="auto"/>
                    <w:left w:val="none" w:sz="0" w:space="0" w:color="auto"/>
                    <w:bottom w:val="none" w:sz="0" w:space="0" w:color="auto"/>
                    <w:right w:val="none" w:sz="0" w:space="0" w:color="auto"/>
                  </w:divBdr>
                  <w:divsChild>
                    <w:div w:id="1963026762">
                      <w:marLeft w:val="0"/>
                      <w:marRight w:val="0"/>
                      <w:marTop w:val="0"/>
                      <w:marBottom w:val="0"/>
                      <w:divBdr>
                        <w:top w:val="none" w:sz="0" w:space="0" w:color="auto"/>
                        <w:left w:val="none" w:sz="0" w:space="0" w:color="auto"/>
                        <w:bottom w:val="none" w:sz="0" w:space="0" w:color="auto"/>
                        <w:right w:val="none" w:sz="0" w:space="0" w:color="auto"/>
                      </w:divBdr>
                    </w:div>
                  </w:divsChild>
                </w:div>
                <w:div w:id="1574310443">
                  <w:marLeft w:val="0"/>
                  <w:marRight w:val="0"/>
                  <w:marTop w:val="0"/>
                  <w:marBottom w:val="0"/>
                  <w:divBdr>
                    <w:top w:val="none" w:sz="0" w:space="0" w:color="auto"/>
                    <w:left w:val="none" w:sz="0" w:space="0" w:color="auto"/>
                    <w:bottom w:val="none" w:sz="0" w:space="0" w:color="auto"/>
                    <w:right w:val="none" w:sz="0" w:space="0" w:color="auto"/>
                  </w:divBdr>
                  <w:divsChild>
                    <w:div w:id="1376664179">
                      <w:marLeft w:val="0"/>
                      <w:marRight w:val="0"/>
                      <w:marTop w:val="0"/>
                      <w:marBottom w:val="0"/>
                      <w:divBdr>
                        <w:top w:val="none" w:sz="0" w:space="0" w:color="auto"/>
                        <w:left w:val="none" w:sz="0" w:space="0" w:color="auto"/>
                        <w:bottom w:val="none" w:sz="0" w:space="0" w:color="auto"/>
                        <w:right w:val="none" w:sz="0" w:space="0" w:color="auto"/>
                      </w:divBdr>
                    </w:div>
                  </w:divsChild>
                </w:div>
                <w:div w:id="1576084490">
                  <w:marLeft w:val="0"/>
                  <w:marRight w:val="0"/>
                  <w:marTop w:val="0"/>
                  <w:marBottom w:val="0"/>
                  <w:divBdr>
                    <w:top w:val="none" w:sz="0" w:space="0" w:color="auto"/>
                    <w:left w:val="none" w:sz="0" w:space="0" w:color="auto"/>
                    <w:bottom w:val="none" w:sz="0" w:space="0" w:color="auto"/>
                    <w:right w:val="none" w:sz="0" w:space="0" w:color="auto"/>
                  </w:divBdr>
                  <w:divsChild>
                    <w:div w:id="1424910686">
                      <w:marLeft w:val="0"/>
                      <w:marRight w:val="0"/>
                      <w:marTop w:val="0"/>
                      <w:marBottom w:val="0"/>
                      <w:divBdr>
                        <w:top w:val="none" w:sz="0" w:space="0" w:color="auto"/>
                        <w:left w:val="none" w:sz="0" w:space="0" w:color="auto"/>
                        <w:bottom w:val="none" w:sz="0" w:space="0" w:color="auto"/>
                        <w:right w:val="none" w:sz="0" w:space="0" w:color="auto"/>
                      </w:divBdr>
                    </w:div>
                  </w:divsChild>
                </w:div>
                <w:div w:id="1588609809">
                  <w:marLeft w:val="0"/>
                  <w:marRight w:val="0"/>
                  <w:marTop w:val="0"/>
                  <w:marBottom w:val="0"/>
                  <w:divBdr>
                    <w:top w:val="none" w:sz="0" w:space="0" w:color="auto"/>
                    <w:left w:val="none" w:sz="0" w:space="0" w:color="auto"/>
                    <w:bottom w:val="none" w:sz="0" w:space="0" w:color="auto"/>
                    <w:right w:val="none" w:sz="0" w:space="0" w:color="auto"/>
                  </w:divBdr>
                  <w:divsChild>
                    <w:div w:id="801729422">
                      <w:marLeft w:val="0"/>
                      <w:marRight w:val="0"/>
                      <w:marTop w:val="0"/>
                      <w:marBottom w:val="0"/>
                      <w:divBdr>
                        <w:top w:val="none" w:sz="0" w:space="0" w:color="auto"/>
                        <w:left w:val="none" w:sz="0" w:space="0" w:color="auto"/>
                        <w:bottom w:val="none" w:sz="0" w:space="0" w:color="auto"/>
                        <w:right w:val="none" w:sz="0" w:space="0" w:color="auto"/>
                      </w:divBdr>
                    </w:div>
                  </w:divsChild>
                </w:div>
                <w:div w:id="1592591957">
                  <w:marLeft w:val="0"/>
                  <w:marRight w:val="0"/>
                  <w:marTop w:val="0"/>
                  <w:marBottom w:val="0"/>
                  <w:divBdr>
                    <w:top w:val="none" w:sz="0" w:space="0" w:color="auto"/>
                    <w:left w:val="none" w:sz="0" w:space="0" w:color="auto"/>
                    <w:bottom w:val="none" w:sz="0" w:space="0" w:color="auto"/>
                    <w:right w:val="none" w:sz="0" w:space="0" w:color="auto"/>
                  </w:divBdr>
                  <w:divsChild>
                    <w:div w:id="1226719693">
                      <w:marLeft w:val="0"/>
                      <w:marRight w:val="0"/>
                      <w:marTop w:val="0"/>
                      <w:marBottom w:val="0"/>
                      <w:divBdr>
                        <w:top w:val="none" w:sz="0" w:space="0" w:color="auto"/>
                        <w:left w:val="none" w:sz="0" w:space="0" w:color="auto"/>
                        <w:bottom w:val="none" w:sz="0" w:space="0" w:color="auto"/>
                        <w:right w:val="none" w:sz="0" w:space="0" w:color="auto"/>
                      </w:divBdr>
                    </w:div>
                  </w:divsChild>
                </w:div>
                <w:div w:id="1598903058">
                  <w:marLeft w:val="0"/>
                  <w:marRight w:val="0"/>
                  <w:marTop w:val="0"/>
                  <w:marBottom w:val="0"/>
                  <w:divBdr>
                    <w:top w:val="none" w:sz="0" w:space="0" w:color="auto"/>
                    <w:left w:val="none" w:sz="0" w:space="0" w:color="auto"/>
                    <w:bottom w:val="none" w:sz="0" w:space="0" w:color="auto"/>
                    <w:right w:val="none" w:sz="0" w:space="0" w:color="auto"/>
                  </w:divBdr>
                  <w:divsChild>
                    <w:div w:id="1448045801">
                      <w:marLeft w:val="0"/>
                      <w:marRight w:val="0"/>
                      <w:marTop w:val="0"/>
                      <w:marBottom w:val="0"/>
                      <w:divBdr>
                        <w:top w:val="none" w:sz="0" w:space="0" w:color="auto"/>
                        <w:left w:val="none" w:sz="0" w:space="0" w:color="auto"/>
                        <w:bottom w:val="none" w:sz="0" w:space="0" w:color="auto"/>
                        <w:right w:val="none" w:sz="0" w:space="0" w:color="auto"/>
                      </w:divBdr>
                    </w:div>
                  </w:divsChild>
                </w:div>
                <w:div w:id="1613585837">
                  <w:marLeft w:val="0"/>
                  <w:marRight w:val="0"/>
                  <w:marTop w:val="0"/>
                  <w:marBottom w:val="0"/>
                  <w:divBdr>
                    <w:top w:val="none" w:sz="0" w:space="0" w:color="auto"/>
                    <w:left w:val="none" w:sz="0" w:space="0" w:color="auto"/>
                    <w:bottom w:val="none" w:sz="0" w:space="0" w:color="auto"/>
                    <w:right w:val="none" w:sz="0" w:space="0" w:color="auto"/>
                  </w:divBdr>
                  <w:divsChild>
                    <w:div w:id="1053431448">
                      <w:marLeft w:val="0"/>
                      <w:marRight w:val="0"/>
                      <w:marTop w:val="0"/>
                      <w:marBottom w:val="0"/>
                      <w:divBdr>
                        <w:top w:val="none" w:sz="0" w:space="0" w:color="auto"/>
                        <w:left w:val="none" w:sz="0" w:space="0" w:color="auto"/>
                        <w:bottom w:val="none" w:sz="0" w:space="0" w:color="auto"/>
                        <w:right w:val="none" w:sz="0" w:space="0" w:color="auto"/>
                      </w:divBdr>
                    </w:div>
                  </w:divsChild>
                </w:div>
                <w:div w:id="1614942292">
                  <w:marLeft w:val="0"/>
                  <w:marRight w:val="0"/>
                  <w:marTop w:val="0"/>
                  <w:marBottom w:val="0"/>
                  <w:divBdr>
                    <w:top w:val="none" w:sz="0" w:space="0" w:color="auto"/>
                    <w:left w:val="none" w:sz="0" w:space="0" w:color="auto"/>
                    <w:bottom w:val="none" w:sz="0" w:space="0" w:color="auto"/>
                    <w:right w:val="none" w:sz="0" w:space="0" w:color="auto"/>
                  </w:divBdr>
                  <w:divsChild>
                    <w:div w:id="1328709140">
                      <w:marLeft w:val="0"/>
                      <w:marRight w:val="0"/>
                      <w:marTop w:val="0"/>
                      <w:marBottom w:val="0"/>
                      <w:divBdr>
                        <w:top w:val="none" w:sz="0" w:space="0" w:color="auto"/>
                        <w:left w:val="none" w:sz="0" w:space="0" w:color="auto"/>
                        <w:bottom w:val="none" w:sz="0" w:space="0" w:color="auto"/>
                        <w:right w:val="none" w:sz="0" w:space="0" w:color="auto"/>
                      </w:divBdr>
                    </w:div>
                  </w:divsChild>
                </w:div>
                <w:div w:id="1620523411">
                  <w:marLeft w:val="0"/>
                  <w:marRight w:val="0"/>
                  <w:marTop w:val="0"/>
                  <w:marBottom w:val="0"/>
                  <w:divBdr>
                    <w:top w:val="none" w:sz="0" w:space="0" w:color="auto"/>
                    <w:left w:val="none" w:sz="0" w:space="0" w:color="auto"/>
                    <w:bottom w:val="none" w:sz="0" w:space="0" w:color="auto"/>
                    <w:right w:val="none" w:sz="0" w:space="0" w:color="auto"/>
                  </w:divBdr>
                  <w:divsChild>
                    <w:div w:id="1702823005">
                      <w:marLeft w:val="0"/>
                      <w:marRight w:val="0"/>
                      <w:marTop w:val="0"/>
                      <w:marBottom w:val="0"/>
                      <w:divBdr>
                        <w:top w:val="none" w:sz="0" w:space="0" w:color="auto"/>
                        <w:left w:val="none" w:sz="0" w:space="0" w:color="auto"/>
                        <w:bottom w:val="none" w:sz="0" w:space="0" w:color="auto"/>
                        <w:right w:val="none" w:sz="0" w:space="0" w:color="auto"/>
                      </w:divBdr>
                    </w:div>
                  </w:divsChild>
                </w:div>
                <w:div w:id="1635599065">
                  <w:marLeft w:val="0"/>
                  <w:marRight w:val="0"/>
                  <w:marTop w:val="0"/>
                  <w:marBottom w:val="0"/>
                  <w:divBdr>
                    <w:top w:val="none" w:sz="0" w:space="0" w:color="auto"/>
                    <w:left w:val="none" w:sz="0" w:space="0" w:color="auto"/>
                    <w:bottom w:val="none" w:sz="0" w:space="0" w:color="auto"/>
                    <w:right w:val="none" w:sz="0" w:space="0" w:color="auto"/>
                  </w:divBdr>
                  <w:divsChild>
                    <w:div w:id="70125097">
                      <w:marLeft w:val="0"/>
                      <w:marRight w:val="0"/>
                      <w:marTop w:val="0"/>
                      <w:marBottom w:val="0"/>
                      <w:divBdr>
                        <w:top w:val="none" w:sz="0" w:space="0" w:color="auto"/>
                        <w:left w:val="none" w:sz="0" w:space="0" w:color="auto"/>
                        <w:bottom w:val="none" w:sz="0" w:space="0" w:color="auto"/>
                        <w:right w:val="none" w:sz="0" w:space="0" w:color="auto"/>
                      </w:divBdr>
                    </w:div>
                  </w:divsChild>
                </w:div>
                <w:div w:id="1643003945">
                  <w:marLeft w:val="0"/>
                  <w:marRight w:val="0"/>
                  <w:marTop w:val="0"/>
                  <w:marBottom w:val="0"/>
                  <w:divBdr>
                    <w:top w:val="none" w:sz="0" w:space="0" w:color="auto"/>
                    <w:left w:val="none" w:sz="0" w:space="0" w:color="auto"/>
                    <w:bottom w:val="none" w:sz="0" w:space="0" w:color="auto"/>
                    <w:right w:val="none" w:sz="0" w:space="0" w:color="auto"/>
                  </w:divBdr>
                  <w:divsChild>
                    <w:div w:id="652880581">
                      <w:marLeft w:val="0"/>
                      <w:marRight w:val="0"/>
                      <w:marTop w:val="0"/>
                      <w:marBottom w:val="0"/>
                      <w:divBdr>
                        <w:top w:val="none" w:sz="0" w:space="0" w:color="auto"/>
                        <w:left w:val="none" w:sz="0" w:space="0" w:color="auto"/>
                        <w:bottom w:val="none" w:sz="0" w:space="0" w:color="auto"/>
                        <w:right w:val="none" w:sz="0" w:space="0" w:color="auto"/>
                      </w:divBdr>
                    </w:div>
                  </w:divsChild>
                </w:div>
                <w:div w:id="1643273556">
                  <w:marLeft w:val="0"/>
                  <w:marRight w:val="0"/>
                  <w:marTop w:val="0"/>
                  <w:marBottom w:val="0"/>
                  <w:divBdr>
                    <w:top w:val="none" w:sz="0" w:space="0" w:color="auto"/>
                    <w:left w:val="none" w:sz="0" w:space="0" w:color="auto"/>
                    <w:bottom w:val="none" w:sz="0" w:space="0" w:color="auto"/>
                    <w:right w:val="none" w:sz="0" w:space="0" w:color="auto"/>
                  </w:divBdr>
                  <w:divsChild>
                    <w:div w:id="69474748">
                      <w:marLeft w:val="0"/>
                      <w:marRight w:val="0"/>
                      <w:marTop w:val="0"/>
                      <w:marBottom w:val="0"/>
                      <w:divBdr>
                        <w:top w:val="none" w:sz="0" w:space="0" w:color="auto"/>
                        <w:left w:val="none" w:sz="0" w:space="0" w:color="auto"/>
                        <w:bottom w:val="none" w:sz="0" w:space="0" w:color="auto"/>
                        <w:right w:val="none" w:sz="0" w:space="0" w:color="auto"/>
                      </w:divBdr>
                    </w:div>
                  </w:divsChild>
                </w:div>
                <w:div w:id="1651978789">
                  <w:marLeft w:val="0"/>
                  <w:marRight w:val="0"/>
                  <w:marTop w:val="0"/>
                  <w:marBottom w:val="0"/>
                  <w:divBdr>
                    <w:top w:val="none" w:sz="0" w:space="0" w:color="auto"/>
                    <w:left w:val="none" w:sz="0" w:space="0" w:color="auto"/>
                    <w:bottom w:val="none" w:sz="0" w:space="0" w:color="auto"/>
                    <w:right w:val="none" w:sz="0" w:space="0" w:color="auto"/>
                  </w:divBdr>
                  <w:divsChild>
                    <w:div w:id="1592153613">
                      <w:marLeft w:val="0"/>
                      <w:marRight w:val="0"/>
                      <w:marTop w:val="0"/>
                      <w:marBottom w:val="0"/>
                      <w:divBdr>
                        <w:top w:val="none" w:sz="0" w:space="0" w:color="auto"/>
                        <w:left w:val="none" w:sz="0" w:space="0" w:color="auto"/>
                        <w:bottom w:val="none" w:sz="0" w:space="0" w:color="auto"/>
                        <w:right w:val="none" w:sz="0" w:space="0" w:color="auto"/>
                      </w:divBdr>
                    </w:div>
                  </w:divsChild>
                </w:div>
                <w:div w:id="1652825773">
                  <w:marLeft w:val="0"/>
                  <w:marRight w:val="0"/>
                  <w:marTop w:val="0"/>
                  <w:marBottom w:val="0"/>
                  <w:divBdr>
                    <w:top w:val="none" w:sz="0" w:space="0" w:color="auto"/>
                    <w:left w:val="none" w:sz="0" w:space="0" w:color="auto"/>
                    <w:bottom w:val="none" w:sz="0" w:space="0" w:color="auto"/>
                    <w:right w:val="none" w:sz="0" w:space="0" w:color="auto"/>
                  </w:divBdr>
                  <w:divsChild>
                    <w:div w:id="889421171">
                      <w:marLeft w:val="0"/>
                      <w:marRight w:val="0"/>
                      <w:marTop w:val="0"/>
                      <w:marBottom w:val="0"/>
                      <w:divBdr>
                        <w:top w:val="none" w:sz="0" w:space="0" w:color="auto"/>
                        <w:left w:val="none" w:sz="0" w:space="0" w:color="auto"/>
                        <w:bottom w:val="none" w:sz="0" w:space="0" w:color="auto"/>
                        <w:right w:val="none" w:sz="0" w:space="0" w:color="auto"/>
                      </w:divBdr>
                    </w:div>
                  </w:divsChild>
                </w:div>
                <w:div w:id="1654488686">
                  <w:marLeft w:val="0"/>
                  <w:marRight w:val="0"/>
                  <w:marTop w:val="0"/>
                  <w:marBottom w:val="0"/>
                  <w:divBdr>
                    <w:top w:val="none" w:sz="0" w:space="0" w:color="auto"/>
                    <w:left w:val="none" w:sz="0" w:space="0" w:color="auto"/>
                    <w:bottom w:val="none" w:sz="0" w:space="0" w:color="auto"/>
                    <w:right w:val="none" w:sz="0" w:space="0" w:color="auto"/>
                  </w:divBdr>
                  <w:divsChild>
                    <w:div w:id="811480611">
                      <w:marLeft w:val="0"/>
                      <w:marRight w:val="0"/>
                      <w:marTop w:val="0"/>
                      <w:marBottom w:val="0"/>
                      <w:divBdr>
                        <w:top w:val="none" w:sz="0" w:space="0" w:color="auto"/>
                        <w:left w:val="none" w:sz="0" w:space="0" w:color="auto"/>
                        <w:bottom w:val="none" w:sz="0" w:space="0" w:color="auto"/>
                        <w:right w:val="none" w:sz="0" w:space="0" w:color="auto"/>
                      </w:divBdr>
                    </w:div>
                  </w:divsChild>
                </w:div>
                <w:div w:id="1662462364">
                  <w:marLeft w:val="0"/>
                  <w:marRight w:val="0"/>
                  <w:marTop w:val="0"/>
                  <w:marBottom w:val="0"/>
                  <w:divBdr>
                    <w:top w:val="none" w:sz="0" w:space="0" w:color="auto"/>
                    <w:left w:val="none" w:sz="0" w:space="0" w:color="auto"/>
                    <w:bottom w:val="none" w:sz="0" w:space="0" w:color="auto"/>
                    <w:right w:val="none" w:sz="0" w:space="0" w:color="auto"/>
                  </w:divBdr>
                  <w:divsChild>
                    <w:div w:id="1513491926">
                      <w:marLeft w:val="0"/>
                      <w:marRight w:val="0"/>
                      <w:marTop w:val="0"/>
                      <w:marBottom w:val="0"/>
                      <w:divBdr>
                        <w:top w:val="none" w:sz="0" w:space="0" w:color="auto"/>
                        <w:left w:val="none" w:sz="0" w:space="0" w:color="auto"/>
                        <w:bottom w:val="none" w:sz="0" w:space="0" w:color="auto"/>
                        <w:right w:val="none" w:sz="0" w:space="0" w:color="auto"/>
                      </w:divBdr>
                    </w:div>
                  </w:divsChild>
                </w:div>
                <w:div w:id="1679038684">
                  <w:marLeft w:val="0"/>
                  <w:marRight w:val="0"/>
                  <w:marTop w:val="0"/>
                  <w:marBottom w:val="0"/>
                  <w:divBdr>
                    <w:top w:val="none" w:sz="0" w:space="0" w:color="auto"/>
                    <w:left w:val="none" w:sz="0" w:space="0" w:color="auto"/>
                    <w:bottom w:val="none" w:sz="0" w:space="0" w:color="auto"/>
                    <w:right w:val="none" w:sz="0" w:space="0" w:color="auto"/>
                  </w:divBdr>
                  <w:divsChild>
                    <w:div w:id="1464885814">
                      <w:marLeft w:val="0"/>
                      <w:marRight w:val="0"/>
                      <w:marTop w:val="0"/>
                      <w:marBottom w:val="0"/>
                      <w:divBdr>
                        <w:top w:val="none" w:sz="0" w:space="0" w:color="auto"/>
                        <w:left w:val="none" w:sz="0" w:space="0" w:color="auto"/>
                        <w:bottom w:val="none" w:sz="0" w:space="0" w:color="auto"/>
                        <w:right w:val="none" w:sz="0" w:space="0" w:color="auto"/>
                      </w:divBdr>
                    </w:div>
                  </w:divsChild>
                </w:div>
                <w:div w:id="1682586964">
                  <w:marLeft w:val="0"/>
                  <w:marRight w:val="0"/>
                  <w:marTop w:val="0"/>
                  <w:marBottom w:val="0"/>
                  <w:divBdr>
                    <w:top w:val="none" w:sz="0" w:space="0" w:color="auto"/>
                    <w:left w:val="none" w:sz="0" w:space="0" w:color="auto"/>
                    <w:bottom w:val="none" w:sz="0" w:space="0" w:color="auto"/>
                    <w:right w:val="none" w:sz="0" w:space="0" w:color="auto"/>
                  </w:divBdr>
                  <w:divsChild>
                    <w:div w:id="1047998220">
                      <w:marLeft w:val="0"/>
                      <w:marRight w:val="0"/>
                      <w:marTop w:val="0"/>
                      <w:marBottom w:val="0"/>
                      <w:divBdr>
                        <w:top w:val="none" w:sz="0" w:space="0" w:color="auto"/>
                        <w:left w:val="none" w:sz="0" w:space="0" w:color="auto"/>
                        <w:bottom w:val="none" w:sz="0" w:space="0" w:color="auto"/>
                        <w:right w:val="none" w:sz="0" w:space="0" w:color="auto"/>
                      </w:divBdr>
                    </w:div>
                  </w:divsChild>
                </w:div>
                <w:div w:id="1689331322">
                  <w:marLeft w:val="0"/>
                  <w:marRight w:val="0"/>
                  <w:marTop w:val="0"/>
                  <w:marBottom w:val="0"/>
                  <w:divBdr>
                    <w:top w:val="none" w:sz="0" w:space="0" w:color="auto"/>
                    <w:left w:val="none" w:sz="0" w:space="0" w:color="auto"/>
                    <w:bottom w:val="none" w:sz="0" w:space="0" w:color="auto"/>
                    <w:right w:val="none" w:sz="0" w:space="0" w:color="auto"/>
                  </w:divBdr>
                  <w:divsChild>
                    <w:div w:id="1750539619">
                      <w:marLeft w:val="0"/>
                      <w:marRight w:val="0"/>
                      <w:marTop w:val="0"/>
                      <w:marBottom w:val="0"/>
                      <w:divBdr>
                        <w:top w:val="none" w:sz="0" w:space="0" w:color="auto"/>
                        <w:left w:val="none" w:sz="0" w:space="0" w:color="auto"/>
                        <w:bottom w:val="none" w:sz="0" w:space="0" w:color="auto"/>
                        <w:right w:val="none" w:sz="0" w:space="0" w:color="auto"/>
                      </w:divBdr>
                    </w:div>
                  </w:divsChild>
                </w:div>
                <w:div w:id="1692292770">
                  <w:marLeft w:val="0"/>
                  <w:marRight w:val="0"/>
                  <w:marTop w:val="0"/>
                  <w:marBottom w:val="0"/>
                  <w:divBdr>
                    <w:top w:val="none" w:sz="0" w:space="0" w:color="auto"/>
                    <w:left w:val="none" w:sz="0" w:space="0" w:color="auto"/>
                    <w:bottom w:val="none" w:sz="0" w:space="0" w:color="auto"/>
                    <w:right w:val="none" w:sz="0" w:space="0" w:color="auto"/>
                  </w:divBdr>
                  <w:divsChild>
                    <w:div w:id="1967276556">
                      <w:marLeft w:val="0"/>
                      <w:marRight w:val="0"/>
                      <w:marTop w:val="0"/>
                      <w:marBottom w:val="0"/>
                      <w:divBdr>
                        <w:top w:val="none" w:sz="0" w:space="0" w:color="auto"/>
                        <w:left w:val="none" w:sz="0" w:space="0" w:color="auto"/>
                        <w:bottom w:val="none" w:sz="0" w:space="0" w:color="auto"/>
                        <w:right w:val="none" w:sz="0" w:space="0" w:color="auto"/>
                      </w:divBdr>
                    </w:div>
                  </w:divsChild>
                </w:div>
                <w:div w:id="1705515827">
                  <w:marLeft w:val="0"/>
                  <w:marRight w:val="0"/>
                  <w:marTop w:val="0"/>
                  <w:marBottom w:val="0"/>
                  <w:divBdr>
                    <w:top w:val="none" w:sz="0" w:space="0" w:color="auto"/>
                    <w:left w:val="none" w:sz="0" w:space="0" w:color="auto"/>
                    <w:bottom w:val="none" w:sz="0" w:space="0" w:color="auto"/>
                    <w:right w:val="none" w:sz="0" w:space="0" w:color="auto"/>
                  </w:divBdr>
                  <w:divsChild>
                    <w:div w:id="1629815090">
                      <w:marLeft w:val="0"/>
                      <w:marRight w:val="0"/>
                      <w:marTop w:val="0"/>
                      <w:marBottom w:val="0"/>
                      <w:divBdr>
                        <w:top w:val="none" w:sz="0" w:space="0" w:color="auto"/>
                        <w:left w:val="none" w:sz="0" w:space="0" w:color="auto"/>
                        <w:bottom w:val="none" w:sz="0" w:space="0" w:color="auto"/>
                        <w:right w:val="none" w:sz="0" w:space="0" w:color="auto"/>
                      </w:divBdr>
                    </w:div>
                  </w:divsChild>
                </w:div>
                <w:div w:id="1712611091">
                  <w:marLeft w:val="0"/>
                  <w:marRight w:val="0"/>
                  <w:marTop w:val="0"/>
                  <w:marBottom w:val="0"/>
                  <w:divBdr>
                    <w:top w:val="none" w:sz="0" w:space="0" w:color="auto"/>
                    <w:left w:val="none" w:sz="0" w:space="0" w:color="auto"/>
                    <w:bottom w:val="none" w:sz="0" w:space="0" w:color="auto"/>
                    <w:right w:val="none" w:sz="0" w:space="0" w:color="auto"/>
                  </w:divBdr>
                  <w:divsChild>
                    <w:div w:id="1438595182">
                      <w:marLeft w:val="0"/>
                      <w:marRight w:val="0"/>
                      <w:marTop w:val="0"/>
                      <w:marBottom w:val="0"/>
                      <w:divBdr>
                        <w:top w:val="none" w:sz="0" w:space="0" w:color="auto"/>
                        <w:left w:val="none" w:sz="0" w:space="0" w:color="auto"/>
                        <w:bottom w:val="none" w:sz="0" w:space="0" w:color="auto"/>
                        <w:right w:val="none" w:sz="0" w:space="0" w:color="auto"/>
                      </w:divBdr>
                    </w:div>
                  </w:divsChild>
                </w:div>
                <w:div w:id="1734114002">
                  <w:marLeft w:val="0"/>
                  <w:marRight w:val="0"/>
                  <w:marTop w:val="0"/>
                  <w:marBottom w:val="0"/>
                  <w:divBdr>
                    <w:top w:val="none" w:sz="0" w:space="0" w:color="auto"/>
                    <w:left w:val="none" w:sz="0" w:space="0" w:color="auto"/>
                    <w:bottom w:val="none" w:sz="0" w:space="0" w:color="auto"/>
                    <w:right w:val="none" w:sz="0" w:space="0" w:color="auto"/>
                  </w:divBdr>
                  <w:divsChild>
                    <w:div w:id="1633558303">
                      <w:marLeft w:val="0"/>
                      <w:marRight w:val="0"/>
                      <w:marTop w:val="0"/>
                      <w:marBottom w:val="0"/>
                      <w:divBdr>
                        <w:top w:val="none" w:sz="0" w:space="0" w:color="auto"/>
                        <w:left w:val="none" w:sz="0" w:space="0" w:color="auto"/>
                        <w:bottom w:val="none" w:sz="0" w:space="0" w:color="auto"/>
                        <w:right w:val="none" w:sz="0" w:space="0" w:color="auto"/>
                      </w:divBdr>
                    </w:div>
                  </w:divsChild>
                </w:div>
                <w:div w:id="1735083435">
                  <w:marLeft w:val="0"/>
                  <w:marRight w:val="0"/>
                  <w:marTop w:val="0"/>
                  <w:marBottom w:val="0"/>
                  <w:divBdr>
                    <w:top w:val="none" w:sz="0" w:space="0" w:color="auto"/>
                    <w:left w:val="none" w:sz="0" w:space="0" w:color="auto"/>
                    <w:bottom w:val="none" w:sz="0" w:space="0" w:color="auto"/>
                    <w:right w:val="none" w:sz="0" w:space="0" w:color="auto"/>
                  </w:divBdr>
                  <w:divsChild>
                    <w:div w:id="669647595">
                      <w:marLeft w:val="0"/>
                      <w:marRight w:val="0"/>
                      <w:marTop w:val="0"/>
                      <w:marBottom w:val="0"/>
                      <w:divBdr>
                        <w:top w:val="none" w:sz="0" w:space="0" w:color="auto"/>
                        <w:left w:val="none" w:sz="0" w:space="0" w:color="auto"/>
                        <w:bottom w:val="none" w:sz="0" w:space="0" w:color="auto"/>
                        <w:right w:val="none" w:sz="0" w:space="0" w:color="auto"/>
                      </w:divBdr>
                    </w:div>
                  </w:divsChild>
                </w:div>
                <w:div w:id="1741908032">
                  <w:marLeft w:val="0"/>
                  <w:marRight w:val="0"/>
                  <w:marTop w:val="0"/>
                  <w:marBottom w:val="0"/>
                  <w:divBdr>
                    <w:top w:val="none" w:sz="0" w:space="0" w:color="auto"/>
                    <w:left w:val="none" w:sz="0" w:space="0" w:color="auto"/>
                    <w:bottom w:val="none" w:sz="0" w:space="0" w:color="auto"/>
                    <w:right w:val="none" w:sz="0" w:space="0" w:color="auto"/>
                  </w:divBdr>
                  <w:divsChild>
                    <w:div w:id="1230186685">
                      <w:marLeft w:val="0"/>
                      <w:marRight w:val="0"/>
                      <w:marTop w:val="0"/>
                      <w:marBottom w:val="0"/>
                      <w:divBdr>
                        <w:top w:val="none" w:sz="0" w:space="0" w:color="auto"/>
                        <w:left w:val="none" w:sz="0" w:space="0" w:color="auto"/>
                        <w:bottom w:val="none" w:sz="0" w:space="0" w:color="auto"/>
                        <w:right w:val="none" w:sz="0" w:space="0" w:color="auto"/>
                      </w:divBdr>
                    </w:div>
                  </w:divsChild>
                </w:div>
                <w:div w:id="1753887647">
                  <w:marLeft w:val="0"/>
                  <w:marRight w:val="0"/>
                  <w:marTop w:val="0"/>
                  <w:marBottom w:val="0"/>
                  <w:divBdr>
                    <w:top w:val="none" w:sz="0" w:space="0" w:color="auto"/>
                    <w:left w:val="none" w:sz="0" w:space="0" w:color="auto"/>
                    <w:bottom w:val="none" w:sz="0" w:space="0" w:color="auto"/>
                    <w:right w:val="none" w:sz="0" w:space="0" w:color="auto"/>
                  </w:divBdr>
                  <w:divsChild>
                    <w:div w:id="1868981491">
                      <w:marLeft w:val="0"/>
                      <w:marRight w:val="0"/>
                      <w:marTop w:val="0"/>
                      <w:marBottom w:val="0"/>
                      <w:divBdr>
                        <w:top w:val="none" w:sz="0" w:space="0" w:color="auto"/>
                        <w:left w:val="none" w:sz="0" w:space="0" w:color="auto"/>
                        <w:bottom w:val="none" w:sz="0" w:space="0" w:color="auto"/>
                        <w:right w:val="none" w:sz="0" w:space="0" w:color="auto"/>
                      </w:divBdr>
                    </w:div>
                  </w:divsChild>
                </w:div>
                <w:div w:id="1754354300">
                  <w:marLeft w:val="0"/>
                  <w:marRight w:val="0"/>
                  <w:marTop w:val="0"/>
                  <w:marBottom w:val="0"/>
                  <w:divBdr>
                    <w:top w:val="none" w:sz="0" w:space="0" w:color="auto"/>
                    <w:left w:val="none" w:sz="0" w:space="0" w:color="auto"/>
                    <w:bottom w:val="none" w:sz="0" w:space="0" w:color="auto"/>
                    <w:right w:val="none" w:sz="0" w:space="0" w:color="auto"/>
                  </w:divBdr>
                  <w:divsChild>
                    <w:div w:id="659890681">
                      <w:marLeft w:val="0"/>
                      <w:marRight w:val="0"/>
                      <w:marTop w:val="0"/>
                      <w:marBottom w:val="0"/>
                      <w:divBdr>
                        <w:top w:val="none" w:sz="0" w:space="0" w:color="auto"/>
                        <w:left w:val="none" w:sz="0" w:space="0" w:color="auto"/>
                        <w:bottom w:val="none" w:sz="0" w:space="0" w:color="auto"/>
                        <w:right w:val="none" w:sz="0" w:space="0" w:color="auto"/>
                      </w:divBdr>
                    </w:div>
                  </w:divsChild>
                </w:div>
                <w:div w:id="1759862861">
                  <w:marLeft w:val="0"/>
                  <w:marRight w:val="0"/>
                  <w:marTop w:val="0"/>
                  <w:marBottom w:val="0"/>
                  <w:divBdr>
                    <w:top w:val="none" w:sz="0" w:space="0" w:color="auto"/>
                    <w:left w:val="none" w:sz="0" w:space="0" w:color="auto"/>
                    <w:bottom w:val="none" w:sz="0" w:space="0" w:color="auto"/>
                    <w:right w:val="none" w:sz="0" w:space="0" w:color="auto"/>
                  </w:divBdr>
                  <w:divsChild>
                    <w:div w:id="510412421">
                      <w:marLeft w:val="0"/>
                      <w:marRight w:val="0"/>
                      <w:marTop w:val="0"/>
                      <w:marBottom w:val="0"/>
                      <w:divBdr>
                        <w:top w:val="none" w:sz="0" w:space="0" w:color="auto"/>
                        <w:left w:val="none" w:sz="0" w:space="0" w:color="auto"/>
                        <w:bottom w:val="none" w:sz="0" w:space="0" w:color="auto"/>
                        <w:right w:val="none" w:sz="0" w:space="0" w:color="auto"/>
                      </w:divBdr>
                    </w:div>
                  </w:divsChild>
                </w:div>
                <w:div w:id="1764305105">
                  <w:marLeft w:val="0"/>
                  <w:marRight w:val="0"/>
                  <w:marTop w:val="0"/>
                  <w:marBottom w:val="0"/>
                  <w:divBdr>
                    <w:top w:val="none" w:sz="0" w:space="0" w:color="auto"/>
                    <w:left w:val="none" w:sz="0" w:space="0" w:color="auto"/>
                    <w:bottom w:val="none" w:sz="0" w:space="0" w:color="auto"/>
                    <w:right w:val="none" w:sz="0" w:space="0" w:color="auto"/>
                  </w:divBdr>
                  <w:divsChild>
                    <w:div w:id="1094088755">
                      <w:marLeft w:val="0"/>
                      <w:marRight w:val="0"/>
                      <w:marTop w:val="0"/>
                      <w:marBottom w:val="0"/>
                      <w:divBdr>
                        <w:top w:val="none" w:sz="0" w:space="0" w:color="auto"/>
                        <w:left w:val="none" w:sz="0" w:space="0" w:color="auto"/>
                        <w:bottom w:val="none" w:sz="0" w:space="0" w:color="auto"/>
                        <w:right w:val="none" w:sz="0" w:space="0" w:color="auto"/>
                      </w:divBdr>
                    </w:div>
                  </w:divsChild>
                </w:div>
                <w:div w:id="1774518744">
                  <w:marLeft w:val="0"/>
                  <w:marRight w:val="0"/>
                  <w:marTop w:val="0"/>
                  <w:marBottom w:val="0"/>
                  <w:divBdr>
                    <w:top w:val="none" w:sz="0" w:space="0" w:color="auto"/>
                    <w:left w:val="none" w:sz="0" w:space="0" w:color="auto"/>
                    <w:bottom w:val="none" w:sz="0" w:space="0" w:color="auto"/>
                    <w:right w:val="none" w:sz="0" w:space="0" w:color="auto"/>
                  </w:divBdr>
                  <w:divsChild>
                    <w:div w:id="1992173994">
                      <w:marLeft w:val="0"/>
                      <w:marRight w:val="0"/>
                      <w:marTop w:val="0"/>
                      <w:marBottom w:val="0"/>
                      <w:divBdr>
                        <w:top w:val="none" w:sz="0" w:space="0" w:color="auto"/>
                        <w:left w:val="none" w:sz="0" w:space="0" w:color="auto"/>
                        <w:bottom w:val="none" w:sz="0" w:space="0" w:color="auto"/>
                        <w:right w:val="none" w:sz="0" w:space="0" w:color="auto"/>
                      </w:divBdr>
                    </w:div>
                  </w:divsChild>
                </w:div>
                <w:div w:id="1783955763">
                  <w:marLeft w:val="0"/>
                  <w:marRight w:val="0"/>
                  <w:marTop w:val="0"/>
                  <w:marBottom w:val="0"/>
                  <w:divBdr>
                    <w:top w:val="none" w:sz="0" w:space="0" w:color="auto"/>
                    <w:left w:val="none" w:sz="0" w:space="0" w:color="auto"/>
                    <w:bottom w:val="none" w:sz="0" w:space="0" w:color="auto"/>
                    <w:right w:val="none" w:sz="0" w:space="0" w:color="auto"/>
                  </w:divBdr>
                  <w:divsChild>
                    <w:div w:id="1550679598">
                      <w:marLeft w:val="0"/>
                      <w:marRight w:val="0"/>
                      <w:marTop w:val="0"/>
                      <w:marBottom w:val="0"/>
                      <w:divBdr>
                        <w:top w:val="none" w:sz="0" w:space="0" w:color="auto"/>
                        <w:left w:val="none" w:sz="0" w:space="0" w:color="auto"/>
                        <w:bottom w:val="none" w:sz="0" w:space="0" w:color="auto"/>
                        <w:right w:val="none" w:sz="0" w:space="0" w:color="auto"/>
                      </w:divBdr>
                    </w:div>
                  </w:divsChild>
                </w:div>
                <w:div w:id="1795169528">
                  <w:marLeft w:val="0"/>
                  <w:marRight w:val="0"/>
                  <w:marTop w:val="0"/>
                  <w:marBottom w:val="0"/>
                  <w:divBdr>
                    <w:top w:val="none" w:sz="0" w:space="0" w:color="auto"/>
                    <w:left w:val="none" w:sz="0" w:space="0" w:color="auto"/>
                    <w:bottom w:val="none" w:sz="0" w:space="0" w:color="auto"/>
                    <w:right w:val="none" w:sz="0" w:space="0" w:color="auto"/>
                  </w:divBdr>
                  <w:divsChild>
                    <w:div w:id="1078014111">
                      <w:marLeft w:val="0"/>
                      <w:marRight w:val="0"/>
                      <w:marTop w:val="0"/>
                      <w:marBottom w:val="0"/>
                      <w:divBdr>
                        <w:top w:val="none" w:sz="0" w:space="0" w:color="auto"/>
                        <w:left w:val="none" w:sz="0" w:space="0" w:color="auto"/>
                        <w:bottom w:val="none" w:sz="0" w:space="0" w:color="auto"/>
                        <w:right w:val="none" w:sz="0" w:space="0" w:color="auto"/>
                      </w:divBdr>
                    </w:div>
                  </w:divsChild>
                </w:div>
                <w:div w:id="1798716032">
                  <w:marLeft w:val="0"/>
                  <w:marRight w:val="0"/>
                  <w:marTop w:val="0"/>
                  <w:marBottom w:val="0"/>
                  <w:divBdr>
                    <w:top w:val="none" w:sz="0" w:space="0" w:color="auto"/>
                    <w:left w:val="none" w:sz="0" w:space="0" w:color="auto"/>
                    <w:bottom w:val="none" w:sz="0" w:space="0" w:color="auto"/>
                    <w:right w:val="none" w:sz="0" w:space="0" w:color="auto"/>
                  </w:divBdr>
                  <w:divsChild>
                    <w:div w:id="684744743">
                      <w:marLeft w:val="0"/>
                      <w:marRight w:val="0"/>
                      <w:marTop w:val="0"/>
                      <w:marBottom w:val="0"/>
                      <w:divBdr>
                        <w:top w:val="none" w:sz="0" w:space="0" w:color="auto"/>
                        <w:left w:val="none" w:sz="0" w:space="0" w:color="auto"/>
                        <w:bottom w:val="none" w:sz="0" w:space="0" w:color="auto"/>
                        <w:right w:val="none" w:sz="0" w:space="0" w:color="auto"/>
                      </w:divBdr>
                    </w:div>
                    <w:div w:id="1132285198">
                      <w:marLeft w:val="0"/>
                      <w:marRight w:val="0"/>
                      <w:marTop w:val="0"/>
                      <w:marBottom w:val="0"/>
                      <w:divBdr>
                        <w:top w:val="none" w:sz="0" w:space="0" w:color="auto"/>
                        <w:left w:val="none" w:sz="0" w:space="0" w:color="auto"/>
                        <w:bottom w:val="none" w:sz="0" w:space="0" w:color="auto"/>
                        <w:right w:val="none" w:sz="0" w:space="0" w:color="auto"/>
                      </w:divBdr>
                    </w:div>
                  </w:divsChild>
                </w:div>
                <w:div w:id="1815948675">
                  <w:marLeft w:val="0"/>
                  <w:marRight w:val="0"/>
                  <w:marTop w:val="0"/>
                  <w:marBottom w:val="0"/>
                  <w:divBdr>
                    <w:top w:val="none" w:sz="0" w:space="0" w:color="auto"/>
                    <w:left w:val="none" w:sz="0" w:space="0" w:color="auto"/>
                    <w:bottom w:val="none" w:sz="0" w:space="0" w:color="auto"/>
                    <w:right w:val="none" w:sz="0" w:space="0" w:color="auto"/>
                  </w:divBdr>
                  <w:divsChild>
                    <w:div w:id="1096249004">
                      <w:marLeft w:val="0"/>
                      <w:marRight w:val="0"/>
                      <w:marTop w:val="0"/>
                      <w:marBottom w:val="0"/>
                      <w:divBdr>
                        <w:top w:val="none" w:sz="0" w:space="0" w:color="auto"/>
                        <w:left w:val="none" w:sz="0" w:space="0" w:color="auto"/>
                        <w:bottom w:val="none" w:sz="0" w:space="0" w:color="auto"/>
                        <w:right w:val="none" w:sz="0" w:space="0" w:color="auto"/>
                      </w:divBdr>
                    </w:div>
                  </w:divsChild>
                </w:div>
                <w:div w:id="1823614733">
                  <w:marLeft w:val="0"/>
                  <w:marRight w:val="0"/>
                  <w:marTop w:val="0"/>
                  <w:marBottom w:val="0"/>
                  <w:divBdr>
                    <w:top w:val="none" w:sz="0" w:space="0" w:color="auto"/>
                    <w:left w:val="none" w:sz="0" w:space="0" w:color="auto"/>
                    <w:bottom w:val="none" w:sz="0" w:space="0" w:color="auto"/>
                    <w:right w:val="none" w:sz="0" w:space="0" w:color="auto"/>
                  </w:divBdr>
                  <w:divsChild>
                    <w:div w:id="2068726965">
                      <w:marLeft w:val="0"/>
                      <w:marRight w:val="0"/>
                      <w:marTop w:val="0"/>
                      <w:marBottom w:val="0"/>
                      <w:divBdr>
                        <w:top w:val="none" w:sz="0" w:space="0" w:color="auto"/>
                        <w:left w:val="none" w:sz="0" w:space="0" w:color="auto"/>
                        <w:bottom w:val="none" w:sz="0" w:space="0" w:color="auto"/>
                        <w:right w:val="none" w:sz="0" w:space="0" w:color="auto"/>
                      </w:divBdr>
                    </w:div>
                  </w:divsChild>
                </w:div>
                <w:div w:id="1824001864">
                  <w:marLeft w:val="0"/>
                  <w:marRight w:val="0"/>
                  <w:marTop w:val="0"/>
                  <w:marBottom w:val="0"/>
                  <w:divBdr>
                    <w:top w:val="none" w:sz="0" w:space="0" w:color="auto"/>
                    <w:left w:val="none" w:sz="0" w:space="0" w:color="auto"/>
                    <w:bottom w:val="none" w:sz="0" w:space="0" w:color="auto"/>
                    <w:right w:val="none" w:sz="0" w:space="0" w:color="auto"/>
                  </w:divBdr>
                  <w:divsChild>
                    <w:div w:id="1731882311">
                      <w:marLeft w:val="0"/>
                      <w:marRight w:val="0"/>
                      <w:marTop w:val="0"/>
                      <w:marBottom w:val="0"/>
                      <w:divBdr>
                        <w:top w:val="none" w:sz="0" w:space="0" w:color="auto"/>
                        <w:left w:val="none" w:sz="0" w:space="0" w:color="auto"/>
                        <w:bottom w:val="none" w:sz="0" w:space="0" w:color="auto"/>
                        <w:right w:val="none" w:sz="0" w:space="0" w:color="auto"/>
                      </w:divBdr>
                    </w:div>
                  </w:divsChild>
                </w:div>
                <w:div w:id="1828131297">
                  <w:marLeft w:val="0"/>
                  <w:marRight w:val="0"/>
                  <w:marTop w:val="0"/>
                  <w:marBottom w:val="0"/>
                  <w:divBdr>
                    <w:top w:val="none" w:sz="0" w:space="0" w:color="auto"/>
                    <w:left w:val="none" w:sz="0" w:space="0" w:color="auto"/>
                    <w:bottom w:val="none" w:sz="0" w:space="0" w:color="auto"/>
                    <w:right w:val="none" w:sz="0" w:space="0" w:color="auto"/>
                  </w:divBdr>
                  <w:divsChild>
                    <w:div w:id="658466052">
                      <w:marLeft w:val="0"/>
                      <w:marRight w:val="0"/>
                      <w:marTop w:val="0"/>
                      <w:marBottom w:val="0"/>
                      <w:divBdr>
                        <w:top w:val="none" w:sz="0" w:space="0" w:color="auto"/>
                        <w:left w:val="none" w:sz="0" w:space="0" w:color="auto"/>
                        <w:bottom w:val="none" w:sz="0" w:space="0" w:color="auto"/>
                        <w:right w:val="none" w:sz="0" w:space="0" w:color="auto"/>
                      </w:divBdr>
                    </w:div>
                  </w:divsChild>
                </w:div>
                <w:div w:id="1850027186">
                  <w:marLeft w:val="0"/>
                  <w:marRight w:val="0"/>
                  <w:marTop w:val="0"/>
                  <w:marBottom w:val="0"/>
                  <w:divBdr>
                    <w:top w:val="none" w:sz="0" w:space="0" w:color="auto"/>
                    <w:left w:val="none" w:sz="0" w:space="0" w:color="auto"/>
                    <w:bottom w:val="none" w:sz="0" w:space="0" w:color="auto"/>
                    <w:right w:val="none" w:sz="0" w:space="0" w:color="auto"/>
                  </w:divBdr>
                  <w:divsChild>
                    <w:div w:id="1168401641">
                      <w:marLeft w:val="0"/>
                      <w:marRight w:val="0"/>
                      <w:marTop w:val="0"/>
                      <w:marBottom w:val="0"/>
                      <w:divBdr>
                        <w:top w:val="none" w:sz="0" w:space="0" w:color="auto"/>
                        <w:left w:val="none" w:sz="0" w:space="0" w:color="auto"/>
                        <w:bottom w:val="none" w:sz="0" w:space="0" w:color="auto"/>
                        <w:right w:val="none" w:sz="0" w:space="0" w:color="auto"/>
                      </w:divBdr>
                    </w:div>
                  </w:divsChild>
                </w:div>
                <w:div w:id="1853643561">
                  <w:marLeft w:val="0"/>
                  <w:marRight w:val="0"/>
                  <w:marTop w:val="0"/>
                  <w:marBottom w:val="0"/>
                  <w:divBdr>
                    <w:top w:val="none" w:sz="0" w:space="0" w:color="auto"/>
                    <w:left w:val="none" w:sz="0" w:space="0" w:color="auto"/>
                    <w:bottom w:val="none" w:sz="0" w:space="0" w:color="auto"/>
                    <w:right w:val="none" w:sz="0" w:space="0" w:color="auto"/>
                  </w:divBdr>
                  <w:divsChild>
                    <w:div w:id="163058065">
                      <w:marLeft w:val="0"/>
                      <w:marRight w:val="0"/>
                      <w:marTop w:val="0"/>
                      <w:marBottom w:val="0"/>
                      <w:divBdr>
                        <w:top w:val="none" w:sz="0" w:space="0" w:color="auto"/>
                        <w:left w:val="none" w:sz="0" w:space="0" w:color="auto"/>
                        <w:bottom w:val="none" w:sz="0" w:space="0" w:color="auto"/>
                        <w:right w:val="none" w:sz="0" w:space="0" w:color="auto"/>
                      </w:divBdr>
                    </w:div>
                  </w:divsChild>
                </w:div>
                <w:div w:id="1859810337">
                  <w:marLeft w:val="0"/>
                  <w:marRight w:val="0"/>
                  <w:marTop w:val="0"/>
                  <w:marBottom w:val="0"/>
                  <w:divBdr>
                    <w:top w:val="none" w:sz="0" w:space="0" w:color="auto"/>
                    <w:left w:val="none" w:sz="0" w:space="0" w:color="auto"/>
                    <w:bottom w:val="none" w:sz="0" w:space="0" w:color="auto"/>
                    <w:right w:val="none" w:sz="0" w:space="0" w:color="auto"/>
                  </w:divBdr>
                  <w:divsChild>
                    <w:div w:id="44838414">
                      <w:marLeft w:val="0"/>
                      <w:marRight w:val="0"/>
                      <w:marTop w:val="0"/>
                      <w:marBottom w:val="0"/>
                      <w:divBdr>
                        <w:top w:val="none" w:sz="0" w:space="0" w:color="auto"/>
                        <w:left w:val="none" w:sz="0" w:space="0" w:color="auto"/>
                        <w:bottom w:val="none" w:sz="0" w:space="0" w:color="auto"/>
                        <w:right w:val="none" w:sz="0" w:space="0" w:color="auto"/>
                      </w:divBdr>
                    </w:div>
                  </w:divsChild>
                </w:div>
                <w:div w:id="1867912137">
                  <w:marLeft w:val="0"/>
                  <w:marRight w:val="0"/>
                  <w:marTop w:val="0"/>
                  <w:marBottom w:val="0"/>
                  <w:divBdr>
                    <w:top w:val="none" w:sz="0" w:space="0" w:color="auto"/>
                    <w:left w:val="none" w:sz="0" w:space="0" w:color="auto"/>
                    <w:bottom w:val="none" w:sz="0" w:space="0" w:color="auto"/>
                    <w:right w:val="none" w:sz="0" w:space="0" w:color="auto"/>
                  </w:divBdr>
                  <w:divsChild>
                    <w:div w:id="1630932472">
                      <w:marLeft w:val="0"/>
                      <w:marRight w:val="0"/>
                      <w:marTop w:val="0"/>
                      <w:marBottom w:val="0"/>
                      <w:divBdr>
                        <w:top w:val="none" w:sz="0" w:space="0" w:color="auto"/>
                        <w:left w:val="none" w:sz="0" w:space="0" w:color="auto"/>
                        <w:bottom w:val="none" w:sz="0" w:space="0" w:color="auto"/>
                        <w:right w:val="none" w:sz="0" w:space="0" w:color="auto"/>
                      </w:divBdr>
                    </w:div>
                  </w:divsChild>
                </w:div>
                <w:div w:id="1872918180">
                  <w:marLeft w:val="0"/>
                  <w:marRight w:val="0"/>
                  <w:marTop w:val="0"/>
                  <w:marBottom w:val="0"/>
                  <w:divBdr>
                    <w:top w:val="none" w:sz="0" w:space="0" w:color="auto"/>
                    <w:left w:val="none" w:sz="0" w:space="0" w:color="auto"/>
                    <w:bottom w:val="none" w:sz="0" w:space="0" w:color="auto"/>
                    <w:right w:val="none" w:sz="0" w:space="0" w:color="auto"/>
                  </w:divBdr>
                  <w:divsChild>
                    <w:div w:id="366836551">
                      <w:marLeft w:val="0"/>
                      <w:marRight w:val="0"/>
                      <w:marTop w:val="0"/>
                      <w:marBottom w:val="0"/>
                      <w:divBdr>
                        <w:top w:val="none" w:sz="0" w:space="0" w:color="auto"/>
                        <w:left w:val="none" w:sz="0" w:space="0" w:color="auto"/>
                        <w:bottom w:val="none" w:sz="0" w:space="0" w:color="auto"/>
                        <w:right w:val="none" w:sz="0" w:space="0" w:color="auto"/>
                      </w:divBdr>
                    </w:div>
                  </w:divsChild>
                </w:div>
                <w:div w:id="1881284352">
                  <w:marLeft w:val="0"/>
                  <w:marRight w:val="0"/>
                  <w:marTop w:val="0"/>
                  <w:marBottom w:val="0"/>
                  <w:divBdr>
                    <w:top w:val="none" w:sz="0" w:space="0" w:color="auto"/>
                    <w:left w:val="none" w:sz="0" w:space="0" w:color="auto"/>
                    <w:bottom w:val="none" w:sz="0" w:space="0" w:color="auto"/>
                    <w:right w:val="none" w:sz="0" w:space="0" w:color="auto"/>
                  </w:divBdr>
                  <w:divsChild>
                    <w:div w:id="2065327494">
                      <w:marLeft w:val="0"/>
                      <w:marRight w:val="0"/>
                      <w:marTop w:val="0"/>
                      <w:marBottom w:val="0"/>
                      <w:divBdr>
                        <w:top w:val="none" w:sz="0" w:space="0" w:color="auto"/>
                        <w:left w:val="none" w:sz="0" w:space="0" w:color="auto"/>
                        <w:bottom w:val="none" w:sz="0" w:space="0" w:color="auto"/>
                        <w:right w:val="none" w:sz="0" w:space="0" w:color="auto"/>
                      </w:divBdr>
                    </w:div>
                  </w:divsChild>
                </w:div>
                <w:div w:id="1890221130">
                  <w:marLeft w:val="0"/>
                  <w:marRight w:val="0"/>
                  <w:marTop w:val="0"/>
                  <w:marBottom w:val="0"/>
                  <w:divBdr>
                    <w:top w:val="none" w:sz="0" w:space="0" w:color="auto"/>
                    <w:left w:val="none" w:sz="0" w:space="0" w:color="auto"/>
                    <w:bottom w:val="none" w:sz="0" w:space="0" w:color="auto"/>
                    <w:right w:val="none" w:sz="0" w:space="0" w:color="auto"/>
                  </w:divBdr>
                  <w:divsChild>
                    <w:div w:id="1223100122">
                      <w:marLeft w:val="0"/>
                      <w:marRight w:val="0"/>
                      <w:marTop w:val="0"/>
                      <w:marBottom w:val="0"/>
                      <w:divBdr>
                        <w:top w:val="none" w:sz="0" w:space="0" w:color="auto"/>
                        <w:left w:val="none" w:sz="0" w:space="0" w:color="auto"/>
                        <w:bottom w:val="none" w:sz="0" w:space="0" w:color="auto"/>
                        <w:right w:val="none" w:sz="0" w:space="0" w:color="auto"/>
                      </w:divBdr>
                    </w:div>
                  </w:divsChild>
                </w:div>
                <w:div w:id="1922250201">
                  <w:marLeft w:val="0"/>
                  <w:marRight w:val="0"/>
                  <w:marTop w:val="0"/>
                  <w:marBottom w:val="0"/>
                  <w:divBdr>
                    <w:top w:val="none" w:sz="0" w:space="0" w:color="auto"/>
                    <w:left w:val="none" w:sz="0" w:space="0" w:color="auto"/>
                    <w:bottom w:val="none" w:sz="0" w:space="0" w:color="auto"/>
                    <w:right w:val="none" w:sz="0" w:space="0" w:color="auto"/>
                  </w:divBdr>
                  <w:divsChild>
                    <w:div w:id="761142827">
                      <w:marLeft w:val="0"/>
                      <w:marRight w:val="0"/>
                      <w:marTop w:val="0"/>
                      <w:marBottom w:val="0"/>
                      <w:divBdr>
                        <w:top w:val="none" w:sz="0" w:space="0" w:color="auto"/>
                        <w:left w:val="none" w:sz="0" w:space="0" w:color="auto"/>
                        <w:bottom w:val="none" w:sz="0" w:space="0" w:color="auto"/>
                        <w:right w:val="none" w:sz="0" w:space="0" w:color="auto"/>
                      </w:divBdr>
                    </w:div>
                  </w:divsChild>
                </w:div>
                <w:div w:id="1940067384">
                  <w:marLeft w:val="0"/>
                  <w:marRight w:val="0"/>
                  <w:marTop w:val="0"/>
                  <w:marBottom w:val="0"/>
                  <w:divBdr>
                    <w:top w:val="none" w:sz="0" w:space="0" w:color="auto"/>
                    <w:left w:val="none" w:sz="0" w:space="0" w:color="auto"/>
                    <w:bottom w:val="none" w:sz="0" w:space="0" w:color="auto"/>
                    <w:right w:val="none" w:sz="0" w:space="0" w:color="auto"/>
                  </w:divBdr>
                  <w:divsChild>
                    <w:div w:id="1351685168">
                      <w:marLeft w:val="0"/>
                      <w:marRight w:val="0"/>
                      <w:marTop w:val="0"/>
                      <w:marBottom w:val="0"/>
                      <w:divBdr>
                        <w:top w:val="none" w:sz="0" w:space="0" w:color="auto"/>
                        <w:left w:val="none" w:sz="0" w:space="0" w:color="auto"/>
                        <w:bottom w:val="none" w:sz="0" w:space="0" w:color="auto"/>
                        <w:right w:val="none" w:sz="0" w:space="0" w:color="auto"/>
                      </w:divBdr>
                    </w:div>
                  </w:divsChild>
                </w:div>
                <w:div w:id="1949118672">
                  <w:marLeft w:val="0"/>
                  <w:marRight w:val="0"/>
                  <w:marTop w:val="0"/>
                  <w:marBottom w:val="0"/>
                  <w:divBdr>
                    <w:top w:val="none" w:sz="0" w:space="0" w:color="auto"/>
                    <w:left w:val="none" w:sz="0" w:space="0" w:color="auto"/>
                    <w:bottom w:val="none" w:sz="0" w:space="0" w:color="auto"/>
                    <w:right w:val="none" w:sz="0" w:space="0" w:color="auto"/>
                  </w:divBdr>
                  <w:divsChild>
                    <w:div w:id="929388636">
                      <w:marLeft w:val="0"/>
                      <w:marRight w:val="0"/>
                      <w:marTop w:val="0"/>
                      <w:marBottom w:val="0"/>
                      <w:divBdr>
                        <w:top w:val="none" w:sz="0" w:space="0" w:color="auto"/>
                        <w:left w:val="none" w:sz="0" w:space="0" w:color="auto"/>
                        <w:bottom w:val="none" w:sz="0" w:space="0" w:color="auto"/>
                        <w:right w:val="none" w:sz="0" w:space="0" w:color="auto"/>
                      </w:divBdr>
                    </w:div>
                  </w:divsChild>
                </w:div>
                <w:div w:id="1954050406">
                  <w:marLeft w:val="0"/>
                  <w:marRight w:val="0"/>
                  <w:marTop w:val="0"/>
                  <w:marBottom w:val="0"/>
                  <w:divBdr>
                    <w:top w:val="none" w:sz="0" w:space="0" w:color="auto"/>
                    <w:left w:val="none" w:sz="0" w:space="0" w:color="auto"/>
                    <w:bottom w:val="none" w:sz="0" w:space="0" w:color="auto"/>
                    <w:right w:val="none" w:sz="0" w:space="0" w:color="auto"/>
                  </w:divBdr>
                  <w:divsChild>
                    <w:div w:id="1527139790">
                      <w:marLeft w:val="0"/>
                      <w:marRight w:val="0"/>
                      <w:marTop w:val="0"/>
                      <w:marBottom w:val="0"/>
                      <w:divBdr>
                        <w:top w:val="none" w:sz="0" w:space="0" w:color="auto"/>
                        <w:left w:val="none" w:sz="0" w:space="0" w:color="auto"/>
                        <w:bottom w:val="none" w:sz="0" w:space="0" w:color="auto"/>
                        <w:right w:val="none" w:sz="0" w:space="0" w:color="auto"/>
                      </w:divBdr>
                    </w:div>
                  </w:divsChild>
                </w:div>
                <w:div w:id="1971326412">
                  <w:marLeft w:val="0"/>
                  <w:marRight w:val="0"/>
                  <w:marTop w:val="0"/>
                  <w:marBottom w:val="0"/>
                  <w:divBdr>
                    <w:top w:val="none" w:sz="0" w:space="0" w:color="auto"/>
                    <w:left w:val="none" w:sz="0" w:space="0" w:color="auto"/>
                    <w:bottom w:val="none" w:sz="0" w:space="0" w:color="auto"/>
                    <w:right w:val="none" w:sz="0" w:space="0" w:color="auto"/>
                  </w:divBdr>
                  <w:divsChild>
                    <w:div w:id="1300768297">
                      <w:marLeft w:val="0"/>
                      <w:marRight w:val="0"/>
                      <w:marTop w:val="0"/>
                      <w:marBottom w:val="0"/>
                      <w:divBdr>
                        <w:top w:val="none" w:sz="0" w:space="0" w:color="auto"/>
                        <w:left w:val="none" w:sz="0" w:space="0" w:color="auto"/>
                        <w:bottom w:val="none" w:sz="0" w:space="0" w:color="auto"/>
                        <w:right w:val="none" w:sz="0" w:space="0" w:color="auto"/>
                      </w:divBdr>
                    </w:div>
                  </w:divsChild>
                </w:div>
                <w:div w:id="2006736088">
                  <w:marLeft w:val="0"/>
                  <w:marRight w:val="0"/>
                  <w:marTop w:val="0"/>
                  <w:marBottom w:val="0"/>
                  <w:divBdr>
                    <w:top w:val="none" w:sz="0" w:space="0" w:color="auto"/>
                    <w:left w:val="none" w:sz="0" w:space="0" w:color="auto"/>
                    <w:bottom w:val="none" w:sz="0" w:space="0" w:color="auto"/>
                    <w:right w:val="none" w:sz="0" w:space="0" w:color="auto"/>
                  </w:divBdr>
                  <w:divsChild>
                    <w:div w:id="1900898074">
                      <w:marLeft w:val="0"/>
                      <w:marRight w:val="0"/>
                      <w:marTop w:val="0"/>
                      <w:marBottom w:val="0"/>
                      <w:divBdr>
                        <w:top w:val="none" w:sz="0" w:space="0" w:color="auto"/>
                        <w:left w:val="none" w:sz="0" w:space="0" w:color="auto"/>
                        <w:bottom w:val="none" w:sz="0" w:space="0" w:color="auto"/>
                        <w:right w:val="none" w:sz="0" w:space="0" w:color="auto"/>
                      </w:divBdr>
                    </w:div>
                  </w:divsChild>
                </w:div>
                <w:div w:id="2009864026">
                  <w:marLeft w:val="0"/>
                  <w:marRight w:val="0"/>
                  <w:marTop w:val="0"/>
                  <w:marBottom w:val="0"/>
                  <w:divBdr>
                    <w:top w:val="none" w:sz="0" w:space="0" w:color="auto"/>
                    <w:left w:val="none" w:sz="0" w:space="0" w:color="auto"/>
                    <w:bottom w:val="none" w:sz="0" w:space="0" w:color="auto"/>
                    <w:right w:val="none" w:sz="0" w:space="0" w:color="auto"/>
                  </w:divBdr>
                  <w:divsChild>
                    <w:div w:id="371417184">
                      <w:marLeft w:val="0"/>
                      <w:marRight w:val="0"/>
                      <w:marTop w:val="0"/>
                      <w:marBottom w:val="0"/>
                      <w:divBdr>
                        <w:top w:val="none" w:sz="0" w:space="0" w:color="auto"/>
                        <w:left w:val="none" w:sz="0" w:space="0" w:color="auto"/>
                        <w:bottom w:val="none" w:sz="0" w:space="0" w:color="auto"/>
                        <w:right w:val="none" w:sz="0" w:space="0" w:color="auto"/>
                      </w:divBdr>
                    </w:div>
                  </w:divsChild>
                </w:div>
                <w:div w:id="2013726748">
                  <w:marLeft w:val="0"/>
                  <w:marRight w:val="0"/>
                  <w:marTop w:val="0"/>
                  <w:marBottom w:val="0"/>
                  <w:divBdr>
                    <w:top w:val="none" w:sz="0" w:space="0" w:color="auto"/>
                    <w:left w:val="none" w:sz="0" w:space="0" w:color="auto"/>
                    <w:bottom w:val="none" w:sz="0" w:space="0" w:color="auto"/>
                    <w:right w:val="none" w:sz="0" w:space="0" w:color="auto"/>
                  </w:divBdr>
                  <w:divsChild>
                    <w:div w:id="308746812">
                      <w:marLeft w:val="0"/>
                      <w:marRight w:val="0"/>
                      <w:marTop w:val="0"/>
                      <w:marBottom w:val="0"/>
                      <w:divBdr>
                        <w:top w:val="none" w:sz="0" w:space="0" w:color="auto"/>
                        <w:left w:val="none" w:sz="0" w:space="0" w:color="auto"/>
                        <w:bottom w:val="none" w:sz="0" w:space="0" w:color="auto"/>
                        <w:right w:val="none" w:sz="0" w:space="0" w:color="auto"/>
                      </w:divBdr>
                    </w:div>
                  </w:divsChild>
                </w:div>
                <w:div w:id="2026666547">
                  <w:marLeft w:val="0"/>
                  <w:marRight w:val="0"/>
                  <w:marTop w:val="0"/>
                  <w:marBottom w:val="0"/>
                  <w:divBdr>
                    <w:top w:val="none" w:sz="0" w:space="0" w:color="auto"/>
                    <w:left w:val="none" w:sz="0" w:space="0" w:color="auto"/>
                    <w:bottom w:val="none" w:sz="0" w:space="0" w:color="auto"/>
                    <w:right w:val="none" w:sz="0" w:space="0" w:color="auto"/>
                  </w:divBdr>
                  <w:divsChild>
                    <w:div w:id="926965906">
                      <w:marLeft w:val="0"/>
                      <w:marRight w:val="0"/>
                      <w:marTop w:val="0"/>
                      <w:marBottom w:val="0"/>
                      <w:divBdr>
                        <w:top w:val="none" w:sz="0" w:space="0" w:color="auto"/>
                        <w:left w:val="none" w:sz="0" w:space="0" w:color="auto"/>
                        <w:bottom w:val="none" w:sz="0" w:space="0" w:color="auto"/>
                        <w:right w:val="none" w:sz="0" w:space="0" w:color="auto"/>
                      </w:divBdr>
                    </w:div>
                  </w:divsChild>
                </w:div>
                <w:div w:id="2056924769">
                  <w:marLeft w:val="0"/>
                  <w:marRight w:val="0"/>
                  <w:marTop w:val="0"/>
                  <w:marBottom w:val="0"/>
                  <w:divBdr>
                    <w:top w:val="none" w:sz="0" w:space="0" w:color="auto"/>
                    <w:left w:val="none" w:sz="0" w:space="0" w:color="auto"/>
                    <w:bottom w:val="none" w:sz="0" w:space="0" w:color="auto"/>
                    <w:right w:val="none" w:sz="0" w:space="0" w:color="auto"/>
                  </w:divBdr>
                  <w:divsChild>
                    <w:div w:id="685257054">
                      <w:marLeft w:val="0"/>
                      <w:marRight w:val="0"/>
                      <w:marTop w:val="0"/>
                      <w:marBottom w:val="0"/>
                      <w:divBdr>
                        <w:top w:val="none" w:sz="0" w:space="0" w:color="auto"/>
                        <w:left w:val="none" w:sz="0" w:space="0" w:color="auto"/>
                        <w:bottom w:val="none" w:sz="0" w:space="0" w:color="auto"/>
                        <w:right w:val="none" w:sz="0" w:space="0" w:color="auto"/>
                      </w:divBdr>
                    </w:div>
                  </w:divsChild>
                </w:div>
                <w:div w:id="2075856811">
                  <w:marLeft w:val="0"/>
                  <w:marRight w:val="0"/>
                  <w:marTop w:val="0"/>
                  <w:marBottom w:val="0"/>
                  <w:divBdr>
                    <w:top w:val="none" w:sz="0" w:space="0" w:color="auto"/>
                    <w:left w:val="none" w:sz="0" w:space="0" w:color="auto"/>
                    <w:bottom w:val="none" w:sz="0" w:space="0" w:color="auto"/>
                    <w:right w:val="none" w:sz="0" w:space="0" w:color="auto"/>
                  </w:divBdr>
                  <w:divsChild>
                    <w:div w:id="1908031042">
                      <w:marLeft w:val="0"/>
                      <w:marRight w:val="0"/>
                      <w:marTop w:val="0"/>
                      <w:marBottom w:val="0"/>
                      <w:divBdr>
                        <w:top w:val="none" w:sz="0" w:space="0" w:color="auto"/>
                        <w:left w:val="none" w:sz="0" w:space="0" w:color="auto"/>
                        <w:bottom w:val="none" w:sz="0" w:space="0" w:color="auto"/>
                        <w:right w:val="none" w:sz="0" w:space="0" w:color="auto"/>
                      </w:divBdr>
                    </w:div>
                  </w:divsChild>
                </w:div>
                <w:div w:id="2079085561">
                  <w:marLeft w:val="0"/>
                  <w:marRight w:val="0"/>
                  <w:marTop w:val="0"/>
                  <w:marBottom w:val="0"/>
                  <w:divBdr>
                    <w:top w:val="none" w:sz="0" w:space="0" w:color="auto"/>
                    <w:left w:val="none" w:sz="0" w:space="0" w:color="auto"/>
                    <w:bottom w:val="none" w:sz="0" w:space="0" w:color="auto"/>
                    <w:right w:val="none" w:sz="0" w:space="0" w:color="auto"/>
                  </w:divBdr>
                  <w:divsChild>
                    <w:div w:id="1319769766">
                      <w:marLeft w:val="0"/>
                      <w:marRight w:val="0"/>
                      <w:marTop w:val="0"/>
                      <w:marBottom w:val="0"/>
                      <w:divBdr>
                        <w:top w:val="none" w:sz="0" w:space="0" w:color="auto"/>
                        <w:left w:val="none" w:sz="0" w:space="0" w:color="auto"/>
                        <w:bottom w:val="none" w:sz="0" w:space="0" w:color="auto"/>
                        <w:right w:val="none" w:sz="0" w:space="0" w:color="auto"/>
                      </w:divBdr>
                    </w:div>
                  </w:divsChild>
                </w:div>
                <w:div w:id="2104182930">
                  <w:marLeft w:val="0"/>
                  <w:marRight w:val="0"/>
                  <w:marTop w:val="0"/>
                  <w:marBottom w:val="0"/>
                  <w:divBdr>
                    <w:top w:val="none" w:sz="0" w:space="0" w:color="auto"/>
                    <w:left w:val="none" w:sz="0" w:space="0" w:color="auto"/>
                    <w:bottom w:val="none" w:sz="0" w:space="0" w:color="auto"/>
                    <w:right w:val="none" w:sz="0" w:space="0" w:color="auto"/>
                  </w:divBdr>
                  <w:divsChild>
                    <w:div w:id="683289549">
                      <w:marLeft w:val="0"/>
                      <w:marRight w:val="0"/>
                      <w:marTop w:val="0"/>
                      <w:marBottom w:val="0"/>
                      <w:divBdr>
                        <w:top w:val="none" w:sz="0" w:space="0" w:color="auto"/>
                        <w:left w:val="none" w:sz="0" w:space="0" w:color="auto"/>
                        <w:bottom w:val="none" w:sz="0" w:space="0" w:color="auto"/>
                        <w:right w:val="none" w:sz="0" w:space="0" w:color="auto"/>
                      </w:divBdr>
                    </w:div>
                  </w:divsChild>
                </w:div>
                <w:div w:id="2108846103">
                  <w:marLeft w:val="0"/>
                  <w:marRight w:val="0"/>
                  <w:marTop w:val="0"/>
                  <w:marBottom w:val="0"/>
                  <w:divBdr>
                    <w:top w:val="none" w:sz="0" w:space="0" w:color="auto"/>
                    <w:left w:val="none" w:sz="0" w:space="0" w:color="auto"/>
                    <w:bottom w:val="none" w:sz="0" w:space="0" w:color="auto"/>
                    <w:right w:val="none" w:sz="0" w:space="0" w:color="auto"/>
                  </w:divBdr>
                  <w:divsChild>
                    <w:div w:id="1169055233">
                      <w:marLeft w:val="0"/>
                      <w:marRight w:val="0"/>
                      <w:marTop w:val="0"/>
                      <w:marBottom w:val="0"/>
                      <w:divBdr>
                        <w:top w:val="none" w:sz="0" w:space="0" w:color="auto"/>
                        <w:left w:val="none" w:sz="0" w:space="0" w:color="auto"/>
                        <w:bottom w:val="none" w:sz="0" w:space="0" w:color="auto"/>
                        <w:right w:val="none" w:sz="0" w:space="0" w:color="auto"/>
                      </w:divBdr>
                    </w:div>
                  </w:divsChild>
                </w:div>
                <w:div w:id="2116093797">
                  <w:marLeft w:val="0"/>
                  <w:marRight w:val="0"/>
                  <w:marTop w:val="0"/>
                  <w:marBottom w:val="0"/>
                  <w:divBdr>
                    <w:top w:val="none" w:sz="0" w:space="0" w:color="auto"/>
                    <w:left w:val="none" w:sz="0" w:space="0" w:color="auto"/>
                    <w:bottom w:val="none" w:sz="0" w:space="0" w:color="auto"/>
                    <w:right w:val="none" w:sz="0" w:space="0" w:color="auto"/>
                  </w:divBdr>
                  <w:divsChild>
                    <w:div w:id="1778477901">
                      <w:marLeft w:val="0"/>
                      <w:marRight w:val="0"/>
                      <w:marTop w:val="0"/>
                      <w:marBottom w:val="0"/>
                      <w:divBdr>
                        <w:top w:val="none" w:sz="0" w:space="0" w:color="auto"/>
                        <w:left w:val="none" w:sz="0" w:space="0" w:color="auto"/>
                        <w:bottom w:val="none" w:sz="0" w:space="0" w:color="auto"/>
                        <w:right w:val="none" w:sz="0" w:space="0" w:color="auto"/>
                      </w:divBdr>
                    </w:div>
                  </w:divsChild>
                </w:div>
                <w:div w:id="2139059556">
                  <w:marLeft w:val="0"/>
                  <w:marRight w:val="0"/>
                  <w:marTop w:val="0"/>
                  <w:marBottom w:val="0"/>
                  <w:divBdr>
                    <w:top w:val="none" w:sz="0" w:space="0" w:color="auto"/>
                    <w:left w:val="none" w:sz="0" w:space="0" w:color="auto"/>
                    <w:bottom w:val="none" w:sz="0" w:space="0" w:color="auto"/>
                    <w:right w:val="none" w:sz="0" w:space="0" w:color="auto"/>
                  </w:divBdr>
                  <w:divsChild>
                    <w:div w:id="3867211">
                      <w:marLeft w:val="0"/>
                      <w:marRight w:val="0"/>
                      <w:marTop w:val="0"/>
                      <w:marBottom w:val="0"/>
                      <w:divBdr>
                        <w:top w:val="none" w:sz="0" w:space="0" w:color="auto"/>
                        <w:left w:val="none" w:sz="0" w:space="0" w:color="auto"/>
                        <w:bottom w:val="none" w:sz="0" w:space="0" w:color="auto"/>
                        <w:right w:val="none" w:sz="0" w:space="0" w:color="auto"/>
                      </w:divBdr>
                    </w:div>
                  </w:divsChild>
                </w:div>
                <w:div w:id="2142265967">
                  <w:marLeft w:val="0"/>
                  <w:marRight w:val="0"/>
                  <w:marTop w:val="0"/>
                  <w:marBottom w:val="0"/>
                  <w:divBdr>
                    <w:top w:val="none" w:sz="0" w:space="0" w:color="auto"/>
                    <w:left w:val="none" w:sz="0" w:space="0" w:color="auto"/>
                    <w:bottom w:val="none" w:sz="0" w:space="0" w:color="auto"/>
                    <w:right w:val="none" w:sz="0" w:space="0" w:color="auto"/>
                  </w:divBdr>
                  <w:divsChild>
                    <w:div w:id="17237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73415">
          <w:marLeft w:val="0"/>
          <w:marRight w:val="0"/>
          <w:marTop w:val="0"/>
          <w:marBottom w:val="0"/>
          <w:divBdr>
            <w:top w:val="none" w:sz="0" w:space="0" w:color="auto"/>
            <w:left w:val="none" w:sz="0" w:space="0" w:color="auto"/>
            <w:bottom w:val="none" w:sz="0" w:space="0" w:color="auto"/>
            <w:right w:val="none" w:sz="0" w:space="0" w:color="auto"/>
          </w:divBdr>
        </w:div>
        <w:div w:id="1364792652">
          <w:marLeft w:val="0"/>
          <w:marRight w:val="0"/>
          <w:marTop w:val="0"/>
          <w:marBottom w:val="0"/>
          <w:divBdr>
            <w:top w:val="none" w:sz="0" w:space="0" w:color="auto"/>
            <w:left w:val="none" w:sz="0" w:space="0" w:color="auto"/>
            <w:bottom w:val="none" w:sz="0" w:space="0" w:color="auto"/>
            <w:right w:val="none" w:sz="0" w:space="0" w:color="auto"/>
          </w:divBdr>
        </w:div>
        <w:div w:id="1498153739">
          <w:marLeft w:val="0"/>
          <w:marRight w:val="0"/>
          <w:marTop w:val="0"/>
          <w:marBottom w:val="0"/>
          <w:divBdr>
            <w:top w:val="none" w:sz="0" w:space="0" w:color="auto"/>
            <w:left w:val="none" w:sz="0" w:space="0" w:color="auto"/>
            <w:bottom w:val="none" w:sz="0" w:space="0" w:color="auto"/>
            <w:right w:val="none" w:sz="0" w:space="0" w:color="auto"/>
          </w:divBdr>
        </w:div>
        <w:div w:id="1818565392">
          <w:marLeft w:val="0"/>
          <w:marRight w:val="0"/>
          <w:marTop w:val="0"/>
          <w:marBottom w:val="0"/>
          <w:divBdr>
            <w:top w:val="none" w:sz="0" w:space="0" w:color="auto"/>
            <w:left w:val="none" w:sz="0" w:space="0" w:color="auto"/>
            <w:bottom w:val="none" w:sz="0" w:space="0" w:color="auto"/>
            <w:right w:val="none" w:sz="0" w:space="0" w:color="auto"/>
          </w:divBdr>
        </w:div>
        <w:div w:id="1827091049">
          <w:marLeft w:val="0"/>
          <w:marRight w:val="0"/>
          <w:marTop w:val="0"/>
          <w:marBottom w:val="0"/>
          <w:divBdr>
            <w:top w:val="none" w:sz="0" w:space="0" w:color="auto"/>
            <w:left w:val="none" w:sz="0" w:space="0" w:color="auto"/>
            <w:bottom w:val="none" w:sz="0" w:space="0" w:color="auto"/>
            <w:right w:val="none" w:sz="0" w:space="0" w:color="auto"/>
          </w:divBdr>
          <w:divsChild>
            <w:div w:id="1016031923">
              <w:marLeft w:val="-75"/>
              <w:marRight w:val="0"/>
              <w:marTop w:val="30"/>
              <w:marBottom w:val="30"/>
              <w:divBdr>
                <w:top w:val="none" w:sz="0" w:space="0" w:color="auto"/>
                <w:left w:val="none" w:sz="0" w:space="0" w:color="auto"/>
                <w:bottom w:val="none" w:sz="0" w:space="0" w:color="auto"/>
                <w:right w:val="none" w:sz="0" w:space="0" w:color="auto"/>
              </w:divBdr>
              <w:divsChild>
                <w:div w:id="6568799">
                  <w:marLeft w:val="0"/>
                  <w:marRight w:val="0"/>
                  <w:marTop w:val="0"/>
                  <w:marBottom w:val="0"/>
                  <w:divBdr>
                    <w:top w:val="none" w:sz="0" w:space="0" w:color="auto"/>
                    <w:left w:val="none" w:sz="0" w:space="0" w:color="auto"/>
                    <w:bottom w:val="none" w:sz="0" w:space="0" w:color="auto"/>
                    <w:right w:val="none" w:sz="0" w:space="0" w:color="auto"/>
                  </w:divBdr>
                  <w:divsChild>
                    <w:div w:id="400566899">
                      <w:marLeft w:val="0"/>
                      <w:marRight w:val="0"/>
                      <w:marTop w:val="0"/>
                      <w:marBottom w:val="0"/>
                      <w:divBdr>
                        <w:top w:val="none" w:sz="0" w:space="0" w:color="auto"/>
                        <w:left w:val="none" w:sz="0" w:space="0" w:color="auto"/>
                        <w:bottom w:val="none" w:sz="0" w:space="0" w:color="auto"/>
                        <w:right w:val="none" w:sz="0" w:space="0" w:color="auto"/>
                      </w:divBdr>
                    </w:div>
                  </w:divsChild>
                </w:div>
                <w:div w:id="16279642">
                  <w:marLeft w:val="0"/>
                  <w:marRight w:val="0"/>
                  <w:marTop w:val="0"/>
                  <w:marBottom w:val="0"/>
                  <w:divBdr>
                    <w:top w:val="none" w:sz="0" w:space="0" w:color="auto"/>
                    <w:left w:val="none" w:sz="0" w:space="0" w:color="auto"/>
                    <w:bottom w:val="none" w:sz="0" w:space="0" w:color="auto"/>
                    <w:right w:val="none" w:sz="0" w:space="0" w:color="auto"/>
                  </w:divBdr>
                  <w:divsChild>
                    <w:div w:id="393358099">
                      <w:marLeft w:val="0"/>
                      <w:marRight w:val="0"/>
                      <w:marTop w:val="0"/>
                      <w:marBottom w:val="0"/>
                      <w:divBdr>
                        <w:top w:val="none" w:sz="0" w:space="0" w:color="auto"/>
                        <w:left w:val="none" w:sz="0" w:space="0" w:color="auto"/>
                        <w:bottom w:val="none" w:sz="0" w:space="0" w:color="auto"/>
                        <w:right w:val="none" w:sz="0" w:space="0" w:color="auto"/>
                      </w:divBdr>
                    </w:div>
                  </w:divsChild>
                </w:div>
                <w:div w:id="21983630">
                  <w:marLeft w:val="0"/>
                  <w:marRight w:val="0"/>
                  <w:marTop w:val="0"/>
                  <w:marBottom w:val="0"/>
                  <w:divBdr>
                    <w:top w:val="none" w:sz="0" w:space="0" w:color="auto"/>
                    <w:left w:val="none" w:sz="0" w:space="0" w:color="auto"/>
                    <w:bottom w:val="none" w:sz="0" w:space="0" w:color="auto"/>
                    <w:right w:val="none" w:sz="0" w:space="0" w:color="auto"/>
                  </w:divBdr>
                  <w:divsChild>
                    <w:div w:id="862086998">
                      <w:marLeft w:val="0"/>
                      <w:marRight w:val="0"/>
                      <w:marTop w:val="0"/>
                      <w:marBottom w:val="0"/>
                      <w:divBdr>
                        <w:top w:val="none" w:sz="0" w:space="0" w:color="auto"/>
                        <w:left w:val="none" w:sz="0" w:space="0" w:color="auto"/>
                        <w:bottom w:val="none" w:sz="0" w:space="0" w:color="auto"/>
                        <w:right w:val="none" w:sz="0" w:space="0" w:color="auto"/>
                      </w:divBdr>
                    </w:div>
                  </w:divsChild>
                </w:div>
                <w:div w:id="38865129">
                  <w:marLeft w:val="0"/>
                  <w:marRight w:val="0"/>
                  <w:marTop w:val="0"/>
                  <w:marBottom w:val="0"/>
                  <w:divBdr>
                    <w:top w:val="none" w:sz="0" w:space="0" w:color="auto"/>
                    <w:left w:val="none" w:sz="0" w:space="0" w:color="auto"/>
                    <w:bottom w:val="none" w:sz="0" w:space="0" w:color="auto"/>
                    <w:right w:val="none" w:sz="0" w:space="0" w:color="auto"/>
                  </w:divBdr>
                  <w:divsChild>
                    <w:div w:id="1832678989">
                      <w:marLeft w:val="0"/>
                      <w:marRight w:val="0"/>
                      <w:marTop w:val="0"/>
                      <w:marBottom w:val="0"/>
                      <w:divBdr>
                        <w:top w:val="none" w:sz="0" w:space="0" w:color="auto"/>
                        <w:left w:val="none" w:sz="0" w:space="0" w:color="auto"/>
                        <w:bottom w:val="none" w:sz="0" w:space="0" w:color="auto"/>
                        <w:right w:val="none" w:sz="0" w:space="0" w:color="auto"/>
                      </w:divBdr>
                    </w:div>
                  </w:divsChild>
                </w:div>
                <w:div w:id="81802592">
                  <w:marLeft w:val="0"/>
                  <w:marRight w:val="0"/>
                  <w:marTop w:val="0"/>
                  <w:marBottom w:val="0"/>
                  <w:divBdr>
                    <w:top w:val="none" w:sz="0" w:space="0" w:color="auto"/>
                    <w:left w:val="none" w:sz="0" w:space="0" w:color="auto"/>
                    <w:bottom w:val="none" w:sz="0" w:space="0" w:color="auto"/>
                    <w:right w:val="none" w:sz="0" w:space="0" w:color="auto"/>
                  </w:divBdr>
                  <w:divsChild>
                    <w:div w:id="803934419">
                      <w:marLeft w:val="0"/>
                      <w:marRight w:val="0"/>
                      <w:marTop w:val="0"/>
                      <w:marBottom w:val="0"/>
                      <w:divBdr>
                        <w:top w:val="none" w:sz="0" w:space="0" w:color="auto"/>
                        <w:left w:val="none" w:sz="0" w:space="0" w:color="auto"/>
                        <w:bottom w:val="none" w:sz="0" w:space="0" w:color="auto"/>
                        <w:right w:val="none" w:sz="0" w:space="0" w:color="auto"/>
                      </w:divBdr>
                    </w:div>
                  </w:divsChild>
                </w:div>
                <w:div w:id="91434857">
                  <w:marLeft w:val="0"/>
                  <w:marRight w:val="0"/>
                  <w:marTop w:val="0"/>
                  <w:marBottom w:val="0"/>
                  <w:divBdr>
                    <w:top w:val="none" w:sz="0" w:space="0" w:color="auto"/>
                    <w:left w:val="none" w:sz="0" w:space="0" w:color="auto"/>
                    <w:bottom w:val="none" w:sz="0" w:space="0" w:color="auto"/>
                    <w:right w:val="none" w:sz="0" w:space="0" w:color="auto"/>
                  </w:divBdr>
                  <w:divsChild>
                    <w:div w:id="52431936">
                      <w:marLeft w:val="0"/>
                      <w:marRight w:val="0"/>
                      <w:marTop w:val="0"/>
                      <w:marBottom w:val="0"/>
                      <w:divBdr>
                        <w:top w:val="none" w:sz="0" w:space="0" w:color="auto"/>
                        <w:left w:val="none" w:sz="0" w:space="0" w:color="auto"/>
                        <w:bottom w:val="none" w:sz="0" w:space="0" w:color="auto"/>
                        <w:right w:val="none" w:sz="0" w:space="0" w:color="auto"/>
                      </w:divBdr>
                    </w:div>
                  </w:divsChild>
                </w:div>
                <w:div w:id="94372133">
                  <w:marLeft w:val="0"/>
                  <w:marRight w:val="0"/>
                  <w:marTop w:val="0"/>
                  <w:marBottom w:val="0"/>
                  <w:divBdr>
                    <w:top w:val="none" w:sz="0" w:space="0" w:color="auto"/>
                    <w:left w:val="none" w:sz="0" w:space="0" w:color="auto"/>
                    <w:bottom w:val="none" w:sz="0" w:space="0" w:color="auto"/>
                    <w:right w:val="none" w:sz="0" w:space="0" w:color="auto"/>
                  </w:divBdr>
                  <w:divsChild>
                    <w:div w:id="52316612">
                      <w:marLeft w:val="0"/>
                      <w:marRight w:val="0"/>
                      <w:marTop w:val="0"/>
                      <w:marBottom w:val="0"/>
                      <w:divBdr>
                        <w:top w:val="none" w:sz="0" w:space="0" w:color="auto"/>
                        <w:left w:val="none" w:sz="0" w:space="0" w:color="auto"/>
                        <w:bottom w:val="none" w:sz="0" w:space="0" w:color="auto"/>
                        <w:right w:val="none" w:sz="0" w:space="0" w:color="auto"/>
                      </w:divBdr>
                    </w:div>
                  </w:divsChild>
                </w:div>
                <w:div w:id="109904227">
                  <w:marLeft w:val="0"/>
                  <w:marRight w:val="0"/>
                  <w:marTop w:val="0"/>
                  <w:marBottom w:val="0"/>
                  <w:divBdr>
                    <w:top w:val="none" w:sz="0" w:space="0" w:color="auto"/>
                    <w:left w:val="none" w:sz="0" w:space="0" w:color="auto"/>
                    <w:bottom w:val="none" w:sz="0" w:space="0" w:color="auto"/>
                    <w:right w:val="none" w:sz="0" w:space="0" w:color="auto"/>
                  </w:divBdr>
                  <w:divsChild>
                    <w:div w:id="337973019">
                      <w:marLeft w:val="0"/>
                      <w:marRight w:val="0"/>
                      <w:marTop w:val="0"/>
                      <w:marBottom w:val="0"/>
                      <w:divBdr>
                        <w:top w:val="none" w:sz="0" w:space="0" w:color="auto"/>
                        <w:left w:val="none" w:sz="0" w:space="0" w:color="auto"/>
                        <w:bottom w:val="none" w:sz="0" w:space="0" w:color="auto"/>
                        <w:right w:val="none" w:sz="0" w:space="0" w:color="auto"/>
                      </w:divBdr>
                    </w:div>
                  </w:divsChild>
                </w:div>
                <w:div w:id="111559219">
                  <w:marLeft w:val="0"/>
                  <w:marRight w:val="0"/>
                  <w:marTop w:val="0"/>
                  <w:marBottom w:val="0"/>
                  <w:divBdr>
                    <w:top w:val="none" w:sz="0" w:space="0" w:color="auto"/>
                    <w:left w:val="none" w:sz="0" w:space="0" w:color="auto"/>
                    <w:bottom w:val="none" w:sz="0" w:space="0" w:color="auto"/>
                    <w:right w:val="none" w:sz="0" w:space="0" w:color="auto"/>
                  </w:divBdr>
                  <w:divsChild>
                    <w:div w:id="1204947205">
                      <w:marLeft w:val="0"/>
                      <w:marRight w:val="0"/>
                      <w:marTop w:val="0"/>
                      <w:marBottom w:val="0"/>
                      <w:divBdr>
                        <w:top w:val="none" w:sz="0" w:space="0" w:color="auto"/>
                        <w:left w:val="none" w:sz="0" w:space="0" w:color="auto"/>
                        <w:bottom w:val="none" w:sz="0" w:space="0" w:color="auto"/>
                        <w:right w:val="none" w:sz="0" w:space="0" w:color="auto"/>
                      </w:divBdr>
                    </w:div>
                  </w:divsChild>
                </w:div>
                <w:div w:id="111637458">
                  <w:marLeft w:val="0"/>
                  <w:marRight w:val="0"/>
                  <w:marTop w:val="0"/>
                  <w:marBottom w:val="0"/>
                  <w:divBdr>
                    <w:top w:val="none" w:sz="0" w:space="0" w:color="auto"/>
                    <w:left w:val="none" w:sz="0" w:space="0" w:color="auto"/>
                    <w:bottom w:val="none" w:sz="0" w:space="0" w:color="auto"/>
                    <w:right w:val="none" w:sz="0" w:space="0" w:color="auto"/>
                  </w:divBdr>
                  <w:divsChild>
                    <w:div w:id="1152254883">
                      <w:marLeft w:val="0"/>
                      <w:marRight w:val="0"/>
                      <w:marTop w:val="0"/>
                      <w:marBottom w:val="0"/>
                      <w:divBdr>
                        <w:top w:val="none" w:sz="0" w:space="0" w:color="auto"/>
                        <w:left w:val="none" w:sz="0" w:space="0" w:color="auto"/>
                        <w:bottom w:val="none" w:sz="0" w:space="0" w:color="auto"/>
                        <w:right w:val="none" w:sz="0" w:space="0" w:color="auto"/>
                      </w:divBdr>
                    </w:div>
                  </w:divsChild>
                </w:div>
                <w:div w:id="143930714">
                  <w:marLeft w:val="0"/>
                  <w:marRight w:val="0"/>
                  <w:marTop w:val="0"/>
                  <w:marBottom w:val="0"/>
                  <w:divBdr>
                    <w:top w:val="none" w:sz="0" w:space="0" w:color="auto"/>
                    <w:left w:val="none" w:sz="0" w:space="0" w:color="auto"/>
                    <w:bottom w:val="none" w:sz="0" w:space="0" w:color="auto"/>
                    <w:right w:val="none" w:sz="0" w:space="0" w:color="auto"/>
                  </w:divBdr>
                  <w:divsChild>
                    <w:div w:id="244147117">
                      <w:marLeft w:val="0"/>
                      <w:marRight w:val="0"/>
                      <w:marTop w:val="0"/>
                      <w:marBottom w:val="0"/>
                      <w:divBdr>
                        <w:top w:val="none" w:sz="0" w:space="0" w:color="auto"/>
                        <w:left w:val="none" w:sz="0" w:space="0" w:color="auto"/>
                        <w:bottom w:val="none" w:sz="0" w:space="0" w:color="auto"/>
                        <w:right w:val="none" w:sz="0" w:space="0" w:color="auto"/>
                      </w:divBdr>
                    </w:div>
                  </w:divsChild>
                </w:div>
                <w:div w:id="146482433">
                  <w:marLeft w:val="0"/>
                  <w:marRight w:val="0"/>
                  <w:marTop w:val="0"/>
                  <w:marBottom w:val="0"/>
                  <w:divBdr>
                    <w:top w:val="none" w:sz="0" w:space="0" w:color="auto"/>
                    <w:left w:val="none" w:sz="0" w:space="0" w:color="auto"/>
                    <w:bottom w:val="none" w:sz="0" w:space="0" w:color="auto"/>
                    <w:right w:val="none" w:sz="0" w:space="0" w:color="auto"/>
                  </w:divBdr>
                  <w:divsChild>
                    <w:div w:id="1438600197">
                      <w:marLeft w:val="0"/>
                      <w:marRight w:val="0"/>
                      <w:marTop w:val="0"/>
                      <w:marBottom w:val="0"/>
                      <w:divBdr>
                        <w:top w:val="none" w:sz="0" w:space="0" w:color="auto"/>
                        <w:left w:val="none" w:sz="0" w:space="0" w:color="auto"/>
                        <w:bottom w:val="none" w:sz="0" w:space="0" w:color="auto"/>
                        <w:right w:val="none" w:sz="0" w:space="0" w:color="auto"/>
                      </w:divBdr>
                    </w:div>
                  </w:divsChild>
                </w:div>
                <w:div w:id="159783878">
                  <w:marLeft w:val="0"/>
                  <w:marRight w:val="0"/>
                  <w:marTop w:val="0"/>
                  <w:marBottom w:val="0"/>
                  <w:divBdr>
                    <w:top w:val="none" w:sz="0" w:space="0" w:color="auto"/>
                    <w:left w:val="none" w:sz="0" w:space="0" w:color="auto"/>
                    <w:bottom w:val="none" w:sz="0" w:space="0" w:color="auto"/>
                    <w:right w:val="none" w:sz="0" w:space="0" w:color="auto"/>
                  </w:divBdr>
                  <w:divsChild>
                    <w:div w:id="156649701">
                      <w:marLeft w:val="0"/>
                      <w:marRight w:val="0"/>
                      <w:marTop w:val="0"/>
                      <w:marBottom w:val="0"/>
                      <w:divBdr>
                        <w:top w:val="none" w:sz="0" w:space="0" w:color="auto"/>
                        <w:left w:val="none" w:sz="0" w:space="0" w:color="auto"/>
                        <w:bottom w:val="none" w:sz="0" w:space="0" w:color="auto"/>
                        <w:right w:val="none" w:sz="0" w:space="0" w:color="auto"/>
                      </w:divBdr>
                    </w:div>
                  </w:divsChild>
                </w:div>
                <w:div w:id="172499816">
                  <w:marLeft w:val="0"/>
                  <w:marRight w:val="0"/>
                  <w:marTop w:val="0"/>
                  <w:marBottom w:val="0"/>
                  <w:divBdr>
                    <w:top w:val="none" w:sz="0" w:space="0" w:color="auto"/>
                    <w:left w:val="none" w:sz="0" w:space="0" w:color="auto"/>
                    <w:bottom w:val="none" w:sz="0" w:space="0" w:color="auto"/>
                    <w:right w:val="none" w:sz="0" w:space="0" w:color="auto"/>
                  </w:divBdr>
                  <w:divsChild>
                    <w:div w:id="1948850662">
                      <w:marLeft w:val="0"/>
                      <w:marRight w:val="0"/>
                      <w:marTop w:val="0"/>
                      <w:marBottom w:val="0"/>
                      <w:divBdr>
                        <w:top w:val="none" w:sz="0" w:space="0" w:color="auto"/>
                        <w:left w:val="none" w:sz="0" w:space="0" w:color="auto"/>
                        <w:bottom w:val="none" w:sz="0" w:space="0" w:color="auto"/>
                        <w:right w:val="none" w:sz="0" w:space="0" w:color="auto"/>
                      </w:divBdr>
                    </w:div>
                  </w:divsChild>
                </w:div>
                <w:div w:id="189033658">
                  <w:marLeft w:val="0"/>
                  <w:marRight w:val="0"/>
                  <w:marTop w:val="0"/>
                  <w:marBottom w:val="0"/>
                  <w:divBdr>
                    <w:top w:val="none" w:sz="0" w:space="0" w:color="auto"/>
                    <w:left w:val="none" w:sz="0" w:space="0" w:color="auto"/>
                    <w:bottom w:val="none" w:sz="0" w:space="0" w:color="auto"/>
                    <w:right w:val="none" w:sz="0" w:space="0" w:color="auto"/>
                  </w:divBdr>
                  <w:divsChild>
                    <w:div w:id="2119715799">
                      <w:marLeft w:val="0"/>
                      <w:marRight w:val="0"/>
                      <w:marTop w:val="0"/>
                      <w:marBottom w:val="0"/>
                      <w:divBdr>
                        <w:top w:val="none" w:sz="0" w:space="0" w:color="auto"/>
                        <w:left w:val="none" w:sz="0" w:space="0" w:color="auto"/>
                        <w:bottom w:val="none" w:sz="0" w:space="0" w:color="auto"/>
                        <w:right w:val="none" w:sz="0" w:space="0" w:color="auto"/>
                      </w:divBdr>
                    </w:div>
                  </w:divsChild>
                </w:div>
                <w:div w:id="190456818">
                  <w:marLeft w:val="0"/>
                  <w:marRight w:val="0"/>
                  <w:marTop w:val="0"/>
                  <w:marBottom w:val="0"/>
                  <w:divBdr>
                    <w:top w:val="none" w:sz="0" w:space="0" w:color="auto"/>
                    <w:left w:val="none" w:sz="0" w:space="0" w:color="auto"/>
                    <w:bottom w:val="none" w:sz="0" w:space="0" w:color="auto"/>
                    <w:right w:val="none" w:sz="0" w:space="0" w:color="auto"/>
                  </w:divBdr>
                  <w:divsChild>
                    <w:div w:id="1646858401">
                      <w:marLeft w:val="0"/>
                      <w:marRight w:val="0"/>
                      <w:marTop w:val="0"/>
                      <w:marBottom w:val="0"/>
                      <w:divBdr>
                        <w:top w:val="none" w:sz="0" w:space="0" w:color="auto"/>
                        <w:left w:val="none" w:sz="0" w:space="0" w:color="auto"/>
                        <w:bottom w:val="none" w:sz="0" w:space="0" w:color="auto"/>
                        <w:right w:val="none" w:sz="0" w:space="0" w:color="auto"/>
                      </w:divBdr>
                    </w:div>
                  </w:divsChild>
                </w:div>
                <w:div w:id="193619723">
                  <w:marLeft w:val="0"/>
                  <w:marRight w:val="0"/>
                  <w:marTop w:val="0"/>
                  <w:marBottom w:val="0"/>
                  <w:divBdr>
                    <w:top w:val="none" w:sz="0" w:space="0" w:color="auto"/>
                    <w:left w:val="none" w:sz="0" w:space="0" w:color="auto"/>
                    <w:bottom w:val="none" w:sz="0" w:space="0" w:color="auto"/>
                    <w:right w:val="none" w:sz="0" w:space="0" w:color="auto"/>
                  </w:divBdr>
                  <w:divsChild>
                    <w:div w:id="119347652">
                      <w:marLeft w:val="0"/>
                      <w:marRight w:val="0"/>
                      <w:marTop w:val="0"/>
                      <w:marBottom w:val="0"/>
                      <w:divBdr>
                        <w:top w:val="none" w:sz="0" w:space="0" w:color="auto"/>
                        <w:left w:val="none" w:sz="0" w:space="0" w:color="auto"/>
                        <w:bottom w:val="none" w:sz="0" w:space="0" w:color="auto"/>
                        <w:right w:val="none" w:sz="0" w:space="0" w:color="auto"/>
                      </w:divBdr>
                    </w:div>
                  </w:divsChild>
                </w:div>
                <w:div w:id="199124980">
                  <w:marLeft w:val="0"/>
                  <w:marRight w:val="0"/>
                  <w:marTop w:val="0"/>
                  <w:marBottom w:val="0"/>
                  <w:divBdr>
                    <w:top w:val="none" w:sz="0" w:space="0" w:color="auto"/>
                    <w:left w:val="none" w:sz="0" w:space="0" w:color="auto"/>
                    <w:bottom w:val="none" w:sz="0" w:space="0" w:color="auto"/>
                    <w:right w:val="none" w:sz="0" w:space="0" w:color="auto"/>
                  </w:divBdr>
                  <w:divsChild>
                    <w:div w:id="2036147980">
                      <w:marLeft w:val="0"/>
                      <w:marRight w:val="0"/>
                      <w:marTop w:val="0"/>
                      <w:marBottom w:val="0"/>
                      <w:divBdr>
                        <w:top w:val="none" w:sz="0" w:space="0" w:color="auto"/>
                        <w:left w:val="none" w:sz="0" w:space="0" w:color="auto"/>
                        <w:bottom w:val="none" w:sz="0" w:space="0" w:color="auto"/>
                        <w:right w:val="none" w:sz="0" w:space="0" w:color="auto"/>
                      </w:divBdr>
                    </w:div>
                  </w:divsChild>
                </w:div>
                <w:div w:id="207573949">
                  <w:marLeft w:val="0"/>
                  <w:marRight w:val="0"/>
                  <w:marTop w:val="0"/>
                  <w:marBottom w:val="0"/>
                  <w:divBdr>
                    <w:top w:val="none" w:sz="0" w:space="0" w:color="auto"/>
                    <w:left w:val="none" w:sz="0" w:space="0" w:color="auto"/>
                    <w:bottom w:val="none" w:sz="0" w:space="0" w:color="auto"/>
                    <w:right w:val="none" w:sz="0" w:space="0" w:color="auto"/>
                  </w:divBdr>
                  <w:divsChild>
                    <w:div w:id="835456358">
                      <w:marLeft w:val="0"/>
                      <w:marRight w:val="0"/>
                      <w:marTop w:val="0"/>
                      <w:marBottom w:val="0"/>
                      <w:divBdr>
                        <w:top w:val="none" w:sz="0" w:space="0" w:color="auto"/>
                        <w:left w:val="none" w:sz="0" w:space="0" w:color="auto"/>
                        <w:bottom w:val="none" w:sz="0" w:space="0" w:color="auto"/>
                        <w:right w:val="none" w:sz="0" w:space="0" w:color="auto"/>
                      </w:divBdr>
                    </w:div>
                  </w:divsChild>
                </w:div>
                <w:div w:id="228728924">
                  <w:marLeft w:val="0"/>
                  <w:marRight w:val="0"/>
                  <w:marTop w:val="0"/>
                  <w:marBottom w:val="0"/>
                  <w:divBdr>
                    <w:top w:val="none" w:sz="0" w:space="0" w:color="auto"/>
                    <w:left w:val="none" w:sz="0" w:space="0" w:color="auto"/>
                    <w:bottom w:val="none" w:sz="0" w:space="0" w:color="auto"/>
                    <w:right w:val="none" w:sz="0" w:space="0" w:color="auto"/>
                  </w:divBdr>
                  <w:divsChild>
                    <w:div w:id="1854880379">
                      <w:marLeft w:val="0"/>
                      <w:marRight w:val="0"/>
                      <w:marTop w:val="0"/>
                      <w:marBottom w:val="0"/>
                      <w:divBdr>
                        <w:top w:val="none" w:sz="0" w:space="0" w:color="auto"/>
                        <w:left w:val="none" w:sz="0" w:space="0" w:color="auto"/>
                        <w:bottom w:val="none" w:sz="0" w:space="0" w:color="auto"/>
                        <w:right w:val="none" w:sz="0" w:space="0" w:color="auto"/>
                      </w:divBdr>
                    </w:div>
                  </w:divsChild>
                </w:div>
                <w:div w:id="230193401">
                  <w:marLeft w:val="0"/>
                  <w:marRight w:val="0"/>
                  <w:marTop w:val="0"/>
                  <w:marBottom w:val="0"/>
                  <w:divBdr>
                    <w:top w:val="none" w:sz="0" w:space="0" w:color="auto"/>
                    <w:left w:val="none" w:sz="0" w:space="0" w:color="auto"/>
                    <w:bottom w:val="none" w:sz="0" w:space="0" w:color="auto"/>
                    <w:right w:val="none" w:sz="0" w:space="0" w:color="auto"/>
                  </w:divBdr>
                  <w:divsChild>
                    <w:div w:id="989869914">
                      <w:marLeft w:val="0"/>
                      <w:marRight w:val="0"/>
                      <w:marTop w:val="0"/>
                      <w:marBottom w:val="0"/>
                      <w:divBdr>
                        <w:top w:val="none" w:sz="0" w:space="0" w:color="auto"/>
                        <w:left w:val="none" w:sz="0" w:space="0" w:color="auto"/>
                        <w:bottom w:val="none" w:sz="0" w:space="0" w:color="auto"/>
                        <w:right w:val="none" w:sz="0" w:space="0" w:color="auto"/>
                      </w:divBdr>
                    </w:div>
                  </w:divsChild>
                </w:div>
                <w:div w:id="247689582">
                  <w:marLeft w:val="0"/>
                  <w:marRight w:val="0"/>
                  <w:marTop w:val="0"/>
                  <w:marBottom w:val="0"/>
                  <w:divBdr>
                    <w:top w:val="none" w:sz="0" w:space="0" w:color="auto"/>
                    <w:left w:val="none" w:sz="0" w:space="0" w:color="auto"/>
                    <w:bottom w:val="none" w:sz="0" w:space="0" w:color="auto"/>
                    <w:right w:val="none" w:sz="0" w:space="0" w:color="auto"/>
                  </w:divBdr>
                  <w:divsChild>
                    <w:div w:id="1653212054">
                      <w:marLeft w:val="0"/>
                      <w:marRight w:val="0"/>
                      <w:marTop w:val="0"/>
                      <w:marBottom w:val="0"/>
                      <w:divBdr>
                        <w:top w:val="none" w:sz="0" w:space="0" w:color="auto"/>
                        <w:left w:val="none" w:sz="0" w:space="0" w:color="auto"/>
                        <w:bottom w:val="none" w:sz="0" w:space="0" w:color="auto"/>
                        <w:right w:val="none" w:sz="0" w:space="0" w:color="auto"/>
                      </w:divBdr>
                    </w:div>
                  </w:divsChild>
                </w:div>
                <w:div w:id="260649507">
                  <w:marLeft w:val="0"/>
                  <w:marRight w:val="0"/>
                  <w:marTop w:val="0"/>
                  <w:marBottom w:val="0"/>
                  <w:divBdr>
                    <w:top w:val="none" w:sz="0" w:space="0" w:color="auto"/>
                    <w:left w:val="none" w:sz="0" w:space="0" w:color="auto"/>
                    <w:bottom w:val="none" w:sz="0" w:space="0" w:color="auto"/>
                    <w:right w:val="none" w:sz="0" w:space="0" w:color="auto"/>
                  </w:divBdr>
                  <w:divsChild>
                    <w:div w:id="1185172245">
                      <w:marLeft w:val="0"/>
                      <w:marRight w:val="0"/>
                      <w:marTop w:val="0"/>
                      <w:marBottom w:val="0"/>
                      <w:divBdr>
                        <w:top w:val="none" w:sz="0" w:space="0" w:color="auto"/>
                        <w:left w:val="none" w:sz="0" w:space="0" w:color="auto"/>
                        <w:bottom w:val="none" w:sz="0" w:space="0" w:color="auto"/>
                        <w:right w:val="none" w:sz="0" w:space="0" w:color="auto"/>
                      </w:divBdr>
                    </w:div>
                  </w:divsChild>
                </w:div>
                <w:div w:id="263542322">
                  <w:marLeft w:val="0"/>
                  <w:marRight w:val="0"/>
                  <w:marTop w:val="0"/>
                  <w:marBottom w:val="0"/>
                  <w:divBdr>
                    <w:top w:val="none" w:sz="0" w:space="0" w:color="auto"/>
                    <w:left w:val="none" w:sz="0" w:space="0" w:color="auto"/>
                    <w:bottom w:val="none" w:sz="0" w:space="0" w:color="auto"/>
                    <w:right w:val="none" w:sz="0" w:space="0" w:color="auto"/>
                  </w:divBdr>
                  <w:divsChild>
                    <w:div w:id="2115247223">
                      <w:marLeft w:val="0"/>
                      <w:marRight w:val="0"/>
                      <w:marTop w:val="0"/>
                      <w:marBottom w:val="0"/>
                      <w:divBdr>
                        <w:top w:val="none" w:sz="0" w:space="0" w:color="auto"/>
                        <w:left w:val="none" w:sz="0" w:space="0" w:color="auto"/>
                        <w:bottom w:val="none" w:sz="0" w:space="0" w:color="auto"/>
                        <w:right w:val="none" w:sz="0" w:space="0" w:color="auto"/>
                      </w:divBdr>
                    </w:div>
                  </w:divsChild>
                </w:div>
                <w:div w:id="270941077">
                  <w:marLeft w:val="0"/>
                  <w:marRight w:val="0"/>
                  <w:marTop w:val="0"/>
                  <w:marBottom w:val="0"/>
                  <w:divBdr>
                    <w:top w:val="none" w:sz="0" w:space="0" w:color="auto"/>
                    <w:left w:val="none" w:sz="0" w:space="0" w:color="auto"/>
                    <w:bottom w:val="none" w:sz="0" w:space="0" w:color="auto"/>
                    <w:right w:val="none" w:sz="0" w:space="0" w:color="auto"/>
                  </w:divBdr>
                  <w:divsChild>
                    <w:div w:id="604921339">
                      <w:marLeft w:val="0"/>
                      <w:marRight w:val="0"/>
                      <w:marTop w:val="0"/>
                      <w:marBottom w:val="0"/>
                      <w:divBdr>
                        <w:top w:val="none" w:sz="0" w:space="0" w:color="auto"/>
                        <w:left w:val="none" w:sz="0" w:space="0" w:color="auto"/>
                        <w:bottom w:val="none" w:sz="0" w:space="0" w:color="auto"/>
                        <w:right w:val="none" w:sz="0" w:space="0" w:color="auto"/>
                      </w:divBdr>
                    </w:div>
                  </w:divsChild>
                </w:div>
                <w:div w:id="294532064">
                  <w:marLeft w:val="0"/>
                  <w:marRight w:val="0"/>
                  <w:marTop w:val="0"/>
                  <w:marBottom w:val="0"/>
                  <w:divBdr>
                    <w:top w:val="none" w:sz="0" w:space="0" w:color="auto"/>
                    <w:left w:val="none" w:sz="0" w:space="0" w:color="auto"/>
                    <w:bottom w:val="none" w:sz="0" w:space="0" w:color="auto"/>
                    <w:right w:val="none" w:sz="0" w:space="0" w:color="auto"/>
                  </w:divBdr>
                  <w:divsChild>
                    <w:div w:id="68164400">
                      <w:marLeft w:val="0"/>
                      <w:marRight w:val="0"/>
                      <w:marTop w:val="0"/>
                      <w:marBottom w:val="0"/>
                      <w:divBdr>
                        <w:top w:val="none" w:sz="0" w:space="0" w:color="auto"/>
                        <w:left w:val="none" w:sz="0" w:space="0" w:color="auto"/>
                        <w:bottom w:val="none" w:sz="0" w:space="0" w:color="auto"/>
                        <w:right w:val="none" w:sz="0" w:space="0" w:color="auto"/>
                      </w:divBdr>
                    </w:div>
                  </w:divsChild>
                </w:div>
                <w:div w:id="295111321">
                  <w:marLeft w:val="0"/>
                  <w:marRight w:val="0"/>
                  <w:marTop w:val="0"/>
                  <w:marBottom w:val="0"/>
                  <w:divBdr>
                    <w:top w:val="none" w:sz="0" w:space="0" w:color="auto"/>
                    <w:left w:val="none" w:sz="0" w:space="0" w:color="auto"/>
                    <w:bottom w:val="none" w:sz="0" w:space="0" w:color="auto"/>
                    <w:right w:val="none" w:sz="0" w:space="0" w:color="auto"/>
                  </w:divBdr>
                  <w:divsChild>
                    <w:div w:id="645279150">
                      <w:marLeft w:val="0"/>
                      <w:marRight w:val="0"/>
                      <w:marTop w:val="0"/>
                      <w:marBottom w:val="0"/>
                      <w:divBdr>
                        <w:top w:val="none" w:sz="0" w:space="0" w:color="auto"/>
                        <w:left w:val="none" w:sz="0" w:space="0" w:color="auto"/>
                        <w:bottom w:val="none" w:sz="0" w:space="0" w:color="auto"/>
                        <w:right w:val="none" w:sz="0" w:space="0" w:color="auto"/>
                      </w:divBdr>
                    </w:div>
                  </w:divsChild>
                </w:div>
                <w:div w:id="300579321">
                  <w:marLeft w:val="0"/>
                  <w:marRight w:val="0"/>
                  <w:marTop w:val="0"/>
                  <w:marBottom w:val="0"/>
                  <w:divBdr>
                    <w:top w:val="none" w:sz="0" w:space="0" w:color="auto"/>
                    <w:left w:val="none" w:sz="0" w:space="0" w:color="auto"/>
                    <w:bottom w:val="none" w:sz="0" w:space="0" w:color="auto"/>
                    <w:right w:val="none" w:sz="0" w:space="0" w:color="auto"/>
                  </w:divBdr>
                  <w:divsChild>
                    <w:div w:id="294020327">
                      <w:marLeft w:val="0"/>
                      <w:marRight w:val="0"/>
                      <w:marTop w:val="0"/>
                      <w:marBottom w:val="0"/>
                      <w:divBdr>
                        <w:top w:val="none" w:sz="0" w:space="0" w:color="auto"/>
                        <w:left w:val="none" w:sz="0" w:space="0" w:color="auto"/>
                        <w:bottom w:val="none" w:sz="0" w:space="0" w:color="auto"/>
                        <w:right w:val="none" w:sz="0" w:space="0" w:color="auto"/>
                      </w:divBdr>
                    </w:div>
                  </w:divsChild>
                </w:div>
                <w:div w:id="305428959">
                  <w:marLeft w:val="0"/>
                  <w:marRight w:val="0"/>
                  <w:marTop w:val="0"/>
                  <w:marBottom w:val="0"/>
                  <w:divBdr>
                    <w:top w:val="none" w:sz="0" w:space="0" w:color="auto"/>
                    <w:left w:val="none" w:sz="0" w:space="0" w:color="auto"/>
                    <w:bottom w:val="none" w:sz="0" w:space="0" w:color="auto"/>
                    <w:right w:val="none" w:sz="0" w:space="0" w:color="auto"/>
                  </w:divBdr>
                  <w:divsChild>
                    <w:div w:id="378751145">
                      <w:marLeft w:val="0"/>
                      <w:marRight w:val="0"/>
                      <w:marTop w:val="0"/>
                      <w:marBottom w:val="0"/>
                      <w:divBdr>
                        <w:top w:val="none" w:sz="0" w:space="0" w:color="auto"/>
                        <w:left w:val="none" w:sz="0" w:space="0" w:color="auto"/>
                        <w:bottom w:val="none" w:sz="0" w:space="0" w:color="auto"/>
                        <w:right w:val="none" w:sz="0" w:space="0" w:color="auto"/>
                      </w:divBdr>
                    </w:div>
                  </w:divsChild>
                </w:div>
                <w:div w:id="311637295">
                  <w:marLeft w:val="0"/>
                  <w:marRight w:val="0"/>
                  <w:marTop w:val="0"/>
                  <w:marBottom w:val="0"/>
                  <w:divBdr>
                    <w:top w:val="none" w:sz="0" w:space="0" w:color="auto"/>
                    <w:left w:val="none" w:sz="0" w:space="0" w:color="auto"/>
                    <w:bottom w:val="none" w:sz="0" w:space="0" w:color="auto"/>
                    <w:right w:val="none" w:sz="0" w:space="0" w:color="auto"/>
                  </w:divBdr>
                  <w:divsChild>
                    <w:div w:id="1871844414">
                      <w:marLeft w:val="0"/>
                      <w:marRight w:val="0"/>
                      <w:marTop w:val="0"/>
                      <w:marBottom w:val="0"/>
                      <w:divBdr>
                        <w:top w:val="none" w:sz="0" w:space="0" w:color="auto"/>
                        <w:left w:val="none" w:sz="0" w:space="0" w:color="auto"/>
                        <w:bottom w:val="none" w:sz="0" w:space="0" w:color="auto"/>
                        <w:right w:val="none" w:sz="0" w:space="0" w:color="auto"/>
                      </w:divBdr>
                    </w:div>
                  </w:divsChild>
                </w:div>
                <w:div w:id="327908681">
                  <w:marLeft w:val="0"/>
                  <w:marRight w:val="0"/>
                  <w:marTop w:val="0"/>
                  <w:marBottom w:val="0"/>
                  <w:divBdr>
                    <w:top w:val="none" w:sz="0" w:space="0" w:color="auto"/>
                    <w:left w:val="none" w:sz="0" w:space="0" w:color="auto"/>
                    <w:bottom w:val="none" w:sz="0" w:space="0" w:color="auto"/>
                    <w:right w:val="none" w:sz="0" w:space="0" w:color="auto"/>
                  </w:divBdr>
                  <w:divsChild>
                    <w:div w:id="778643936">
                      <w:marLeft w:val="0"/>
                      <w:marRight w:val="0"/>
                      <w:marTop w:val="0"/>
                      <w:marBottom w:val="0"/>
                      <w:divBdr>
                        <w:top w:val="none" w:sz="0" w:space="0" w:color="auto"/>
                        <w:left w:val="none" w:sz="0" w:space="0" w:color="auto"/>
                        <w:bottom w:val="none" w:sz="0" w:space="0" w:color="auto"/>
                        <w:right w:val="none" w:sz="0" w:space="0" w:color="auto"/>
                      </w:divBdr>
                    </w:div>
                  </w:divsChild>
                </w:div>
                <w:div w:id="334235570">
                  <w:marLeft w:val="0"/>
                  <w:marRight w:val="0"/>
                  <w:marTop w:val="0"/>
                  <w:marBottom w:val="0"/>
                  <w:divBdr>
                    <w:top w:val="none" w:sz="0" w:space="0" w:color="auto"/>
                    <w:left w:val="none" w:sz="0" w:space="0" w:color="auto"/>
                    <w:bottom w:val="none" w:sz="0" w:space="0" w:color="auto"/>
                    <w:right w:val="none" w:sz="0" w:space="0" w:color="auto"/>
                  </w:divBdr>
                  <w:divsChild>
                    <w:div w:id="22174060">
                      <w:marLeft w:val="0"/>
                      <w:marRight w:val="0"/>
                      <w:marTop w:val="0"/>
                      <w:marBottom w:val="0"/>
                      <w:divBdr>
                        <w:top w:val="none" w:sz="0" w:space="0" w:color="auto"/>
                        <w:left w:val="none" w:sz="0" w:space="0" w:color="auto"/>
                        <w:bottom w:val="none" w:sz="0" w:space="0" w:color="auto"/>
                        <w:right w:val="none" w:sz="0" w:space="0" w:color="auto"/>
                      </w:divBdr>
                    </w:div>
                  </w:divsChild>
                </w:div>
                <w:div w:id="336428040">
                  <w:marLeft w:val="0"/>
                  <w:marRight w:val="0"/>
                  <w:marTop w:val="0"/>
                  <w:marBottom w:val="0"/>
                  <w:divBdr>
                    <w:top w:val="none" w:sz="0" w:space="0" w:color="auto"/>
                    <w:left w:val="none" w:sz="0" w:space="0" w:color="auto"/>
                    <w:bottom w:val="none" w:sz="0" w:space="0" w:color="auto"/>
                    <w:right w:val="none" w:sz="0" w:space="0" w:color="auto"/>
                  </w:divBdr>
                  <w:divsChild>
                    <w:div w:id="1268856489">
                      <w:marLeft w:val="0"/>
                      <w:marRight w:val="0"/>
                      <w:marTop w:val="0"/>
                      <w:marBottom w:val="0"/>
                      <w:divBdr>
                        <w:top w:val="none" w:sz="0" w:space="0" w:color="auto"/>
                        <w:left w:val="none" w:sz="0" w:space="0" w:color="auto"/>
                        <w:bottom w:val="none" w:sz="0" w:space="0" w:color="auto"/>
                        <w:right w:val="none" w:sz="0" w:space="0" w:color="auto"/>
                      </w:divBdr>
                    </w:div>
                  </w:divsChild>
                </w:div>
                <w:div w:id="338431849">
                  <w:marLeft w:val="0"/>
                  <w:marRight w:val="0"/>
                  <w:marTop w:val="0"/>
                  <w:marBottom w:val="0"/>
                  <w:divBdr>
                    <w:top w:val="none" w:sz="0" w:space="0" w:color="auto"/>
                    <w:left w:val="none" w:sz="0" w:space="0" w:color="auto"/>
                    <w:bottom w:val="none" w:sz="0" w:space="0" w:color="auto"/>
                    <w:right w:val="none" w:sz="0" w:space="0" w:color="auto"/>
                  </w:divBdr>
                  <w:divsChild>
                    <w:div w:id="209613362">
                      <w:marLeft w:val="0"/>
                      <w:marRight w:val="0"/>
                      <w:marTop w:val="0"/>
                      <w:marBottom w:val="0"/>
                      <w:divBdr>
                        <w:top w:val="none" w:sz="0" w:space="0" w:color="auto"/>
                        <w:left w:val="none" w:sz="0" w:space="0" w:color="auto"/>
                        <w:bottom w:val="none" w:sz="0" w:space="0" w:color="auto"/>
                        <w:right w:val="none" w:sz="0" w:space="0" w:color="auto"/>
                      </w:divBdr>
                    </w:div>
                  </w:divsChild>
                </w:div>
                <w:div w:id="345719682">
                  <w:marLeft w:val="0"/>
                  <w:marRight w:val="0"/>
                  <w:marTop w:val="0"/>
                  <w:marBottom w:val="0"/>
                  <w:divBdr>
                    <w:top w:val="none" w:sz="0" w:space="0" w:color="auto"/>
                    <w:left w:val="none" w:sz="0" w:space="0" w:color="auto"/>
                    <w:bottom w:val="none" w:sz="0" w:space="0" w:color="auto"/>
                    <w:right w:val="none" w:sz="0" w:space="0" w:color="auto"/>
                  </w:divBdr>
                  <w:divsChild>
                    <w:div w:id="50544398">
                      <w:marLeft w:val="0"/>
                      <w:marRight w:val="0"/>
                      <w:marTop w:val="0"/>
                      <w:marBottom w:val="0"/>
                      <w:divBdr>
                        <w:top w:val="none" w:sz="0" w:space="0" w:color="auto"/>
                        <w:left w:val="none" w:sz="0" w:space="0" w:color="auto"/>
                        <w:bottom w:val="none" w:sz="0" w:space="0" w:color="auto"/>
                        <w:right w:val="none" w:sz="0" w:space="0" w:color="auto"/>
                      </w:divBdr>
                    </w:div>
                  </w:divsChild>
                </w:div>
                <w:div w:id="357394341">
                  <w:marLeft w:val="0"/>
                  <w:marRight w:val="0"/>
                  <w:marTop w:val="0"/>
                  <w:marBottom w:val="0"/>
                  <w:divBdr>
                    <w:top w:val="none" w:sz="0" w:space="0" w:color="auto"/>
                    <w:left w:val="none" w:sz="0" w:space="0" w:color="auto"/>
                    <w:bottom w:val="none" w:sz="0" w:space="0" w:color="auto"/>
                    <w:right w:val="none" w:sz="0" w:space="0" w:color="auto"/>
                  </w:divBdr>
                  <w:divsChild>
                    <w:div w:id="832372806">
                      <w:marLeft w:val="0"/>
                      <w:marRight w:val="0"/>
                      <w:marTop w:val="0"/>
                      <w:marBottom w:val="0"/>
                      <w:divBdr>
                        <w:top w:val="none" w:sz="0" w:space="0" w:color="auto"/>
                        <w:left w:val="none" w:sz="0" w:space="0" w:color="auto"/>
                        <w:bottom w:val="none" w:sz="0" w:space="0" w:color="auto"/>
                        <w:right w:val="none" w:sz="0" w:space="0" w:color="auto"/>
                      </w:divBdr>
                    </w:div>
                  </w:divsChild>
                </w:div>
                <w:div w:id="367612620">
                  <w:marLeft w:val="0"/>
                  <w:marRight w:val="0"/>
                  <w:marTop w:val="0"/>
                  <w:marBottom w:val="0"/>
                  <w:divBdr>
                    <w:top w:val="none" w:sz="0" w:space="0" w:color="auto"/>
                    <w:left w:val="none" w:sz="0" w:space="0" w:color="auto"/>
                    <w:bottom w:val="none" w:sz="0" w:space="0" w:color="auto"/>
                    <w:right w:val="none" w:sz="0" w:space="0" w:color="auto"/>
                  </w:divBdr>
                  <w:divsChild>
                    <w:div w:id="930284912">
                      <w:marLeft w:val="0"/>
                      <w:marRight w:val="0"/>
                      <w:marTop w:val="0"/>
                      <w:marBottom w:val="0"/>
                      <w:divBdr>
                        <w:top w:val="none" w:sz="0" w:space="0" w:color="auto"/>
                        <w:left w:val="none" w:sz="0" w:space="0" w:color="auto"/>
                        <w:bottom w:val="none" w:sz="0" w:space="0" w:color="auto"/>
                        <w:right w:val="none" w:sz="0" w:space="0" w:color="auto"/>
                      </w:divBdr>
                    </w:div>
                  </w:divsChild>
                </w:div>
                <w:div w:id="396367187">
                  <w:marLeft w:val="0"/>
                  <w:marRight w:val="0"/>
                  <w:marTop w:val="0"/>
                  <w:marBottom w:val="0"/>
                  <w:divBdr>
                    <w:top w:val="none" w:sz="0" w:space="0" w:color="auto"/>
                    <w:left w:val="none" w:sz="0" w:space="0" w:color="auto"/>
                    <w:bottom w:val="none" w:sz="0" w:space="0" w:color="auto"/>
                    <w:right w:val="none" w:sz="0" w:space="0" w:color="auto"/>
                  </w:divBdr>
                  <w:divsChild>
                    <w:div w:id="2011134858">
                      <w:marLeft w:val="0"/>
                      <w:marRight w:val="0"/>
                      <w:marTop w:val="0"/>
                      <w:marBottom w:val="0"/>
                      <w:divBdr>
                        <w:top w:val="none" w:sz="0" w:space="0" w:color="auto"/>
                        <w:left w:val="none" w:sz="0" w:space="0" w:color="auto"/>
                        <w:bottom w:val="none" w:sz="0" w:space="0" w:color="auto"/>
                        <w:right w:val="none" w:sz="0" w:space="0" w:color="auto"/>
                      </w:divBdr>
                    </w:div>
                  </w:divsChild>
                </w:div>
                <w:div w:id="399256650">
                  <w:marLeft w:val="0"/>
                  <w:marRight w:val="0"/>
                  <w:marTop w:val="0"/>
                  <w:marBottom w:val="0"/>
                  <w:divBdr>
                    <w:top w:val="none" w:sz="0" w:space="0" w:color="auto"/>
                    <w:left w:val="none" w:sz="0" w:space="0" w:color="auto"/>
                    <w:bottom w:val="none" w:sz="0" w:space="0" w:color="auto"/>
                    <w:right w:val="none" w:sz="0" w:space="0" w:color="auto"/>
                  </w:divBdr>
                  <w:divsChild>
                    <w:div w:id="1966425851">
                      <w:marLeft w:val="0"/>
                      <w:marRight w:val="0"/>
                      <w:marTop w:val="0"/>
                      <w:marBottom w:val="0"/>
                      <w:divBdr>
                        <w:top w:val="none" w:sz="0" w:space="0" w:color="auto"/>
                        <w:left w:val="none" w:sz="0" w:space="0" w:color="auto"/>
                        <w:bottom w:val="none" w:sz="0" w:space="0" w:color="auto"/>
                        <w:right w:val="none" w:sz="0" w:space="0" w:color="auto"/>
                      </w:divBdr>
                    </w:div>
                  </w:divsChild>
                </w:div>
                <w:div w:id="413934701">
                  <w:marLeft w:val="0"/>
                  <w:marRight w:val="0"/>
                  <w:marTop w:val="0"/>
                  <w:marBottom w:val="0"/>
                  <w:divBdr>
                    <w:top w:val="none" w:sz="0" w:space="0" w:color="auto"/>
                    <w:left w:val="none" w:sz="0" w:space="0" w:color="auto"/>
                    <w:bottom w:val="none" w:sz="0" w:space="0" w:color="auto"/>
                    <w:right w:val="none" w:sz="0" w:space="0" w:color="auto"/>
                  </w:divBdr>
                  <w:divsChild>
                    <w:div w:id="1858347021">
                      <w:marLeft w:val="0"/>
                      <w:marRight w:val="0"/>
                      <w:marTop w:val="0"/>
                      <w:marBottom w:val="0"/>
                      <w:divBdr>
                        <w:top w:val="none" w:sz="0" w:space="0" w:color="auto"/>
                        <w:left w:val="none" w:sz="0" w:space="0" w:color="auto"/>
                        <w:bottom w:val="none" w:sz="0" w:space="0" w:color="auto"/>
                        <w:right w:val="none" w:sz="0" w:space="0" w:color="auto"/>
                      </w:divBdr>
                    </w:div>
                  </w:divsChild>
                </w:div>
                <w:div w:id="426854690">
                  <w:marLeft w:val="0"/>
                  <w:marRight w:val="0"/>
                  <w:marTop w:val="0"/>
                  <w:marBottom w:val="0"/>
                  <w:divBdr>
                    <w:top w:val="none" w:sz="0" w:space="0" w:color="auto"/>
                    <w:left w:val="none" w:sz="0" w:space="0" w:color="auto"/>
                    <w:bottom w:val="none" w:sz="0" w:space="0" w:color="auto"/>
                    <w:right w:val="none" w:sz="0" w:space="0" w:color="auto"/>
                  </w:divBdr>
                  <w:divsChild>
                    <w:div w:id="1714380147">
                      <w:marLeft w:val="0"/>
                      <w:marRight w:val="0"/>
                      <w:marTop w:val="0"/>
                      <w:marBottom w:val="0"/>
                      <w:divBdr>
                        <w:top w:val="none" w:sz="0" w:space="0" w:color="auto"/>
                        <w:left w:val="none" w:sz="0" w:space="0" w:color="auto"/>
                        <w:bottom w:val="none" w:sz="0" w:space="0" w:color="auto"/>
                        <w:right w:val="none" w:sz="0" w:space="0" w:color="auto"/>
                      </w:divBdr>
                    </w:div>
                  </w:divsChild>
                </w:div>
                <w:div w:id="434634912">
                  <w:marLeft w:val="0"/>
                  <w:marRight w:val="0"/>
                  <w:marTop w:val="0"/>
                  <w:marBottom w:val="0"/>
                  <w:divBdr>
                    <w:top w:val="none" w:sz="0" w:space="0" w:color="auto"/>
                    <w:left w:val="none" w:sz="0" w:space="0" w:color="auto"/>
                    <w:bottom w:val="none" w:sz="0" w:space="0" w:color="auto"/>
                    <w:right w:val="none" w:sz="0" w:space="0" w:color="auto"/>
                  </w:divBdr>
                  <w:divsChild>
                    <w:div w:id="773328534">
                      <w:marLeft w:val="0"/>
                      <w:marRight w:val="0"/>
                      <w:marTop w:val="0"/>
                      <w:marBottom w:val="0"/>
                      <w:divBdr>
                        <w:top w:val="none" w:sz="0" w:space="0" w:color="auto"/>
                        <w:left w:val="none" w:sz="0" w:space="0" w:color="auto"/>
                        <w:bottom w:val="none" w:sz="0" w:space="0" w:color="auto"/>
                        <w:right w:val="none" w:sz="0" w:space="0" w:color="auto"/>
                      </w:divBdr>
                    </w:div>
                  </w:divsChild>
                </w:div>
                <w:div w:id="445777274">
                  <w:marLeft w:val="0"/>
                  <w:marRight w:val="0"/>
                  <w:marTop w:val="0"/>
                  <w:marBottom w:val="0"/>
                  <w:divBdr>
                    <w:top w:val="none" w:sz="0" w:space="0" w:color="auto"/>
                    <w:left w:val="none" w:sz="0" w:space="0" w:color="auto"/>
                    <w:bottom w:val="none" w:sz="0" w:space="0" w:color="auto"/>
                    <w:right w:val="none" w:sz="0" w:space="0" w:color="auto"/>
                  </w:divBdr>
                  <w:divsChild>
                    <w:div w:id="450365474">
                      <w:marLeft w:val="0"/>
                      <w:marRight w:val="0"/>
                      <w:marTop w:val="0"/>
                      <w:marBottom w:val="0"/>
                      <w:divBdr>
                        <w:top w:val="none" w:sz="0" w:space="0" w:color="auto"/>
                        <w:left w:val="none" w:sz="0" w:space="0" w:color="auto"/>
                        <w:bottom w:val="none" w:sz="0" w:space="0" w:color="auto"/>
                        <w:right w:val="none" w:sz="0" w:space="0" w:color="auto"/>
                      </w:divBdr>
                    </w:div>
                  </w:divsChild>
                </w:div>
                <w:div w:id="454493672">
                  <w:marLeft w:val="0"/>
                  <w:marRight w:val="0"/>
                  <w:marTop w:val="0"/>
                  <w:marBottom w:val="0"/>
                  <w:divBdr>
                    <w:top w:val="none" w:sz="0" w:space="0" w:color="auto"/>
                    <w:left w:val="none" w:sz="0" w:space="0" w:color="auto"/>
                    <w:bottom w:val="none" w:sz="0" w:space="0" w:color="auto"/>
                    <w:right w:val="none" w:sz="0" w:space="0" w:color="auto"/>
                  </w:divBdr>
                  <w:divsChild>
                    <w:div w:id="576943767">
                      <w:marLeft w:val="0"/>
                      <w:marRight w:val="0"/>
                      <w:marTop w:val="0"/>
                      <w:marBottom w:val="0"/>
                      <w:divBdr>
                        <w:top w:val="none" w:sz="0" w:space="0" w:color="auto"/>
                        <w:left w:val="none" w:sz="0" w:space="0" w:color="auto"/>
                        <w:bottom w:val="none" w:sz="0" w:space="0" w:color="auto"/>
                        <w:right w:val="none" w:sz="0" w:space="0" w:color="auto"/>
                      </w:divBdr>
                    </w:div>
                  </w:divsChild>
                </w:div>
                <w:div w:id="458569119">
                  <w:marLeft w:val="0"/>
                  <w:marRight w:val="0"/>
                  <w:marTop w:val="0"/>
                  <w:marBottom w:val="0"/>
                  <w:divBdr>
                    <w:top w:val="none" w:sz="0" w:space="0" w:color="auto"/>
                    <w:left w:val="none" w:sz="0" w:space="0" w:color="auto"/>
                    <w:bottom w:val="none" w:sz="0" w:space="0" w:color="auto"/>
                    <w:right w:val="none" w:sz="0" w:space="0" w:color="auto"/>
                  </w:divBdr>
                  <w:divsChild>
                    <w:div w:id="170263313">
                      <w:marLeft w:val="0"/>
                      <w:marRight w:val="0"/>
                      <w:marTop w:val="0"/>
                      <w:marBottom w:val="0"/>
                      <w:divBdr>
                        <w:top w:val="none" w:sz="0" w:space="0" w:color="auto"/>
                        <w:left w:val="none" w:sz="0" w:space="0" w:color="auto"/>
                        <w:bottom w:val="none" w:sz="0" w:space="0" w:color="auto"/>
                        <w:right w:val="none" w:sz="0" w:space="0" w:color="auto"/>
                      </w:divBdr>
                    </w:div>
                  </w:divsChild>
                </w:div>
                <w:div w:id="461076098">
                  <w:marLeft w:val="0"/>
                  <w:marRight w:val="0"/>
                  <w:marTop w:val="0"/>
                  <w:marBottom w:val="0"/>
                  <w:divBdr>
                    <w:top w:val="none" w:sz="0" w:space="0" w:color="auto"/>
                    <w:left w:val="none" w:sz="0" w:space="0" w:color="auto"/>
                    <w:bottom w:val="none" w:sz="0" w:space="0" w:color="auto"/>
                    <w:right w:val="none" w:sz="0" w:space="0" w:color="auto"/>
                  </w:divBdr>
                  <w:divsChild>
                    <w:div w:id="102651797">
                      <w:marLeft w:val="0"/>
                      <w:marRight w:val="0"/>
                      <w:marTop w:val="0"/>
                      <w:marBottom w:val="0"/>
                      <w:divBdr>
                        <w:top w:val="none" w:sz="0" w:space="0" w:color="auto"/>
                        <w:left w:val="none" w:sz="0" w:space="0" w:color="auto"/>
                        <w:bottom w:val="none" w:sz="0" w:space="0" w:color="auto"/>
                        <w:right w:val="none" w:sz="0" w:space="0" w:color="auto"/>
                      </w:divBdr>
                    </w:div>
                  </w:divsChild>
                </w:div>
                <w:div w:id="478619430">
                  <w:marLeft w:val="0"/>
                  <w:marRight w:val="0"/>
                  <w:marTop w:val="0"/>
                  <w:marBottom w:val="0"/>
                  <w:divBdr>
                    <w:top w:val="none" w:sz="0" w:space="0" w:color="auto"/>
                    <w:left w:val="none" w:sz="0" w:space="0" w:color="auto"/>
                    <w:bottom w:val="none" w:sz="0" w:space="0" w:color="auto"/>
                    <w:right w:val="none" w:sz="0" w:space="0" w:color="auto"/>
                  </w:divBdr>
                  <w:divsChild>
                    <w:div w:id="1850633931">
                      <w:marLeft w:val="0"/>
                      <w:marRight w:val="0"/>
                      <w:marTop w:val="0"/>
                      <w:marBottom w:val="0"/>
                      <w:divBdr>
                        <w:top w:val="none" w:sz="0" w:space="0" w:color="auto"/>
                        <w:left w:val="none" w:sz="0" w:space="0" w:color="auto"/>
                        <w:bottom w:val="none" w:sz="0" w:space="0" w:color="auto"/>
                        <w:right w:val="none" w:sz="0" w:space="0" w:color="auto"/>
                      </w:divBdr>
                    </w:div>
                  </w:divsChild>
                </w:div>
                <w:div w:id="498228176">
                  <w:marLeft w:val="0"/>
                  <w:marRight w:val="0"/>
                  <w:marTop w:val="0"/>
                  <w:marBottom w:val="0"/>
                  <w:divBdr>
                    <w:top w:val="none" w:sz="0" w:space="0" w:color="auto"/>
                    <w:left w:val="none" w:sz="0" w:space="0" w:color="auto"/>
                    <w:bottom w:val="none" w:sz="0" w:space="0" w:color="auto"/>
                    <w:right w:val="none" w:sz="0" w:space="0" w:color="auto"/>
                  </w:divBdr>
                  <w:divsChild>
                    <w:div w:id="1317108825">
                      <w:marLeft w:val="0"/>
                      <w:marRight w:val="0"/>
                      <w:marTop w:val="0"/>
                      <w:marBottom w:val="0"/>
                      <w:divBdr>
                        <w:top w:val="none" w:sz="0" w:space="0" w:color="auto"/>
                        <w:left w:val="none" w:sz="0" w:space="0" w:color="auto"/>
                        <w:bottom w:val="none" w:sz="0" w:space="0" w:color="auto"/>
                        <w:right w:val="none" w:sz="0" w:space="0" w:color="auto"/>
                      </w:divBdr>
                    </w:div>
                  </w:divsChild>
                </w:div>
                <w:div w:id="511527937">
                  <w:marLeft w:val="0"/>
                  <w:marRight w:val="0"/>
                  <w:marTop w:val="0"/>
                  <w:marBottom w:val="0"/>
                  <w:divBdr>
                    <w:top w:val="none" w:sz="0" w:space="0" w:color="auto"/>
                    <w:left w:val="none" w:sz="0" w:space="0" w:color="auto"/>
                    <w:bottom w:val="none" w:sz="0" w:space="0" w:color="auto"/>
                    <w:right w:val="none" w:sz="0" w:space="0" w:color="auto"/>
                  </w:divBdr>
                  <w:divsChild>
                    <w:div w:id="2135175796">
                      <w:marLeft w:val="0"/>
                      <w:marRight w:val="0"/>
                      <w:marTop w:val="0"/>
                      <w:marBottom w:val="0"/>
                      <w:divBdr>
                        <w:top w:val="none" w:sz="0" w:space="0" w:color="auto"/>
                        <w:left w:val="none" w:sz="0" w:space="0" w:color="auto"/>
                        <w:bottom w:val="none" w:sz="0" w:space="0" w:color="auto"/>
                        <w:right w:val="none" w:sz="0" w:space="0" w:color="auto"/>
                      </w:divBdr>
                    </w:div>
                  </w:divsChild>
                </w:div>
                <w:div w:id="546533578">
                  <w:marLeft w:val="0"/>
                  <w:marRight w:val="0"/>
                  <w:marTop w:val="0"/>
                  <w:marBottom w:val="0"/>
                  <w:divBdr>
                    <w:top w:val="none" w:sz="0" w:space="0" w:color="auto"/>
                    <w:left w:val="none" w:sz="0" w:space="0" w:color="auto"/>
                    <w:bottom w:val="none" w:sz="0" w:space="0" w:color="auto"/>
                    <w:right w:val="none" w:sz="0" w:space="0" w:color="auto"/>
                  </w:divBdr>
                  <w:divsChild>
                    <w:div w:id="188686245">
                      <w:marLeft w:val="0"/>
                      <w:marRight w:val="0"/>
                      <w:marTop w:val="0"/>
                      <w:marBottom w:val="0"/>
                      <w:divBdr>
                        <w:top w:val="none" w:sz="0" w:space="0" w:color="auto"/>
                        <w:left w:val="none" w:sz="0" w:space="0" w:color="auto"/>
                        <w:bottom w:val="none" w:sz="0" w:space="0" w:color="auto"/>
                        <w:right w:val="none" w:sz="0" w:space="0" w:color="auto"/>
                      </w:divBdr>
                    </w:div>
                  </w:divsChild>
                </w:div>
                <w:div w:id="559293813">
                  <w:marLeft w:val="0"/>
                  <w:marRight w:val="0"/>
                  <w:marTop w:val="0"/>
                  <w:marBottom w:val="0"/>
                  <w:divBdr>
                    <w:top w:val="none" w:sz="0" w:space="0" w:color="auto"/>
                    <w:left w:val="none" w:sz="0" w:space="0" w:color="auto"/>
                    <w:bottom w:val="none" w:sz="0" w:space="0" w:color="auto"/>
                    <w:right w:val="none" w:sz="0" w:space="0" w:color="auto"/>
                  </w:divBdr>
                  <w:divsChild>
                    <w:div w:id="366756319">
                      <w:marLeft w:val="0"/>
                      <w:marRight w:val="0"/>
                      <w:marTop w:val="0"/>
                      <w:marBottom w:val="0"/>
                      <w:divBdr>
                        <w:top w:val="none" w:sz="0" w:space="0" w:color="auto"/>
                        <w:left w:val="none" w:sz="0" w:space="0" w:color="auto"/>
                        <w:bottom w:val="none" w:sz="0" w:space="0" w:color="auto"/>
                        <w:right w:val="none" w:sz="0" w:space="0" w:color="auto"/>
                      </w:divBdr>
                    </w:div>
                  </w:divsChild>
                </w:div>
                <w:div w:id="567157229">
                  <w:marLeft w:val="0"/>
                  <w:marRight w:val="0"/>
                  <w:marTop w:val="0"/>
                  <w:marBottom w:val="0"/>
                  <w:divBdr>
                    <w:top w:val="none" w:sz="0" w:space="0" w:color="auto"/>
                    <w:left w:val="none" w:sz="0" w:space="0" w:color="auto"/>
                    <w:bottom w:val="none" w:sz="0" w:space="0" w:color="auto"/>
                    <w:right w:val="none" w:sz="0" w:space="0" w:color="auto"/>
                  </w:divBdr>
                  <w:divsChild>
                    <w:div w:id="663047281">
                      <w:marLeft w:val="0"/>
                      <w:marRight w:val="0"/>
                      <w:marTop w:val="0"/>
                      <w:marBottom w:val="0"/>
                      <w:divBdr>
                        <w:top w:val="none" w:sz="0" w:space="0" w:color="auto"/>
                        <w:left w:val="none" w:sz="0" w:space="0" w:color="auto"/>
                        <w:bottom w:val="none" w:sz="0" w:space="0" w:color="auto"/>
                        <w:right w:val="none" w:sz="0" w:space="0" w:color="auto"/>
                      </w:divBdr>
                    </w:div>
                  </w:divsChild>
                </w:div>
                <w:div w:id="568732013">
                  <w:marLeft w:val="0"/>
                  <w:marRight w:val="0"/>
                  <w:marTop w:val="0"/>
                  <w:marBottom w:val="0"/>
                  <w:divBdr>
                    <w:top w:val="none" w:sz="0" w:space="0" w:color="auto"/>
                    <w:left w:val="none" w:sz="0" w:space="0" w:color="auto"/>
                    <w:bottom w:val="none" w:sz="0" w:space="0" w:color="auto"/>
                    <w:right w:val="none" w:sz="0" w:space="0" w:color="auto"/>
                  </w:divBdr>
                  <w:divsChild>
                    <w:div w:id="694113267">
                      <w:marLeft w:val="0"/>
                      <w:marRight w:val="0"/>
                      <w:marTop w:val="0"/>
                      <w:marBottom w:val="0"/>
                      <w:divBdr>
                        <w:top w:val="none" w:sz="0" w:space="0" w:color="auto"/>
                        <w:left w:val="none" w:sz="0" w:space="0" w:color="auto"/>
                        <w:bottom w:val="none" w:sz="0" w:space="0" w:color="auto"/>
                        <w:right w:val="none" w:sz="0" w:space="0" w:color="auto"/>
                      </w:divBdr>
                    </w:div>
                  </w:divsChild>
                </w:div>
                <w:div w:id="579297415">
                  <w:marLeft w:val="0"/>
                  <w:marRight w:val="0"/>
                  <w:marTop w:val="0"/>
                  <w:marBottom w:val="0"/>
                  <w:divBdr>
                    <w:top w:val="none" w:sz="0" w:space="0" w:color="auto"/>
                    <w:left w:val="none" w:sz="0" w:space="0" w:color="auto"/>
                    <w:bottom w:val="none" w:sz="0" w:space="0" w:color="auto"/>
                    <w:right w:val="none" w:sz="0" w:space="0" w:color="auto"/>
                  </w:divBdr>
                  <w:divsChild>
                    <w:div w:id="1753314620">
                      <w:marLeft w:val="0"/>
                      <w:marRight w:val="0"/>
                      <w:marTop w:val="0"/>
                      <w:marBottom w:val="0"/>
                      <w:divBdr>
                        <w:top w:val="none" w:sz="0" w:space="0" w:color="auto"/>
                        <w:left w:val="none" w:sz="0" w:space="0" w:color="auto"/>
                        <w:bottom w:val="none" w:sz="0" w:space="0" w:color="auto"/>
                        <w:right w:val="none" w:sz="0" w:space="0" w:color="auto"/>
                      </w:divBdr>
                    </w:div>
                  </w:divsChild>
                </w:div>
                <w:div w:id="582952886">
                  <w:marLeft w:val="0"/>
                  <w:marRight w:val="0"/>
                  <w:marTop w:val="0"/>
                  <w:marBottom w:val="0"/>
                  <w:divBdr>
                    <w:top w:val="none" w:sz="0" w:space="0" w:color="auto"/>
                    <w:left w:val="none" w:sz="0" w:space="0" w:color="auto"/>
                    <w:bottom w:val="none" w:sz="0" w:space="0" w:color="auto"/>
                    <w:right w:val="none" w:sz="0" w:space="0" w:color="auto"/>
                  </w:divBdr>
                  <w:divsChild>
                    <w:div w:id="620108846">
                      <w:marLeft w:val="0"/>
                      <w:marRight w:val="0"/>
                      <w:marTop w:val="0"/>
                      <w:marBottom w:val="0"/>
                      <w:divBdr>
                        <w:top w:val="none" w:sz="0" w:space="0" w:color="auto"/>
                        <w:left w:val="none" w:sz="0" w:space="0" w:color="auto"/>
                        <w:bottom w:val="none" w:sz="0" w:space="0" w:color="auto"/>
                        <w:right w:val="none" w:sz="0" w:space="0" w:color="auto"/>
                      </w:divBdr>
                    </w:div>
                  </w:divsChild>
                </w:div>
                <w:div w:id="590359329">
                  <w:marLeft w:val="0"/>
                  <w:marRight w:val="0"/>
                  <w:marTop w:val="0"/>
                  <w:marBottom w:val="0"/>
                  <w:divBdr>
                    <w:top w:val="none" w:sz="0" w:space="0" w:color="auto"/>
                    <w:left w:val="none" w:sz="0" w:space="0" w:color="auto"/>
                    <w:bottom w:val="none" w:sz="0" w:space="0" w:color="auto"/>
                    <w:right w:val="none" w:sz="0" w:space="0" w:color="auto"/>
                  </w:divBdr>
                  <w:divsChild>
                    <w:div w:id="1283223267">
                      <w:marLeft w:val="0"/>
                      <w:marRight w:val="0"/>
                      <w:marTop w:val="0"/>
                      <w:marBottom w:val="0"/>
                      <w:divBdr>
                        <w:top w:val="none" w:sz="0" w:space="0" w:color="auto"/>
                        <w:left w:val="none" w:sz="0" w:space="0" w:color="auto"/>
                        <w:bottom w:val="none" w:sz="0" w:space="0" w:color="auto"/>
                        <w:right w:val="none" w:sz="0" w:space="0" w:color="auto"/>
                      </w:divBdr>
                    </w:div>
                  </w:divsChild>
                </w:div>
                <w:div w:id="615451280">
                  <w:marLeft w:val="0"/>
                  <w:marRight w:val="0"/>
                  <w:marTop w:val="0"/>
                  <w:marBottom w:val="0"/>
                  <w:divBdr>
                    <w:top w:val="none" w:sz="0" w:space="0" w:color="auto"/>
                    <w:left w:val="none" w:sz="0" w:space="0" w:color="auto"/>
                    <w:bottom w:val="none" w:sz="0" w:space="0" w:color="auto"/>
                    <w:right w:val="none" w:sz="0" w:space="0" w:color="auto"/>
                  </w:divBdr>
                  <w:divsChild>
                    <w:div w:id="1903439983">
                      <w:marLeft w:val="0"/>
                      <w:marRight w:val="0"/>
                      <w:marTop w:val="0"/>
                      <w:marBottom w:val="0"/>
                      <w:divBdr>
                        <w:top w:val="none" w:sz="0" w:space="0" w:color="auto"/>
                        <w:left w:val="none" w:sz="0" w:space="0" w:color="auto"/>
                        <w:bottom w:val="none" w:sz="0" w:space="0" w:color="auto"/>
                        <w:right w:val="none" w:sz="0" w:space="0" w:color="auto"/>
                      </w:divBdr>
                    </w:div>
                  </w:divsChild>
                </w:div>
                <w:div w:id="615601060">
                  <w:marLeft w:val="0"/>
                  <w:marRight w:val="0"/>
                  <w:marTop w:val="0"/>
                  <w:marBottom w:val="0"/>
                  <w:divBdr>
                    <w:top w:val="none" w:sz="0" w:space="0" w:color="auto"/>
                    <w:left w:val="none" w:sz="0" w:space="0" w:color="auto"/>
                    <w:bottom w:val="none" w:sz="0" w:space="0" w:color="auto"/>
                    <w:right w:val="none" w:sz="0" w:space="0" w:color="auto"/>
                  </w:divBdr>
                  <w:divsChild>
                    <w:div w:id="1323972352">
                      <w:marLeft w:val="0"/>
                      <w:marRight w:val="0"/>
                      <w:marTop w:val="0"/>
                      <w:marBottom w:val="0"/>
                      <w:divBdr>
                        <w:top w:val="none" w:sz="0" w:space="0" w:color="auto"/>
                        <w:left w:val="none" w:sz="0" w:space="0" w:color="auto"/>
                        <w:bottom w:val="none" w:sz="0" w:space="0" w:color="auto"/>
                        <w:right w:val="none" w:sz="0" w:space="0" w:color="auto"/>
                      </w:divBdr>
                    </w:div>
                  </w:divsChild>
                </w:div>
                <w:div w:id="620839246">
                  <w:marLeft w:val="0"/>
                  <w:marRight w:val="0"/>
                  <w:marTop w:val="0"/>
                  <w:marBottom w:val="0"/>
                  <w:divBdr>
                    <w:top w:val="none" w:sz="0" w:space="0" w:color="auto"/>
                    <w:left w:val="none" w:sz="0" w:space="0" w:color="auto"/>
                    <w:bottom w:val="none" w:sz="0" w:space="0" w:color="auto"/>
                    <w:right w:val="none" w:sz="0" w:space="0" w:color="auto"/>
                  </w:divBdr>
                  <w:divsChild>
                    <w:div w:id="278494661">
                      <w:marLeft w:val="0"/>
                      <w:marRight w:val="0"/>
                      <w:marTop w:val="0"/>
                      <w:marBottom w:val="0"/>
                      <w:divBdr>
                        <w:top w:val="none" w:sz="0" w:space="0" w:color="auto"/>
                        <w:left w:val="none" w:sz="0" w:space="0" w:color="auto"/>
                        <w:bottom w:val="none" w:sz="0" w:space="0" w:color="auto"/>
                        <w:right w:val="none" w:sz="0" w:space="0" w:color="auto"/>
                      </w:divBdr>
                    </w:div>
                  </w:divsChild>
                </w:div>
                <w:div w:id="622350462">
                  <w:marLeft w:val="0"/>
                  <w:marRight w:val="0"/>
                  <w:marTop w:val="0"/>
                  <w:marBottom w:val="0"/>
                  <w:divBdr>
                    <w:top w:val="none" w:sz="0" w:space="0" w:color="auto"/>
                    <w:left w:val="none" w:sz="0" w:space="0" w:color="auto"/>
                    <w:bottom w:val="none" w:sz="0" w:space="0" w:color="auto"/>
                    <w:right w:val="none" w:sz="0" w:space="0" w:color="auto"/>
                  </w:divBdr>
                  <w:divsChild>
                    <w:div w:id="799226241">
                      <w:marLeft w:val="0"/>
                      <w:marRight w:val="0"/>
                      <w:marTop w:val="0"/>
                      <w:marBottom w:val="0"/>
                      <w:divBdr>
                        <w:top w:val="none" w:sz="0" w:space="0" w:color="auto"/>
                        <w:left w:val="none" w:sz="0" w:space="0" w:color="auto"/>
                        <w:bottom w:val="none" w:sz="0" w:space="0" w:color="auto"/>
                        <w:right w:val="none" w:sz="0" w:space="0" w:color="auto"/>
                      </w:divBdr>
                    </w:div>
                  </w:divsChild>
                </w:div>
                <w:div w:id="633022838">
                  <w:marLeft w:val="0"/>
                  <w:marRight w:val="0"/>
                  <w:marTop w:val="0"/>
                  <w:marBottom w:val="0"/>
                  <w:divBdr>
                    <w:top w:val="none" w:sz="0" w:space="0" w:color="auto"/>
                    <w:left w:val="none" w:sz="0" w:space="0" w:color="auto"/>
                    <w:bottom w:val="none" w:sz="0" w:space="0" w:color="auto"/>
                    <w:right w:val="none" w:sz="0" w:space="0" w:color="auto"/>
                  </w:divBdr>
                  <w:divsChild>
                    <w:div w:id="561066412">
                      <w:marLeft w:val="0"/>
                      <w:marRight w:val="0"/>
                      <w:marTop w:val="0"/>
                      <w:marBottom w:val="0"/>
                      <w:divBdr>
                        <w:top w:val="none" w:sz="0" w:space="0" w:color="auto"/>
                        <w:left w:val="none" w:sz="0" w:space="0" w:color="auto"/>
                        <w:bottom w:val="none" w:sz="0" w:space="0" w:color="auto"/>
                        <w:right w:val="none" w:sz="0" w:space="0" w:color="auto"/>
                      </w:divBdr>
                    </w:div>
                  </w:divsChild>
                </w:div>
                <w:div w:id="640579067">
                  <w:marLeft w:val="0"/>
                  <w:marRight w:val="0"/>
                  <w:marTop w:val="0"/>
                  <w:marBottom w:val="0"/>
                  <w:divBdr>
                    <w:top w:val="none" w:sz="0" w:space="0" w:color="auto"/>
                    <w:left w:val="none" w:sz="0" w:space="0" w:color="auto"/>
                    <w:bottom w:val="none" w:sz="0" w:space="0" w:color="auto"/>
                    <w:right w:val="none" w:sz="0" w:space="0" w:color="auto"/>
                  </w:divBdr>
                  <w:divsChild>
                    <w:div w:id="1101098069">
                      <w:marLeft w:val="0"/>
                      <w:marRight w:val="0"/>
                      <w:marTop w:val="0"/>
                      <w:marBottom w:val="0"/>
                      <w:divBdr>
                        <w:top w:val="none" w:sz="0" w:space="0" w:color="auto"/>
                        <w:left w:val="none" w:sz="0" w:space="0" w:color="auto"/>
                        <w:bottom w:val="none" w:sz="0" w:space="0" w:color="auto"/>
                        <w:right w:val="none" w:sz="0" w:space="0" w:color="auto"/>
                      </w:divBdr>
                    </w:div>
                  </w:divsChild>
                </w:div>
                <w:div w:id="646282415">
                  <w:marLeft w:val="0"/>
                  <w:marRight w:val="0"/>
                  <w:marTop w:val="0"/>
                  <w:marBottom w:val="0"/>
                  <w:divBdr>
                    <w:top w:val="none" w:sz="0" w:space="0" w:color="auto"/>
                    <w:left w:val="none" w:sz="0" w:space="0" w:color="auto"/>
                    <w:bottom w:val="none" w:sz="0" w:space="0" w:color="auto"/>
                    <w:right w:val="none" w:sz="0" w:space="0" w:color="auto"/>
                  </w:divBdr>
                  <w:divsChild>
                    <w:div w:id="1133597563">
                      <w:marLeft w:val="0"/>
                      <w:marRight w:val="0"/>
                      <w:marTop w:val="0"/>
                      <w:marBottom w:val="0"/>
                      <w:divBdr>
                        <w:top w:val="none" w:sz="0" w:space="0" w:color="auto"/>
                        <w:left w:val="none" w:sz="0" w:space="0" w:color="auto"/>
                        <w:bottom w:val="none" w:sz="0" w:space="0" w:color="auto"/>
                        <w:right w:val="none" w:sz="0" w:space="0" w:color="auto"/>
                      </w:divBdr>
                    </w:div>
                  </w:divsChild>
                </w:div>
                <w:div w:id="659307358">
                  <w:marLeft w:val="0"/>
                  <w:marRight w:val="0"/>
                  <w:marTop w:val="0"/>
                  <w:marBottom w:val="0"/>
                  <w:divBdr>
                    <w:top w:val="none" w:sz="0" w:space="0" w:color="auto"/>
                    <w:left w:val="none" w:sz="0" w:space="0" w:color="auto"/>
                    <w:bottom w:val="none" w:sz="0" w:space="0" w:color="auto"/>
                    <w:right w:val="none" w:sz="0" w:space="0" w:color="auto"/>
                  </w:divBdr>
                  <w:divsChild>
                    <w:div w:id="1837844416">
                      <w:marLeft w:val="0"/>
                      <w:marRight w:val="0"/>
                      <w:marTop w:val="0"/>
                      <w:marBottom w:val="0"/>
                      <w:divBdr>
                        <w:top w:val="none" w:sz="0" w:space="0" w:color="auto"/>
                        <w:left w:val="none" w:sz="0" w:space="0" w:color="auto"/>
                        <w:bottom w:val="none" w:sz="0" w:space="0" w:color="auto"/>
                        <w:right w:val="none" w:sz="0" w:space="0" w:color="auto"/>
                      </w:divBdr>
                    </w:div>
                  </w:divsChild>
                </w:div>
                <w:div w:id="659769024">
                  <w:marLeft w:val="0"/>
                  <w:marRight w:val="0"/>
                  <w:marTop w:val="0"/>
                  <w:marBottom w:val="0"/>
                  <w:divBdr>
                    <w:top w:val="none" w:sz="0" w:space="0" w:color="auto"/>
                    <w:left w:val="none" w:sz="0" w:space="0" w:color="auto"/>
                    <w:bottom w:val="none" w:sz="0" w:space="0" w:color="auto"/>
                    <w:right w:val="none" w:sz="0" w:space="0" w:color="auto"/>
                  </w:divBdr>
                  <w:divsChild>
                    <w:div w:id="1434394617">
                      <w:marLeft w:val="0"/>
                      <w:marRight w:val="0"/>
                      <w:marTop w:val="0"/>
                      <w:marBottom w:val="0"/>
                      <w:divBdr>
                        <w:top w:val="none" w:sz="0" w:space="0" w:color="auto"/>
                        <w:left w:val="none" w:sz="0" w:space="0" w:color="auto"/>
                        <w:bottom w:val="none" w:sz="0" w:space="0" w:color="auto"/>
                        <w:right w:val="none" w:sz="0" w:space="0" w:color="auto"/>
                      </w:divBdr>
                    </w:div>
                  </w:divsChild>
                </w:div>
                <w:div w:id="659818337">
                  <w:marLeft w:val="0"/>
                  <w:marRight w:val="0"/>
                  <w:marTop w:val="0"/>
                  <w:marBottom w:val="0"/>
                  <w:divBdr>
                    <w:top w:val="none" w:sz="0" w:space="0" w:color="auto"/>
                    <w:left w:val="none" w:sz="0" w:space="0" w:color="auto"/>
                    <w:bottom w:val="none" w:sz="0" w:space="0" w:color="auto"/>
                    <w:right w:val="none" w:sz="0" w:space="0" w:color="auto"/>
                  </w:divBdr>
                  <w:divsChild>
                    <w:div w:id="823204850">
                      <w:marLeft w:val="0"/>
                      <w:marRight w:val="0"/>
                      <w:marTop w:val="0"/>
                      <w:marBottom w:val="0"/>
                      <w:divBdr>
                        <w:top w:val="none" w:sz="0" w:space="0" w:color="auto"/>
                        <w:left w:val="none" w:sz="0" w:space="0" w:color="auto"/>
                        <w:bottom w:val="none" w:sz="0" w:space="0" w:color="auto"/>
                        <w:right w:val="none" w:sz="0" w:space="0" w:color="auto"/>
                      </w:divBdr>
                    </w:div>
                  </w:divsChild>
                </w:div>
                <w:div w:id="681206577">
                  <w:marLeft w:val="0"/>
                  <w:marRight w:val="0"/>
                  <w:marTop w:val="0"/>
                  <w:marBottom w:val="0"/>
                  <w:divBdr>
                    <w:top w:val="none" w:sz="0" w:space="0" w:color="auto"/>
                    <w:left w:val="none" w:sz="0" w:space="0" w:color="auto"/>
                    <w:bottom w:val="none" w:sz="0" w:space="0" w:color="auto"/>
                    <w:right w:val="none" w:sz="0" w:space="0" w:color="auto"/>
                  </w:divBdr>
                  <w:divsChild>
                    <w:div w:id="2016763858">
                      <w:marLeft w:val="0"/>
                      <w:marRight w:val="0"/>
                      <w:marTop w:val="0"/>
                      <w:marBottom w:val="0"/>
                      <w:divBdr>
                        <w:top w:val="none" w:sz="0" w:space="0" w:color="auto"/>
                        <w:left w:val="none" w:sz="0" w:space="0" w:color="auto"/>
                        <w:bottom w:val="none" w:sz="0" w:space="0" w:color="auto"/>
                        <w:right w:val="none" w:sz="0" w:space="0" w:color="auto"/>
                      </w:divBdr>
                    </w:div>
                  </w:divsChild>
                </w:div>
                <w:div w:id="752891915">
                  <w:marLeft w:val="0"/>
                  <w:marRight w:val="0"/>
                  <w:marTop w:val="0"/>
                  <w:marBottom w:val="0"/>
                  <w:divBdr>
                    <w:top w:val="none" w:sz="0" w:space="0" w:color="auto"/>
                    <w:left w:val="none" w:sz="0" w:space="0" w:color="auto"/>
                    <w:bottom w:val="none" w:sz="0" w:space="0" w:color="auto"/>
                    <w:right w:val="none" w:sz="0" w:space="0" w:color="auto"/>
                  </w:divBdr>
                  <w:divsChild>
                    <w:div w:id="1243100839">
                      <w:marLeft w:val="0"/>
                      <w:marRight w:val="0"/>
                      <w:marTop w:val="0"/>
                      <w:marBottom w:val="0"/>
                      <w:divBdr>
                        <w:top w:val="none" w:sz="0" w:space="0" w:color="auto"/>
                        <w:left w:val="none" w:sz="0" w:space="0" w:color="auto"/>
                        <w:bottom w:val="none" w:sz="0" w:space="0" w:color="auto"/>
                        <w:right w:val="none" w:sz="0" w:space="0" w:color="auto"/>
                      </w:divBdr>
                    </w:div>
                  </w:divsChild>
                </w:div>
                <w:div w:id="754472044">
                  <w:marLeft w:val="0"/>
                  <w:marRight w:val="0"/>
                  <w:marTop w:val="0"/>
                  <w:marBottom w:val="0"/>
                  <w:divBdr>
                    <w:top w:val="none" w:sz="0" w:space="0" w:color="auto"/>
                    <w:left w:val="none" w:sz="0" w:space="0" w:color="auto"/>
                    <w:bottom w:val="none" w:sz="0" w:space="0" w:color="auto"/>
                    <w:right w:val="none" w:sz="0" w:space="0" w:color="auto"/>
                  </w:divBdr>
                  <w:divsChild>
                    <w:div w:id="421344761">
                      <w:marLeft w:val="0"/>
                      <w:marRight w:val="0"/>
                      <w:marTop w:val="0"/>
                      <w:marBottom w:val="0"/>
                      <w:divBdr>
                        <w:top w:val="none" w:sz="0" w:space="0" w:color="auto"/>
                        <w:left w:val="none" w:sz="0" w:space="0" w:color="auto"/>
                        <w:bottom w:val="none" w:sz="0" w:space="0" w:color="auto"/>
                        <w:right w:val="none" w:sz="0" w:space="0" w:color="auto"/>
                      </w:divBdr>
                    </w:div>
                  </w:divsChild>
                </w:div>
                <w:div w:id="782262432">
                  <w:marLeft w:val="0"/>
                  <w:marRight w:val="0"/>
                  <w:marTop w:val="0"/>
                  <w:marBottom w:val="0"/>
                  <w:divBdr>
                    <w:top w:val="none" w:sz="0" w:space="0" w:color="auto"/>
                    <w:left w:val="none" w:sz="0" w:space="0" w:color="auto"/>
                    <w:bottom w:val="none" w:sz="0" w:space="0" w:color="auto"/>
                    <w:right w:val="none" w:sz="0" w:space="0" w:color="auto"/>
                  </w:divBdr>
                  <w:divsChild>
                    <w:div w:id="2086341337">
                      <w:marLeft w:val="0"/>
                      <w:marRight w:val="0"/>
                      <w:marTop w:val="0"/>
                      <w:marBottom w:val="0"/>
                      <w:divBdr>
                        <w:top w:val="none" w:sz="0" w:space="0" w:color="auto"/>
                        <w:left w:val="none" w:sz="0" w:space="0" w:color="auto"/>
                        <w:bottom w:val="none" w:sz="0" w:space="0" w:color="auto"/>
                        <w:right w:val="none" w:sz="0" w:space="0" w:color="auto"/>
                      </w:divBdr>
                    </w:div>
                  </w:divsChild>
                </w:div>
                <w:div w:id="789282026">
                  <w:marLeft w:val="0"/>
                  <w:marRight w:val="0"/>
                  <w:marTop w:val="0"/>
                  <w:marBottom w:val="0"/>
                  <w:divBdr>
                    <w:top w:val="none" w:sz="0" w:space="0" w:color="auto"/>
                    <w:left w:val="none" w:sz="0" w:space="0" w:color="auto"/>
                    <w:bottom w:val="none" w:sz="0" w:space="0" w:color="auto"/>
                    <w:right w:val="none" w:sz="0" w:space="0" w:color="auto"/>
                  </w:divBdr>
                  <w:divsChild>
                    <w:div w:id="1570537205">
                      <w:marLeft w:val="0"/>
                      <w:marRight w:val="0"/>
                      <w:marTop w:val="0"/>
                      <w:marBottom w:val="0"/>
                      <w:divBdr>
                        <w:top w:val="none" w:sz="0" w:space="0" w:color="auto"/>
                        <w:left w:val="none" w:sz="0" w:space="0" w:color="auto"/>
                        <w:bottom w:val="none" w:sz="0" w:space="0" w:color="auto"/>
                        <w:right w:val="none" w:sz="0" w:space="0" w:color="auto"/>
                      </w:divBdr>
                    </w:div>
                  </w:divsChild>
                </w:div>
                <w:div w:id="793599425">
                  <w:marLeft w:val="0"/>
                  <w:marRight w:val="0"/>
                  <w:marTop w:val="0"/>
                  <w:marBottom w:val="0"/>
                  <w:divBdr>
                    <w:top w:val="none" w:sz="0" w:space="0" w:color="auto"/>
                    <w:left w:val="none" w:sz="0" w:space="0" w:color="auto"/>
                    <w:bottom w:val="none" w:sz="0" w:space="0" w:color="auto"/>
                    <w:right w:val="none" w:sz="0" w:space="0" w:color="auto"/>
                  </w:divBdr>
                  <w:divsChild>
                    <w:div w:id="884100616">
                      <w:marLeft w:val="0"/>
                      <w:marRight w:val="0"/>
                      <w:marTop w:val="0"/>
                      <w:marBottom w:val="0"/>
                      <w:divBdr>
                        <w:top w:val="none" w:sz="0" w:space="0" w:color="auto"/>
                        <w:left w:val="none" w:sz="0" w:space="0" w:color="auto"/>
                        <w:bottom w:val="none" w:sz="0" w:space="0" w:color="auto"/>
                        <w:right w:val="none" w:sz="0" w:space="0" w:color="auto"/>
                      </w:divBdr>
                    </w:div>
                  </w:divsChild>
                </w:div>
                <w:div w:id="794252449">
                  <w:marLeft w:val="0"/>
                  <w:marRight w:val="0"/>
                  <w:marTop w:val="0"/>
                  <w:marBottom w:val="0"/>
                  <w:divBdr>
                    <w:top w:val="none" w:sz="0" w:space="0" w:color="auto"/>
                    <w:left w:val="none" w:sz="0" w:space="0" w:color="auto"/>
                    <w:bottom w:val="none" w:sz="0" w:space="0" w:color="auto"/>
                    <w:right w:val="none" w:sz="0" w:space="0" w:color="auto"/>
                  </w:divBdr>
                  <w:divsChild>
                    <w:div w:id="1969628574">
                      <w:marLeft w:val="0"/>
                      <w:marRight w:val="0"/>
                      <w:marTop w:val="0"/>
                      <w:marBottom w:val="0"/>
                      <w:divBdr>
                        <w:top w:val="none" w:sz="0" w:space="0" w:color="auto"/>
                        <w:left w:val="none" w:sz="0" w:space="0" w:color="auto"/>
                        <w:bottom w:val="none" w:sz="0" w:space="0" w:color="auto"/>
                        <w:right w:val="none" w:sz="0" w:space="0" w:color="auto"/>
                      </w:divBdr>
                    </w:div>
                  </w:divsChild>
                </w:div>
                <w:div w:id="799887020">
                  <w:marLeft w:val="0"/>
                  <w:marRight w:val="0"/>
                  <w:marTop w:val="0"/>
                  <w:marBottom w:val="0"/>
                  <w:divBdr>
                    <w:top w:val="none" w:sz="0" w:space="0" w:color="auto"/>
                    <w:left w:val="none" w:sz="0" w:space="0" w:color="auto"/>
                    <w:bottom w:val="none" w:sz="0" w:space="0" w:color="auto"/>
                    <w:right w:val="none" w:sz="0" w:space="0" w:color="auto"/>
                  </w:divBdr>
                  <w:divsChild>
                    <w:div w:id="409039791">
                      <w:marLeft w:val="0"/>
                      <w:marRight w:val="0"/>
                      <w:marTop w:val="0"/>
                      <w:marBottom w:val="0"/>
                      <w:divBdr>
                        <w:top w:val="none" w:sz="0" w:space="0" w:color="auto"/>
                        <w:left w:val="none" w:sz="0" w:space="0" w:color="auto"/>
                        <w:bottom w:val="none" w:sz="0" w:space="0" w:color="auto"/>
                        <w:right w:val="none" w:sz="0" w:space="0" w:color="auto"/>
                      </w:divBdr>
                    </w:div>
                  </w:divsChild>
                </w:div>
                <w:div w:id="821041904">
                  <w:marLeft w:val="0"/>
                  <w:marRight w:val="0"/>
                  <w:marTop w:val="0"/>
                  <w:marBottom w:val="0"/>
                  <w:divBdr>
                    <w:top w:val="none" w:sz="0" w:space="0" w:color="auto"/>
                    <w:left w:val="none" w:sz="0" w:space="0" w:color="auto"/>
                    <w:bottom w:val="none" w:sz="0" w:space="0" w:color="auto"/>
                    <w:right w:val="none" w:sz="0" w:space="0" w:color="auto"/>
                  </w:divBdr>
                  <w:divsChild>
                    <w:div w:id="170266770">
                      <w:marLeft w:val="0"/>
                      <w:marRight w:val="0"/>
                      <w:marTop w:val="0"/>
                      <w:marBottom w:val="0"/>
                      <w:divBdr>
                        <w:top w:val="none" w:sz="0" w:space="0" w:color="auto"/>
                        <w:left w:val="none" w:sz="0" w:space="0" w:color="auto"/>
                        <w:bottom w:val="none" w:sz="0" w:space="0" w:color="auto"/>
                        <w:right w:val="none" w:sz="0" w:space="0" w:color="auto"/>
                      </w:divBdr>
                    </w:div>
                  </w:divsChild>
                </w:div>
                <w:div w:id="836652602">
                  <w:marLeft w:val="0"/>
                  <w:marRight w:val="0"/>
                  <w:marTop w:val="0"/>
                  <w:marBottom w:val="0"/>
                  <w:divBdr>
                    <w:top w:val="none" w:sz="0" w:space="0" w:color="auto"/>
                    <w:left w:val="none" w:sz="0" w:space="0" w:color="auto"/>
                    <w:bottom w:val="none" w:sz="0" w:space="0" w:color="auto"/>
                    <w:right w:val="none" w:sz="0" w:space="0" w:color="auto"/>
                  </w:divBdr>
                  <w:divsChild>
                    <w:div w:id="286742609">
                      <w:marLeft w:val="0"/>
                      <w:marRight w:val="0"/>
                      <w:marTop w:val="0"/>
                      <w:marBottom w:val="0"/>
                      <w:divBdr>
                        <w:top w:val="none" w:sz="0" w:space="0" w:color="auto"/>
                        <w:left w:val="none" w:sz="0" w:space="0" w:color="auto"/>
                        <w:bottom w:val="none" w:sz="0" w:space="0" w:color="auto"/>
                        <w:right w:val="none" w:sz="0" w:space="0" w:color="auto"/>
                      </w:divBdr>
                    </w:div>
                  </w:divsChild>
                </w:div>
                <w:div w:id="839275907">
                  <w:marLeft w:val="0"/>
                  <w:marRight w:val="0"/>
                  <w:marTop w:val="0"/>
                  <w:marBottom w:val="0"/>
                  <w:divBdr>
                    <w:top w:val="none" w:sz="0" w:space="0" w:color="auto"/>
                    <w:left w:val="none" w:sz="0" w:space="0" w:color="auto"/>
                    <w:bottom w:val="none" w:sz="0" w:space="0" w:color="auto"/>
                    <w:right w:val="none" w:sz="0" w:space="0" w:color="auto"/>
                  </w:divBdr>
                  <w:divsChild>
                    <w:div w:id="818570662">
                      <w:marLeft w:val="0"/>
                      <w:marRight w:val="0"/>
                      <w:marTop w:val="0"/>
                      <w:marBottom w:val="0"/>
                      <w:divBdr>
                        <w:top w:val="none" w:sz="0" w:space="0" w:color="auto"/>
                        <w:left w:val="none" w:sz="0" w:space="0" w:color="auto"/>
                        <w:bottom w:val="none" w:sz="0" w:space="0" w:color="auto"/>
                        <w:right w:val="none" w:sz="0" w:space="0" w:color="auto"/>
                      </w:divBdr>
                    </w:div>
                  </w:divsChild>
                </w:div>
                <w:div w:id="880090942">
                  <w:marLeft w:val="0"/>
                  <w:marRight w:val="0"/>
                  <w:marTop w:val="0"/>
                  <w:marBottom w:val="0"/>
                  <w:divBdr>
                    <w:top w:val="none" w:sz="0" w:space="0" w:color="auto"/>
                    <w:left w:val="none" w:sz="0" w:space="0" w:color="auto"/>
                    <w:bottom w:val="none" w:sz="0" w:space="0" w:color="auto"/>
                    <w:right w:val="none" w:sz="0" w:space="0" w:color="auto"/>
                  </w:divBdr>
                  <w:divsChild>
                    <w:div w:id="1136141039">
                      <w:marLeft w:val="0"/>
                      <w:marRight w:val="0"/>
                      <w:marTop w:val="0"/>
                      <w:marBottom w:val="0"/>
                      <w:divBdr>
                        <w:top w:val="none" w:sz="0" w:space="0" w:color="auto"/>
                        <w:left w:val="none" w:sz="0" w:space="0" w:color="auto"/>
                        <w:bottom w:val="none" w:sz="0" w:space="0" w:color="auto"/>
                        <w:right w:val="none" w:sz="0" w:space="0" w:color="auto"/>
                      </w:divBdr>
                    </w:div>
                  </w:divsChild>
                </w:div>
                <w:div w:id="892010833">
                  <w:marLeft w:val="0"/>
                  <w:marRight w:val="0"/>
                  <w:marTop w:val="0"/>
                  <w:marBottom w:val="0"/>
                  <w:divBdr>
                    <w:top w:val="none" w:sz="0" w:space="0" w:color="auto"/>
                    <w:left w:val="none" w:sz="0" w:space="0" w:color="auto"/>
                    <w:bottom w:val="none" w:sz="0" w:space="0" w:color="auto"/>
                    <w:right w:val="none" w:sz="0" w:space="0" w:color="auto"/>
                  </w:divBdr>
                  <w:divsChild>
                    <w:div w:id="462233657">
                      <w:marLeft w:val="0"/>
                      <w:marRight w:val="0"/>
                      <w:marTop w:val="0"/>
                      <w:marBottom w:val="0"/>
                      <w:divBdr>
                        <w:top w:val="none" w:sz="0" w:space="0" w:color="auto"/>
                        <w:left w:val="none" w:sz="0" w:space="0" w:color="auto"/>
                        <w:bottom w:val="none" w:sz="0" w:space="0" w:color="auto"/>
                        <w:right w:val="none" w:sz="0" w:space="0" w:color="auto"/>
                      </w:divBdr>
                    </w:div>
                  </w:divsChild>
                </w:div>
                <w:div w:id="912396337">
                  <w:marLeft w:val="0"/>
                  <w:marRight w:val="0"/>
                  <w:marTop w:val="0"/>
                  <w:marBottom w:val="0"/>
                  <w:divBdr>
                    <w:top w:val="none" w:sz="0" w:space="0" w:color="auto"/>
                    <w:left w:val="none" w:sz="0" w:space="0" w:color="auto"/>
                    <w:bottom w:val="none" w:sz="0" w:space="0" w:color="auto"/>
                    <w:right w:val="none" w:sz="0" w:space="0" w:color="auto"/>
                  </w:divBdr>
                  <w:divsChild>
                    <w:div w:id="114057701">
                      <w:marLeft w:val="0"/>
                      <w:marRight w:val="0"/>
                      <w:marTop w:val="0"/>
                      <w:marBottom w:val="0"/>
                      <w:divBdr>
                        <w:top w:val="none" w:sz="0" w:space="0" w:color="auto"/>
                        <w:left w:val="none" w:sz="0" w:space="0" w:color="auto"/>
                        <w:bottom w:val="none" w:sz="0" w:space="0" w:color="auto"/>
                        <w:right w:val="none" w:sz="0" w:space="0" w:color="auto"/>
                      </w:divBdr>
                    </w:div>
                  </w:divsChild>
                </w:div>
                <w:div w:id="917128166">
                  <w:marLeft w:val="0"/>
                  <w:marRight w:val="0"/>
                  <w:marTop w:val="0"/>
                  <w:marBottom w:val="0"/>
                  <w:divBdr>
                    <w:top w:val="none" w:sz="0" w:space="0" w:color="auto"/>
                    <w:left w:val="none" w:sz="0" w:space="0" w:color="auto"/>
                    <w:bottom w:val="none" w:sz="0" w:space="0" w:color="auto"/>
                    <w:right w:val="none" w:sz="0" w:space="0" w:color="auto"/>
                  </w:divBdr>
                  <w:divsChild>
                    <w:div w:id="51389547">
                      <w:marLeft w:val="0"/>
                      <w:marRight w:val="0"/>
                      <w:marTop w:val="0"/>
                      <w:marBottom w:val="0"/>
                      <w:divBdr>
                        <w:top w:val="none" w:sz="0" w:space="0" w:color="auto"/>
                        <w:left w:val="none" w:sz="0" w:space="0" w:color="auto"/>
                        <w:bottom w:val="none" w:sz="0" w:space="0" w:color="auto"/>
                        <w:right w:val="none" w:sz="0" w:space="0" w:color="auto"/>
                      </w:divBdr>
                    </w:div>
                  </w:divsChild>
                </w:div>
                <w:div w:id="919219767">
                  <w:marLeft w:val="0"/>
                  <w:marRight w:val="0"/>
                  <w:marTop w:val="0"/>
                  <w:marBottom w:val="0"/>
                  <w:divBdr>
                    <w:top w:val="none" w:sz="0" w:space="0" w:color="auto"/>
                    <w:left w:val="none" w:sz="0" w:space="0" w:color="auto"/>
                    <w:bottom w:val="none" w:sz="0" w:space="0" w:color="auto"/>
                    <w:right w:val="none" w:sz="0" w:space="0" w:color="auto"/>
                  </w:divBdr>
                  <w:divsChild>
                    <w:div w:id="1822118702">
                      <w:marLeft w:val="0"/>
                      <w:marRight w:val="0"/>
                      <w:marTop w:val="0"/>
                      <w:marBottom w:val="0"/>
                      <w:divBdr>
                        <w:top w:val="none" w:sz="0" w:space="0" w:color="auto"/>
                        <w:left w:val="none" w:sz="0" w:space="0" w:color="auto"/>
                        <w:bottom w:val="none" w:sz="0" w:space="0" w:color="auto"/>
                        <w:right w:val="none" w:sz="0" w:space="0" w:color="auto"/>
                      </w:divBdr>
                    </w:div>
                  </w:divsChild>
                </w:div>
                <w:div w:id="933975517">
                  <w:marLeft w:val="0"/>
                  <w:marRight w:val="0"/>
                  <w:marTop w:val="0"/>
                  <w:marBottom w:val="0"/>
                  <w:divBdr>
                    <w:top w:val="none" w:sz="0" w:space="0" w:color="auto"/>
                    <w:left w:val="none" w:sz="0" w:space="0" w:color="auto"/>
                    <w:bottom w:val="none" w:sz="0" w:space="0" w:color="auto"/>
                    <w:right w:val="none" w:sz="0" w:space="0" w:color="auto"/>
                  </w:divBdr>
                  <w:divsChild>
                    <w:div w:id="1235122766">
                      <w:marLeft w:val="0"/>
                      <w:marRight w:val="0"/>
                      <w:marTop w:val="0"/>
                      <w:marBottom w:val="0"/>
                      <w:divBdr>
                        <w:top w:val="none" w:sz="0" w:space="0" w:color="auto"/>
                        <w:left w:val="none" w:sz="0" w:space="0" w:color="auto"/>
                        <w:bottom w:val="none" w:sz="0" w:space="0" w:color="auto"/>
                        <w:right w:val="none" w:sz="0" w:space="0" w:color="auto"/>
                      </w:divBdr>
                    </w:div>
                  </w:divsChild>
                </w:div>
                <w:div w:id="988902751">
                  <w:marLeft w:val="0"/>
                  <w:marRight w:val="0"/>
                  <w:marTop w:val="0"/>
                  <w:marBottom w:val="0"/>
                  <w:divBdr>
                    <w:top w:val="none" w:sz="0" w:space="0" w:color="auto"/>
                    <w:left w:val="none" w:sz="0" w:space="0" w:color="auto"/>
                    <w:bottom w:val="none" w:sz="0" w:space="0" w:color="auto"/>
                    <w:right w:val="none" w:sz="0" w:space="0" w:color="auto"/>
                  </w:divBdr>
                  <w:divsChild>
                    <w:div w:id="880871166">
                      <w:marLeft w:val="0"/>
                      <w:marRight w:val="0"/>
                      <w:marTop w:val="0"/>
                      <w:marBottom w:val="0"/>
                      <w:divBdr>
                        <w:top w:val="none" w:sz="0" w:space="0" w:color="auto"/>
                        <w:left w:val="none" w:sz="0" w:space="0" w:color="auto"/>
                        <w:bottom w:val="none" w:sz="0" w:space="0" w:color="auto"/>
                        <w:right w:val="none" w:sz="0" w:space="0" w:color="auto"/>
                      </w:divBdr>
                    </w:div>
                  </w:divsChild>
                </w:div>
                <w:div w:id="998458481">
                  <w:marLeft w:val="0"/>
                  <w:marRight w:val="0"/>
                  <w:marTop w:val="0"/>
                  <w:marBottom w:val="0"/>
                  <w:divBdr>
                    <w:top w:val="none" w:sz="0" w:space="0" w:color="auto"/>
                    <w:left w:val="none" w:sz="0" w:space="0" w:color="auto"/>
                    <w:bottom w:val="none" w:sz="0" w:space="0" w:color="auto"/>
                    <w:right w:val="none" w:sz="0" w:space="0" w:color="auto"/>
                  </w:divBdr>
                  <w:divsChild>
                    <w:div w:id="1955096912">
                      <w:marLeft w:val="0"/>
                      <w:marRight w:val="0"/>
                      <w:marTop w:val="0"/>
                      <w:marBottom w:val="0"/>
                      <w:divBdr>
                        <w:top w:val="none" w:sz="0" w:space="0" w:color="auto"/>
                        <w:left w:val="none" w:sz="0" w:space="0" w:color="auto"/>
                        <w:bottom w:val="none" w:sz="0" w:space="0" w:color="auto"/>
                        <w:right w:val="none" w:sz="0" w:space="0" w:color="auto"/>
                      </w:divBdr>
                    </w:div>
                  </w:divsChild>
                </w:div>
                <w:div w:id="999117521">
                  <w:marLeft w:val="0"/>
                  <w:marRight w:val="0"/>
                  <w:marTop w:val="0"/>
                  <w:marBottom w:val="0"/>
                  <w:divBdr>
                    <w:top w:val="none" w:sz="0" w:space="0" w:color="auto"/>
                    <w:left w:val="none" w:sz="0" w:space="0" w:color="auto"/>
                    <w:bottom w:val="none" w:sz="0" w:space="0" w:color="auto"/>
                    <w:right w:val="none" w:sz="0" w:space="0" w:color="auto"/>
                  </w:divBdr>
                  <w:divsChild>
                    <w:div w:id="512764569">
                      <w:marLeft w:val="0"/>
                      <w:marRight w:val="0"/>
                      <w:marTop w:val="0"/>
                      <w:marBottom w:val="0"/>
                      <w:divBdr>
                        <w:top w:val="none" w:sz="0" w:space="0" w:color="auto"/>
                        <w:left w:val="none" w:sz="0" w:space="0" w:color="auto"/>
                        <w:bottom w:val="none" w:sz="0" w:space="0" w:color="auto"/>
                        <w:right w:val="none" w:sz="0" w:space="0" w:color="auto"/>
                      </w:divBdr>
                    </w:div>
                  </w:divsChild>
                </w:div>
                <w:div w:id="1004817389">
                  <w:marLeft w:val="0"/>
                  <w:marRight w:val="0"/>
                  <w:marTop w:val="0"/>
                  <w:marBottom w:val="0"/>
                  <w:divBdr>
                    <w:top w:val="none" w:sz="0" w:space="0" w:color="auto"/>
                    <w:left w:val="none" w:sz="0" w:space="0" w:color="auto"/>
                    <w:bottom w:val="none" w:sz="0" w:space="0" w:color="auto"/>
                    <w:right w:val="none" w:sz="0" w:space="0" w:color="auto"/>
                  </w:divBdr>
                  <w:divsChild>
                    <w:div w:id="1798915595">
                      <w:marLeft w:val="0"/>
                      <w:marRight w:val="0"/>
                      <w:marTop w:val="0"/>
                      <w:marBottom w:val="0"/>
                      <w:divBdr>
                        <w:top w:val="none" w:sz="0" w:space="0" w:color="auto"/>
                        <w:left w:val="none" w:sz="0" w:space="0" w:color="auto"/>
                        <w:bottom w:val="none" w:sz="0" w:space="0" w:color="auto"/>
                        <w:right w:val="none" w:sz="0" w:space="0" w:color="auto"/>
                      </w:divBdr>
                    </w:div>
                  </w:divsChild>
                </w:div>
                <w:div w:id="1007748956">
                  <w:marLeft w:val="0"/>
                  <w:marRight w:val="0"/>
                  <w:marTop w:val="0"/>
                  <w:marBottom w:val="0"/>
                  <w:divBdr>
                    <w:top w:val="none" w:sz="0" w:space="0" w:color="auto"/>
                    <w:left w:val="none" w:sz="0" w:space="0" w:color="auto"/>
                    <w:bottom w:val="none" w:sz="0" w:space="0" w:color="auto"/>
                    <w:right w:val="none" w:sz="0" w:space="0" w:color="auto"/>
                  </w:divBdr>
                  <w:divsChild>
                    <w:div w:id="1497529734">
                      <w:marLeft w:val="0"/>
                      <w:marRight w:val="0"/>
                      <w:marTop w:val="0"/>
                      <w:marBottom w:val="0"/>
                      <w:divBdr>
                        <w:top w:val="none" w:sz="0" w:space="0" w:color="auto"/>
                        <w:left w:val="none" w:sz="0" w:space="0" w:color="auto"/>
                        <w:bottom w:val="none" w:sz="0" w:space="0" w:color="auto"/>
                        <w:right w:val="none" w:sz="0" w:space="0" w:color="auto"/>
                      </w:divBdr>
                    </w:div>
                  </w:divsChild>
                </w:div>
                <w:div w:id="1021398152">
                  <w:marLeft w:val="0"/>
                  <w:marRight w:val="0"/>
                  <w:marTop w:val="0"/>
                  <w:marBottom w:val="0"/>
                  <w:divBdr>
                    <w:top w:val="none" w:sz="0" w:space="0" w:color="auto"/>
                    <w:left w:val="none" w:sz="0" w:space="0" w:color="auto"/>
                    <w:bottom w:val="none" w:sz="0" w:space="0" w:color="auto"/>
                    <w:right w:val="none" w:sz="0" w:space="0" w:color="auto"/>
                  </w:divBdr>
                  <w:divsChild>
                    <w:div w:id="294415776">
                      <w:marLeft w:val="0"/>
                      <w:marRight w:val="0"/>
                      <w:marTop w:val="0"/>
                      <w:marBottom w:val="0"/>
                      <w:divBdr>
                        <w:top w:val="none" w:sz="0" w:space="0" w:color="auto"/>
                        <w:left w:val="none" w:sz="0" w:space="0" w:color="auto"/>
                        <w:bottom w:val="none" w:sz="0" w:space="0" w:color="auto"/>
                        <w:right w:val="none" w:sz="0" w:space="0" w:color="auto"/>
                      </w:divBdr>
                    </w:div>
                  </w:divsChild>
                </w:div>
                <w:div w:id="1039478755">
                  <w:marLeft w:val="0"/>
                  <w:marRight w:val="0"/>
                  <w:marTop w:val="0"/>
                  <w:marBottom w:val="0"/>
                  <w:divBdr>
                    <w:top w:val="none" w:sz="0" w:space="0" w:color="auto"/>
                    <w:left w:val="none" w:sz="0" w:space="0" w:color="auto"/>
                    <w:bottom w:val="none" w:sz="0" w:space="0" w:color="auto"/>
                    <w:right w:val="none" w:sz="0" w:space="0" w:color="auto"/>
                  </w:divBdr>
                  <w:divsChild>
                    <w:div w:id="307785444">
                      <w:marLeft w:val="0"/>
                      <w:marRight w:val="0"/>
                      <w:marTop w:val="0"/>
                      <w:marBottom w:val="0"/>
                      <w:divBdr>
                        <w:top w:val="none" w:sz="0" w:space="0" w:color="auto"/>
                        <w:left w:val="none" w:sz="0" w:space="0" w:color="auto"/>
                        <w:bottom w:val="none" w:sz="0" w:space="0" w:color="auto"/>
                        <w:right w:val="none" w:sz="0" w:space="0" w:color="auto"/>
                      </w:divBdr>
                    </w:div>
                  </w:divsChild>
                </w:div>
                <w:div w:id="1046372229">
                  <w:marLeft w:val="0"/>
                  <w:marRight w:val="0"/>
                  <w:marTop w:val="0"/>
                  <w:marBottom w:val="0"/>
                  <w:divBdr>
                    <w:top w:val="none" w:sz="0" w:space="0" w:color="auto"/>
                    <w:left w:val="none" w:sz="0" w:space="0" w:color="auto"/>
                    <w:bottom w:val="none" w:sz="0" w:space="0" w:color="auto"/>
                    <w:right w:val="none" w:sz="0" w:space="0" w:color="auto"/>
                  </w:divBdr>
                  <w:divsChild>
                    <w:div w:id="1506825230">
                      <w:marLeft w:val="0"/>
                      <w:marRight w:val="0"/>
                      <w:marTop w:val="0"/>
                      <w:marBottom w:val="0"/>
                      <w:divBdr>
                        <w:top w:val="none" w:sz="0" w:space="0" w:color="auto"/>
                        <w:left w:val="none" w:sz="0" w:space="0" w:color="auto"/>
                        <w:bottom w:val="none" w:sz="0" w:space="0" w:color="auto"/>
                        <w:right w:val="none" w:sz="0" w:space="0" w:color="auto"/>
                      </w:divBdr>
                    </w:div>
                  </w:divsChild>
                </w:div>
                <w:div w:id="1068184520">
                  <w:marLeft w:val="0"/>
                  <w:marRight w:val="0"/>
                  <w:marTop w:val="0"/>
                  <w:marBottom w:val="0"/>
                  <w:divBdr>
                    <w:top w:val="none" w:sz="0" w:space="0" w:color="auto"/>
                    <w:left w:val="none" w:sz="0" w:space="0" w:color="auto"/>
                    <w:bottom w:val="none" w:sz="0" w:space="0" w:color="auto"/>
                    <w:right w:val="none" w:sz="0" w:space="0" w:color="auto"/>
                  </w:divBdr>
                  <w:divsChild>
                    <w:div w:id="1511027258">
                      <w:marLeft w:val="0"/>
                      <w:marRight w:val="0"/>
                      <w:marTop w:val="0"/>
                      <w:marBottom w:val="0"/>
                      <w:divBdr>
                        <w:top w:val="none" w:sz="0" w:space="0" w:color="auto"/>
                        <w:left w:val="none" w:sz="0" w:space="0" w:color="auto"/>
                        <w:bottom w:val="none" w:sz="0" w:space="0" w:color="auto"/>
                        <w:right w:val="none" w:sz="0" w:space="0" w:color="auto"/>
                      </w:divBdr>
                    </w:div>
                  </w:divsChild>
                </w:div>
                <w:div w:id="1096633484">
                  <w:marLeft w:val="0"/>
                  <w:marRight w:val="0"/>
                  <w:marTop w:val="0"/>
                  <w:marBottom w:val="0"/>
                  <w:divBdr>
                    <w:top w:val="none" w:sz="0" w:space="0" w:color="auto"/>
                    <w:left w:val="none" w:sz="0" w:space="0" w:color="auto"/>
                    <w:bottom w:val="none" w:sz="0" w:space="0" w:color="auto"/>
                    <w:right w:val="none" w:sz="0" w:space="0" w:color="auto"/>
                  </w:divBdr>
                  <w:divsChild>
                    <w:div w:id="1254558035">
                      <w:marLeft w:val="0"/>
                      <w:marRight w:val="0"/>
                      <w:marTop w:val="0"/>
                      <w:marBottom w:val="0"/>
                      <w:divBdr>
                        <w:top w:val="none" w:sz="0" w:space="0" w:color="auto"/>
                        <w:left w:val="none" w:sz="0" w:space="0" w:color="auto"/>
                        <w:bottom w:val="none" w:sz="0" w:space="0" w:color="auto"/>
                        <w:right w:val="none" w:sz="0" w:space="0" w:color="auto"/>
                      </w:divBdr>
                    </w:div>
                  </w:divsChild>
                </w:div>
                <w:div w:id="1106581634">
                  <w:marLeft w:val="0"/>
                  <w:marRight w:val="0"/>
                  <w:marTop w:val="0"/>
                  <w:marBottom w:val="0"/>
                  <w:divBdr>
                    <w:top w:val="none" w:sz="0" w:space="0" w:color="auto"/>
                    <w:left w:val="none" w:sz="0" w:space="0" w:color="auto"/>
                    <w:bottom w:val="none" w:sz="0" w:space="0" w:color="auto"/>
                    <w:right w:val="none" w:sz="0" w:space="0" w:color="auto"/>
                  </w:divBdr>
                  <w:divsChild>
                    <w:div w:id="171577844">
                      <w:marLeft w:val="0"/>
                      <w:marRight w:val="0"/>
                      <w:marTop w:val="0"/>
                      <w:marBottom w:val="0"/>
                      <w:divBdr>
                        <w:top w:val="none" w:sz="0" w:space="0" w:color="auto"/>
                        <w:left w:val="none" w:sz="0" w:space="0" w:color="auto"/>
                        <w:bottom w:val="none" w:sz="0" w:space="0" w:color="auto"/>
                        <w:right w:val="none" w:sz="0" w:space="0" w:color="auto"/>
                      </w:divBdr>
                    </w:div>
                  </w:divsChild>
                </w:div>
                <w:div w:id="1118182478">
                  <w:marLeft w:val="0"/>
                  <w:marRight w:val="0"/>
                  <w:marTop w:val="0"/>
                  <w:marBottom w:val="0"/>
                  <w:divBdr>
                    <w:top w:val="none" w:sz="0" w:space="0" w:color="auto"/>
                    <w:left w:val="none" w:sz="0" w:space="0" w:color="auto"/>
                    <w:bottom w:val="none" w:sz="0" w:space="0" w:color="auto"/>
                    <w:right w:val="none" w:sz="0" w:space="0" w:color="auto"/>
                  </w:divBdr>
                  <w:divsChild>
                    <w:div w:id="1099912306">
                      <w:marLeft w:val="0"/>
                      <w:marRight w:val="0"/>
                      <w:marTop w:val="0"/>
                      <w:marBottom w:val="0"/>
                      <w:divBdr>
                        <w:top w:val="none" w:sz="0" w:space="0" w:color="auto"/>
                        <w:left w:val="none" w:sz="0" w:space="0" w:color="auto"/>
                        <w:bottom w:val="none" w:sz="0" w:space="0" w:color="auto"/>
                        <w:right w:val="none" w:sz="0" w:space="0" w:color="auto"/>
                      </w:divBdr>
                    </w:div>
                  </w:divsChild>
                </w:div>
                <w:div w:id="1124883353">
                  <w:marLeft w:val="0"/>
                  <w:marRight w:val="0"/>
                  <w:marTop w:val="0"/>
                  <w:marBottom w:val="0"/>
                  <w:divBdr>
                    <w:top w:val="none" w:sz="0" w:space="0" w:color="auto"/>
                    <w:left w:val="none" w:sz="0" w:space="0" w:color="auto"/>
                    <w:bottom w:val="none" w:sz="0" w:space="0" w:color="auto"/>
                    <w:right w:val="none" w:sz="0" w:space="0" w:color="auto"/>
                  </w:divBdr>
                  <w:divsChild>
                    <w:div w:id="1915118450">
                      <w:marLeft w:val="0"/>
                      <w:marRight w:val="0"/>
                      <w:marTop w:val="0"/>
                      <w:marBottom w:val="0"/>
                      <w:divBdr>
                        <w:top w:val="none" w:sz="0" w:space="0" w:color="auto"/>
                        <w:left w:val="none" w:sz="0" w:space="0" w:color="auto"/>
                        <w:bottom w:val="none" w:sz="0" w:space="0" w:color="auto"/>
                        <w:right w:val="none" w:sz="0" w:space="0" w:color="auto"/>
                      </w:divBdr>
                    </w:div>
                  </w:divsChild>
                </w:div>
                <w:div w:id="1132552065">
                  <w:marLeft w:val="0"/>
                  <w:marRight w:val="0"/>
                  <w:marTop w:val="0"/>
                  <w:marBottom w:val="0"/>
                  <w:divBdr>
                    <w:top w:val="none" w:sz="0" w:space="0" w:color="auto"/>
                    <w:left w:val="none" w:sz="0" w:space="0" w:color="auto"/>
                    <w:bottom w:val="none" w:sz="0" w:space="0" w:color="auto"/>
                    <w:right w:val="none" w:sz="0" w:space="0" w:color="auto"/>
                  </w:divBdr>
                  <w:divsChild>
                    <w:div w:id="1981955532">
                      <w:marLeft w:val="0"/>
                      <w:marRight w:val="0"/>
                      <w:marTop w:val="0"/>
                      <w:marBottom w:val="0"/>
                      <w:divBdr>
                        <w:top w:val="none" w:sz="0" w:space="0" w:color="auto"/>
                        <w:left w:val="none" w:sz="0" w:space="0" w:color="auto"/>
                        <w:bottom w:val="none" w:sz="0" w:space="0" w:color="auto"/>
                        <w:right w:val="none" w:sz="0" w:space="0" w:color="auto"/>
                      </w:divBdr>
                    </w:div>
                  </w:divsChild>
                </w:div>
                <w:div w:id="1134910828">
                  <w:marLeft w:val="0"/>
                  <w:marRight w:val="0"/>
                  <w:marTop w:val="0"/>
                  <w:marBottom w:val="0"/>
                  <w:divBdr>
                    <w:top w:val="none" w:sz="0" w:space="0" w:color="auto"/>
                    <w:left w:val="none" w:sz="0" w:space="0" w:color="auto"/>
                    <w:bottom w:val="none" w:sz="0" w:space="0" w:color="auto"/>
                    <w:right w:val="none" w:sz="0" w:space="0" w:color="auto"/>
                  </w:divBdr>
                  <w:divsChild>
                    <w:div w:id="534274226">
                      <w:marLeft w:val="0"/>
                      <w:marRight w:val="0"/>
                      <w:marTop w:val="0"/>
                      <w:marBottom w:val="0"/>
                      <w:divBdr>
                        <w:top w:val="none" w:sz="0" w:space="0" w:color="auto"/>
                        <w:left w:val="none" w:sz="0" w:space="0" w:color="auto"/>
                        <w:bottom w:val="none" w:sz="0" w:space="0" w:color="auto"/>
                        <w:right w:val="none" w:sz="0" w:space="0" w:color="auto"/>
                      </w:divBdr>
                    </w:div>
                  </w:divsChild>
                </w:div>
                <w:div w:id="1141387989">
                  <w:marLeft w:val="0"/>
                  <w:marRight w:val="0"/>
                  <w:marTop w:val="0"/>
                  <w:marBottom w:val="0"/>
                  <w:divBdr>
                    <w:top w:val="none" w:sz="0" w:space="0" w:color="auto"/>
                    <w:left w:val="none" w:sz="0" w:space="0" w:color="auto"/>
                    <w:bottom w:val="none" w:sz="0" w:space="0" w:color="auto"/>
                    <w:right w:val="none" w:sz="0" w:space="0" w:color="auto"/>
                  </w:divBdr>
                  <w:divsChild>
                    <w:div w:id="845483034">
                      <w:marLeft w:val="0"/>
                      <w:marRight w:val="0"/>
                      <w:marTop w:val="0"/>
                      <w:marBottom w:val="0"/>
                      <w:divBdr>
                        <w:top w:val="none" w:sz="0" w:space="0" w:color="auto"/>
                        <w:left w:val="none" w:sz="0" w:space="0" w:color="auto"/>
                        <w:bottom w:val="none" w:sz="0" w:space="0" w:color="auto"/>
                        <w:right w:val="none" w:sz="0" w:space="0" w:color="auto"/>
                      </w:divBdr>
                    </w:div>
                  </w:divsChild>
                </w:div>
                <w:div w:id="1147405716">
                  <w:marLeft w:val="0"/>
                  <w:marRight w:val="0"/>
                  <w:marTop w:val="0"/>
                  <w:marBottom w:val="0"/>
                  <w:divBdr>
                    <w:top w:val="none" w:sz="0" w:space="0" w:color="auto"/>
                    <w:left w:val="none" w:sz="0" w:space="0" w:color="auto"/>
                    <w:bottom w:val="none" w:sz="0" w:space="0" w:color="auto"/>
                    <w:right w:val="none" w:sz="0" w:space="0" w:color="auto"/>
                  </w:divBdr>
                  <w:divsChild>
                    <w:div w:id="2011907485">
                      <w:marLeft w:val="0"/>
                      <w:marRight w:val="0"/>
                      <w:marTop w:val="0"/>
                      <w:marBottom w:val="0"/>
                      <w:divBdr>
                        <w:top w:val="none" w:sz="0" w:space="0" w:color="auto"/>
                        <w:left w:val="none" w:sz="0" w:space="0" w:color="auto"/>
                        <w:bottom w:val="none" w:sz="0" w:space="0" w:color="auto"/>
                        <w:right w:val="none" w:sz="0" w:space="0" w:color="auto"/>
                      </w:divBdr>
                    </w:div>
                  </w:divsChild>
                </w:div>
                <w:div w:id="1173686779">
                  <w:marLeft w:val="0"/>
                  <w:marRight w:val="0"/>
                  <w:marTop w:val="0"/>
                  <w:marBottom w:val="0"/>
                  <w:divBdr>
                    <w:top w:val="none" w:sz="0" w:space="0" w:color="auto"/>
                    <w:left w:val="none" w:sz="0" w:space="0" w:color="auto"/>
                    <w:bottom w:val="none" w:sz="0" w:space="0" w:color="auto"/>
                    <w:right w:val="none" w:sz="0" w:space="0" w:color="auto"/>
                  </w:divBdr>
                  <w:divsChild>
                    <w:div w:id="1267735399">
                      <w:marLeft w:val="0"/>
                      <w:marRight w:val="0"/>
                      <w:marTop w:val="0"/>
                      <w:marBottom w:val="0"/>
                      <w:divBdr>
                        <w:top w:val="none" w:sz="0" w:space="0" w:color="auto"/>
                        <w:left w:val="none" w:sz="0" w:space="0" w:color="auto"/>
                        <w:bottom w:val="none" w:sz="0" w:space="0" w:color="auto"/>
                        <w:right w:val="none" w:sz="0" w:space="0" w:color="auto"/>
                      </w:divBdr>
                    </w:div>
                  </w:divsChild>
                </w:div>
                <w:div w:id="1174804223">
                  <w:marLeft w:val="0"/>
                  <w:marRight w:val="0"/>
                  <w:marTop w:val="0"/>
                  <w:marBottom w:val="0"/>
                  <w:divBdr>
                    <w:top w:val="none" w:sz="0" w:space="0" w:color="auto"/>
                    <w:left w:val="none" w:sz="0" w:space="0" w:color="auto"/>
                    <w:bottom w:val="none" w:sz="0" w:space="0" w:color="auto"/>
                    <w:right w:val="none" w:sz="0" w:space="0" w:color="auto"/>
                  </w:divBdr>
                  <w:divsChild>
                    <w:div w:id="555359119">
                      <w:marLeft w:val="0"/>
                      <w:marRight w:val="0"/>
                      <w:marTop w:val="0"/>
                      <w:marBottom w:val="0"/>
                      <w:divBdr>
                        <w:top w:val="none" w:sz="0" w:space="0" w:color="auto"/>
                        <w:left w:val="none" w:sz="0" w:space="0" w:color="auto"/>
                        <w:bottom w:val="none" w:sz="0" w:space="0" w:color="auto"/>
                        <w:right w:val="none" w:sz="0" w:space="0" w:color="auto"/>
                      </w:divBdr>
                    </w:div>
                  </w:divsChild>
                </w:div>
                <w:div w:id="1182624305">
                  <w:marLeft w:val="0"/>
                  <w:marRight w:val="0"/>
                  <w:marTop w:val="0"/>
                  <w:marBottom w:val="0"/>
                  <w:divBdr>
                    <w:top w:val="none" w:sz="0" w:space="0" w:color="auto"/>
                    <w:left w:val="none" w:sz="0" w:space="0" w:color="auto"/>
                    <w:bottom w:val="none" w:sz="0" w:space="0" w:color="auto"/>
                    <w:right w:val="none" w:sz="0" w:space="0" w:color="auto"/>
                  </w:divBdr>
                  <w:divsChild>
                    <w:div w:id="282806592">
                      <w:marLeft w:val="0"/>
                      <w:marRight w:val="0"/>
                      <w:marTop w:val="0"/>
                      <w:marBottom w:val="0"/>
                      <w:divBdr>
                        <w:top w:val="none" w:sz="0" w:space="0" w:color="auto"/>
                        <w:left w:val="none" w:sz="0" w:space="0" w:color="auto"/>
                        <w:bottom w:val="none" w:sz="0" w:space="0" w:color="auto"/>
                        <w:right w:val="none" w:sz="0" w:space="0" w:color="auto"/>
                      </w:divBdr>
                    </w:div>
                  </w:divsChild>
                </w:div>
                <w:div w:id="1206715463">
                  <w:marLeft w:val="0"/>
                  <w:marRight w:val="0"/>
                  <w:marTop w:val="0"/>
                  <w:marBottom w:val="0"/>
                  <w:divBdr>
                    <w:top w:val="none" w:sz="0" w:space="0" w:color="auto"/>
                    <w:left w:val="none" w:sz="0" w:space="0" w:color="auto"/>
                    <w:bottom w:val="none" w:sz="0" w:space="0" w:color="auto"/>
                    <w:right w:val="none" w:sz="0" w:space="0" w:color="auto"/>
                  </w:divBdr>
                  <w:divsChild>
                    <w:div w:id="1988630198">
                      <w:marLeft w:val="0"/>
                      <w:marRight w:val="0"/>
                      <w:marTop w:val="0"/>
                      <w:marBottom w:val="0"/>
                      <w:divBdr>
                        <w:top w:val="none" w:sz="0" w:space="0" w:color="auto"/>
                        <w:left w:val="none" w:sz="0" w:space="0" w:color="auto"/>
                        <w:bottom w:val="none" w:sz="0" w:space="0" w:color="auto"/>
                        <w:right w:val="none" w:sz="0" w:space="0" w:color="auto"/>
                      </w:divBdr>
                    </w:div>
                  </w:divsChild>
                </w:div>
                <w:div w:id="1209759032">
                  <w:marLeft w:val="0"/>
                  <w:marRight w:val="0"/>
                  <w:marTop w:val="0"/>
                  <w:marBottom w:val="0"/>
                  <w:divBdr>
                    <w:top w:val="none" w:sz="0" w:space="0" w:color="auto"/>
                    <w:left w:val="none" w:sz="0" w:space="0" w:color="auto"/>
                    <w:bottom w:val="none" w:sz="0" w:space="0" w:color="auto"/>
                    <w:right w:val="none" w:sz="0" w:space="0" w:color="auto"/>
                  </w:divBdr>
                  <w:divsChild>
                    <w:div w:id="1376348242">
                      <w:marLeft w:val="0"/>
                      <w:marRight w:val="0"/>
                      <w:marTop w:val="0"/>
                      <w:marBottom w:val="0"/>
                      <w:divBdr>
                        <w:top w:val="none" w:sz="0" w:space="0" w:color="auto"/>
                        <w:left w:val="none" w:sz="0" w:space="0" w:color="auto"/>
                        <w:bottom w:val="none" w:sz="0" w:space="0" w:color="auto"/>
                        <w:right w:val="none" w:sz="0" w:space="0" w:color="auto"/>
                      </w:divBdr>
                    </w:div>
                  </w:divsChild>
                </w:div>
                <w:div w:id="1242063662">
                  <w:marLeft w:val="0"/>
                  <w:marRight w:val="0"/>
                  <w:marTop w:val="0"/>
                  <w:marBottom w:val="0"/>
                  <w:divBdr>
                    <w:top w:val="none" w:sz="0" w:space="0" w:color="auto"/>
                    <w:left w:val="none" w:sz="0" w:space="0" w:color="auto"/>
                    <w:bottom w:val="none" w:sz="0" w:space="0" w:color="auto"/>
                    <w:right w:val="none" w:sz="0" w:space="0" w:color="auto"/>
                  </w:divBdr>
                  <w:divsChild>
                    <w:div w:id="317998527">
                      <w:marLeft w:val="0"/>
                      <w:marRight w:val="0"/>
                      <w:marTop w:val="0"/>
                      <w:marBottom w:val="0"/>
                      <w:divBdr>
                        <w:top w:val="none" w:sz="0" w:space="0" w:color="auto"/>
                        <w:left w:val="none" w:sz="0" w:space="0" w:color="auto"/>
                        <w:bottom w:val="none" w:sz="0" w:space="0" w:color="auto"/>
                        <w:right w:val="none" w:sz="0" w:space="0" w:color="auto"/>
                      </w:divBdr>
                    </w:div>
                  </w:divsChild>
                </w:div>
                <w:div w:id="1243373878">
                  <w:marLeft w:val="0"/>
                  <w:marRight w:val="0"/>
                  <w:marTop w:val="0"/>
                  <w:marBottom w:val="0"/>
                  <w:divBdr>
                    <w:top w:val="none" w:sz="0" w:space="0" w:color="auto"/>
                    <w:left w:val="none" w:sz="0" w:space="0" w:color="auto"/>
                    <w:bottom w:val="none" w:sz="0" w:space="0" w:color="auto"/>
                    <w:right w:val="none" w:sz="0" w:space="0" w:color="auto"/>
                  </w:divBdr>
                  <w:divsChild>
                    <w:div w:id="1349721816">
                      <w:marLeft w:val="0"/>
                      <w:marRight w:val="0"/>
                      <w:marTop w:val="0"/>
                      <w:marBottom w:val="0"/>
                      <w:divBdr>
                        <w:top w:val="none" w:sz="0" w:space="0" w:color="auto"/>
                        <w:left w:val="none" w:sz="0" w:space="0" w:color="auto"/>
                        <w:bottom w:val="none" w:sz="0" w:space="0" w:color="auto"/>
                        <w:right w:val="none" w:sz="0" w:space="0" w:color="auto"/>
                      </w:divBdr>
                    </w:div>
                  </w:divsChild>
                </w:div>
                <w:div w:id="1269776217">
                  <w:marLeft w:val="0"/>
                  <w:marRight w:val="0"/>
                  <w:marTop w:val="0"/>
                  <w:marBottom w:val="0"/>
                  <w:divBdr>
                    <w:top w:val="none" w:sz="0" w:space="0" w:color="auto"/>
                    <w:left w:val="none" w:sz="0" w:space="0" w:color="auto"/>
                    <w:bottom w:val="none" w:sz="0" w:space="0" w:color="auto"/>
                    <w:right w:val="none" w:sz="0" w:space="0" w:color="auto"/>
                  </w:divBdr>
                  <w:divsChild>
                    <w:div w:id="683289228">
                      <w:marLeft w:val="0"/>
                      <w:marRight w:val="0"/>
                      <w:marTop w:val="0"/>
                      <w:marBottom w:val="0"/>
                      <w:divBdr>
                        <w:top w:val="none" w:sz="0" w:space="0" w:color="auto"/>
                        <w:left w:val="none" w:sz="0" w:space="0" w:color="auto"/>
                        <w:bottom w:val="none" w:sz="0" w:space="0" w:color="auto"/>
                        <w:right w:val="none" w:sz="0" w:space="0" w:color="auto"/>
                      </w:divBdr>
                    </w:div>
                  </w:divsChild>
                </w:div>
                <w:div w:id="1286349013">
                  <w:marLeft w:val="0"/>
                  <w:marRight w:val="0"/>
                  <w:marTop w:val="0"/>
                  <w:marBottom w:val="0"/>
                  <w:divBdr>
                    <w:top w:val="none" w:sz="0" w:space="0" w:color="auto"/>
                    <w:left w:val="none" w:sz="0" w:space="0" w:color="auto"/>
                    <w:bottom w:val="none" w:sz="0" w:space="0" w:color="auto"/>
                    <w:right w:val="none" w:sz="0" w:space="0" w:color="auto"/>
                  </w:divBdr>
                  <w:divsChild>
                    <w:div w:id="78530293">
                      <w:marLeft w:val="0"/>
                      <w:marRight w:val="0"/>
                      <w:marTop w:val="0"/>
                      <w:marBottom w:val="0"/>
                      <w:divBdr>
                        <w:top w:val="none" w:sz="0" w:space="0" w:color="auto"/>
                        <w:left w:val="none" w:sz="0" w:space="0" w:color="auto"/>
                        <w:bottom w:val="none" w:sz="0" w:space="0" w:color="auto"/>
                        <w:right w:val="none" w:sz="0" w:space="0" w:color="auto"/>
                      </w:divBdr>
                    </w:div>
                  </w:divsChild>
                </w:div>
                <w:div w:id="1288971314">
                  <w:marLeft w:val="0"/>
                  <w:marRight w:val="0"/>
                  <w:marTop w:val="0"/>
                  <w:marBottom w:val="0"/>
                  <w:divBdr>
                    <w:top w:val="none" w:sz="0" w:space="0" w:color="auto"/>
                    <w:left w:val="none" w:sz="0" w:space="0" w:color="auto"/>
                    <w:bottom w:val="none" w:sz="0" w:space="0" w:color="auto"/>
                    <w:right w:val="none" w:sz="0" w:space="0" w:color="auto"/>
                  </w:divBdr>
                  <w:divsChild>
                    <w:div w:id="841631030">
                      <w:marLeft w:val="0"/>
                      <w:marRight w:val="0"/>
                      <w:marTop w:val="0"/>
                      <w:marBottom w:val="0"/>
                      <w:divBdr>
                        <w:top w:val="none" w:sz="0" w:space="0" w:color="auto"/>
                        <w:left w:val="none" w:sz="0" w:space="0" w:color="auto"/>
                        <w:bottom w:val="none" w:sz="0" w:space="0" w:color="auto"/>
                        <w:right w:val="none" w:sz="0" w:space="0" w:color="auto"/>
                      </w:divBdr>
                    </w:div>
                  </w:divsChild>
                </w:div>
                <w:div w:id="1290354984">
                  <w:marLeft w:val="0"/>
                  <w:marRight w:val="0"/>
                  <w:marTop w:val="0"/>
                  <w:marBottom w:val="0"/>
                  <w:divBdr>
                    <w:top w:val="none" w:sz="0" w:space="0" w:color="auto"/>
                    <w:left w:val="none" w:sz="0" w:space="0" w:color="auto"/>
                    <w:bottom w:val="none" w:sz="0" w:space="0" w:color="auto"/>
                    <w:right w:val="none" w:sz="0" w:space="0" w:color="auto"/>
                  </w:divBdr>
                  <w:divsChild>
                    <w:div w:id="1695417316">
                      <w:marLeft w:val="0"/>
                      <w:marRight w:val="0"/>
                      <w:marTop w:val="0"/>
                      <w:marBottom w:val="0"/>
                      <w:divBdr>
                        <w:top w:val="none" w:sz="0" w:space="0" w:color="auto"/>
                        <w:left w:val="none" w:sz="0" w:space="0" w:color="auto"/>
                        <w:bottom w:val="none" w:sz="0" w:space="0" w:color="auto"/>
                        <w:right w:val="none" w:sz="0" w:space="0" w:color="auto"/>
                      </w:divBdr>
                    </w:div>
                  </w:divsChild>
                </w:div>
                <w:div w:id="1304194320">
                  <w:marLeft w:val="0"/>
                  <w:marRight w:val="0"/>
                  <w:marTop w:val="0"/>
                  <w:marBottom w:val="0"/>
                  <w:divBdr>
                    <w:top w:val="none" w:sz="0" w:space="0" w:color="auto"/>
                    <w:left w:val="none" w:sz="0" w:space="0" w:color="auto"/>
                    <w:bottom w:val="none" w:sz="0" w:space="0" w:color="auto"/>
                    <w:right w:val="none" w:sz="0" w:space="0" w:color="auto"/>
                  </w:divBdr>
                  <w:divsChild>
                    <w:div w:id="533150376">
                      <w:marLeft w:val="0"/>
                      <w:marRight w:val="0"/>
                      <w:marTop w:val="0"/>
                      <w:marBottom w:val="0"/>
                      <w:divBdr>
                        <w:top w:val="none" w:sz="0" w:space="0" w:color="auto"/>
                        <w:left w:val="none" w:sz="0" w:space="0" w:color="auto"/>
                        <w:bottom w:val="none" w:sz="0" w:space="0" w:color="auto"/>
                        <w:right w:val="none" w:sz="0" w:space="0" w:color="auto"/>
                      </w:divBdr>
                    </w:div>
                  </w:divsChild>
                </w:div>
                <w:div w:id="1310211019">
                  <w:marLeft w:val="0"/>
                  <w:marRight w:val="0"/>
                  <w:marTop w:val="0"/>
                  <w:marBottom w:val="0"/>
                  <w:divBdr>
                    <w:top w:val="none" w:sz="0" w:space="0" w:color="auto"/>
                    <w:left w:val="none" w:sz="0" w:space="0" w:color="auto"/>
                    <w:bottom w:val="none" w:sz="0" w:space="0" w:color="auto"/>
                    <w:right w:val="none" w:sz="0" w:space="0" w:color="auto"/>
                  </w:divBdr>
                  <w:divsChild>
                    <w:div w:id="748312421">
                      <w:marLeft w:val="0"/>
                      <w:marRight w:val="0"/>
                      <w:marTop w:val="0"/>
                      <w:marBottom w:val="0"/>
                      <w:divBdr>
                        <w:top w:val="none" w:sz="0" w:space="0" w:color="auto"/>
                        <w:left w:val="none" w:sz="0" w:space="0" w:color="auto"/>
                        <w:bottom w:val="none" w:sz="0" w:space="0" w:color="auto"/>
                        <w:right w:val="none" w:sz="0" w:space="0" w:color="auto"/>
                      </w:divBdr>
                    </w:div>
                  </w:divsChild>
                </w:div>
                <w:div w:id="1313484519">
                  <w:marLeft w:val="0"/>
                  <w:marRight w:val="0"/>
                  <w:marTop w:val="0"/>
                  <w:marBottom w:val="0"/>
                  <w:divBdr>
                    <w:top w:val="none" w:sz="0" w:space="0" w:color="auto"/>
                    <w:left w:val="none" w:sz="0" w:space="0" w:color="auto"/>
                    <w:bottom w:val="none" w:sz="0" w:space="0" w:color="auto"/>
                    <w:right w:val="none" w:sz="0" w:space="0" w:color="auto"/>
                  </w:divBdr>
                  <w:divsChild>
                    <w:div w:id="1192915000">
                      <w:marLeft w:val="0"/>
                      <w:marRight w:val="0"/>
                      <w:marTop w:val="0"/>
                      <w:marBottom w:val="0"/>
                      <w:divBdr>
                        <w:top w:val="none" w:sz="0" w:space="0" w:color="auto"/>
                        <w:left w:val="none" w:sz="0" w:space="0" w:color="auto"/>
                        <w:bottom w:val="none" w:sz="0" w:space="0" w:color="auto"/>
                        <w:right w:val="none" w:sz="0" w:space="0" w:color="auto"/>
                      </w:divBdr>
                    </w:div>
                  </w:divsChild>
                </w:div>
                <w:div w:id="1319068417">
                  <w:marLeft w:val="0"/>
                  <w:marRight w:val="0"/>
                  <w:marTop w:val="0"/>
                  <w:marBottom w:val="0"/>
                  <w:divBdr>
                    <w:top w:val="none" w:sz="0" w:space="0" w:color="auto"/>
                    <w:left w:val="none" w:sz="0" w:space="0" w:color="auto"/>
                    <w:bottom w:val="none" w:sz="0" w:space="0" w:color="auto"/>
                    <w:right w:val="none" w:sz="0" w:space="0" w:color="auto"/>
                  </w:divBdr>
                  <w:divsChild>
                    <w:div w:id="1876038809">
                      <w:marLeft w:val="0"/>
                      <w:marRight w:val="0"/>
                      <w:marTop w:val="0"/>
                      <w:marBottom w:val="0"/>
                      <w:divBdr>
                        <w:top w:val="none" w:sz="0" w:space="0" w:color="auto"/>
                        <w:left w:val="none" w:sz="0" w:space="0" w:color="auto"/>
                        <w:bottom w:val="none" w:sz="0" w:space="0" w:color="auto"/>
                        <w:right w:val="none" w:sz="0" w:space="0" w:color="auto"/>
                      </w:divBdr>
                    </w:div>
                  </w:divsChild>
                </w:div>
                <w:div w:id="1326131357">
                  <w:marLeft w:val="0"/>
                  <w:marRight w:val="0"/>
                  <w:marTop w:val="0"/>
                  <w:marBottom w:val="0"/>
                  <w:divBdr>
                    <w:top w:val="none" w:sz="0" w:space="0" w:color="auto"/>
                    <w:left w:val="none" w:sz="0" w:space="0" w:color="auto"/>
                    <w:bottom w:val="none" w:sz="0" w:space="0" w:color="auto"/>
                    <w:right w:val="none" w:sz="0" w:space="0" w:color="auto"/>
                  </w:divBdr>
                  <w:divsChild>
                    <w:div w:id="1070888590">
                      <w:marLeft w:val="0"/>
                      <w:marRight w:val="0"/>
                      <w:marTop w:val="0"/>
                      <w:marBottom w:val="0"/>
                      <w:divBdr>
                        <w:top w:val="none" w:sz="0" w:space="0" w:color="auto"/>
                        <w:left w:val="none" w:sz="0" w:space="0" w:color="auto"/>
                        <w:bottom w:val="none" w:sz="0" w:space="0" w:color="auto"/>
                        <w:right w:val="none" w:sz="0" w:space="0" w:color="auto"/>
                      </w:divBdr>
                    </w:div>
                  </w:divsChild>
                </w:div>
                <w:div w:id="1329674935">
                  <w:marLeft w:val="0"/>
                  <w:marRight w:val="0"/>
                  <w:marTop w:val="0"/>
                  <w:marBottom w:val="0"/>
                  <w:divBdr>
                    <w:top w:val="none" w:sz="0" w:space="0" w:color="auto"/>
                    <w:left w:val="none" w:sz="0" w:space="0" w:color="auto"/>
                    <w:bottom w:val="none" w:sz="0" w:space="0" w:color="auto"/>
                    <w:right w:val="none" w:sz="0" w:space="0" w:color="auto"/>
                  </w:divBdr>
                  <w:divsChild>
                    <w:div w:id="541401813">
                      <w:marLeft w:val="0"/>
                      <w:marRight w:val="0"/>
                      <w:marTop w:val="0"/>
                      <w:marBottom w:val="0"/>
                      <w:divBdr>
                        <w:top w:val="none" w:sz="0" w:space="0" w:color="auto"/>
                        <w:left w:val="none" w:sz="0" w:space="0" w:color="auto"/>
                        <w:bottom w:val="none" w:sz="0" w:space="0" w:color="auto"/>
                        <w:right w:val="none" w:sz="0" w:space="0" w:color="auto"/>
                      </w:divBdr>
                    </w:div>
                  </w:divsChild>
                </w:div>
                <w:div w:id="1341201547">
                  <w:marLeft w:val="0"/>
                  <w:marRight w:val="0"/>
                  <w:marTop w:val="0"/>
                  <w:marBottom w:val="0"/>
                  <w:divBdr>
                    <w:top w:val="none" w:sz="0" w:space="0" w:color="auto"/>
                    <w:left w:val="none" w:sz="0" w:space="0" w:color="auto"/>
                    <w:bottom w:val="none" w:sz="0" w:space="0" w:color="auto"/>
                    <w:right w:val="none" w:sz="0" w:space="0" w:color="auto"/>
                  </w:divBdr>
                  <w:divsChild>
                    <w:div w:id="1054692730">
                      <w:marLeft w:val="0"/>
                      <w:marRight w:val="0"/>
                      <w:marTop w:val="0"/>
                      <w:marBottom w:val="0"/>
                      <w:divBdr>
                        <w:top w:val="none" w:sz="0" w:space="0" w:color="auto"/>
                        <w:left w:val="none" w:sz="0" w:space="0" w:color="auto"/>
                        <w:bottom w:val="none" w:sz="0" w:space="0" w:color="auto"/>
                        <w:right w:val="none" w:sz="0" w:space="0" w:color="auto"/>
                      </w:divBdr>
                    </w:div>
                  </w:divsChild>
                </w:div>
                <w:div w:id="1360356117">
                  <w:marLeft w:val="0"/>
                  <w:marRight w:val="0"/>
                  <w:marTop w:val="0"/>
                  <w:marBottom w:val="0"/>
                  <w:divBdr>
                    <w:top w:val="none" w:sz="0" w:space="0" w:color="auto"/>
                    <w:left w:val="none" w:sz="0" w:space="0" w:color="auto"/>
                    <w:bottom w:val="none" w:sz="0" w:space="0" w:color="auto"/>
                    <w:right w:val="none" w:sz="0" w:space="0" w:color="auto"/>
                  </w:divBdr>
                  <w:divsChild>
                    <w:div w:id="849216080">
                      <w:marLeft w:val="0"/>
                      <w:marRight w:val="0"/>
                      <w:marTop w:val="0"/>
                      <w:marBottom w:val="0"/>
                      <w:divBdr>
                        <w:top w:val="none" w:sz="0" w:space="0" w:color="auto"/>
                        <w:left w:val="none" w:sz="0" w:space="0" w:color="auto"/>
                        <w:bottom w:val="none" w:sz="0" w:space="0" w:color="auto"/>
                        <w:right w:val="none" w:sz="0" w:space="0" w:color="auto"/>
                      </w:divBdr>
                    </w:div>
                  </w:divsChild>
                </w:div>
                <w:div w:id="1381826606">
                  <w:marLeft w:val="0"/>
                  <w:marRight w:val="0"/>
                  <w:marTop w:val="0"/>
                  <w:marBottom w:val="0"/>
                  <w:divBdr>
                    <w:top w:val="none" w:sz="0" w:space="0" w:color="auto"/>
                    <w:left w:val="none" w:sz="0" w:space="0" w:color="auto"/>
                    <w:bottom w:val="none" w:sz="0" w:space="0" w:color="auto"/>
                    <w:right w:val="none" w:sz="0" w:space="0" w:color="auto"/>
                  </w:divBdr>
                  <w:divsChild>
                    <w:div w:id="327026444">
                      <w:marLeft w:val="0"/>
                      <w:marRight w:val="0"/>
                      <w:marTop w:val="0"/>
                      <w:marBottom w:val="0"/>
                      <w:divBdr>
                        <w:top w:val="none" w:sz="0" w:space="0" w:color="auto"/>
                        <w:left w:val="none" w:sz="0" w:space="0" w:color="auto"/>
                        <w:bottom w:val="none" w:sz="0" w:space="0" w:color="auto"/>
                        <w:right w:val="none" w:sz="0" w:space="0" w:color="auto"/>
                      </w:divBdr>
                    </w:div>
                  </w:divsChild>
                </w:div>
                <w:div w:id="1384986517">
                  <w:marLeft w:val="0"/>
                  <w:marRight w:val="0"/>
                  <w:marTop w:val="0"/>
                  <w:marBottom w:val="0"/>
                  <w:divBdr>
                    <w:top w:val="none" w:sz="0" w:space="0" w:color="auto"/>
                    <w:left w:val="none" w:sz="0" w:space="0" w:color="auto"/>
                    <w:bottom w:val="none" w:sz="0" w:space="0" w:color="auto"/>
                    <w:right w:val="none" w:sz="0" w:space="0" w:color="auto"/>
                  </w:divBdr>
                  <w:divsChild>
                    <w:div w:id="1043097903">
                      <w:marLeft w:val="0"/>
                      <w:marRight w:val="0"/>
                      <w:marTop w:val="0"/>
                      <w:marBottom w:val="0"/>
                      <w:divBdr>
                        <w:top w:val="none" w:sz="0" w:space="0" w:color="auto"/>
                        <w:left w:val="none" w:sz="0" w:space="0" w:color="auto"/>
                        <w:bottom w:val="none" w:sz="0" w:space="0" w:color="auto"/>
                        <w:right w:val="none" w:sz="0" w:space="0" w:color="auto"/>
                      </w:divBdr>
                    </w:div>
                  </w:divsChild>
                </w:div>
                <w:div w:id="1387876337">
                  <w:marLeft w:val="0"/>
                  <w:marRight w:val="0"/>
                  <w:marTop w:val="0"/>
                  <w:marBottom w:val="0"/>
                  <w:divBdr>
                    <w:top w:val="none" w:sz="0" w:space="0" w:color="auto"/>
                    <w:left w:val="none" w:sz="0" w:space="0" w:color="auto"/>
                    <w:bottom w:val="none" w:sz="0" w:space="0" w:color="auto"/>
                    <w:right w:val="none" w:sz="0" w:space="0" w:color="auto"/>
                  </w:divBdr>
                  <w:divsChild>
                    <w:div w:id="164982247">
                      <w:marLeft w:val="0"/>
                      <w:marRight w:val="0"/>
                      <w:marTop w:val="0"/>
                      <w:marBottom w:val="0"/>
                      <w:divBdr>
                        <w:top w:val="none" w:sz="0" w:space="0" w:color="auto"/>
                        <w:left w:val="none" w:sz="0" w:space="0" w:color="auto"/>
                        <w:bottom w:val="none" w:sz="0" w:space="0" w:color="auto"/>
                        <w:right w:val="none" w:sz="0" w:space="0" w:color="auto"/>
                      </w:divBdr>
                    </w:div>
                  </w:divsChild>
                </w:div>
                <w:div w:id="1397823750">
                  <w:marLeft w:val="0"/>
                  <w:marRight w:val="0"/>
                  <w:marTop w:val="0"/>
                  <w:marBottom w:val="0"/>
                  <w:divBdr>
                    <w:top w:val="none" w:sz="0" w:space="0" w:color="auto"/>
                    <w:left w:val="none" w:sz="0" w:space="0" w:color="auto"/>
                    <w:bottom w:val="none" w:sz="0" w:space="0" w:color="auto"/>
                    <w:right w:val="none" w:sz="0" w:space="0" w:color="auto"/>
                  </w:divBdr>
                  <w:divsChild>
                    <w:div w:id="1704555250">
                      <w:marLeft w:val="0"/>
                      <w:marRight w:val="0"/>
                      <w:marTop w:val="0"/>
                      <w:marBottom w:val="0"/>
                      <w:divBdr>
                        <w:top w:val="none" w:sz="0" w:space="0" w:color="auto"/>
                        <w:left w:val="none" w:sz="0" w:space="0" w:color="auto"/>
                        <w:bottom w:val="none" w:sz="0" w:space="0" w:color="auto"/>
                        <w:right w:val="none" w:sz="0" w:space="0" w:color="auto"/>
                      </w:divBdr>
                    </w:div>
                  </w:divsChild>
                </w:div>
                <w:div w:id="1400978581">
                  <w:marLeft w:val="0"/>
                  <w:marRight w:val="0"/>
                  <w:marTop w:val="0"/>
                  <w:marBottom w:val="0"/>
                  <w:divBdr>
                    <w:top w:val="none" w:sz="0" w:space="0" w:color="auto"/>
                    <w:left w:val="none" w:sz="0" w:space="0" w:color="auto"/>
                    <w:bottom w:val="none" w:sz="0" w:space="0" w:color="auto"/>
                    <w:right w:val="none" w:sz="0" w:space="0" w:color="auto"/>
                  </w:divBdr>
                  <w:divsChild>
                    <w:div w:id="24642112">
                      <w:marLeft w:val="0"/>
                      <w:marRight w:val="0"/>
                      <w:marTop w:val="0"/>
                      <w:marBottom w:val="0"/>
                      <w:divBdr>
                        <w:top w:val="none" w:sz="0" w:space="0" w:color="auto"/>
                        <w:left w:val="none" w:sz="0" w:space="0" w:color="auto"/>
                        <w:bottom w:val="none" w:sz="0" w:space="0" w:color="auto"/>
                        <w:right w:val="none" w:sz="0" w:space="0" w:color="auto"/>
                      </w:divBdr>
                    </w:div>
                  </w:divsChild>
                </w:div>
                <w:div w:id="1408843450">
                  <w:marLeft w:val="0"/>
                  <w:marRight w:val="0"/>
                  <w:marTop w:val="0"/>
                  <w:marBottom w:val="0"/>
                  <w:divBdr>
                    <w:top w:val="none" w:sz="0" w:space="0" w:color="auto"/>
                    <w:left w:val="none" w:sz="0" w:space="0" w:color="auto"/>
                    <w:bottom w:val="none" w:sz="0" w:space="0" w:color="auto"/>
                    <w:right w:val="none" w:sz="0" w:space="0" w:color="auto"/>
                  </w:divBdr>
                  <w:divsChild>
                    <w:div w:id="1054086798">
                      <w:marLeft w:val="0"/>
                      <w:marRight w:val="0"/>
                      <w:marTop w:val="0"/>
                      <w:marBottom w:val="0"/>
                      <w:divBdr>
                        <w:top w:val="none" w:sz="0" w:space="0" w:color="auto"/>
                        <w:left w:val="none" w:sz="0" w:space="0" w:color="auto"/>
                        <w:bottom w:val="none" w:sz="0" w:space="0" w:color="auto"/>
                        <w:right w:val="none" w:sz="0" w:space="0" w:color="auto"/>
                      </w:divBdr>
                    </w:div>
                  </w:divsChild>
                </w:div>
                <w:div w:id="1421869830">
                  <w:marLeft w:val="0"/>
                  <w:marRight w:val="0"/>
                  <w:marTop w:val="0"/>
                  <w:marBottom w:val="0"/>
                  <w:divBdr>
                    <w:top w:val="none" w:sz="0" w:space="0" w:color="auto"/>
                    <w:left w:val="none" w:sz="0" w:space="0" w:color="auto"/>
                    <w:bottom w:val="none" w:sz="0" w:space="0" w:color="auto"/>
                    <w:right w:val="none" w:sz="0" w:space="0" w:color="auto"/>
                  </w:divBdr>
                  <w:divsChild>
                    <w:div w:id="163596218">
                      <w:marLeft w:val="0"/>
                      <w:marRight w:val="0"/>
                      <w:marTop w:val="0"/>
                      <w:marBottom w:val="0"/>
                      <w:divBdr>
                        <w:top w:val="none" w:sz="0" w:space="0" w:color="auto"/>
                        <w:left w:val="none" w:sz="0" w:space="0" w:color="auto"/>
                        <w:bottom w:val="none" w:sz="0" w:space="0" w:color="auto"/>
                        <w:right w:val="none" w:sz="0" w:space="0" w:color="auto"/>
                      </w:divBdr>
                    </w:div>
                  </w:divsChild>
                </w:div>
                <w:div w:id="1430348467">
                  <w:marLeft w:val="0"/>
                  <w:marRight w:val="0"/>
                  <w:marTop w:val="0"/>
                  <w:marBottom w:val="0"/>
                  <w:divBdr>
                    <w:top w:val="none" w:sz="0" w:space="0" w:color="auto"/>
                    <w:left w:val="none" w:sz="0" w:space="0" w:color="auto"/>
                    <w:bottom w:val="none" w:sz="0" w:space="0" w:color="auto"/>
                    <w:right w:val="none" w:sz="0" w:space="0" w:color="auto"/>
                  </w:divBdr>
                  <w:divsChild>
                    <w:div w:id="1837916739">
                      <w:marLeft w:val="0"/>
                      <w:marRight w:val="0"/>
                      <w:marTop w:val="0"/>
                      <w:marBottom w:val="0"/>
                      <w:divBdr>
                        <w:top w:val="none" w:sz="0" w:space="0" w:color="auto"/>
                        <w:left w:val="none" w:sz="0" w:space="0" w:color="auto"/>
                        <w:bottom w:val="none" w:sz="0" w:space="0" w:color="auto"/>
                        <w:right w:val="none" w:sz="0" w:space="0" w:color="auto"/>
                      </w:divBdr>
                    </w:div>
                  </w:divsChild>
                </w:div>
                <w:div w:id="1430812401">
                  <w:marLeft w:val="0"/>
                  <w:marRight w:val="0"/>
                  <w:marTop w:val="0"/>
                  <w:marBottom w:val="0"/>
                  <w:divBdr>
                    <w:top w:val="none" w:sz="0" w:space="0" w:color="auto"/>
                    <w:left w:val="none" w:sz="0" w:space="0" w:color="auto"/>
                    <w:bottom w:val="none" w:sz="0" w:space="0" w:color="auto"/>
                    <w:right w:val="none" w:sz="0" w:space="0" w:color="auto"/>
                  </w:divBdr>
                  <w:divsChild>
                    <w:div w:id="1653287204">
                      <w:marLeft w:val="0"/>
                      <w:marRight w:val="0"/>
                      <w:marTop w:val="0"/>
                      <w:marBottom w:val="0"/>
                      <w:divBdr>
                        <w:top w:val="none" w:sz="0" w:space="0" w:color="auto"/>
                        <w:left w:val="none" w:sz="0" w:space="0" w:color="auto"/>
                        <w:bottom w:val="none" w:sz="0" w:space="0" w:color="auto"/>
                        <w:right w:val="none" w:sz="0" w:space="0" w:color="auto"/>
                      </w:divBdr>
                    </w:div>
                  </w:divsChild>
                </w:div>
                <w:div w:id="1457989503">
                  <w:marLeft w:val="0"/>
                  <w:marRight w:val="0"/>
                  <w:marTop w:val="0"/>
                  <w:marBottom w:val="0"/>
                  <w:divBdr>
                    <w:top w:val="none" w:sz="0" w:space="0" w:color="auto"/>
                    <w:left w:val="none" w:sz="0" w:space="0" w:color="auto"/>
                    <w:bottom w:val="none" w:sz="0" w:space="0" w:color="auto"/>
                    <w:right w:val="none" w:sz="0" w:space="0" w:color="auto"/>
                  </w:divBdr>
                  <w:divsChild>
                    <w:div w:id="1015840179">
                      <w:marLeft w:val="0"/>
                      <w:marRight w:val="0"/>
                      <w:marTop w:val="0"/>
                      <w:marBottom w:val="0"/>
                      <w:divBdr>
                        <w:top w:val="none" w:sz="0" w:space="0" w:color="auto"/>
                        <w:left w:val="none" w:sz="0" w:space="0" w:color="auto"/>
                        <w:bottom w:val="none" w:sz="0" w:space="0" w:color="auto"/>
                        <w:right w:val="none" w:sz="0" w:space="0" w:color="auto"/>
                      </w:divBdr>
                    </w:div>
                  </w:divsChild>
                </w:div>
                <w:div w:id="1459108412">
                  <w:marLeft w:val="0"/>
                  <w:marRight w:val="0"/>
                  <w:marTop w:val="0"/>
                  <w:marBottom w:val="0"/>
                  <w:divBdr>
                    <w:top w:val="none" w:sz="0" w:space="0" w:color="auto"/>
                    <w:left w:val="none" w:sz="0" w:space="0" w:color="auto"/>
                    <w:bottom w:val="none" w:sz="0" w:space="0" w:color="auto"/>
                    <w:right w:val="none" w:sz="0" w:space="0" w:color="auto"/>
                  </w:divBdr>
                  <w:divsChild>
                    <w:div w:id="3561250">
                      <w:marLeft w:val="0"/>
                      <w:marRight w:val="0"/>
                      <w:marTop w:val="0"/>
                      <w:marBottom w:val="0"/>
                      <w:divBdr>
                        <w:top w:val="none" w:sz="0" w:space="0" w:color="auto"/>
                        <w:left w:val="none" w:sz="0" w:space="0" w:color="auto"/>
                        <w:bottom w:val="none" w:sz="0" w:space="0" w:color="auto"/>
                        <w:right w:val="none" w:sz="0" w:space="0" w:color="auto"/>
                      </w:divBdr>
                    </w:div>
                  </w:divsChild>
                </w:div>
                <w:div w:id="1470706351">
                  <w:marLeft w:val="0"/>
                  <w:marRight w:val="0"/>
                  <w:marTop w:val="0"/>
                  <w:marBottom w:val="0"/>
                  <w:divBdr>
                    <w:top w:val="none" w:sz="0" w:space="0" w:color="auto"/>
                    <w:left w:val="none" w:sz="0" w:space="0" w:color="auto"/>
                    <w:bottom w:val="none" w:sz="0" w:space="0" w:color="auto"/>
                    <w:right w:val="none" w:sz="0" w:space="0" w:color="auto"/>
                  </w:divBdr>
                  <w:divsChild>
                    <w:div w:id="1837844544">
                      <w:marLeft w:val="0"/>
                      <w:marRight w:val="0"/>
                      <w:marTop w:val="0"/>
                      <w:marBottom w:val="0"/>
                      <w:divBdr>
                        <w:top w:val="none" w:sz="0" w:space="0" w:color="auto"/>
                        <w:left w:val="none" w:sz="0" w:space="0" w:color="auto"/>
                        <w:bottom w:val="none" w:sz="0" w:space="0" w:color="auto"/>
                        <w:right w:val="none" w:sz="0" w:space="0" w:color="auto"/>
                      </w:divBdr>
                    </w:div>
                  </w:divsChild>
                </w:div>
                <w:div w:id="1498037528">
                  <w:marLeft w:val="0"/>
                  <w:marRight w:val="0"/>
                  <w:marTop w:val="0"/>
                  <w:marBottom w:val="0"/>
                  <w:divBdr>
                    <w:top w:val="none" w:sz="0" w:space="0" w:color="auto"/>
                    <w:left w:val="none" w:sz="0" w:space="0" w:color="auto"/>
                    <w:bottom w:val="none" w:sz="0" w:space="0" w:color="auto"/>
                    <w:right w:val="none" w:sz="0" w:space="0" w:color="auto"/>
                  </w:divBdr>
                  <w:divsChild>
                    <w:div w:id="1660961485">
                      <w:marLeft w:val="0"/>
                      <w:marRight w:val="0"/>
                      <w:marTop w:val="0"/>
                      <w:marBottom w:val="0"/>
                      <w:divBdr>
                        <w:top w:val="none" w:sz="0" w:space="0" w:color="auto"/>
                        <w:left w:val="none" w:sz="0" w:space="0" w:color="auto"/>
                        <w:bottom w:val="none" w:sz="0" w:space="0" w:color="auto"/>
                        <w:right w:val="none" w:sz="0" w:space="0" w:color="auto"/>
                      </w:divBdr>
                    </w:div>
                  </w:divsChild>
                </w:div>
                <w:div w:id="1500997075">
                  <w:marLeft w:val="0"/>
                  <w:marRight w:val="0"/>
                  <w:marTop w:val="0"/>
                  <w:marBottom w:val="0"/>
                  <w:divBdr>
                    <w:top w:val="none" w:sz="0" w:space="0" w:color="auto"/>
                    <w:left w:val="none" w:sz="0" w:space="0" w:color="auto"/>
                    <w:bottom w:val="none" w:sz="0" w:space="0" w:color="auto"/>
                    <w:right w:val="none" w:sz="0" w:space="0" w:color="auto"/>
                  </w:divBdr>
                  <w:divsChild>
                    <w:div w:id="1742362152">
                      <w:marLeft w:val="0"/>
                      <w:marRight w:val="0"/>
                      <w:marTop w:val="0"/>
                      <w:marBottom w:val="0"/>
                      <w:divBdr>
                        <w:top w:val="none" w:sz="0" w:space="0" w:color="auto"/>
                        <w:left w:val="none" w:sz="0" w:space="0" w:color="auto"/>
                        <w:bottom w:val="none" w:sz="0" w:space="0" w:color="auto"/>
                        <w:right w:val="none" w:sz="0" w:space="0" w:color="auto"/>
                      </w:divBdr>
                    </w:div>
                  </w:divsChild>
                </w:div>
                <w:div w:id="1513252474">
                  <w:marLeft w:val="0"/>
                  <w:marRight w:val="0"/>
                  <w:marTop w:val="0"/>
                  <w:marBottom w:val="0"/>
                  <w:divBdr>
                    <w:top w:val="none" w:sz="0" w:space="0" w:color="auto"/>
                    <w:left w:val="none" w:sz="0" w:space="0" w:color="auto"/>
                    <w:bottom w:val="none" w:sz="0" w:space="0" w:color="auto"/>
                    <w:right w:val="none" w:sz="0" w:space="0" w:color="auto"/>
                  </w:divBdr>
                  <w:divsChild>
                    <w:div w:id="1385567319">
                      <w:marLeft w:val="0"/>
                      <w:marRight w:val="0"/>
                      <w:marTop w:val="0"/>
                      <w:marBottom w:val="0"/>
                      <w:divBdr>
                        <w:top w:val="none" w:sz="0" w:space="0" w:color="auto"/>
                        <w:left w:val="none" w:sz="0" w:space="0" w:color="auto"/>
                        <w:bottom w:val="none" w:sz="0" w:space="0" w:color="auto"/>
                        <w:right w:val="none" w:sz="0" w:space="0" w:color="auto"/>
                      </w:divBdr>
                    </w:div>
                  </w:divsChild>
                </w:div>
                <w:div w:id="1518930806">
                  <w:marLeft w:val="0"/>
                  <w:marRight w:val="0"/>
                  <w:marTop w:val="0"/>
                  <w:marBottom w:val="0"/>
                  <w:divBdr>
                    <w:top w:val="none" w:sz="0" w:space="0" w:color="auto"/>
                    <w:left w:val="none" w:sz="0" w:space="0" w:color="auto"/>
                    <w:bottom w:val="none" w:sz="0" w:space="0" w:color="auto"/>
                    <w:right w:val="none" w:sz="0" w:space="0" w:color="auto"/>
                  </w:divBdr>
                  <w:divsChild>
                    <w:div w:id="1811551569">
                      <w:marLeft w:val="0"/>
                      <w:marRight w:val="0"/>
                      <w:marTop w:val="0"/>
                      <w:marBottom w:val="0"/>
                      <w:divBdr>
                        <w:top w:val="none" w:sz="0" w:space="0" w:color="auto"/>
                        <w:left w:val="none" w:sz="0" w:space="0" w:color="auto"/>
                        <w:bottom w:val="none" w:sz="0" w:space="0" w:color="auto"/>
                        <w:right w:val="none" w:sz="0" w:space="0" w:color="auto"/>
                      </w:divBdr>
                    </w:div>
                  </w:divsChild>
                </w:div>
                <w:div w:id="1526601671">
                  <w:marLeft w:val="0"/>
                  <w:marRight w:val="0"/>
                  <w:marTop w:val="0"/>
                  <w:marBottom w:val="0"/>
                  <w:divBdr>
                    <w:top w:val="none" w:sz="0" w:space="0" w:color="auto"/>
                    <w:left w:val="none" w:sz="0" w:space="0" w:color="auto"/>
                    <w:bottom w:val="none" w:sz="0" w:space="0" w:color="auto"/>
                    <w:right w:val="none" w:sz="0" w:space="0" w:color="auto"/>
                  </w:divBdr>
                  <w:divsChild>
                    <w:div w:id="554702602">
                      <w:marLeft w:val="0"/>
                      <w:marRight w:val="0"/>
                      <w:marTop w:val="0"/>
                      <w:marBottom w:val="0"/>
                      <w:divBdr>
                        <w:top w:val="none" w:sz="0" w:space="0" w:color="auto"/>
                        <w:left w:val="none" w:sz="0" w:space="0" w:color="auto"/>
                        <w:bottom w:val="none" w:sz="0" w:space="0" w:color="auto"/>
                        <w:right w:val="none" w:sz="0" w:space="0" w:color="auto"/>
                      </w:divBdr>
                    </w:div>
                    <w:div w:id="1313561370">
                      <w:marLeft w:val="0"/>
                      <w:marRight w:val="0"/>
                      <w:marTop w:val="0"/>
                      <w:marBottom w:val="0"/>
                      <w:divBdr>
                        <w:top w:val="none" w:sz="0" w:space="0" w:color="auto"/>
                        <w:left w:val="none" w:sz="0" w:space="0" w:color="auto"/>
                        <w:bottom w:val="none" w:sz="0" w:space="0" w:color="auto"/>
                        <w:right w:val="none" w:sz="0" w:space="0" w:color="auto"/>
                      </w:divBdr>
                    </w:div>
                  </w:divsChild>
                </w:div>
                <w:div w:id="1530145968">
                  <w:marLeft w:val="0"/>
                  <w:marRight w:val="0"/>
                  <w:marTop w:val="0"/>
                  <w:marBottom w:val="0"/>
                  <w:divBdr>
                    <w:top w:val="none" w:sz="0" w:space="0" w:color="auto"/>
                    <w:left w:val="none" w:sz="0" w:space="0" w:color="auto"/>
                    <w:bottom w:val="none" w:sz="0" w:space="0" w:color="auto"/>
                    <w:right w:val="none" w:sz="0" w:space="0" w:color="auto"/>
                  </w:divBdr>
                  <w:divsChild>
                    <w:div w:id="754012865">
                      <w:marLeft w:val="0"/>
                      <w:marRight w:val="0"/>
                      <w:marTop w:val="0"/>
                      <w:marBottom w:val="0"/>
                      <w:divBdr>
                        <w:top w:val="none" w:sz="0" w:space="0" w:color="auto"/>
                        <w:left w:val="none" w:sz="0" w:space="0" w:color="auto"/>
                        <w:bottom w:val="none" w:sz="0" w:space="0" w:color="auto"/>
                        <w:right w:val="none" w:sz="0" w:space="0" w:color="auto"/>
                      </w:divBdr>
                    </w:div>
                  </w:divsChild>
                </w:div>
                <w:div w:id="1530990987">
                  <w:marLeft w:val="0"/>
                  <w:marRight w:val="0"/>
                  <w:marTop w:val="0"/>
                  <w:marBottom w:val="0"/>
                  <w:divBdr>
                    <w:top w:val="none" w:sz="0" w:space="0" w:color="auto"/>
                    <w:left w:val="none" w:sz="0" w:space="0" w:color="auto"/>
                    <w:bottom w:val="none" w:sz="0" w:space="0" w:color="auto"/>
                    <w:right w:val="none" w:sz="0" w:space="0" w:color="auto"/>
                  </w:divBdr>
                  <w:divsChild>
                    <w:div w:id="1522892194">
                      <w:marLeft w:val="0"/>
                      <w:marRight w:val="0"/>
                      <w:marTop w:val="0"/>
                      <w:marBottom w:val="0"/>
                      <w:divBdr>
                        <w:top w:val="none" w:sz="0" w:space="0" w:color="auto"/>
                        <w:left w:val="none" w:sz="0" w:space="0" w:color="auto"/>
                        <w:bottom w:val="none" w:sz="0" w:space="0" w:color="auto"/>
                        <w:right w:val="none" w:sz="0" w:space="0" w:color="auto"/>
                      </w:divBdr>
                    </w:div>
                  </w:divsChild>
                </w:div>
                <w:div w:id="1535771269">
                  <w:marLeft w:val="0"/>
                  <w:marRight w:val="0"/>
                  <w:marTop w:val="0"/>
                  <w:marBottom w:val="0"/>
                  <w:divBdr>
                    <w:top w:val="none" w:sz="0" w:space="0" w:color="auto"/>
                    <w:left w:val="none" w:sz="0" w:space="0" w:color="auto"/>
                    <w:bottom w:val="none" w:sz="0" w:space="0" w:color="auto"/>
                    <w:right w:val="none" w:sz="0" w:space="0" w:color="auto"/>
                  </w:divBdr>
                  <w:divsChild>
                    <w:div w:id="383648887">
                      <w:marLeft w:val="0"/>
                      <w:marRight w:val="0"/>
                      <w:marTop w:val="0"/>
                      <w:marBottom w:val="0"/>
                      <w:divBdr>
                        <w:top w:val="none" w:sz="0" w:space="0" w:color="auto"/>
                        <w:left w:val="none" w:sz="0" w:space="0" w:color="auto"/>
                        <w:bottom w:val="none" w:sz="0" w:space="0" w:color="auto"/>
                        <w:right w:val="none" w:sz="0" w:space="0" w:color="auto"/>
                      </w:divBdr>
                    </w:div>
                  </w:divsChild>
                </w:div>
                <w:div w:id="1567956517">
                  <w:marLeft w:val="0"/>
                  <w:marRight w:val="0"/>
                  <w:marTop w:val="0"/>
                  <w:marBottom w:val="0"/>
                  <w:divBdr>
                    <w:top w:val="none" w:sz="0" w:space="0" w:color="auto"/>
                    <w:left w:val="none" w:sz="0" w:space="0" w:color="auto"/>
                    <w:bottom w:val="none" w:sz="0" w:space="0" w:color="auto"/>
                    <w:right w:val="none" w:sz="0" w:space="0" w:color="auto"/>
                  </w:divBdr>
                  <w:divsChild>
                    <w:div w:id="523905953">
                      <w:marLeft w:val="0"/>
                      <w:marRight w:val="0"/>
                      <w:marTop w:val="0"/>
                      <w:marBottom w:val="0"/>
                      <w:divBdr>
                        <w:top w:val="none" w:sz="0" w:space="0" w:color="auto"/>
                        <w:left w:val="none" w:sz="0" w:space="0" w:color="auto"/>
                        <w:bottom w:val="none" w:sz="0" w:space="0" w:color="auto"/>
                        <w:right w:val="none" w:sz="0" w:space="0" w:color="auto"/>
                      </w:divBdr>
                    </w:div>
                  </w:divsChild>
                </w:div>
                <w:div w:id="1573349294">
                  <w:marLeft w:val="0"/>
                  <w:marRight w:val="0"/>
                  <w:marTop w:val="0"/>
                  <w:marBottom w:val="0"/>
                  <w:divBdr>
                    <w:top w:val="none" w:sz="0" w:space="0" w:color="auto"/>
                    <w:left w:val="none" w:sz="0" w:space="0" w:color="auto"/>
                    <w:bottom w:val="none" w:sz="0" w:space="0" w:color="auto"/>
                    <w:right w:val="none" w:sz="0" w:space="0" w:color="auto"/>
                  </w:divBdr>
                  <w:divsChild>
                    <w:div w:id="14505712">
                      <w:marLeft w:val="0"/>
                      <w:marRight w:val="0"/>
                      <w:marTop w:val="0"/>
                      <w:marBottom w:val="0"/>
                      <w:divBdr>
                        <w:top w:val="none" w:sz="0" w:space="0" w:color="auto"/>
                        <w:left w:val="none" w:sz="0" w:space="0" w:color="auto"/>
                        <w:bottom w:val="none" w:sz="0" w:space="0" w:color="auto"/>
                        <w:right w:val="none" w:sz="0" w:space="0" w:color="auto"/>
                      </w:divBdr>
                    </w:div>
                  </w:divsChild>
                </w:div>
                <w:div w:id="1584795848">
                  <w:marLeft w:val="0"/>
                  <w:marRight w:val="0"/>
                  <w:marTop w:val="0"/>
                  <w:marBottom w:val="0"/>
                  <w:divBdr>
                    <w:top w:val="none" w:sz="0" w:space="0" w:color="auto"/>
                    <w:left w:val="none" w:sz="0" w:space="0" w:color="auto"/>
                    <w:bottom w:val="none" w:sz="0" w:space="0" w:color="auto"/>
                    <w:right w:val="none" w:sz="0" w:space="0" w:color="auto"/>
                  </w:divBdr>
                  <w:divsChild>
                    <w:div w:id="1188370746">
                      <w:marLeft w:val="0"/>
                      <w:marRight w:val="0"/>
                      <w:marTop w:val="0"/>
                      <w:marBottom w:val="0"/>
                      <w:divBdr>
                        <w:top w:val="none" w:sz="0" w:space="0" w:color="auto"/>
                        <w:left w:val="none" w:sz="0" w:space="0" w:color="auto"/>
                        <w:bottom w:val="none" w:sz="0" w:space="0" w:color="auto"/>
                        <w:right w:val="none" w:sz="0" w:space="0" w:color="auto"/>
                      </w:divBdr>
                    </w:div>
                  </w:divsChild>
                </w:div>
                <w:div w:id="1591891671">
                  <w:marLeft w:val="0"/>
                  <w:marRight w:val="0"/>
                  <w:marTop w:val="0"/>
                  <w:marBottom w:val="0"/>
                  <w:divBdr>
                    <w:top w:val="none" w:sz="0" w:space="0" w:color="auto"/>
                    <w:left w:val="none" w:sz="0" w:space="0" w:color="auto"/>
                    <w:bottom w:val="none" w:sz="0" w:space="0" w:color="auto"/>
                    <w:right w:val="none" w:sz="0" w:space="0" w:color="auto"/>
                  </w:divBdr>
                  <w:divsChild>
                    <w:div w:id="877931158">
                      <w:marLeft w:val="0"/>
                      <w:marRight w:val="0"/>
                      <w:marTop w:val="0"/>
                      <w:marBottom w:val="0"/>
                      <w:divBdr>
                        <w:top w:val="none" w:sz="0" w:space="0" w:color="auto"/>
                        <w:left w:val="none" w:sz="0" w:space="0" w:color="auto"/>
                        <w:bottom w:val="none" w:sz="0" w:space="0" w:color="auto"/>
                        <w:right w:val="none" w:sz="0" w:space="0" w:color="auto"/>
                      </w:divBdr>
                    </w:div>
                  </w:divsChild>
                </w:div>
                <w:div w:id="1608079686">
                  <w:marLeft w:val="0"/>
                  <w:marRight w:val="0"/>
                  <w:marTop w:val="0"/>
                  <w:marBottom w:val="0"/>
                  <w:divBdr>
                    <w:top w:val="none" w:sz="0" w:space="0" w:color="auto"/>
                    <w:left w:val="none" w:sz="0" w:space="0" w:color="auto"/>
                    <w:bottom w:val="none" w:sz="0" w:space="0" w:color="auto"/>
                    <w:right w:val="none" w:sz="0" w:space="0" w:color="auto"/>
                  </w:divBdr>
                  <w:divsChild>
                    <w:div w:id="228425506">
                      <w:marLeft w:val="0"/>
                      <w:marRight w:val="0"/>
                      <w:marTop w:val="0"/>
                      <w:marBottom w:val="0"/>
                      <w:divBdr>
                        <w:top w:val="none" w:sz="0" w:space="0" w:color="auto"/>
                        <w:left w:val="none" w:sz="0" w:space="0" w:color="auto"/>
                        <w:bottom w:val="none" w:sz="0" w:space="0" w:color="auto"/>
                        <w:right w:val="none" w:sz="0" w:space="0" w:color="auto"/>
                      </w:divBdr>
                    </w:div>
                  </w:divsChild>
                </w:div>
                <w:div w:id="1637417466">
                  <w:marLeft w:val="0"/>
                  <w:marRight w:val="0"/>
                  <w:marTop w:val="0"/>
                  <w:marBottom w:val="0"/>
                  <w:divBdr>
                    <w:top w:val="none" w:sz="0" w:space="0" w:color="auto"/>
                    <w:left w:val="none" w:sz="0" w:space="0" w:color="auto"/>
                    <w:bottom w:val="none" w:sz="0" w:space="0" w:color="auto"/>
                    <w:right w:val="none" w:sz="0" w:space="0" w:color="auto"/>
                  </w:divBdr>
                  <w:divsChild>
                    <w:div w:id="89201355">
                      <w:marLeft w:val="0"/>
                      <w:marRight w:val="0"/>
                      <w:marTop w:val="0"/>
                      <w:marBottom w:val="0"/>
                      <w:divBdr>
                        <w:top w:val="none" w:sz="0" w:space="0" w:color="auto"/>
                        <w:left w:val="none" w:sz="0" w:space="0" w:color="auto"/>
                        <w:bottom w:val="none" w:sz="0" w:space="0" w:color="auto"/>
                        <w:right w:val="none" w:sz="0" w:space="0" w:color="auto"/>
                      </w:divBdr>
                    </w:div>
                  </w:divsChild>
                </w:div>
                <w:div w:id="1641227600">
                  <w:marLeft w:val="0"/>
                  <w:marRight w:val="0"/>
                  <w:marTop w:val="0"/>
                  <w:marBottom w:val="0"/>
                  <w:divBdr>
                    <w:top w:val="none" w:sz="0" w:space="0" w:color="auto"/>
                    <w:left w:val="none" w:sz="0" w:space="0" w:color="auto"/>
                    <w:bottom w:val="none" w:sz="0" w:space="0" w:color="auto"/>
                    <w:right w:val="none" w:sz="0" w:space="0" w:color="auto"/>
                  </w:divBdr>
                  <w:divsChild>
                    <w:div w:id="1344891834">
                      <w:marLeft w:val="0"/>
                      <w:marRight w:val="0"/>
                      <w:marTop w:val="0"/>
                      <w:marBottom w:val="0"/>
                      <w:divBdr>
                        <w:top w:val="none" w:sz="0" w:space="0" w:color="auto"/>
                        <w:left w:val="none" w:sz="0" w:space="0" w:color="auto"/>
                        <w:bottom w:val="none" w:sz="0" w:space="0" w:color="auto"/>
                        <w:right w:val="none" w:sz="0" w:space="0" w:color="auto"/>
                      </w:divBdr>
                    </w:div>
                  </w:divsChild>
                </w:div>
                <w:div w:id="1665543489">
                  <w:marLeft w:val="0"/>
                  <w:marRight w:val="0"/>
                  <w:marTop w:val="0"/>
                  <w:marBottom w:val="0"/>
                  <w:divBdr>
                    <w:top w:val="none" w:sz="0" w:space="0" w:color="auto"/>
                    <w:left w:val="none" w:sz="0" w:space="0" w:color="auto"/>
                    <w:bottom w:val="none" w:sz="0" w:space="0" w:color="auto"/>
                    <w:right w:val="none" w:sz="0" w:space="0" w:color="auto"/>
                  </w:divBdr>
                  <w:divsChild>
                    <w:div w:id="1871187284">
                      <w:marLeft w:val="0"/>
                      <w:marRight w:val="0"/>
                      <w:marTop w:val="0"/>
                      <w:marBottom w:val="0"/>
                      <w:divBdr>
                        <w:top w:val="none" w:sz="0" w:space="0" w:color="auto"/>
                        <w:left w:val="none" w:sz="0" w:space="0" w:color="auto"/>
                        <w:bottom w:val="none" w:sz="0" w:space="0" w:color="auto"/>
                        <w:right w:val="none" w:sz="0" w:space="0" w:color="auto"/>
                      </w:divBdr>
                    </w:div>
                  </w:divsChild>
                </w:div>
                <w:div w:id="1668748289">
                  <w:marLeft w:val="0"/>
                  <w:marRight w:val="0"/>
                  <w:marTop w:val="0"/>
                  <w:marBottom w:val="0"/>
                  <w:divBdr>
                    <w:top w:val="none" w:sz="0" w:space="0" w:color="auto"/>
                    <w:left w:val="none" w:sz="0" w:space="0" w:color="auto"/>
                    <w:bottom w:val="none" w:sz="0" w:space="0" w:color="auto"/>
                    <w:right w:val="none" w:sz="0" w:space="0" w:color="auto"/>
                  </w:divBdr>
                  <w:divsChild>
                    <w:div w:id="268198318">
                      <w:marLeft w:val="0"/>
                      <w:marRight w:val="0"/>
                      <w:marTop w:val="0"/>
                      <w:marBottom w:val="0"/>
                      <w:divBdr>
                        <w:top w:val="none" w:sz="0" w:space="0" w:color="auto"/>
                        <w:left w:val="none" w:sz="0" w:space="0" w:color="auto"/>
                        <w:bottom w:val="none" w:sz="0" w:space="0" w:color="auto"/>
                        <w:right w:val="none" w:sz="0" w:space="0" w:color="auto"/>
                      </w:divBdr>
                    </w:div>
                  </w:divsChild>
                </w:div>
                <w:div w:id="1696734417">
                  <w:marLeft w:val="0"/>
                  <w:marRight w:val="0"/>
                  <w:marTop w:val="0"/>
                  <w:marBottom w:val="0"/>
                  <w:divBdr>
                    <w:top w:val="none" w:sz="0" w:space="0" w:color="auto"/>
                    <w:left w:val="none" w:sz="0" w:space="0" w:color="auto"/>
                    <w:bottom w:val="none" w:sz="0" w:space="0" w:color="auto"/>
                    <w:right w:val="none" w:sz="0" w:space="0" w:color="auto"/>
                  </w:divBdr>
                  <w:divsChild>
                    <w:div w:id="48848762">
                      <w:marLeft w:val="0"/>
                      <w:marRight w:val="0"/>
                      <w:marTop w:val="0"/>
                      <w:marBottom w:val="0"/>
                      <w:divBdr>
                        <w:top w:val="none" w:sz="0" w:space="0" w:color="auto"/>
                        <w:left w:val="none" w:sz="0" w:space="0" w:color="auto"/>
                        <w:bottom w:val="none" w:sz="0" w:space="0" w:color="auto"/>
                        <w:right w:val="none" w:sz="0" w:space="0" w:color="auto"/>
                      </w:divBdr>
                    </w:div>
                  </w:divsChild>
                </w:div>
                <w:div w:id="1700161635">
                  <w:marLeft w:val="0"/>
                  <w:marRight w:val="0"/>
                  <w:marTop w:val="0"/>
                  <w:marBottom w:val="0"/>
                  <w:divBdr>
                    <w:top w:val="none" w:sz="0" w:space="0" w:color="auto"/>
                    <w:left w:val="none" w:sz="0" w:space="0" w:color="auto"/>
                    <w:bottom w:val="none" w:sz="0" w:space="0" w:color="auto"/>
                    <w:right w:val="none" w:sz="0" w:space="0" w:color="auto"/>
                  </w:divBdr>
                  <w:divsChild>
                    <w:div w:id="964771173">
                      <w:marLeft w:val="0"/>
                      <w:marRight w:val="0"/>
                      <w:marTop w:val="0"/>
                      <w:marBottom w:val="0"/>
                      <w:divBdr>
                        <w:top w:val="none" w:sz="0" w:space="0" w:color="auto"/>
                        <w:left w:val="none" w:sz="0" w:space="0" w:color="auto"/>
                        <w:bottom w:val="none" w:sz="0" w:space="0" w:color="auto"/>
                        <w:right w:val="none" w:sz="0" w:space="0" w:color="auto"/>
                      </w:divBdr>
                    </w:div>
                  </w:divsChild>
                </w:div>
                <w:div w:id="1730156073">
                  <w:marLeft w:val="0"/>
                  <w:marRight w:val="0"/>
                  <w:marTop w:val="0"/>
                  <w:marBottom w:val="0"/>
                  <w:divBdr>
                    <w:top w:val="none" w:sz="0" w:space="0" w:color="auto"/>
                    <w:left w:val="none" w:sz="0" w:space="0" w:color="auto"/>
                    <w:bottom w:val="none" w:sz="0" w:space="0" w:color="auto"/>
                    <w:right w:val="none" w:sz="0" w:space="0" w:color="auto"/>
                  </w:divBdr>
                  <w:divsChild>
                    <w:div w:id="364791008">
                      <w:marLeft w:val="0"/>
                      <w:marRight w:val="0"/>
                      <w:marTop w:val="0"/>
                      <w:marBottom w:val="0"/>
                      <w:divBdr>
                        <w:top w:val="none" w:sz="0" w:space="0" w:color="auto"/>
                        <w:left w:val="none" w:sz="0" w:space="0" w:color="auto"/>
                        <w:bottom w:val="none" w:sz="0" w:space="0" w:color="auto"/>
                        <w:right w:val="none" w:sz="0" w:space="0" w:color="auto"/>
                      </w:divBdr>
                    </w:div>
                  </w:divsChild>
                </w:div>
                <w:div w:id="1732390543">
                  <w:marLeft w:val="0"/>
                  <w:marRight w:val="0"/>
                  <w:marTop w:val="0"/>
                  <w:marBottom w:val="0"/>
                  <w:divBdr>
                    <w:top w:val="none" w:sz="0" w:space="0" w:color="auto"/>
                    <w:left w:val="none" w:sz="0" w:space="0" w:color="auto"/>
                    <w:bottom w:val="none" w:sz="0" w:space="0" w:color="auto"/>
                    <w:right w:val="none" w:sz="0" w:space="0" w:color="auto"/>
                  </w:divBdr>
                  <w:divsChild>
                    <w:div w:id="42872284">
                      <w:marLeft w:val="0"/>
                      <w:marRight w:val="0"/>
                      <w:marTop w:val="0"/>
                      <w:marBottom w:val="0"/>
                      <w:divBdr>
                        <w:top w:val="none" w:sz="0" w:space="0" w:color="auto"/>
                        <w:left w:val="none" w:sz="0" w:space="0" w:color="auto"/>
                        <w:bottom w:val="none" w:sz="0" w:space="0" w:color="auto"/>
                        <w:right w:val="none" w:sz="0" w:space="0" w:color="auto"/>
                      </w:divBdr>
                    </w:div>
                  </w:divsChild>
                </w:div>
                <w:div w:id="1754742851">
                  <w:marLeft w:val="0"/>
                  <w:marRight w:val="0"/>
                  <w:marTop w:val="0"/>
                  <w:marBottom w:val="0"/>
                  <w:divBdr>
                    <w:top w:val="none" w:sz="0" w:space="0" w:color="auto"/>
                    <w:left w:val="none" w:sz="0" w:space="0" w:color="auto"/>
                    <w:bottom w:val="none" w:sz="0" w:space="0" w:color="auto"/>
                    <w:right w:val="none" w:sz="0" w:space="0" w:color="auto"/>
                  </w:divBdr>
                  <w:divsChild>
                    <w:div w:id="456417553">
                      <w:marLeft w:val="0"/>
                      <w:marRight w:val="0"/>
                      <w:marTop w:val="0"/>
                      <w:marBottom w:val="0"/>
                      <w:divBdr>
                        <w:top w:val="none" w:sz="0" w:space="0" w:color="auto"/>
                        <w:left w:val="none" w:sz="0" w:space="0" w:color="auto"/>
                        <w:bottom w:val="none" w:sz="0" w:space="0" w:color="auto"/>
                        <w:right w:val="none" w:sz="0" w:space="0" w:color="auto"/>
                      </w:divBdr>
                    </w:div>
                  </w:divsChild>
                </w:div>
                <w:div w:id="1755277904">
                  <w:marLeft w:val="0"/>
                  <w:marRight w:val="0"/>
                  <w:marTop w:val="0"/>
                  <w:marBottom w:val="0"/>
                  <w:divBdr>
                    <w:top w:val="none" w:sz="0" w:space="0" w:color="auto"/>
                    <w:left w:val="none" w:sz="0" w:space="0" w:color="auto"/>
                    <w:bottom w:val="none" w:sz="0" w:space="0" w:color="auto"/>
                    <w:right w:val="none" w:sz="0" w:space="0" w:color="auto"/>
                  </w:divBdr>
                  <w:divsChild>
                    <w:div w:id="1461922828">
                      <w:marLeft w:val="0"/>
                      <w:marRight w:val="0"/>
                      <w:marTop w:val="0"/>
                      <w:marBottom w:val="0"/>
                      <w:divBdr>
                        <w:top w:val="none" w:sz="0" w:space="0" w:color="auto"/>
                        <w:left w:val="none" w:sz="0" w:space="0" w:color="auto"/>
                        <w:bottom w:val="none" w:sz="0" w:space="0" w:color="auto"/>
                        <w:right w:val="none" w:sz="0" w:space="0" w:color="auto"/>
                      </w:divBdr>
                    </w:div>
                  </w:divsChild>
                </w:div>
                <w:div w:id="1776054506">
                  <w:marLeft w:val="0"/>
                  <w:marRight w:val="0"/>
                  <w:marTop w:val="0"/>
                  <w:marBottom w:val="0"/>
                  <w:divBdr>
                    <w:top w:val="none" w:sz="0" w:space="0" w:color="auto"/>
                    <w:left w:val="none" w:sz="0" w:space="0" w:color="auto"/>
                    <w:bottom w:val="none" w:sz="0" w:space="0" w:color="auto"/>
                    <w:right w:val="none" w:sz="0" w:space="0" w:color="auto"/>
                  </w:divBdr>
                  <w:divsChild>
                    <w:div w:id="967517933">
                      <w:marLeft w:val="0"/>
                      <w:marRight w:val="0"/>
                      <w:marTop w:val="0"/>
                      <w:marBottom w:val="0"/>
                      <w:divBdr>
                        <w:top w:val="none" w:sz="0" w:space="0" w:color="auto"/>
                        <w:left w:val="none" w:sz="0" w:space="0" w:color="auto"/>
                        <w:bottom w:val="none" w:sz="0" w:space="0" w:color="auto"/>
                        <w:right w:val="none" w:sz="0" w:space="0" w:color="auto"/>
                      </w:divBdr>
                    </w:div>
                  </w:divsChild>
                </w:div>
                <w:div w:id="1786464424">
                  <w:marLeft w:val="0"/>
                  <w:marRight w:val="0"/>
                  <w:marTop w:val="0"/>
                  <w:marBottom w:val="0"/>
                  <w:divBdr>
                    <w:top w:val="none" w:sz="0" w:space="0" w:color="auto"/>
                    <w:left w:val="none" w:sz="0" w:space="0" w:color="auto"/>
                    <w:bottom w:val="none" w:sz="0" w:space="0" w:color="auto"/>
                    <w:right w:val="none" w:sz="0" w:space="0" w:color="auto"/>
                  </w:divBdr>
                  <w:divsChild>
                    <w:div w:id="741416741">
                      <w:marLeft w:val="0"/>
                      <w:marRight w:val="0"/>
                      <w:marTop w:val="0"/>
                      <w:marBottom w:val="0"/>
                      <w:divBdr>
                        <w:top w:val="none" w:sz="0" w:space="0" w:color="auto"/>
                        <w:left w:val="none" w:sz="0" w:space="0" w:color="auto"/>
                        <w:bottom w:val="none" w:sz="0" w:space="0" w:color="auto"/>
                        <w:right w:val="none" w:sz="0" w:space="0" w:color="auto"/>
                      </w:divBdr>
                    </w:div>
                  </w:divsChild>
                </w:div>
                <w:div w:id="1790666029">
                  <w:marLeft w:val="0"/>
                  <w:marRight w:val="0"/>
                  <w:marTop w:val="0"/>
                  <w:marBottom w:val="0"/>
                  <w:divBdr>
                    <w:top w:val="none" w:sz="0" w:space="0" w:color="auto"/>
                    <w:left w:val="none" w:sz="0" w:space="0" w:color="auto"/>
                    <w:bottom w:val="none" w:sz="0" w:space="0" w:color="auto"/>
                    <w:right w:val="none" w:sz="0" w:space="0" w:color="auto"/>
                  </w:divBdr>
                  <w:divsChild>
                    <w:div w:id="1478961835">
                      <w:marLeft w:val="0"/>
                      <w:marRight w:val="0"/>
                      <w:marTop w:val="0"/>
                      <w:marBottom w:val="0"/>
                      <w:divBdr>
                        <w:top w:val="none" w:sz="0" w:space="0" w:color="auto"/>
                        <w:left w:val="none" w:sz="0" w:space="0" w:color="auto"/>
                        <w:bottom w:val="none" w:sz="0" w:space="0" w:color="auto"/>
                        <w:right w:val="none" w:sz="0" w:space="0" w:color="auto"/>
                      </w:divBdr>
                    </w:div>
                  </w:divsChild>
                </w:div>
                <w:div w:id="1828328022">
                  <w:marLeft w:val="0"/>
                  <w:marRight w:val="0"/>
                  <w:marTop w:val="0"/>
                  <w:marBottom w:val="0"/>
                  <w:divBdr>
                    <w:top w:val="none" w:sz="0" w:space="0" w:color="auto"/>
                    <w:left w:val="none" w:sz="0" w:space="0" w:color="auto"/>
                    <w:bottom w:val="none" w:sz="0" w:space="0" w:color="auto"/>
                    <w:right w:val="none" w:sz="0" w:space="0" w:color="auto"/>
                  </w:divBdr>
                  <w:divsChild>
                    <w:div w:id="584732747">
                      <w:marLeft w:val="0"/>
                      <w:marRight w:val="0"/>
                      <w:marTop w:val="0"/>
                      <w:marBottom w:val="0"/>
                      <w:divBdr>
                        <w:top w:val="none" w:sz="0" w:space="0" w:color="auto"/>
                        <w:left w:val="none" w:sz="0" w:space="0" w:color="auto"/>
                        <w:bottom w:val="none" w:sz="0" w:space="0" w:color="auto"/>
                        <w:right w:val="none" w:sz="0" w:space="0" w:color="auto"/>
                      </w:divBdr>
                    </w:div>
                  </w:divsChild>
                </w:div>
                <w:div w:id="1832602809">
                  <w:marLeft w:val="0"/>
                  <w:marRight w:val="0"/>
                  <w:marTop w:val="0"/>
                  <w:marBottom w:val="0"/>
                  <w:divBdr>
                    <w:top w:val="none" w:sz="0" w:space="0" w:color="auto"/>
                    <w:left w:val="none" w:sz="0" w:space="0" w:color="auto"/>
                    <w:bottom w:val="none" w:sz="0" w:space="0" w:color="auto"/>
                    <w:right w:val="none" w:sz="0" w:space="0" w:color="auto"/>
                  </w:divBdr>
                  <w:divsChild>
                    <w:div w:id="23404816">
                      <w:marLeft w:val="0"/>
                      <w:marRight w:val="0"/>
                      <w:marTop w:val="0"/>
                      <w:marBottom w:val="0"/>
                      <w:divBdr>
                        <w:top w:val="none" w:sz="0" w:space="0" w:color="auto"/>
                        <w:left w:val="none" w:sz="0" w:space="0" w:color="auto"/>
                        <w:bottom w:val="none" w:sz="0" w:space="0" w:color="auto"/>
                        <w:right w:val="none" w:sz="0" w:space="0" w:color="auto"/>
                      </w:divBdr>
                    </w:div>
                  </w:divsChild>
                </w:div>
                <w:div w:id="1837527872">
                  <w:marLeft w:val="0"/>
                  <w:marRight w:val="0"/>
                  <w:marTop w:val="0"/>
                  <w:marBottom w:val="0"/>
                  <w:divBdr>
                    <w:top w:val="none" w:sz="0" w:space="0" w:color="auto"/>
                    <w:left w:val="none" w:sz="0" w:space="0" w:color="auto"/>
                    <w:bottom w:val="none" w:sz="0" w:space="0" w:color="auto"/>
                    <w:right w:val="none" w:sz="0" w:space="0" w:color="auto"/>
                  </w:divBdr>
                  <w:divsChild>
                    <w:div w:id="1216820954">
                      <w:marLeft w:val="0"/>
                      <w:marRight w:val="0"/>
                      <w:marTop w:val="0"/>
                      <w:marBottom w:val="0"/>
                      <w:divBdr>
                        <w:top w:val="none" w:sz="0" w:space="0" w:color="auto"/>
                        <w:left w:val="none" w:sz="0" w:space="0" w:color="auto"/>
                        <w:bottom w:val="none" w:sz="0" w:space="0" w:color="auto"/>
                        <w:right w:val="none" w:sz="0" w:space="0" w:color="auto"/>
                      </w:divBdr>
                    </w:div>
                  </w:divsChild>
                </w:div>
                <w:div w:id="1849907232">
                  <w:marLeft w:val="0"/>
                  <w:marRight w:val="0"/>
                  <w:marTop w:val="0"/>
                  <w:marBottom w:val="0"/>
                  <w:divBdr>
                    <w:top w:val="none" w:sz="0" w:space="0" w:color="auto"/>
                    <w:left w:val="none" w:sz="0" w:space="0" w:color="auto"/>
                    <w:bottom w:val="none" w:sz="0" w:space="0" w:color="auto"/>
                    <w:right w:val="none" w:sz="0" w:space="0" w:color="auto"/>
                  </w:divBdr>
                  <w:divsChild>
                    <w:div w:id="1649822124">
                      <w:marLeft w:val="0"/>
                      <w:marRight w:val="0"/>
                      <w:marTop w:val="0"/>
                      <w:marBottom w:val="0"/>
                      <w:divBdr>
                        <w:top w:val="none" w:sz="0" w:space="0" w:color="auto"/>
                        <w:left w:val="none" w:sz="0" w:space="0" w:color="auto"/>
                        <w:bottom w:val="none" w:sz="0" w:space="0" w:color="auto"/>
                        <w:right w:val="none" w:sz="0" w:space="0" w:color="auto"/>
                      </w:divBdr>
                    </w:div>
                  </w:divsChild>
                </w:div>
                <w:div w:id="1865167788">
                  <w:marLeft w:val="0"/>
                  <w:marRight w:val="0"/>
                  <w:marTop w:val="0"/>
                  <w:marBottom w:val="0"/>
                  <w:divBdr>
                    <w:top w:val="none" w:sz="0" w:space="0" w:color="auto"/>
                    <w:left w:val="none" w:sz="0" w:space="0" w:color="auto"/>
                    <w:bottom w:val="none" w:sz="0" w:space="0" w:color="auto"/>
                    <w:right w:val="none" w:sz="0" w:space="0" w:color="auto"/>
                  </w:divBdr>
                  <w:divsChild>
                    <w:div w:id="743375054">
                      <w:marLeft w:val="0"/>
                      <w:marRight w:val="0"/>
                      <w:marTop w:val="0"/>
                      <w:marBottom w:val="0"/>
                      <w:divBdr>
                        <w:top w:val="none" w:sz="0" w:space="0" w:color="auto"/>
                        <w:left w:val="none" w:sz="0" w:space="0" w:color="auto"/>
                        <w:bottom w:val="none" w:sz="0" w:space="0" w:color="auto"/>
                        <w:right w:val="none" w:sz="0" w:space="0" w:color="auto"/>
                      </w:divBdr>
                    </w:div>
                  </w:divsChild>
                </w:div>
                <w:div w:id="1870364528">
                  <w:marLeft w:val="0"/>
                  <w:marRight w:val="0"/>
                  <w:marTop w:val="0"/>
                  <w:marBottom w:val="0"/>
                  <w:divBdr>
                    <w:top w:val="none" w:sz="0" w:space="0" w:color="auto"/>
                    <w:left w:val="none" w:sz="0" w:space="0" w:color="auto"/>
                    <w:bottom w:val="none" w:sz="0" w:space="0" w:color="auto"/>
                    <w:right w:val="none" w:sz="0" w:space="0" w:color="auto"/>
                  </w:divBdr>
                  <w:divsChild>
                    <w:div w:id="846019454">
                      <w:marLeft w:val="0"/>
                      <w:marRight w:val="0"/>
                      <w:marTop w:val="0"/>
                      <w:marBottom w:val="0"/>
                      <w:divBdr>
                        <w:top w:val="none" w:sz="0" w:space="0" w:color="auto"/>
                        <w:left w:val="none" w:sz="0" w:space="0" w:color="auto"/>
                        <w:bottom w:val="none" w:sz="0" w:space="0" w:color="auto"/>
                        <w:right w:val="none" w:sz="0" w:space="0" w:color="auto"/>
                      </w:divBdr>
                    </w:div>
                  </w:divsChild>
                </w:div>
                <w:div w:id="1874996365">
                  <w:marLeft w:val="0"/>
                  <w:marRight w:val="0"/>
                  <w:marTop w:val="0"/>
                  <w:marBottom w:val="0"/>
                  <w:divBdr>
                    <w:top w:val="none" w:sz="0" w:space="0" w:color="auto"/>
                    <w:left w:val="none" w:sz="0" w:space="0" w:color="auto"/>
                    <w:bottom w:val="none" w:sz="0" w:space="0" w:color="auto"/>
                    <w:right w:val="none" w:sz="0" w:space="0" w:color="auto"/>
                  </w:divBdr>
                  <w:divsChild>
                    <w:div w:id="2106804802">
                      <w:marLeft w:val="0"/>
                      <w:marRight w:val="0"/>
                      <w:marTop w:val="0"/>
                      <w:marBottom w:val="0"/>
                      <w:divBdr>
                        <w:top w:val="none" w:sz="0" w:space="0" w:color="auto"/>
                        <w:left w:val="none" w:sz="0" w:space="0" w:color="auto"/>
                        <w:bottom w:val="none" w:sz="0" w:space="0" w:color="auto"/>
                        <w:right w:val="none" w:sz="0" w:space="0" w:color="auto"/>
                      </w:divBdr>
                    </w:div>
                  </w:divsChild>
                </w:div>
                <w:div w:id="1882932621">
                  <w:marLeft w:val="0"/>
                  <w:marRight w:val="0"/>
                  <w:marTop w:val="0"/>
                  <w:marBottom w:val="0"/>
                  <w:divBdr>
                    <w:top w:val="none" w:sz="0" w:space="0" w:color="auto"/>
                    <w:left w:val="none" w:sz="0" w:space="0" w:color="auto"/>
                    <w:bottom w:val="none" w:sz="0" w:space="0" w:color="auto"/>
                    <w:right w:val="none" w:sz="0" w:space="0" w:color="auto"/>
                  </w:divBdr>
                  <w:divsChild>
                    <w:div w:id="1885826926">
                      <w:marLeft w:val="0"/>
                      <w:marRight w:val="0"/>
                      <w:marTop w:val="0"/>
                      <w:marBottom w:val="0"/>
                      <w:divBdr>
                        <w:top w:val="none" w:sz="0" w:space="0" w:color="auto"/>
                        <w:left w:val="none" w:sz="0" w:space="0" w:color="auto"/>
                        <w:bottom w:val="none" w:sz="0" w:space="0" w:color="auto"/>
                        <w:right w:val="none" w:sz="0" w:space="0" w:color="auto"/>
                      </w:divBdr>
                    </w:div>
                  </w:divsChild>
                </w:div>
                <w:div w:id="1883590398">
                  <w:marLeft w:val="0"/>
                  <w:marRight w:val="0"/>
                  <w:marTop w:val="0"/>
                  <w:marBottom w:val="0"/>
                  <w:divBdr>
                    <w:top w:val="none" w:sz="0" w:space="0" w:color="auto"/>
                    <w:left w:val="none" w:sz="0" w:space="0" w:color="auto"/>
                    <w:bottom w:val="none" w:sz="0" w:space="0" w:color="auto"/>
                    <w:right w:val="none" w:sz="0" w:space="0" w:color="auto"/>
                  </w:divBdr>
                  <w:divsChild>
                    <w:div w:id="292685370">
                      <w:marLeft w:val="0"/>
                      <w:marRight w:val="0"/>
                      <w:marTop w:val="0"/>
                      <w:marBottom w:val="0"/>
                      <w:divBdr>
                        <w:top w:val="none" w:sz="0" w:space="0" w:color="auto"/>
                        <w:left w:val="none" w:sz="0" w:space="0" w:color="auto"/>
                        <w:bottom w:val="none" w:sz="0" w:space="0" w:color="auto"/>
                        <w:right w:val="none" w:sz="0" w:space="0" w:color="auto"/>
                      </w:divBdr>
                    </w:div>
                  </w:divsChild>
                </w:div>
                <w:div w:id="1900751313">
                  <w:marLeft w:val="0"/>
                  <w:marRight w:val="0"/>
                  <w:marTop w:val="0"/>
                  <w:marBottom w:val="0"/>
                  <w:divBdr>
                    <w:top w:val="none" w:sz="0" w:space="0" w:color="auto"/>
                    <w:left w:val="none" w:sz="0" w:space="0" w:color="auto"/>
                    <w:bottom w:val="none" w:sz="0" w:space="0" w:color="auto"/>
                    <w:right w:val="none" w:sz="0" w:space="0" w:color="auto"/>
                  </w:divBdr>
                  <w:divsChild>
                    <w:div w:id="362294535">
                      <w:marLeft w:val="0"/>
                      <w:marRight w:val="0"/>
                      <w:marTop w:val="0"/>
                      <w:marBottom w:val="0"/>
                      <w:divBdr>
                        <w:top w:val="none" w:sz="0" w:space="0" w:color="auto"/>
                        <w:left w:val="none" w:sz="0" w:space="0" w:color="auto"/>
                        <w:bottom w:val="none" w:sz="0" w:space="0" w:color="auto"/>
                        <w:right w:val="none" w:sz="0" w:space="0" w:color="auto"/>
                      </w:divBdr>
                    </w:div>
                  </w:divsChild>
                </w:div>
                <w:div w:id="1909340682">
                  <w:marLeft w:val="0"/>
                  <w:marRight w:val="0"/>
                  <w:marTop w:val="0"/>
                  <w:marBottom w:val="0"/>
                  <w:divBdr>
                    <w:top w:val="none" w:sz="0" w:space="0" w:color="auto"/>
                    <w:left w:val="none" w:sz="0" w:space="0" w:color="auto"/>
                    <w:bottom w:val="none" w:sz="0" w:space="0" w:color="auto"/>
                    <w:right w:val="none" w:sz="0" w:space="0" w:color="auto"/>
                  </w:divBdr>
                  <w:divsChild>
                    <w:div w:id="1094477280">
                      <w:marLeft w:val="0"/>
                      <w:marRight w:val="0"/>
                      <w:marTop w:val="0"/>
                      <w:marBottom w:val="0"/>
                      <w:divBdr>
                        <w:top w:val="none" w:sz="0" w:space="0" w:color="auto"/>
                        <w:left w:val="none" w:sz="0" w:space="0" w:color="auto"/>
                        <w:bottom w:val="none" w:sz="0" w:space="0" w:color="auto"/>
                        <w:right w:val="none" w:sz="0" w:space="0" w:color="auto"/>
                      </w:divBdr>
                    </w:div>
                  </w:divsChild>
                </w:div>
                <w:div w:id="1909416373">
                  <w:marLeft w:val="0"/>
                  <w:marRight w:val="0"/>
                  <w:marTop w:val="0"/>
                  <w:marBottom w:val="0"/>
                  <w:divBdr>
                    <w:top w:val="none" w:sz="0" w:space="0" w:color="auto"/>
                    <w:left w:val="none" w:sz="0" w:space="0" w:color="auto"/>
                    <w:bottom w:val="none" w:sz="0" w:space="0" w:color="auto"/>
                    <w:right w:val="none" w:sz="0" w:space="0" w:color="auto"/>
                  </w:divBdr>
                  <w:divsChild>
                    <w:div w:id="648175088">
                      <w:marLeft w:val="0"/>
                      <w:marRight w:val="0"/>
                      <w:marTop w:val="0"/>
                      <w:marBottom w:val="0"/>
                      <w:divBdr>
                        <w:top w:val="none" w:sz="0" w:space="0" w:color="auto"/>
                        <w:left w:val="none" w:sz="0" w:space="0" w:color="auto"/>
                        <w:bottom w:val="none" w:sz="0" w:space="0" w:color="auto"/>
                        <w:right w:val="none" w:sz="0" w:space="0" w:color="auto"/>
                      </w:divBdr>
                    </w:div>
                  </w:divsChild>
                </w:div>
                <w:div w:id="1913006528">
                  <w:marLeft w:val="0"/>
                  <w:marRight w:val="0"/>
                  <w:marTop w:val="0"/>
                  <w:marBottom w:val="0"/>
                  <w:divBdr>
                    <w:top w:val="none" w:sz="0" w:space="0" w:color="auto"/>
                    <w:left w:val="none" w:sz="0" w:space="0" w:color="auto"/>
                    <w:bottom w:val="none" w:sz="0" w:space="0" w:color="auto"/>
                    <w:right w:val="none" w:sz="0" w:space="0" w:color="auto"/>
                  </w:divBdr>
                  <w:divsChild>
                    <w:div w:id="1890874065">
                      <w:marLeft w:val="0"/>
                      <w:marRight w:val="0"/>
                      <w:marTop w:val="0"/>
                      <w:marBottom w:val="0"/>
                      <w:divBdr>
                        <w:top w:val="none" w:sz="0" w:space="0" w:color="auto"/>
                        <w:left w:val="none" w:sz="0" w:space="0" w:color="auto"/>
                        <w:bottom w:val="none" w:sz="0" w:space="0" w:color="auto"/>
                        <w:right w:val="none" w:sz="0" w:space="0" w:color="auto"/>
                      </w:divBdr>
                    </w:div>
                  </w:divsChild>
                </w:div>
                <w:div w:id="1915896320">
                  <w:marLeft w:val="0"/>
                  <w:marRight w:val="0"/>
                  <w:marTop w:val="0"/>
                  <w:marBottom w:val="0"/>
                  <w:divBdr>
                    <w:top w:val="none" w:sz="0" w:space="0" w:color="auto"/>
                    <w:left w:val="none" w:sz="0" w:space="0" w:color="auto"/>
                    <w:bottom w:val="none" w:sz="0" w:space="0" w:color="auto"/>
                    <w:right w:val="none" w:sz="0" w:space="0" w:color="auto"/>
                  </w:divBdr>
                  <w:divsChild>
                    <w:div w:id="1098059219">
                      <w:marLeft w:val="0"/>
                      <w:marRight w:val="0"/>
                      <w:marTop w:val="0"/>
                      <w:marBottom w:val="0"/>
                      <w:divBdr>
                        <w:top w:val="none" w:sz="0" w:space="0" w:color="auto"/>
                        <w:left w:val="none" w:sz="0" w:space="0" w:color="auto"/>
                        <w:bottom w:val="none" w:sz="0" w:space="0" w:color="auto"/>
                        <w:right w:val="none" w:sz="0" w:space="0" w:color="auto"/>
                      </w:divBdr>
                    </w:div>
                  </w:divsChild>
                </w:div>
                <w:div w:id="1940873693">
                  <w:marLeft w:val="0"/>
                  <w:marRight w:val="0"/>
                  <w:marTop w:val="0"/>
                  <w:marBottom w:val="0"/>
                  <w:divBdr>
                    <w:top w:val="none" w:sz="0" w:space="0" w:color="auto"/>
                    <w:left w:val="none" w:sz="0" w:space="0" w:color="auto"/>
                    <w:bottom w:val="none" w:sz="0" w:space="0" w:color="auto"/>
                    <w:right w:val="none" w:sz="0" w:space="0" w:color="auto"/>
                  </w:divBdr>
                  <w:divsChild>
                    <w:div w:id="1648899863">
                      <w:marLeft w:val="0"/>
                      <w:marRight w:val="0"/>
                      <w:marTop w:val="0"/>
                      <w:marBottom w:val="0"/>
                      <w:divBdr>
                        <w:top w:val="none" w:sz="0" w:space="0" w:color="auto"/>
                        <w:left w:val="none" w:sz="0" w:space="0" w:color="auto"/>
                        <w:bottom w:val="none" w:sz="0" w:space="0" w:color="auto"/>
                        <w:right w:val="none" w:sz="0" w:space="0" w:color="auto"/>
                      </w:divBdr>
                    </w:div>
                  </w:divsChild>
                </w:div>
                <w:div w:id="1943032073">
                  <w:marLeft w:val="0"/>
                  <w:marRight w:val="0"/>
                  <w:marTop w:val="0"/>
                  <w:marBottom w:val="0"/>
                  <w:divBdr>
                    <w:top w:val="none" w:sz="0" w:space="0" w:color="auto"/>
                    <w:left w:val="none" w:sz="0" w:space="0" w:color="auto"/>
                    <w:bottom w:val="none" w:sz="0" w:space="0" w:color="auto"/>
                    <w:right w:val="none" w:sz="0" w:space="0" w:color="auto"/>
                  </w:divBdr>
                  <w:divsChild>
                    <w:div w:id="279919446">
                      <w:marLeft w:val="0"/>
                      <w:marRight w:val="0"/>
                      <w:marTop w:val="0"/>
                      <w:marBottom w:val="0"/>
                      <w:divBdr>
                        <w:top w:val="none" w:sz="0" w:space="0" w:color="auto"/>
                        <w:left w:val="none" w:sz="0" w:space="0" w:color="auto"/>
                        <w:bottom w:val="none" w:sz="0" w:space="0" w:color="auto"/>
                        <w:right w:val="none" w:sz="0" w:space="0" w:color="auto"/>
                      </w:divBdr>
                    </w:div>
                  </w:divsChild>
                </w:div>
                <w:div w:id="1945839085">
                  <w:marLeft w:val="0"/>
                  <w:marRight w:val="0"/>
                  <w:marTop w:val="0"/>
                  <w:marBottom w:val="0"/>
                  <w:divBdr>
                    <w:top w:val="none" w:sz="0" w:space="0" w:color="auto"/>
                    <w:left w:val="none" w:sz="0" w:space="0" w:color="auto"/>
                    <w:bottom w:val="none" w:sz="0" w:space="0" w:color="auto"/>
                    <w:right w:val="none" w:sz="0" w:space="0" w:color="auto"/>
                  </w:divBdr>
                  <w:divsChild>
                    <w:div w:id="1411654084">
                      <w:marLeft w:val="0"/>
                      <w:marRight w:val="0"/>
                      <w:marTop w:val="0"/>
                      <w:marBottom w:val="0"/>
                      <w:divBdr>
                        <w:top w:val="none" w:sz="0" w:space="0" w:color="auto"/>
                        <w:left w:val="none" w:sz="0" w:space="0" w:color="auto"/>
                        <w:bottom w:val="none" w:sz="0" w:space="0" w:color="auto"/>
                        <w:right w:val="none" w:sz="0" w:space="0" w:color="auto"/>
                      </w:divBdr>
                    </w:div>
                  </w:divsChild>
                </w:div>
                <w:div w:id="1953439991">
                  <w:marLeft w:val="0"/>
                  <w:marRight w:val="0"/>
                  <w:marTop w:val="0"/>
                  <w:marBottom w:val="0"/>
                  <w:divBdr>
                    <w:top w:val="none" w:sz="0" w:space="0" w:color="auto"/>
                    <w:left w:val="none" w:sz="0" w:space="0" w:color="auto"/>
                    <w:bottom w:val="none" w:sz="0" w:space="0" w:color="auto"/>
                    <w:right w:val="none" w:sz="0" w:space="0" w:color="auto"/>
                  </w:divBdr>
                  <w:divsChild>
                    <w:div w:id="1812163851">
                      <w:marLeft w:val="0"/>
                      <w:marRight w:val="0"/>
                      <w:marTop w:val="0"/>
                      <w:marBottom w:val="0"/>
                      <w:divBdr>
                        <w:top w:val="none" w:sz="0" w:space="0" w:color="auto"/>
                        <w:left w:val="none" w:sz="0" w:space="0" w:color="auto"/>
                        <w:bottom w:val="none" w:sz="0" w:space="0" w:color="auto"/>
                        <w:right w:val="none" w:sz="0" w:space="0" w:color="auto"/>
                      </w:divBdr>
                    </w:div>
                  </w:divsChild>
                </w:div>
                <w:div w:id="1968195656">
                  <w:marLeft w:val="0"/>
                  <w:marRight w:val="0"/>
                  <w:marTop w:val="0"/>
                  <w:marBottom w:val="0"/>
                  <w:divBdr>
                    <w:top w:val="none" w:sz="0" w:space="0" w:color="auto"/>
                    <w:left w:val="none" w:sz="0" w:space="0" w:color="auto"/>
                    <w:bottom w:val="none" w:sz="0" w:space="0" w:color="auto"/>
                    <w:right w:val="none" w:sz="0" w:space="0" w:color="auto"/>
                  </w:divBdr>
                  <w:divsChild>
                    <w:div w:id="485977762">
                      <w:marLeft w:val="0"/>
                      <w:marRight w:val="0"/>
                      <w:marTop w:val="0"/>
                      <w:marBottom w:val="0"/>
                      <w:divBdr>
                        <w:top w:val="none" w:sz="0" w:space="0" w:color="auto"/>
                        <w:left w:val="none" w:sz="0" w:space="0" w:color="auto"/>
                        <w:bottom w:val="none" w:sz="0" w:space="0" w:color="auto"/>
                        <w:right w:val="none" w:sz="0" w:space="0" w:color="auto"/>
                      </w:divBdr>
                    </w:div>
                  </w:divsChild>
                </w:div>
                <w:div w:id="1968464237">
                  <w:marLeft w:val="0"/>
                  <w:marRight w:val="0"/>
                  <w:marTop w:val="0"/>
                  <w:marBottom w:val="0"/>
                  <w:divBdr>
                    <w:top w:val="none" w:sz="0" w:space="0" w:color="auto"/>
                    <w:left w:val="none" w:sz="0" w:space="0" w:color="auto"/>
                    <w:bottom w:val="none" w:sz="0" w:space="0" w:color="auto"/>
                    <w:right w:val="none" w:sz="0" w:space="0" w:color="auto"/>
                  </w:divBdr>
                  <w:divsChild>
                    <w:div w:id="1012682864">
                      <w:marLeft w:val="0"/>
                      <w:marRight w:val="0"/>
                      <w:marTop w:val="0"/>
                      <w:marBottom w:val="0"/>
                      <w:divBdr>
                        <w:top w:val="none" w:sz="0" w:space="0" w:color="auto"/>
                        <w:left w:val="none" w:sz="0" w:space="0" w:color="auto"/>
                        <w:bottom w:val="none" w:sz="0" w:space="0" w:color="auto"/>
                        <w:right w:val="none" w:sz="0" w:space="0" w:color="auto"/>
                      </w:divBdr>
                    </w:div>
                  </w:divsChild>
                </w:div>
                <w:div w:id="1969242467">
                  <w:marLeft w:val="0"/>
                  <w:marRight w:val="0"/>
                  <w:marTop w:val="0"/>
                  <w:marBottom w:val="0"/>
                  <w:divBdr>
                    <w:top w:val="none" w:sz="0" w:space="0" w:color="auto"/>
                    <w:left w:val="none" w:sz="0" w:space="0" w:color="auto"/>
                    <w:bottom w:val="none" w:sz="0" w:space="0" w:color="auto"/>
                    <w:right w:val="none" w:sz="0" w:space="0" w:color="auto"/>
                  </w:divBdr>
                  <w:divsChild>
                    <w:div w:id="687296120">
                      <w:marLeft w:val="0"/>
                      <w:marRight w:val="0"/>
                      <w:marTop w:val="0"/>
                      <w:marBottom w:val="0"/>
                      <w:divBdr>
                        <w:top w:val="none" w:sz="0" w:space="0" w:color="auto"/>
                        <w:left w:val="none" w:sz="0" w:space="0" w:color="auto"/>
                        <w:bottom w:val="none" w:sz="0" w:space="0" w:color="auto"/>
                        <w:right w:val="none" w:sz="0" w:space="0" w:color="auto"/>
                      </w:divBdr>
                    </w:div>
                  </w:divsChild>
                </w:div>
                <w:div w:id="1990789547">
                  <w:marLeft w:val="0"/>
                  <w:marRight w:val="0"/>
                  <w:marTop w:val="0"/>
                  <w:marBottom w:val="0"/>
                  <w:divBdr>
                    <w:top w:val="none" w:sz="0" w:space="0" w:color="auto"/>
                    <w:left w:val="none" w:sz="0" w:space="0" w:color="auto"/>
                    <w:bottom w:val="none" w:sz="0" w:space="0" w:color="auto"/>
                    <w:right w:val="none" w:sz="0" w:space="0" w:color="auto"/>
                  </w:divBdr>
                  <w:divsChild>
                    <w:div w:id="687677332">
                      <w:marLeft w:val="0"/>
                      <w:marRight w:val="0"/>
                      <w:marTop w:val="0"/>
                      <w:marBottom w:val="0"/>
                      <w:divBdr>
                        <w:top w:val="none" w:sz="0" w:space="0" w:color="auto"/>
                        <w:left w:val="none" w:sz="0" w:space="0" w:color="auto"/>
                        <w:bottom w:val="none" w:sz="0" w:space="0" w:color="auto"/>
                        <w:right w:val="none" w:sz="0" w:space="0" w:color="auto"/>
                      </w:divBdr>
                    </w:div>
                  </w:divsChild>
                </w:div>
                <w:div w:id="1997566182">
                  <w:marLeft w:val="0"/>
                  <w:marRight w:val="0"/>
                  <w:marTop w:val="0"/>
                  <w:marBottom w:val="0"/>
                  <w:divBdr>
                    <w:top w:val="none" w:sz="0" w:space="0" w:color="auto"/>
                    <w:left w:val="none" w:sz="0" w:space="0" w:color="auto"/>
                    <w:bottom w:val="none" w:sz="0" w:space="0" w:color="auto"/>
                    <w:right w:val="none" w:sz="0" w:space="0" w:color="auto"/>
                  </w:divBdr>
                  <w:divsChild>
                    <w:div w:id="858352120">
                      <w:marLeft w:val="0"/>
                      <w:marRight w:val="0"/>
                      <w:marTop w:val="0"/>
                      <w:marBottom w:val="0"/>
                      <w:divBdr>
                        <w:top w:val="none" w:sz="0" w:space="0" w:color="auto"/>
                        <w:left w:val="none" w:sz="0" w:space="0" w:color="auto"/>
                        <w:bottom w:val="none" w:sz="0" w:space="0" w:color="auto"/>
                        <w:right w:val="none" w:sz="0" w:space="0" w:color="auto"/>
                      </w:divBdr>
                    </w:div>
                  </w:divsChild>
                </w:div>
                <w:div w:id="2003310039">
                  <w:marLeft w:val="0"/>
                  <w:marRight w:val="0"/>
                  <w:marTop w:val="0"/>
                  <w:marBottom w:val="0"/>
                  <w:divBdr>
                    <w:top w:val="none" w:sz="0" w:space="0" w:color="auto"/>
                    <w:left w:val="none" w:sz="0" w:space="0" w:color="auto"/>
                    <w:bottom w:val="none" w:sz="0" w:space="0" w:color="auto"/>
                    <w:right w:val="none" w:sz="0" w:space="0" w:color="auto"/>
                  </w:divBdr>
                  <w:divsChild>
                    <w:div w:id="1874268081">
                      <w:marLeft w:val="0"/>
                      <w:marRight w:val="0"/>
                      <w:marTop w:val="0"/>
                      <w:marBottom w:val="0"/>
                      <w:divBdr>
                        <w:top w:val="none" w:sz="0" w:space="0" w:color="auto"/>
                        <w:left w:val="none" w:sz="0" w:space="0" w:color="auto"/>
                        <w:bottom w:val="none" w:sz="0" w:space="0" w:color="auto"/>
                        <w:right w:val="none" w:sz="0" w:space="0" w:color="auto"/>
                      </w:divBdr>
                    </w:div>
                  </w:divsChild>
                </w:div>
                <w:div w:id="2006126444">
                  <w:marLeft w:val="0"/>
                  <w:marRight w:val="0"/>
                  <w:marTop w:val="0"/>
                  <w:marBottom w:val="0"/>
                  <w:divBdr>
                    <w:top w:val="none" w:sz="0" w:space="0" w:color="auto"/>
                    <w:left w:val="none" w:sz="0" w:space="0" w:color="auto"/>
                    <w:bottom w:val="none" w:sz="0" w:space="0" w:color="auto"/>
                    <w:right w:val="none" w:sz="0" w:space="0" w:color="auto"/>
                  </w:divBdr>
                  <w:divsChild>
                    <w:div w:id="355159809">
                      <w:marLeft w:val="0"/>
                      <w:marRight w:val="0"/>
                      <w:marTop w:val="0"/>
                      <w:marBottom w:val="0"/>
                      <w:divBdr>
                        <w:top w:val="none" w:sz="0" w:space="0" w:color="auto"/>
                        <w:left w:val="none" w:sz="0" w:space="0" w:color="auto"/>
                        <w:bottom w:val="none" w:sz="0" w:space="0" w:color="auto"/>
                        <w:right w:val="none" w:sz="0" w:space="0" w:color="auto"/>
                      </w:divBdr>
                    </w:div>
                  </w:divsChild>
                </w:div>
                <w:div w:id="2011828678">
                  <w:marLeft w:val="0"/>
                  <w:marRight w:val="0"/>
                  <w:marTop w:val="0"/>
                  <w:marBottom w:val="0"/>
                  <w:divBdr>
                    <w:top w:val="none" w:sz="0" w:space="0" w:color="auto"/>
                    <w:left w:val="none" w:sz="0" w:space="0" w:color="auto"/>
                    <w:bottom w:val="none" w:sz="0" w:space="0" w:color="auto"/>
                    <w:right w:val="none" w:sz="0" w:space="0" w:color="auto"/>
                  </w:divBdr>
                  <w:divsChild>
                    <w:div w:id="1834251665">
                      <w:marLeft w:val="0"/>
                      <w:marRight w:val="0"/>
                      <w:marTop w:val="0"/>
                      <w:marBottom w:val="0"/>
                      <w:divBdr>
                        <w:top w:val="none" w:sz="0" w:space="0" w:color="auto"/>
                        <w:left w:val="none" w:sz="0" w:space="0" w:color="auto"/>
                        <w:bottom w:val="none" w:sz="0" w:space="0" w:color="auto"/>
                        <w:right w:val="none" w:sz="0" w:space="0" w:color="auto"/>
                      </w:divBdr>
                    </w:div>
                  </w:divsChild>
                </w:div>
                <w:div w:id="2024016725">
                  <w:marLeft w:val="0"/>
                  <w:marRight w:val="0"/>
                  <w:marTop w:val="0"/>
                  <w:marBottom w:val="0"/>
                  <w:divBdr>
                    <w:top w:val="none" w:sz="0" w:space="0" w:color="auto"/>
                    <w:left w:val="none" w:sz="0" w:space="0" w:color="auto"/>
                    <w:bottom w:val="none" w:sz="0" w:space="0" w:color="auto"/>
                    <w:right w:val="none" w:sz="0" w:space="0" w:color="auto"/>
                  </w:divBdr>
                  <w:divsChild>
                    <w:div w:id="1687445470">
                      <w:marLeft w:val="0"/>
                      <w:marRight w:val="0"/>
                      <w:marTop w:val="0"/>
                      <w:marBottom w:val="0"/>
                      <w:divBdr>
                        <w:top w:val="none" w:sz="0" w:space="0" w:color="auto"/>
                        <w:left w:val="none" w:sz="0" w:space="0" w:color="auto"/>
                        <w:bottom w:val="none" w:sz="0" w:space="0" w:color="auto"/>
                        <w:right w:val="none" w:sz="0" w:space="0" w:color="auto"/>
                      </w:divBdr>
                    </w:div>
                  </w:divsChild>
                </w:div>
                <w:div w:id="2040006840">
                  <w:marLeft w:val="0"/>
                  <w:marRight w:val="0"/>
                  <w:marTop w:val="0"/>
                  <w:marBottom w:val="0"/>
                  <w:divBdr>
                    <w:top w:val="none" w:sz="0" w:space="0" w:color="auto"/>
                    <w:left w:val="none" w:sz="0" w:space="0" w:color="auto"/>
                    <w:bottom w:val="none" w:sz="0" w:space="0" w:color="auto"/>
                    <w:right w:val="none" w:sz="0" w:space="0" w:color="auto"/>
                  </w:divBdr>
                  <w:divsChild>
                    <w:div w:id="1521317616">
                      <w:marLeft w:val="0"/>
                      <w:marRight w:val="0"/>
                      <w:marTop w:val="0"/>
                      <w:marBottom w:val="0"/>
                      <w:divBdr>
                        <w:top w:val="none" w:sz="0" w:space="0" w:color="auto"/>
                        <w:left w:val="none" w:sz="0" w:space="0" w:color="auto"/>
                        <w:bottom w:val="none" w:sz="0" w:space="0" w:color="auto"/>
                        <w:right w:val="none" w:sz="0" w:space="0" w:color="auto"/>
                      </w:divBdr>
                    </w:div>
                  </w:divsChild>
                </w:div>
                <w:div w:id="2046365841">
                  <w:marLeft w:val="0"/>
                  <w:marRight w:val="0"/>
                  <w:marTop w:val="0"/>
                  <w:marBottom w:val="0"/>
                  <w:divBdr>
                    <w:top w:val="none" w:sz="0" w:space="0" w:color="auto"/>
                    <w:left w:val="none" w:sz="0" w:space="0" w:color="auto"/>
                    <w:bottom w:val="none" w:sz="0" w:space="0" w:color="auto"/>
                    <w:right w:val="none" w:sz="0" w:space="0" w:color="auto"/>
                  </w:divBdr>
                  <w:divsChild>
                    <w:div w:id="504827868">
                      <w:marLeft w:val="0"/>
                      <w:marRight w:val="0"/>
                      <w:marTop w:val="0"/>
                      <w:marBottom w:val="0"/>
                      <w:divBdr>
                        <w:top w:val="none" w:sz="0" w:space="0" w:color="auto"/>
                        <w:left w:val="none" w:sz="0" w:space="0" w:color="auto"/>
                        <w:bottom w:val="none" w:sz="0" w:space="0" w:color="auto"/>
                        <w:right w:val="none" w:sz="0" w:space="0" w:color="auto"/>
                      </w:divBdr>
                    </w:div>
                  </w:divsChild>
                </w:div>
                <w:div w:id="2062634151">
                  <w:marLeft w:val="0"/>
                  <w:marRight w:val="0"/>
                  <w:marTop w:val="0"/>
                  <w:marBottom w:val="0"/>
                  <w:divBdr>
                    <w:top w:val="none" w:sz="0" w:space="0" w:color="auto"/>
                    <w:left w:val="none" w:sz="0" w:space="0" w:color="auto"/>
                    <w:bottom w:val="none" w:sz="0" w:space="0" w:color="auto"/>
                    <w:right w:val="none" w:sz="0" w:space="0" w:color="auto"/>
                  </w:divBdr>
                  <w:divsChild>
                    <w:div w:id="2139832945">
                      <w:marLeft w:val="0"/>
                      <w:marRight w:val="0"/>
                      <w:marTop w:val="0"/>
                      <w:marBottom w:val="0"/>
                      <w:divBdr>
                        <w:top w:val="none" w:sz="0" w:space="0" w:color="auto"/>
                        <w:left w:val="none" w:sz="0" w:space="0" w:color="auto"/>
                        <w:bottom w:val="none" w:sz="0" w:space="0" w:color="auto"/>
                        <w:right w:val="none" w:sz="0" w:space="0" w:color="auto"/>
                      </w:divBdr>
                    </w:div>
                  </w:divsChild>
                </w:div>
                <w:div w:id="2065910969">
                  <w:marLeft w:val="0"/>
                  <w:marRight w:val="0"/>
                  <w:marTop w:val="0"/>
                  <w:marBottom w:val="0"/>
                  <w:divBdr>
                    <w:top w:val="none" w:sz="0" w:space="0" w:color="auto"/>
                    <w:left w:val="none" w:sz="0" w:space="0" w:color="auto"/>
                    <w:bottom w:val="none" w:sz="0" w:space="0" w:color="auto"/>
                    <w:right w:val="none" w:sz="0" w:space="0" w:color="auto"/>
                  </w:divBdr>
                  <w:divsChild>
                    <w:div w:id="1663924729">
                      <w:marLeft w:val="0"/>
                      <w:marRight w:val="0"/>
                      <w:marTop w:val="0"/>
                      <w:marBottom w:val="0"/>
                      <w:divBdr>
                        <w:top w:val="none" w:sz="0" w:space="0" w:color="auto"/>
                        <w:left w:val="none" w:sz="0" w:space="0" w:color="auto"/>
                        <w:bottom w:val="none" w:sz="0" w:space="0" w:color="auto"/>
                        <w:right w:val="none" w:sz="0" w:space="0" w:color="auto"/>
                      </w:divBdr>
                    </w:div>
                  </w:divsChild>
                </w:div>
                <w:div w:id="2084326531">
                  <w:marLeft w:val="0"/>
                  <w:marRight w:val="0"/>
                  <w:marTop w:val="0"/>
                  <w:marBottom w:val="0"/>
                  <w:divBdr>
                    <w:top w:val="none" w:sz="0" w:space="0" w:color="auto"/>
                    <w:left w:val="none" w:sz="0" w:space="0" w:color="auto"/>
                    <w:bottom w:val="none" w:sz="0" w:space="0" w:color="auto"/>
                    <w:right w:val="none" w:sz="0" w:space="0" w:color="auto"/>
                  </w:divBdr>
                  <w:divsChild>
                    <w:div w:id="926423432">
                      <w:marLeft w:val="0"/>
                      <w:marRight w:val="0"/>
                      <w:marTop w:val="0"/>
                      <w:marBottom w:val="0"/>
                      <w:divBdr>
                        <w:top w:val="none" w:sz="0" w:space="0" w:color="auto"/>
                        <w:left w:val="none" w:sz="0" w:space="0" w:color="auto"/>
                        <w:bottom w:val="none" w:sz="0" w:space="0" w:color="auto"/>
                        <w:right w:val="none" w:sz="0" w:space="0" w:color="auto"/>
                      </w:divBdr>
                    </w:div>
                  </w:divsChild>
                </w:div>
                <w:div w:id="2089688253">
                  <w:marLeft w:val="0"/>
                  <w:marRight w:val="0"/>
                  <w:marTop w:val="0"/>
                  <w:marBottom w:val="0"/>
                  <w:divBdr>
                    <w:top w:val="none" w:sz="0" w:space="0" w:color="auto"/>
                    <w:left w:val="none" w:sz="0" w:space="0" w:color="auto"/>
                    <w:bottom w:val="none" w:sz="0" w:space="0" w:color="auto"/>
                    <w:right w:val="none" w:sz="0" w:space="0" w:color="auto"/>
                  </w:divBdr>
                  <w:divsChild>
                    <w:div w:id="644361516">
                      <w:marLeft w:val="0"/>
                      <w:marRight w:val="0"/>
                      <w:marTop w:val="0"/>
                      <w:marBottom w:val="0"/>
                      <w:divBdr>
                        <w:top w:val="none" w:sz="0" w:space="0" w:color="auto"/>
                        <w:left w:val="none" w:sz="0" w:space="0" w:color="auto"/>
                        <w:bottom w:val="none" w:sz="0" w:space="0" w:color="auto"/>
                        <w:right w:val="none" w:sz="0" w:space="0" w:color="auto"/>
                      </w:divBdr>
                    </w:div>
                  </w:divsChild>
                </w:div>
                <w:div w:id="2093967912">
                  <w:marLeft w:val="0"/>
                  <w:marRight w:val="0"/>
                  <w:marTop w:val="0"/>
                  <w:marBottom w:val="0"/>
                  <w:divBdr>
                    <w:top w:val="none" w:sz="0" w:space="0" w:color="auto"/>
                    <w:left w:val="none" w:sz="0" w:space="0" w:color="auto"/>
                    <w:bottom w:val="none" w:sz="0" w:space="0" w:color="auto"/>
                    <w:right w:val="none" w:sz="0" w:space="0" w:color="auto"/>
                  </w:divBdr>
                  <w:divsChild>
                    <w:div w:id="1928729781">
                      <w:marLeft w:val="0"/>
                      <w:marRight w:val="0"/>
                      <w:marTop w:val="0"/>
                      <w:marBottom w:val="0"/>
                      <w:divBdr>
                        <w:top w:val="none" w:sz="0" w:space="0" w:color="auto"/>
                        <w:left w:val="none" w:sz="0" w:space="0" w:color="auto"/>
                        <w:bottom w:val="none" w:sz="0" w:space="0" w:color="auto"/>
                        <w:right w:val="none" w:sz="0" w:space="0" w:color="auto"/>
                      </w:divBdr>
                    </w:div>
                  </w:divsChild>
                </w:div>
                <w:div w:id="2105147558">
                  <w:marLeft w:val="0"/>
                  <w:marRight w:val="0"/>
                  <w:marTop w:val="0"/>
                  <w:marBottom w:val="0"/>
                  <w:divBdr>
                    <w:top w:val="none" w:sz="0" w:space="0" w:color="auto"/>
                    <w:left w:val="none" w:sz="0" w:space="0" w:color="auto"/>
                    <w:bottom w:val="none" w:sz="0" w:space="0" w:color="auto"/>
                    <w:right w:val="none" w:sz="0" w:space="0" w:color="auto"/>
                  </w:divBdr>
                  <w:divsChild>
                    <w:div w:id="1148589654">
                      <w:marLeft w:val="0"/>
                      <w:marRight w:val="0"/>
                      <w:marTop w:val="0"/>
                      <w:marBottom w:val="0"/>
                      <w:divBdr>
                        <w:top w:val="none" w:sz="0" w:space="0" w:color="auto"/>
                        <w:left w:val="none" w:sz="0" w:space="0" w:color="auto"/>
                        <w:bottom w:val="none" w:sz="0" w:space="0" w:color="auto"/>
                        <w:right w:val="none" w:sz="0" w:space="0" w:color="auto"/>
                      </w:divBdr>
                    </w:div>
                  </w:divsChild>
                </w:div>
                <w:div w:id="2112966245">
                  <w:marLeft w:val="0"/>
                  <w:marRight w:val="0"/>
                  <w:marTop w:val="0"/>
                  <w:marBottom w:val="0"/>
                  <w:divBdr>
                    <w:top w:val="none" w:sz="0" w:space="0" w:color="auto"/>
                    <w:left w:val="none" w:sz="0" w:space="0" w:color="auto"/>
                    <w:bottom w:val="none" w:sz="0" w:space="0" w:color="auto"/>
                    <w:right w:val="none" w:sz="0" w:space="0" w:color="auto"/>
                  </w:divBdr>
                  <w:divsChild>
                    <w:div w:id="2015909927">
                      <w:marLeft w:val="0"/>
                      <w:marRight w:val="0"/>
                      <w:marTop w:val="0"/>
                      <w:marBottom w:val="0"/>
                      <w:divBdr>
                        <w:top w:val="none" w:sz="0" w:space="0" w:color="auto"/>
                        <w:left w:val="none" w:sz="0" w:space="0" w:color="auto"/>
                        <w:bottom w:val="none" w:sz="0" w:space="0" w:color="auto"/>
                        <w:right w:val="none" w:sz="0" w:space="0" w:color="auto"/>
                      </w:divBdr>
                    </w:div>
                  </w:divsChild>
                </w:div>
                <w:div w:id="2128816447">
                  <w:marLeft w:val="0"/>
                  <w:marRight w:val="0"/>
                  <w:marTop w:val="0"/>
                  <w:marBottom w:val="0"/>
                  <w:divBdr>
                    <w:top w:val="none" w:sz="0" w:space="0" w:color="auto"/>
                    <w:left w:val="none" w:sz="0" w:space="0" w:color="auto"/>
                    <w:bottom w:val="none" w:sz="0" w:space="0" w:color="auto"/>
                    <w:right w:val="none" w:sz="0" w:space="0" w:color="auto"/>
                  </w:divBdr>
                  <w:divsChild>
                    <w:div w:id="1253389839">
                      <w:marLeft w:val="0"/>
                      <w:marRight w:val="0"/>
                      <w:marTop w:val="0"/>
                      <w:marBottom w:val="0"/>
                      <w:divBdr>
                        <w:top w:val="none" w:sz="0" w:space="0" w:color="auto"/>
                        <w:left w:val="none" w:sz="0" w:space="0" w:color="auto"/>
                        <w:bottom w:val="none" w:sz="0" w:space="0" w:color="auto"/>
                        <w:right w:val="none" w:sz="0" w:space="0" w:color="auto"/>
                      </w:divBdr>
                    </w:div>
                  </w:divsChild>
                </w:div>
                <w:div w:id="2137553450">
                  <w:marLeft w:val="0"/>
                  <w:marRight w:val="0"/>
                  <w:marTop w:val="0"/>
                  <w:marBottom w:val="0"/>
                  <w:divBdr>
                    <w:top w:val="none" w:sz="0" w:space="0" w:color="auto"/>
                    <w:left w:val="none" w:sz="0" w:space="0" w:color="auto"/>
                    <w:bottom w:val="none" w:sz="0" w:space="0" w:color="auto"/>
                    <w:right w:val="none" w:sz="0" w:space="0" w:color="auto"/>
                  </w:divBdr>
                  <w:divsChild>
                    <w:div w:id="1141725640">
                      <w:marLeft w:val="0"/>
                      <w:marRight w:val="0"/>
                      <w:marTop w:val="0"/>
                      <w:marBottom w:val="0"/>
                      <w:divBdr>
                        <w:top w:val="none" w:sz="0" w:space="0" w:color="auto"/>
                        <w:left w:val="none" w:sz="0" w:space="0" w:color="auto"/>
                        <w:bottom w:val="none" w:sz="0" w:space="0" w:color="auto"/>
                        <w:right w:val="none" w:sz="0" w:space="0" w:color="auto"/>
                      </w:divBdr>
                    </w:div>
                  </w:divsChild>
                </w:div>
                <w:div w:id="2138715617">
                  <w:marLeft w:val="0"/>
                  <w:marRight w:val="0"/>
                  <w:marTop w:val="0"/>
                  <w:marBottom w:val="0"/>
                  <w:divBdr>
                    <w:top w:val="none" w:sz="0" w:space="0" w:color="auto"/>
                    <w:left w:val="none" w:sz="0" w:space="0" w:color="auto"/>
                    <w:bottom w:val="none" w:sz="0" w:space="0" w:color="auto"/>
                    <w:right w:val="none" w:sz="0" w:space="0" w:color="auto"/>
                  </w:divBdr>
                  <w:divsChild>
                    <w:div w:id="537471556">
                      <w:marLeft w:val="0"/>
                      <w:marRight w:val="0"/>
                      <w:marTop w:val="0"/>
                      <w:marBottom w:val="0"/>
                      <w:divBdr>
                        <w:top w:val="none" w:sz="0" w:space="0" w:color="auto"/>
                        <w:left w:val="none" w:sz="0" w:space="0" w:color="auto"/>
                        <w:bottom w:val="none" w:sz="0" w:space="0" w:color="auto"/>
                        <w:right w:val="none" w:sz="0" w:space="0" w:color="auto"/>
                      </w:divBdr>
                    </w:div>
                  </w:divsChild>
                </w:div>
                <w:div w:id="2146775186">
                  <w:marLeft w:val="0"/>
                  <w:marRight w:val="0"/>
                  <w:marTop w:val="0"/>
                  <w:marBottom w:val="0"/>
                  <w:divBdr>
                    <w:top w:val="none" w:sz="0" w:space="0" w:color="auto"/>
                    <w:left w:val="none" w:sz="0" w:space="0" w:color="auto"/>
                    <w:bottom w:val="none" w:sz="0" w:space="0" w:color="auto"/>
                    <w:right w:val="none" w:sz="0" w:space="0" w:color="auto"/>
                  </w:divBdr>
                  <w:divsChild>
                    <w:div w:id="97557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715151">
      <w:bodyDiv w:val="1"/>
      <w:marLeft w:val="0"/>
      <w:marRight w:val="0"/>
      <w:marTop w:val="0"/>
      <w:marBottom w:val="0"/>
      <w:divBdr>
        <w:top w:val="none" w:sz="0" w:space="0" w:color="auto"/>
        <w:left w:val="none" w:sz="0" w:space="0" w:color="auto"/>
        <w:bottom w:val="none" w:sz="0" w:space="0" w:color="auto"/>
        <w:right w:val="none" w:sz="0" w:space="0" w:color="auto"/>
      </w:divBdr>
    </w:div>
    <w:div w:id="1044864646">
      <w:bodyDiv w:val="1"/>
      <w:marLeft w:val="0"/>
      <w:marRight w:val="0"/>
      <w:marTop w:val="0"/>
      <w:marBottom w:val="0"/>
      <w:divBdr>
        <w:top w:val="none" w:sz="0" w:space="0" w:color="auto"/>
        <w:left w:val="none" w:sz="0" w:space="0" w:color="auto"/>
        <w:bottom w:val="none" w:sz="0" w:space="0" w:color="auto"/>
        <w:right w:val="none" w:sz="0" w:space="0" w:color="auto"/>
      </w:divBdr>
      <w:divsChild>
        <w:div w:id="201750003">
          <w:marLeft w:val="0"/>
          <w:marRight w:val="0"/>
          <w:marTop w:val="0"/>
          <w:marBottom w:val="0"/>
          <w:divBdr>
            <w:top w:val="none" w:sz="0" w:space="0" w:color="auto"/>
            <w:left w:val="none" w:sz="0" w:space="0" w:color="auto"/>
            <w:bottom w:val="none" w:sz="0" w:space="0" w:color="auto"/>
            <w:right w:val="none" w:sz="0" w:space="0" w:color="auto"/>
          </w:divBdr>
        </w:div>
        <w:div w:id="354576016">
          <w:marLeft w:val="0"/>
          <w:marRight w:val="0"/>
          <w:marTop w:val="0"/>
          <w:marBottom w:val="0"/>
          <w:divBdr>
            <w:top w:val="none" w:sz="0" w:space="0" w:color="auto"/>
            <w:left w:val="none" w:sz="0" w:space="0" w:color="auto"/>
            <w:bottom w:val="none" w:sz="0" w:space="0" w:color="auto"/>
            <w:right w:val="none" w:sz="0" w:space="0" w:color="auto"/>
          </w:divBdr>
        </w:div>
        <w:div w:id="2075661344">
          <w:marLeft w:val="0"/>
          <w:marRight w:val="0"/>
          <w:marTop w:val="0"/>
          <w:marBottom w:val="0"/>
          <w:divBdr>
            <w:top w:val="none" w:sz="0" w:space="0" w:color="auto"/>
            <w:left w:val="none" w:sz="0" w:space="0" w:color="auto"/>
            <w:bottom w:val="none" w:sz="0" w:space="0" w:color="auto"/>
            <w:right w:val="none" w:sz="0" w:space="0" w:color="auto"/>
          </w:divBdr>
        </w:div>
      </w:divsChild>
    </w:div>
    <w:div w:id="1053192697">
      <w:bodyDiv w:val="1"/>
      <w:marLeft w:val="0"/>
      <w:marRight w:val="0"/>
      <w:marTop w:val="0"/>
      <w:marBottom w:val="0"/>
      <w:divBdr>
        <w:top w:val="none" w:sz="0" w:space="0" w:color="auto"/>
        <w:left w:val="none" w:sz="0" w:space="0" w:color="auto"/>
        <w:bottom w:val="none" w:sz="0" w:space="0" w:color="auto"/>
        <w:right w:val="none" w:sz="0" w:space="0" w:color="auto"/>
      </w:divBdr>
    </w:div>
    <w:div w:id="1059744031">
      <w:bodyDiv w:val="1"/>
      <w:marLeft w:val="0"/>
      <w:marRight w:val="0"/>
      <w:marTop w:val="0"/>
      <w:marBottom w:val="0"/>
      <w:divBdr>
        <w:top w:val="none" w:sz="0" w:space="0" w:color="auto"/>
        <w:left w:val="none" w:sz="0" w:space="0" w:color="auto"/>
        <w:bottom w:val="none" w:sz="0" w:space="0" w:color="auto"/>
        <w:right w:val="none" w:sz="0" w:space="0" w:color="auto"/>
      </w:divBdr>
    </w:div>
    <w:div w:id="1087269211">
      <w:bodyDiv w:val="1"/>
      <w:marLeft w:val="0"/>
      <w:marRight w:val="0"/>
      <w:marTop w:val="0"/>
      <w:marBottom w:val="0"/>
      <w:divBdr>
        <w:top w:val="none" w:sz="0" w:space="0" w:color="auto"/>
        <w:left w:val="none" w:sz="0" w:space="0" w:color="auto"/>
        <w:bottom w:val="none" w:sz="0" w:space="0" w:color="auto"/>
        <w:right w:val="none" w:sz="0" w:space="0" w:color="auto"/>
      </w:divBdr>
      <w:divsChild>
        <w:div w:id="97452545">
          <w:marLeft w:val="0"/>
          <w:marRight w:val="0"/>
          <w:marTop w:val="0"/>
          <w:marBottom w:val="0"/>
          <w:divBdr>
            <w:top w:val="none" w:sz="0" w:space="0" w:color="auto"/>
            <w:left w:val="none" w:sz="0" w:space="0" w:color="auto"/>
            <w:bottom w:val="none" w:sz="0" w:space="0" w:color="auto"/>
            <w:right w:val="none" w:sz="0" w:space="0" w:color="auto"/>
          </w:divBdr>
          <w:divsChild>
            <w:div w:id="1788965149">
              <w:marLeft w:val="0"/>
              <w:marRight w:val="0"/>
              <w:marTop w:val="30"/>
              <w:marBottom w:val="30"/>
              <w:divBdr>
                <w:top w:val="none" w:sz="0" w:space="0" w:color="auto"/>
                <w:left w:val="none" w:sz="0" w:space="0" w:color="auto"/>
                <w:bottom w:val="none" w:sz="0" w:space="0" w:color="auto"/>
                <w:right w:val="none" w:sz="0" w:space="0" w:color="auto"/>
              </w:divBdr>
              <w:divsChild>
                <w:div w:id="1906261">
                  <w:marLeft w:val="0"/>
                  <w:marRight w:val="0"/>
                  <w:marTop w:val="0"/>
                  <w:marBottom w:val="0"/>
                  <w:divBdr>
                    <w:top w:val="none" w:sz="0" w:space="0" w:color="auto"/>
                    <w:left w:val="none" w:sz="0" w:space="0" w:color="auto"/>
                    <w:bottom w:val="none" w:sz="0" w:space="0" w:color="auto"/>
                    <w:right w:val="none" w:sz="0" w:space="0" w:color="auto"/>
                  </w:divBdr>
                  <w:divsChild>
                    <w:div w:id="598173623">
                      <w:marLeft w:val="0"/>
                      <w:marRight w:val="0"/>
                      <w:marTop w:val="0"/>
                      <w:marBottom w:val="0"/>
                      <w:divBdr>
                        <w:top w:val="none" w:sz="0" w:space="0" w:color="auto"/>
                        <w:left w:val="none" w:sz="0" w:space="0" w:color="auto"/>
                        <w:bottom w:val="none" w:sz="0" w:space="0" w:color="auto"/>
                        <w:right w:val="none" w:sz="0" w:space="0" w:color="auto"/>
                      </w:divBdr>
                    </w:div>
                  </w:divsChild>
                </w:div>
                <w:div w:id="8876553">
                  <w:marLeft w:val="0"/>
                  <w:marRight w:val="0"/>
                  <w:marTop w:val="0"/>
                  <w:marBottom w:val="0"/>
                  <w:divBdr>
                    <w:top w:val="none" w:sz="0" w:space="0" w:color="auto"/>
                    <w:left w:val="none" w:sz="0" w:space="0" w:color="auto"/>
                    <w:bottom w:val="none" w:sz="0" w:space="0" w:color="auto"/>
                    <w:right w:val="none" w:sz="0" w:space="0" w:color="auto"/>
                  </w:divBdr>
                  <w:divsChild>
                    <w:div w:id="886379625">
                      <w:marLeft w:val="0"/>
                      <w:marRight w:val="0"/>
                      <w:marTop w:val="0"/>
                      <w:marBottom w:val="0"/>
                      <w:divBdr>
                        <w:top w:val="none" w:sz="0" w:space="0" w:color="auto"/>
                        <w:left w:val="none" w:sz="0" w:space="0" w:color="auto"/>
                        <w:bottom w:val="none" w:sz="0" w:space="0" w:color="auto"/>
                        <w:right w:val="none" w:sz="0" w:space="0" w:color="auto"/>
                      </w:divBdr>
                    </w:div>
                  </w:divsChild>
                </w:div>
                <w:div w:id="10448958">
                  <w:marLeft w:val="0"/>
                  <w:marRight w:val="0"/>
                  <w:marTop w:val="0"/>
                  <w:marBottom w:val="0"/>
                  <w:divBdr>
                    <w:top w:val="none" w:sz="0" w:space="0" w:color="auto"/>
                    <w:left w:val="none" w:sz="0" w:space="0" w:color="auto"/>
                    <w:bottom w:val="none" w:sz="0" w:space="0" w:color="auto"/>
                    <w:right w:val="none" w:sz="0" w:space="0" w:color="auto"/>
                  </w:divBdr>
                  <w:divsChild>
                    <w:div w:id="1759404289">
                      <w:marLeft w:val="0"/>
                      <w:marRight w:val="0"/>
                      <w:marTop w:val="0"/>
                      <w:marBottom w:val="0"/>
                      <w:divBdr>
                        <w:top w:val="none" w:sz="0" w:space="0" w:color="auto"/>
                        <w:left w:val="none" w:sz="0" w:space="0" w:color="auto"/>
                        <w:bottom w:val="none" w:sz="0" w:space="0" w:color="auto"/>
                        <w:right w:val="none" w:sz="0" w:space="0" w:color="auto"/>
                      </w:divBdr>
                    </w:div>
                  </w:divsChild>
                </w:div>
                <w:div w:id="11420826">
                  <w:marLeft w:val="0"/>
                  <w:marRight w:val="0"/>
                  <w:marTop w:val="0"/>
                  <w:marBottom w:val="0"/>
                  <w:divBdr>
                    <w:top w:val="none" w:sz="0" w:space="0" w:color="auto"/>
                    <w:left w:val="none" w:sz="0" w:space="0" w:color="auto"/>
                    <w:bottom w:val="none" w:sz="0" w:space="0" w:color="auto"/>
                    <w:right w:val="none" w:sz="0" w:space="0" w:color="auto"/>
                  </w:divBdr>
                  <w:divsChild>
                    <w:div w:id="687758015">
                      <w:marLeft w:val="0"/>
                      <w:marRight w:val="0"/>
                      <w:marTop w:val="0"/>
                      <w:marBottom w:val="0"/>
                      <w:divBdr>
                        <w:top w:val="none" w:sz="0" w:space="0" w:color="auto"/>
                        <w:left w:val="none" w:sz="0" w:space="0" w:color="auto"/>
                        <w:bottom w:val="none" w:sz="0" w:space="0" w:color="auto"/>
                        <w:right w:val="none" w:sz="0" w:space="0" w:color="auto"/>
                      </w:divBdr>
                    </w:div>
                  </w:divsChild>
                </w:div>
                <w:div w:id="12342289">
                  <w:marLeft w:val="0"/>
                  <w:marRight w:val="0"/>
                  <w:marTop w:val="0"/>
                  <w:marBottom w:val="0"/>
                  <w:divBdr>
                    <w:top w:val="none" w:sz="0" w:space="0" w:color="auto"/>
                    <w:left w:val="none" w:sz="0" w:space="0" w:color="auto"/>
                    <w:bottom w:val="none" w:sz="0" w:space="0" w:color="auto"/>
                    <w:right w:val="none" w:sz="0" w:space="0" w:color="auto"/>
                  </w:divBdr>
                  <w:divsChild>
                    <w:div w:id="2018344505">
                      <w:marLeft w:val="0"/>
                      <w:marRight w:val="0"/>
                      <w:marTop w:val="0"/>
                      <w:marBottom w:val="0"/>
                      <w:divBdr>
                        <w:top w:val="none" w:sz="0" w:space="0" w:color="auto"/>
                        <w:left w:val="none" w:sz="0" w:space="0" w:color="auto"/>
                        <w:bottom w:val="none" w:sz="0" w:space="0" w:color="auto"/>
                        <w:right w:val="none" w:sz="0" w:space="0" w:color="auto"/>
                      </w:divBdr>
                    </w:div>
                  </w:divsChild>
                </w:div>
                <w:div w:id="29191957">
                  <w:marLeft w:val="0"/>
                  <w:marRight w:val="0"/>
                  <w:marTop w:val="0"/>
                  <w:marBottom w:val="0"/>
                  <w:divBdr>
                    <w:top w:val="none" w:sz="0" w:space="0" w:color="auto"/>
                    <w:left w:val="none" w:sz="0" w:space="0" w:color="auto"/>
                    <w:bottom w:val="none" w:sz="0" w:space="0" w:color="auto"/>
                    <w:right w:val="none" w:sz="0" w:space="0" w:color="auto"/>
                  </w:divBdr>
                  <w:divsChild>
                    <w:div w:id="1079868922">
                      <w:marLeft w:val="0"/>
                      <w:marRight w:val="0"/>
                      <w:marTop w:val="0"/>
                      <w:marBottom w:val="0"/>
                      <w:divBdr>
                        <w:top w:val="none" w:sz="0" w:space="0" w:color="auto"/>
                        <w:left w:val="none" w:sz="0" w:space="0" w:color="auto"/>
                        <w:bottom w:val="none" w:sz="0" w:space="0" w:color="auto"/>
                        <w:right w:val="none" w:sz="0" w:space="0" w:color="auto"/>
                      </w:divBdr>
                    </w:div>
                  </w:divsChild>
                </w:div>
                <w:div w:id="34014748">
                  <w:marLeft w:val="0"/>
                  <w:marRight w:val="0"/>
                  <w:marTop w:val="0"/>
                  <w:marBottom w:val="0"/>
                  <w:divBdr>
                    <w:top w:val="none" w:sz="0" w:space="0" w:color="auto"/>
                    <w:left w:val="none" w:sz="0" w:space="0" w:color="auto"/>
                    <w:bottom w:val="none" w:sz="0" w:space="0" w:color="auto"/>
                    <w:right w:val="none" w:sz="0" w:space="0" w:color="auto"/>
                  </w:divBdr>
                  <w:divsChild>
                    <w:div w:id="1394620210">
                      <w:marLeft w:val="0"/>
                      <w:marRight w:val="0"/>
                      <w:marTop w:val="0"/>
                      <w:marBottom w:val="0"/>
                      <w:divBdr>
                        <w:top w:val="none" w:sz="0" w:space="0" w:color="auto"/>
                        <w:left w:val="none" w:sz="0" w:space="0" w:color="auto"/>
                        <w:bottom w:val="none" w:sz="0" w:space="0" w:color="auto"/>
                        <w:right w:val="none" w:sz="0" w:space="0" w:color="auto"/>
                      </w:divBdr>
                    </w:div>
                  </w:divsChild>
                </w:div>
                <w:div w:id="34550376">
                  <w:marLeft w:val="0"/>
                  <w:marRight w:val="0"/>
                  <w:marTop w:val="0"/>
                  <w:marBottom w:val="0"/>
                  <w:divBdr>
                    <w:top w:val="none" w:sz="0" w:space="0" w:color="auto"/>
                    <w:left w:val="none" w:sz="0" w:space="0" w:color="auto"/>
                    <w:bottom w:val="none" w:sz="0" w:space="0" w:color="auto"/>
                    <w:right w:val="none" w:sz="0" w:space="0" w:color="auto"/>
                  </w:divBdr>
                  <w:divsChild>
                    <w:div w:id="1907494296">
                      <w:marLeft w:val="0"/>
                      <w:marRight w:val="0"/>
                      <w:marTop w:val="0"/>
                      <w:marBottom w:val="0"/>
                      <w:divBdr>
                        <w:top w:val="none" w:sz="0" w:space="0" w:color="auto"/>
                        <w:left w:val="none" w:sz="0" w:space="0" w:color="auto"/>
                        <w:bottom w:val="none" w:sz="0" w:space="0" w:color="auto"/>
                        <w:right w:val="none" w:sz="0" w:space="0" w:color="auto"/>
                      </w:divBdr>
                    </w:div>
                  </w:divsChild>
                </w:div>
                <w:div w:id="61829978">
                  <w:marLeft w:val="0"/>
                  <w:marRight w:val="0"/>
                  <w:marTop w:val="0"/>
                  <w:marBottom w:val="0"/>
                  <w:divBdr>
                    <w:top w:val="none" w:sz="0" w:space="0" w:color="auto"/>
                    <w:left w:val="none" w:sz="0" w:space="0" w:color="auto"/>
                    <w:bottom w:val="none" w:sz="0" w:space="0" w:color="auto"/>
                    <w:right w:val="none" w:sz="0" w:space="0" w:color="auto"/>
                  </w:divBdr>
                  <w:divsChild>
                    <w:div w:id="560095759">
                      <w:marLeft w:val="0"/>
                      <w:marRight w:val="0"/>
                      <w:marTop w:val="0"/>
                      <w:marBottom w:val="0"/>
                      <w:divBdr>
                        <w:top w:val="none" w:sz="0" w:space="0" w:color="auto"/>
                        <w:left w:val="none" w:sz="0" w:space="0" w:color="auto"/>
                        <w:bottom w:val="none" w:sz="0" w:space="0" w:color="auto"/>
                        <w:right w:val="none" w:sz="0" w:space="0" w:color="auto"/>
                      </w:divBdr>
                    </w:div>
                  </w:divsChild>
                </w:div>
                <w:div w:id="64038188">
                  <w:marLeft w:val="0"/>
                  <w:marRight w:val="0"/>
                  <w:marTop w:val="0"/>
                  <w:marBottom w:val="0"/>
                  <w:divBdr>
                    <w:top w:val="none" w:sz="0" w:space="0" w:color="auto"/>
                    <w:left w:val="none" w:sz="0" w:space="0" w:color="auto"/>
                    <w:bottom w:val="none" w:sz="0" w:space="0" w:color="auto"/>
                    <w:right w:val="none" w:sz="0" w:space="0" w:color="auto"/>
                  </w:divBdr>
                  <w:divsChild>
                    <w:div w:id="1554580524">
                      <w:marLeft w:val="0"/>
                      <w:marRight w:val="0"/>
                      <w:marTop w:val="0"/>
                      <w:marBottom w:val="0"/>
                      <w:divBdr>
                        <w:top w:val="none" w:sz="0" w:space="0" w:color="auto"/>
                        <w:left w:val="none" w:sz="0" w:space="0" w:color="auto"/>
                        <w:bottom w:val="none" w:sz="0" w:space="0" w:color="auto"/>
                        <w:right w:val="none" w:sz="0" w:space="0" w:color="auto"/>
                      </w:divBdr>
                    </w:div>
                  </w:divsChild>
                </w:div>
                <w:div w:id="65687448">
                  <w:marLeft w:val="0"/>
                  <w:marRight w:val="0"/>
                  <w:marTop w:val="0"/>
                  <w:marBottom w:val="0"/>
                  <w:divBdr>
                    <w:top w:val="none" w:sz="0" w:space="0" w:color="auto"/>
                    <w:left w:val="none" w:sz="0" w:space="0" w:color="auto"/>
                    <w:bottom w:val="none" w:sz="0" w:space="0" w:color="auto"/>
                    <w:right w:val="none" w:sz="0" w:space="0" w:color="auto"/>
                  </w:divBdr>
                  <w:divsChild>
                    <w:div w:id="1474133741">
                      <w:marLeft w:val="0"/>
                      <w:marRight w:val="0"/>
                      <w:marTop w:val="0"/>
                      <w:marBottom w:val="0"/>
                      <w:divBdr>
                        <w:top w:val="none" w:sz="0" w:space="0" w:color="auto"/>
                        <w:left w:val="none" w:sz="0" w:space="0" w:color="auto"/>
                        <w:bottom w:val="none" w:sz="0" w:space="0" w:color="auto"/>
                        <w:right w:val="none" w:sz="0" w:space="0" w:color="auto"/>
                      </w:divBdr>
                    </w:div>
                  </w:divsChild>
                </w:div>
                <w:div w:id="77095132">
                  <w:marLeft w:val="0"/>
                  <w:marRight w:val="0"/>
                  <w:marTop w:val="0"/>
                  <w:marBottom w:val="0"/>
                  <w:divBdr>
                    <w:top w:val="none" w:sz="0" w:space="0" w:color="auto"/>
                    <w:left w:val="none" w:sz="0" w:space="0" w:color="auto"/>
                    <w:bottom w:val="none" w:sz="0" w:space="0" w:color="auto"/>
                    <w:right w:val="none" w:sz="0" w:space="0" w:color="auto"/>
                  </w:divBdr>
                  <w:divsChild>
                    <w:div w:id="1329139963">
                      <w:marLeft w:val="0"/>
                      <w:marRight w:val="0"/>
                      <w:marTop w:val="0"/>
                      <w:marBottom w:val="0"/>
                      <w:divBdr>
                        <w:top w:val="none" w:sz="0" w:space="0" w:color="auto"/>
                        <w:left w:val="none" w:sz="0" w:space="0" w:color="auto"/>
                        <w:bottom w:val="none" w:sz="0" w:space="0" w:color="auto"/>
                        <w:right w:val="none" w:sz="0" w:space="0" w:color="auto"/>
                      </w:divBdr>
                    </w:div>
                  </w:divsChild>
                </w:div>
                <w:div w:id="106049283">
                  <w:marLeft w:val="0"/>
                  <w:marRight w:val="0"/>
                  <w:marTop w:val="0"/>
                  <w:marBottom w:val="0"/>
                  <w:divBdr>
                    <w:top w:val="none" w:sz="0" w:space="0" w:color="auto"/>
                    <w:left w:val="none" w:sz="0" w:space="0" w:color="auto"/>
                    <w:bottom w:val="none" w:sz="0" w:space="0" w:color="auto"/>
                    <w:right w:val="none" w:sz="0" w:space="0" w:color="auto"/>
                  </w:divBdr>
                  <w:divsChild>
                    <w:div w:id="1078357637">
                      <w:marLeft w:val="0"/>
                      <w:marRight w:val="0"/>
                      <w:marTop w:val="0"/>
                      <w:marBottom w:val="0"/>
                      <w:divBdr>
                        <w:top w:val="none" w:sz="0" w:space="0" w:color="auto"/>
                        <w:left w:val="none" w:sz="0" w:space="0" w:color="auto"/>
                        <w:bottom w:val="none" w:sz="0" w:space="0" w:color="auto"/>
                        <w:right w:val="none" w:sz="0" w:space="0" w:color="auto"/>
                      </w:divBdr>
                    </w:div>
                  </w:divsChild>
                </w:div>
                <w:div w:id="106511892">
                  <w:marLeft w:val="0"/>
                  <w:marRight w:val="0"/>
                  <w:marTop w:val="0"/>
                  <w:marBottom w:val="0"/>
                  <w:divBdr>
                    <w:top w:val="none" w:sz="0" w:space="0" w:color="auto"/>
                    <w:left w:val="none" w:sz="0" w:space="0" w:color="auto"/>
                    <w:bottom w:val="none" w:sz="0" w:space="0" w:color="auto"/>
                    <w:right w:val="none" w:sz="0" w:space="0" w:color="auto"/>
                  </w:divBdr>
                  <w:divsChild>
                    <w:div w:id="1068843813">
                      <w:marLeft w:val="0"/>
                      <w:marRight w:val="0"/>
                      <w:marTop w:val="0"/>
                      <w:marBottom w:val="0"/>
                      <w:divBdr>
                        <w:top w:val="none" w:sz="0" w:space="0" w:color="auto"/>
                        <w:left w:val="none" w:sz="0" w:space="0" w:color="auto"/>
                        <w:bottom w:val="none" w:sz="0" w:space="0" w:color="auto"/>
                        <w:right w:val="none" w:sz="0" w:space="0" w:color="auto"/>
                      </w:divBdr>
                    </w:div>
                  </w:divsChild>
                </w:div>
                <w:div w:id="115418457">
                  <w:marLeft w:val="0"/>
                  <w:marRight w:val="0"/>
                  <w:marTop w:val="0"/>
                  <w:marBottom w:val="0"/>
                  <w:divBdr>
                    <w:top w:val="none" w:sz="0" w:space="0" w:color="auto"/>
                    <w:left w:val="none" w:sz="0" w:space="0" w:color="auto"/>
                    <w:bottom w:val="none" w:sz="0" w:space="0" w:color="auto"/>
                    <w:right w:val="none" w:sz="0" w:space="0" w:color="auto"/>
                  </w:divBdr>
                  <w:divsChild>
                    <w:div w:id="788473475">
                      <w:marLeft w:val="0"/>
                      <w:marRight w:val="0"/>
                      <w:marTop w:val="0"/>
                      <w:marBottom w:val="0"/>
                      <w:divBdr>
                        <w:top w:val="none" w:sz="0" w:space="0" w:color="auto"/>
                        <w:left w:val="none" w:sz="0" w:space="0" w:color="auto"/>
                        <w:bottom w:val="none" w:sz="0" w:space="0" w:color="auto"/>
                        <w:right w:val="none" w:sz="0" w:space="0" w:color="auto"/>
                      </w:divBdr>
                    </w:div>
                  </w:divsChild>
                </w:div>
                <w:div w:id="130905791">
                  <w:marLeft w:val="0"/>
                  <w:marRight w:val="0"/>
                  <w:marTop w:val="0"/>
                  <w:marBottom w:val="0"/>
                  <w:divBdr>
                    <w:top w:val="none" w:sz="0" w:space="0" w:color="auto"/>
                    <w:left w:val="none" w:sz="0" w:space="0" w:color="auto"/>
                    <w:bottom w:val="none" w:sz="0" w:space="0" w:color="auto"/>
                    <w:right w:val="none" w:sz="0" w:space="0" w:color="auto"/>
                  </w:divBdr>
                  <w:divsChild>
                    <w:div w:id="749737158">
                      <w:marLeft w:val="0"/>
                      <w:marRight w:val="0"/>
                      <w:marTop w:val="0"/>
                      <w:marBottom w:val="0"/>
                      <w:divBdr>
                        <w:top w:val="none" w:sz="0" w:space="0" w:color="auto"/>
                        <w:left w:val="none" w:sz="0" w:space="0" w:color="auto"/>
                        <w:bottom w:val="none" w:sz="0" w:space="0" w:color="auto"/>
                        <w:right w:val="none" w:sz="0" w:space="0" w:color="auto"/>
                      </w:divBdr>
                    </w:div>
                  </w:divsChild>
                </w:div>
                <w:div w:id="132454247">
                  <w:marLeft w:val="0"/>
                  <w:marRight w:val="0"/>
                  <w:marTop w:val="0"/>
                  <w:marBottom w:val="0"/>
                  <w:divBdr>
                    <w:top w:val="none" w:sz="0" w:space="0" w:color="auto"/>
                    <w:left w:val="none" w:sz="0" w:space="0" w:color="auto"/>
                    <w:bottom w:val="none" w:sz="0" w:space="0" w:color="auto"/>
                    <w:right w:val="none" w:sz="0" w:space="0" w:color="auto"/>
                  </w:divBdr>
                  <w:divsChild>
                    <w:div w:id="1943485828">
                      <w:marLeft w:val="0"/>
                      <w:marRight w:val="0"/>
                      <w:marTop w:val="0"/>
                      <w:marBottom w:val="0"/>
                      <w:divBdr>
                        <w:top w:val="none" w:sz="0" w:space="0" w:color="auto"/>
                        <w:left w:val="none" w:sz="0" w:space="0" w:color="auto"/>
                        <w:bottom w:val="none" w:sz="0" w:space="0" w:color="auto"/>
                        <w:right w:val="none" w:sz="0" w:space="0" w:color="auto"/>
                      </w:divBdr>
                    </w:div>
                  </w:divsChild>
                </w:div>
                <w:div w:id="135530092">
                  <w:marLeft w:val="0"/>
                  <w:marRight w:val="0"/>
                  <w:marTop w:val="0"/>
                  <w:marBottom w:val="0"/>
                  <w:divBdr>
                    <w:top w:val="none" w:sz="0" w:space="0" w:color="auto"/>
                    <w:left w:val="none" w:sz="0" w:space="0" w:color="auto"/>
                    <w:bottom w:val="none" w:sz="0" w:space="0" w:color="auto"/>
                    <w:right w:val="none" w:sz="0" w:space="0" w:color="auto"/>
                  </w:divBdr>
                  <w:divsChild>
                    <w:div w:id="1685740894">
                      <w:marLeft w:val="0"/>
                      <w:marRight w:val="0"/>
                      <w:marTop w:val="0"/>
                      <w:marBottom w:val="0"/>
                      <w:divBdr>
                        <w:top w:val="none" w:sz="0" w:space="0" w:color="auto"/>
                        <w:left w:val="none" w:sz="0" w:space="0" w:color="auto"/>
                        <w:bottom w:val="none" w:sz="0" w:space="0" w:color="auto"/>
                        <w:right w:val="none" w:sz="0" w:space="0" w:color="auto"/>
                      </w:divBdr>
                    </w:div>
                  </w:divsChild>
                </w:div>
                <w:div w:id="136456923">
                  <w:marLeft w:val="0"/>
                  <w:marRight w:val="0"/>
                  <w:marTop w:val="0"/>
                  <w:marBottom w:val="0"/>
                  <w:divBdr>
                    <w:top w:val="none" w:sz="0" w:space="0" w:color="auto"/>
                    <w:left w:val="none" w:sz="0" w:space="0" w:color="auto"/>
                    <w:bottom w:val="none" w:sz="0" w:space="0" w:color="auto"/>
                    <w:right w:val="none" w:sz="0" w:space="0" w:color="auto"/>
                  </w:divBdr>
                  <w:divsChild>
                    <w:div w:id="2089617255">
                      <w:marLeft w:val="0"/>
                      <w:marRight w:val="0"/>
                      <w:marTop w:val="0"/>
                      <w:marBottom w:val="0"/>
                      <w:divBdr>
                        <w:top w:val="none" w:sz="0" w:space="0" w:color="auto"/>
                        <w:left w:val="none" w:sz="0" w:space="0" w:color="auto"/>
                        <w:bottom w:val="none" w:sz="0" w:space="0" w:color="auto"/>
                        <w:right w:val="none" w:sz="0" w:space="0" w:color="auto"/>
                      </w:divBdr>
                    </w:div>
                  </w:divsChild>
                </w:div>
                <w:div w:id="140194889">
                  <w:marLeft w:val="0"/>
                  <w:marRight w:val="0"/>
                  <w:marTop w:val="0"/>
                  <w:marBottom w:val="0"/>
                  <w:divBdr>
                    <w:top w:val="none" w:sz="0" w:space="0" w:color="auto"/>
                    <w:left w:val="none" w:sz="0" w:space="0" w:color="auto"/>
                    <w:bottom w:val="none" w:sz="0" w:space="0" w:color="auto"/>
                    <w:right w:val="none" w:sz="0" w:space="0" w:color="auto"/>
                  </w:divBdr>
                  <w:divsChild>
                    <w:div w:id="445662026">
                      <w:marLeft w:val="0"/>
                      <w:marRight w:val="0"/>
                      <w:marTop w:val="0"/>
                      <w:marBottom w:val="0"/>
                      <w:divBdr>
                        <w:top w:val="none" w:sz="0" w:space="0" w:color="auto"/>
                        <w:left w:val="none" w:sz="0" w:space="0" w:color="auto"/>
                        <w:bottom w:val="none" w:sz="0" w:space="0" w:color="auto"/>
                        <w:right w:val="none" w:sz="0" w:space="0" w:color="auto"/>
                      </w:divBdr>
                    </w:div>
                  </w:divsChild>
                </w:div>
                <w:div w:id="143813767">
                  <w:marLeft w:val="0"/>
                  <w:marRight w:val="0"/>
                  <w:marTop w:val="0"/>
                  <w:marBottom w:val="0"/>
                  <w:divBdr>
                    <w:top w:val="none" w:sz="0" w:space="0" w:color="auto"/>
                    <w:left w:val="none" w:sz="0" w:space="0" w:color="auto"/>
                    <w:bottom w:val="none" w:sz="0" w:space="0" w:color="auto"/>
                    <w:right w:val="none" w:sz="0" w:space="0" w:color="auto"/>
                  </w:divBdr>
                  <w:divsChild>
                    <w:div w:id="154807379">
                      <w:marLeft w:val="0"/>
                      <w:marRight w:val="0"/>
                      <w:marTop w:val="0"/>
                      <w:marBottom w:val="0"/>
                      <w:divBdr>
                        <w:top w:val="none" w:sz="0" w:space="0" w:color="auto"/>
                        <w:left w:val="none" w:sz="0" w:space="0" w:color="auto"/>
                        <w:bottom w:val="none" w:sz="0" w:space="0" w:color="auto"/>
                        <w:right w:val="none" w:sz="0" w:space="0" w:color="auto"/>
                      </w:divBdr>
                    </w:div>
                  </w:divsChild>
                </w:div>
                <w:div w:id="147597166">
                  <w:marLeft w:val="0"/>
                  <w:marRight w:val="0"/>
                  <w:marTop w:val="0"/>
                  <w:marBottom w:val="0"/>
                  <w:divBdr>
                    <w:top w:val="none" w:sz="0" w:space="0" w:color="auto"/>
                    <w:left w:val="none" w:sz="0" w:space="0" w:color="auto"/>
                    <w:bottom w:val="none" w:sz="0" w:space="0" w:color="auto"/>
                    <w:right w:val="none" w:sz="0" w:space="0" w:color="auto"/>
                  </w:divBdr>
                  <w:divsChild>
                    <w:div w:id="1529221258">
                      <w:marLeft w:val="0"/>
                      <w:marRight w:val="0"/>
                      <w:marTop w:val="0"/>
                      <w:marBottom w:val="0"/>
                      <w:divBdr>
                        <w:top w:val="none" w:sz="0" w:space="0" w:color="auto"/>
                        <w:left w:val="none" w:sz="0" w:space="0" w:color="auto"/>
                        <w:bottom w:val="none" w:sz="0" w:space="0" w:color="auto"/>
                        <w:right w:val="none" w:sz="0" w:space="0" w:color="auto"/>
                      </w:divBdr>
                    </w:div>
                  </w:divsChild>
                </w:div>
                <w:div w:id="164705739">
                  <w:marLeft w:val="0"/>
                  <w:marRight w:val="0"/>
                  <w:marTop w:val="0"/>
                  <w:marBottom w:val="0"/>
                  <w:divBdr>
                    <w:top w:val="none" w:sz="0" w:space="0" w:color="auto"/>
                    <w:left w:val="none" w:sz="0" w:space="0" w:color="auto"/>
                    <w:bottom w:val="none" w:sz="0" w:space="0" w:color="auto"/>
                    <w:right w:val="none" w:sz="0" w:space="0" w:color="auto"/>
                  </w:divBdr>
                  <w:divsChild>
                    <w:div w:id="1924221507">
                      <w:marLeft w:val="0"/>
                      <w:marRight w:val="0"/>
                      <w:marTop w:val="0"/>
                      <w:marBottom w:val="0"/>
                      <w:divBdr>
                        <w:top w:val="none" w:sz="0" w:space="0" w:color="auto"/>
                        <w:left w:val="none" w:sz="0" w:space="0" w:color="auto"/>
                        <w:bottom w:val="none" w:sz="0" w:space="0" w:color="auto"/>
                        <w:right w:val="none" w:sz="0" w:space="0" w:color="auto"/>
                      </w:divBdr>
                    </w:div>
                  </w:divsChild>
                </w:div>
                <w:div w:id="175270190">
                  <w:marLeft w:val="0"/>
                  <w:marRight w:val="0"/>
                  <w:marTop w:val="0"/>
                  <w:marBottom w:val="0"/>
                  <w:divBdr>
                    <w:top w:val="none" w:sz="0" w:space="0" w:color="auto"/>
                    <w:left w:val="none" w:sz="0" w:space="0" w:color="auto"/>
                    <w:bottom w:val="none" w:sz="0" w:space="0" w:color="auto"/>
                    <w:right w:val="none" w:sz="0" w:space="0" w:color="auto"/>
                  </w:divBdr>
                  <w:divsChild>
                    <w:div w:id="1942949946">
                      <w:marLeft w:val="0"/>
                      <w:marRight w:val="0"/>
                      <w:marTop w:val="0"/>
                      <w:marBottom w:val="0"/>
                      <w:divBdr>
                        <w:top w:val="none" w:sz="0" w:space="0" w:color="auto"/>
                        <w:left w:val="none" w:sz="0" w:space="0" w:color="auto"/>
                        <w:bottom w:val="none" w:sz="0" w:space="0" w:color="auto"/>
                        <w:right w:val="none" w:sz="0" w:space="0" w:color="auto"/>
                      </w:divBdr>
                    </w:div>
                  </w:divsChild>
                </w:div>
                <w:div w:id="183859612">
                  <w:marLeft w:val="0"/>
                  <w:marRight w:val="0"/>
                  <w:marTop w:val="0"/>
                  <w:marBottom w:val="0"/>
                  <w:divBdr>
                    <w:top w:val="none" w:sz="0" w:space="0" w:color="auto"/>
                    <w:left w:val="none" w:sz="0" w:space="0" w:color="auto"/>
                    <w:bottom w:val="none" w:sz="0" w:space="0" w:color="auto"/>
                    <w:right w:val="none" w:sz="0" w:space="0" w:color="auto"/>
                  </w:divBdr>
                  <w:divsChild>
                    <w:div w:id="700858166">
                      <w:marLeft w:val="0"/>
                      <w:marRight w:val="0"/>
                      <w:marTop w:val="0"/>
                      <w:marBottom w:val="0"/>
                      <w:divBdr>
                        <w:top w:val="none" w:sz="0" w:space="0" w:color="auto"/>
                        <w:left w:val="none" w:sz="0" w:space="0" w:color="auto"/>
                        <w:bottom w:val="none" w:sz="0" w:space="0" w:color="auto"/>
                        <w:right w:val="none" w:sz="0" w:space="0" w:color="auto"/>
                      </w:divBdr>
                    </w:div>
                  </w:divsChild>
                </w:div>
                <w:div w:id="193276732">
                  <w:marLeft w:val="0"/>
                  <w:marRight w:val="0"/>
                  <w:marTop w:val="0"/>
                  <w:marBottom w:val="0"/>
                  <w:divBdr>
                    <w:top w:val="none" w:sz="0" w:space="0" w:color="auto"/>
                    <w:left w:val="none" w:sz="0" w:space="0" w:color="auto"/>
                    <w:bottom w:val="none" w:sz="0" w:space="0" w:color="auto"/>
                    <w:right w:val="none" w:sz="0" w:space="0" w:color="auto"/>
                  </w:divBdr>
                  <w:divsChild>
                    <w:div w:id="631981591">
                      <w:marLeft w:val="0"/>
                      <w:marRight w:val="0"/>
                      <w:marTop w:val="0"/>
                      <w:marBottom w:val="0"/>
                      <w:divBdr>
                        <w:top w:val="none" w:sz="0" w:space="0" w:color="auto"/>
                        <w:left w:val="none" w:sz="0" w:space="0" w:color="auto"/>
                        <w:bottom w:val="none" w:sz="0" w:space="0" w:color="auto"/>
                        <w:right w:val="none" w:sz="0" w:space="0" w:color="auto"/>
                      </w:divBdr>
                    </w:div>
                  </w:divsChild>
                </w:div>
                <w:div w:id="196552010">
                  <w:marLeft w:val="0"/>
                  <w:marRight w:val="0"/>
                  <w:marTop w:val="0"/>
                  <w:marBottom w:val="0"/>
                  <w:divBdr>
                    <w:top w:val="none" w:sz="0" w:space="0" w:color="auto"/>
                    <w:left w:val="none" w:sz="0" w:space="0" w:color="auto"/>
                    <w:bottom w:val="none" w:sz="0" w:space="0" w:color="auto"/>
                    <w:right w:val="none" w:sz="0" w:space="0" w:color="auto"/>
                  </w:divBdr>
                  <w:divsChild>
                    <w:div w:id="1716074814">
                      <w:marLeft w:val="0"/>
                      <w:marRight w:val="0"/>
                      <w:marTop w:val="0"/>
                      <w:marBottom w:val="0"/>
                      <w:divBdr>
                        <w:top w:val="none" w:sz="0" w:space="0" w:color="auto"/>
                        <w:left w:val="none" w:sz="0" w:space="0" w:color="auto"/>
                        <w:bottom w:val="none" w:sz="0" w:space="0" w:color="auto"/>
                        <w:right w:val="none" w:sz="0" w:space="0" w:color="auto"/>
                      </w:divBdr>
                    </w:div>
                  </w:divsChild>
                </w:div>
                <w:div w:id="202134096">
                  <w:marLeft w:val="0"/>
                  <w:marRight w:val="0"/>
                  <w:marTop w:val="0"/>
                  <w:marBottom w:val="0"/>
                  <w:divBdr>
                    <w:top w:val="none" w:sz="0" w:space="0" w:color="auto"/>
                    <w:left w:val="none" w:sz="0" w:space="0" w:color="auto"/>
                    <w:bottom w:val="none" w:sz="0" w:space="0" w:color="auto"/>
                    <w:right w:val="none" w:sz="0" w:space="0" w:color="auto"/>
                  </w:divBdr>
                  <w:divsChild>
                    <w:div w:id="1147816258">
                      <w:marLeft w:val="0"/>
                      <w:marRight w:val="0"/>
                      <w:marTop w:val="0"/>
                      <w:marBottom w:val="0"/>
                      <w:divBdr>
                        <w:top w:val="none" w:sz="0" w:space="0" w:color="auto"/>
                        <w:left w:val="none" w:sz="0" w:space="0" w:color="auto"/>
                        <w:bottom w:val="none" w:sz="0" w:space="0" w:color="auto"/>
                        <w:right w:val="none" w:sz="0" w:space="0" w:color="auto"/>
                      </w:divBdr>
                    </w:div>
                  </w:divsChild>
                </w:div>
                <w:div w:id="236207163">
                  <w:marLeft w:val="0"/>
                  <w:marRight w:val="0"/>
                  <w:marTop w:val="0"/>
                  <w:marBottom w:val="0"/>
                  <w:divBdr>
                    <w:top w:val="none" w:sz="0" w:space="0" w:color="auto"/>
                    <w:left w:val="none" w:sz="0" w:space="0" w:color="auto"/>
                    <w:bottom w:val="none" w:sz="0" w:space="0" w:color="auto"/>
                    <w:right w:val="none" w:sz="0" w:space="0" w:color="auto"/>
                  </w:divBdr>
                  <w:divsChild>
                    <w:div w:id="1320891139">
                      <w:marLeft w:val="0"/>
                      <w:marRight w:val="0"/>
                      <w:marTop w:val="0"/>
                      <w:marBottom w:val="0"/>
                      <w:divBdr>
                        <w:top w:val="none" w:sz="0" w:space="0" w:color="auto"/>
                        <w:left w:val="none" w:sz="0" w:space="0" w:color="auto"/>
                        <w:bottom w:val="none" w:sz="0" w:space="0" w:color="auto"/>
                        <w:right w:val="none" w:sz="0" w:space="0" w:color="auto"/>
                      </w:divBdr>
                    </w:div>
                  </w:divsChild>
                </w:div>
                <w:div w:id="244926393">
                  <w:marLeft w:val="0"/>
                  <w:marRight w:val="0"/>
                  <w:marTop w:val="0"/>
                  <w:marBottom w:val="0"/>
                  <w:divBdr>
                    <w:top w:val="none" w:sz="0" w:space="0" w:color="auto"/>
                    <w:left w:val="none" w:sz="0" w:space="0" w:color="auto"/>
                    <w:bottom w:val="none" w:sz="0" w:space="0" w:color="auto"/>
                    <w:right w:val="none" w:sz="0" w:space="0" w:color="auto"/>
                  </w:divBdr>
                  <w:divsChild>
                    <w:div w:id="648436746">
                      <w:marLeft w:val="0"/>
                      <w:marRight w:val="0"/>
                      <w:marTop w:val="0"/>
                      <w:marBottom w:val="0"/>
                      <w:divBdr>
                        <w:top w:val="none" w:sz="0" w:space="0" w:color="auto"/>
                        <w:left w:val="none" w:sz="0" w:space="0" w:color="auto"/>
                        <w:bottom w:val="none" w:sz="0" w:space="0" w:color="auto"/>
                        <w:right w:val="none" w:sz="0" w:space="0" w:color="auto"/>
                      </w:divBdr>
                    </w:div>
                  </w:divsChild>
                </w:div>
                <w:div w:id="248320637">
                  <w:marLeft w:val="0"/>
                  <w:marRight w:val="0"/>
                  <w:marTop w:val="0"/>
                  <w:marBottom w:val="0"/>
                  <w:divBdr>
                    <w:top w:val="none" w:sz="0" w:space="0" w:color="auto"/>
                    <w:left w:val="none" w:sz="0" w:space="0" w:color="auto"/>
                    <w:bottom w:val="none" w:sz="0" w:space="0" w:color="auto"/>
                    <w:right w:val="none" w:sz="0" w:space="0" w:color="auto"/>
                  </w:divBdr>
                  <w:divsChild>
                    <w:div w:id="2118521020">
                      <w:marLeft w:val="0"/>
                      <w:marRight w:val="0"/>
                      <w:marTop w:val="0"/>
                      <w:marBottom w:val="0"/>
                      <w:divBdr>
                        <w:top w:val="none" w:sz="0" w:space="0" w:color="auto"/>
                        <w:left w:val="none" w:sz="0" w:space="0" w:color="auto"/>
                        <w:bottom w:val="none" w:sz="0" w:space="0" w:color="auto"/>
                        <w:right w:val="none" w:sz="0" w:space="0" w:color="auto"/>
                      </w:divBdr>
                    </w:div>
                  </w:divsChild>
                </w:div>
                <w:div w:id="249893326">
                  <w:marLeft w:val="0"/>
                  <w:marRight w:val="0"/>
                  <w:marTop w:val="0"/>
                  <w:marBottom w:val="0"/>
                  <w:divBdr>
                    <w:top w:val="none" w:sz="0" w:space="0" w:color="auto"/>
                    <w:left w:val="none" w:sz="0" w:space="0" w:color="auto"/>
                    <w:bottom w:val="none" w:sz="0" w:space="0" w:color="auto"/>
                    <w:right w:val="none" w:sz="0" w:space="0" w:color="auto"/>
                  </w:divBdr>
                  <w:divsChild>
                    <w:div w:id="1799759882">
                      <w:marLeft w:val="0"/>
                      <w:marRight w:val="0"/>
                      <w:marTop w:val="0"/>
                      <w:marBottom w:val="0"/>
                      <w:divBdr>
                        <w:top w:val="none" w:sz="0" w:space="0" w:color="auto"/>
                        <w:left w:val="none" w:sz="0" w:space="0" w:color="auto"/>
                        <w:bottom w:val="none" w:sz="0" w:space="0" w:color="auto"/>
                        <w:right w:val="none" w:sz="0" w:space="0" w:color="auto"/>
                      </w:divBdr>
                    </w:div>
                  </w:divsChild>
                </w:div>
                <w:div w:id="255477196">
                  <w:marLeft w:val="0"/>
                  <w:marRight w:val="0"/>
                  <w:marTop w:val="0"/>
                  <w:marBottom w:val="0"/>
                  <w:divBdr>
                    <w:top w:val="none" w:sz="0" w:space="0" w:color="auto"/>
                    <w:left w:val="none" w:sz="0" w:space="0" w:color="auto"/>
                    <w:bottom w:val="none" w:sz="0" w:space="0" w:color="auto"/>
                    <w:right w:val="none" w:sz="0" w:space="0" w:color="auto"/>
                  </w:divBdr>
                  <w:divsChild>
                    <w:div w:id="1458797764">
                      <w:marLeft w:val="0"/>
                      <w:marRight w:val="0"/>
                      <w:marTop w:val="0"/>
                      <w:marBottom w:val="0"/>
                      <w:divBdr>
                        <w:top w:val="none" w:sz="0" w:space="0" w:color="auto"/>
                        <w:left w:val="none" w:sz="0" w:space="0" w:color="auto"/>
                        <w:bottom w:val="none" w:sz="0" w:space="0" w:color="auto"/>
                        <w:right w:val="none" w:sz="0" w:space="0" w:color="auto"/>
                      </w:divBdr>
                    </w:div>
                  </w:divsChild>
                </w:div>
                <w:div w:id="285818342">
                  <w:marLeft w:val="0"/>
                  <w:marRight w:val="0"/>
                  <w:marTop w:val="0"/>
                  <w:marBottom w:val="0"/>
                  <w:divBdr>
                    <w:top w:val="none" w:sz="0" w:space="0" w:color="auto"/>
                    <w:left w:val="none" w:sz="0" w:space="0" w:color="auto"/>
                    <w:bottom w:val="none" w:sz="0" w:space="0" w:color="auto"/>
                    <w:right w:val="none" w:sz="0" w:space="0" w:color="auto"/>
                  </w:divBdr>
                  <w:divsChild>
                    <w:div w:id="1327170274">
                      <w:marLeft w:val="0"/>
                      <w:marRight w:val="0"/>
                      <w:marTop w:val="0"/>
                      <w:marBottom w:val="0"/>
                      <w:divBdr>
                        <w:top w:val="none" w:sz="0" w:space="0" w:color="auto"/>
                        <w:left w:val="none" w:sz="0" w:space="0" w:color="auto"/>
                        <w:bottom w:val="none" w:sz="0" w:space="0" w:color="auto"/>
                        <w:right w:val="none" w:sz="0" w:space="0" w:color="auto"/>
                      </w:divBdr>
                    </w:div>
                  </w:divsChild>
                </w:div>
                <w:div w:id="292949094">
                  <w:marLeft w:val="0"/>
                  <w:marRight w:val="0"/>
                  <w:marTop w:val="0"/>
                  <w:marBottom w:val="0"/>
                  <w:divBdr>
                    <w:top w:val="none" w:sz="0" w:space="0" w:color="auto"/>
                    <w:left w:val="none" w:sz="0" w:space="0" w:color="auto"/>
                    <w:bottom w:val="none" w:sz="0" w:space="0" w:color="auto"/>
                    <w:right w:val="none" w:sz="0" w:space="0" w:color="auto"/>
                  </w:divBdr>
                  <w:divsChild>
                    <w:div w:id="1970477755">
                      <w:marLeft w:val="0"/>
                      <w:marRight w:val="0"/>
                      <w:marTop w:val="0"/>
                      <w:marBottom w:val="0"/>
                      <w:divBdr>
                        <w:top w:val="none" w:sz="0" w:space="0" w:color="auto"/>
                        <w:left w:val="none" w:sz="0" w:space="0" w:color="auto"/>
                        <w:bottom w:val="none" w:sz="0" w:space="0" w:color="auto"/>
                        <w:right w:val="none" w:sz="0" w:space="0" w:color="auto"/>
                      </w:divBdr>
                    </w:div>
                  </w:divsChild>
                </w:div>
                <w:div w:id="296684580">
                  <w:marLeft w:val="0"/>
                  <w:marRight w:val="0"/>
                  <w:marTop w:val="0"/>
                  <w:marBottom w:val="0"/>
                  <w:divBdr>
                    <w:top w:val="none" w:sz="0" w:space="0" w:color="auto"/>
                    <w:left w:val="none" w:sz="0" w:space="0" w:color="auto"/>
                    <w:bottom w:val="none" w:sz="0" w:space="0" w:color="auto"/>
                    <w:right w:val="none" w:sz="0" w:space="0" w:color="auto"/>
                  </w:divBdr>
                  <w:divsChild>
                    <w:div w:id="189807087">
                      <w:marLeft w:val="0"/>
                      <w:marRight w:val="0"/>
                      <w:marTop w:val="0"/>
                      <w:marBottom w:val="0"/>
                      <w:divBdr>
                        <w:top w:val="none" w:sz="0" w:space="0" w:color="auto"/>
                        <w:left w:val="none" w:sz="0" w:space="0" w:color="auto"/>
                        <w:bottom w:val="none" w:sz="0" w:space="0" w:color="auto"/>
                        <w:right w:val="none" w:sz="0" w:space="0" w:color="auto"/>
                      </w:divBdr>
                    </w:div>
                  </w:divsChild>
                </w:div>
                <w:div w:id="304969484">
                  <w:marLeft w:val="0"/>
                  <w:marRight w:val="0"/>
                  <w:marTop w:val="0"/>
                  <w:marBottom w:val="0"/>
                  <w:divBdr>
                    <w:top w:val="none" w:sz="0" w:space="0" w:color="auto"/>
                    <w:left w:val="none" w:sz="0" w:space="0" w:color="auto"/>
                    <w:bottom w:val="none" w:sz="0" w:space="0" w:color="auto"/>
                    <w:right w:val="none" w:sz="0" w:space="0" w:color="auto"/>
                  </w:divBdr>
                  <w:divsChild>
                    <w:div w:id="785855592">
                      <w:marLeft w:val="0"/>
                      <w:marRight w:val="0"/>
                      <w:marTop w:val="0"/>
                      <w:marBottom w:val="0"/>
                      <w:divBdr>
                        <w:top w:val="none" w:sz="0" w:space="0" w:color="auto"/>
                        <w:left w:val="none" w:sz="0" w:space="0" w:color="auto"/>
                        <w:bottom w:val="none" w:sz="0" w:space="0" w:color="auto"/>
                        <w:right w:val="none" w:sz="0" w:space="0" w:color="auto"/>
                      </w:divBdr>
                      <w:divsChild>
                        <w:div w:id="157943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319617">
                  <w:marLeft w:val="0"/>
                  <w:marRight w:val="0"/>
                  <w:marTop w:val="0"/>
                  <w:marBottom w:val="0"/>
                  <w:divBdr>
                    <w:top w:val="none" w:sz="0" w:space="0" w:color="auto"/>
                    <w:left w:val="none" w:sz="0" w:space="0" w:color="auto"/>
                    <w:bottom w:val="none" w:sz="0" w:space="0" w:color="auto"/>
                    <w:right w:val="none" w:sz="0" w:space="0" w:color="auto"/>
                  </w:divBdr>
                  <w:divsChild>
                    <w:div w:id="1776318813">
                      <w:marLeft w:val="0"/>
                      <w:marRight w:val="0"/>
                      <w:marTop w:val="0"/>
                      <w:marBottom w:val="0"/>
                      <w:divBdr>
                        <w:top w:val="none" w:sz="0" w:space="0" w:color="auto"/>
                        <w:left w:val="none" w:sz="0" w:space="0" w:color="auto"/>
                        <w:bottom w:val="none" w:sz="0" w:space="0" w:color="auto"/>
                        <w:right w:val="none" w:sz="0" w:space="0" w:color="auto"/>
                      </w:divBdr>
                    </w:div>
                  </w:divsChild>
                </w:div>
                <w:div w:id="319697288">
                  <w:marLeft w:val="0"/>
                  <w:marRight w:val="0"/>
                  <w:marTop w:val="0"/>
                  <w:marBottom w:val="0"/>
                  <w:divBdr>
                    <w:top w:val="none" w:sz="0" w:space="0" w:color="auto"/>
                    <w:left w:val="none" w:sz="0" w:space="0" w:color="auto"/>
                    <w:bottom w:val="none" w:sz="0" w:space="0" w:color="auto"/>
                    <w:right w:val="none" w:sz="0" w:space="0" w:color="auto"/>
                  </w:divBdr>
                  <w:divsChild>
                    <w:div w:id="510068940">
                      <w:marLeft w:val="0"/>
                      <w:marRight w:val="0"/>
                      <w:marTop w:val="0"/>
                      <w:marBottom w:val="0"/>
                      <w:divBdr>
                        <w:top w:val="none" w:sz="0" w:space="0" w:color="auto"/>
                        <w:left w:val="none" w:sz="0" w:space="0" w:color="auto"/>
                        <w:bottom w:val="none" w:sz="0" w:space="0" w:color="auto"/>
                        <w:right w:val="none" w:sz="0" w:space="0" w:color="auto"/>
                      </w:divBdr>
                    </w:div>
                  </w:divsChild>
                </w:div>
                <w:div w:id="321467653">
                  <w:marLeft w:val="0"/>
                  <w:marRight w:val="0"/>
                  <w:marTop w:val="0"/>
                  <w:marBottom w:val="0"/>
                  <w:divBdr>
                    <w:top w:val="none" w:sz="0" w:space="0" w:color="auto"/>
                    <w:left w:val="none" w:sz="0" w:space="0" w:color="auto"/>
                    <w:bottom w:val="none" w:sz="0" w:space="0" w:color="auto"/>
                    <w:right w:val="none" w:sz="0" w:space="0" w:color="auto"/>
                  </w:divBdr>
                  <w:divsChild>
                    <w:div w:id="2129007908">
                      <w:marLeft w:val="0"/>
                      <w:marRight w:val="0"/>
                      <w:marTop w:val="0"/>
                      <w:marBottom w:val="0"/>
                      <w:divBdr>
                        <w:top w:val="none" w:sz="0" w:space="0" w:color="auto"/>
                        <w:left w:val="none" w:sz="0" w:space="0" w:color="auto"/>
                        <w:bottom w:val="none" w:sz="0" w:space="0" w:color="auto"/>
                        <w:right w:val="none" w:sz="0" w:space="0" w:color="auto"/>
                      </w:divBdr>
                    </w:div>
                  </w:divsChild>
                </w:div>
                <w:div w:id="324014136">
                  <w:marLeft w:val="0"/>
                  <w:marRight w:val="0"/>
                  <w:marTop w:val="0"/>
                  <w:marBottom w:val="0"/>
                  <w:divBdr>
                    <w:top w:val="none" w:sz="0" w:space="0" w:color="auto"/>
                    <w:left w:val="none" w:sz="0" w:space="0" w:color="auto"/>
                    <w:bottom w:val="none" w:sz="0" w:space="0" w:color="auto"/>
                    <w:right w:val="none" w:sz="0" w:space="0" w:color="auto"/>
                  </w:divBdr>
                  <w:divsChild>
                    <w:div w:id="340131997">
                      <w:marLeft w:val="0"/>
                      <w:marRight w:val="0"/>
                      <w:marTop w:val="0"/>
                      <w:marBottom w:val="0"/>
                      <w:divBdr>
                        <w:top w:val="none" w:sz="0" w:space="0" w:color="auto"/>
                        <w:left w:val="none" w:sz="0" w:space="0" w:color="auto"/>
                        <w:bottom w:val="none" w:sz="0" w:space="0" w:color="auto"/>
                        <w:right w:val="none" w:sz="0" w:space="0" w:color="auto"/>
                      </w:divBdr>
                    </w:div>
                  </w:divsChild>
                </w:div>
                <w:div w:id="332952238">
                  <w:marLeft w:val="0"/>
                  <w:marRight w:val="0"/>
                  <w:marTop w:val="0"/>
                  <w:marBottom w:val="0"/>
                  <w:divBdr>
                    <w:top w:val="none" w:sz="0" w:space="0" w:color="auto"/>
                    <w:left w:val="none" w:sz="0" w:space="0" w:color="auto"/>
                    <w:bottom w:val="none" w:sz="0" w:space="0" w:color="auto"/>
                    <w:right w:val="none" w:sz="0" w:space="0" w:color="auto"/>
                  </w:divBdr>
                  <w:divsChild>
                    <w:div w:id="660692365">
                      <w:marLeft w:val="0"/>
                      <w:marRight w:val="0"/>
                      <w:marTop w:val="0"/>
                      <w:marBottom w:val="0"/>
                      <w:divBdr>
                        <w:top w:val="none" w:sz="0" w:space="0" w:color="auto"/>
                        <w:left w:val="none" w:sz="0" w:space="0" w:color="auto"/>
                        <w:bottom w:val="none" w:sz="0" w:space="0" w:color="auto"/>
                        <w:right w:val="none" w:sz="0" w:space="0" w:color="auto"/>
                      </w:divBdr>
                    </w:div>
                  </w:divsChild>
                </w:div>
                <w:div w:id="333919885">
                  <w:marLeft w:val="0"/>
                  <w:marRight w:val="0"/>
                  <w:marTop w:val="0"/>
                  <w:marBottom w:val="0"/>
                  <w:divBdr>
                    <w:top w:val="none" w:sz="0" w:space="0" w:color="auto"/>
                    <w:left w:val="none" w:sz="0" w:space="0" w:color="auto"/>
                    <w:bottom w:val="none" w:sz="0" w:space="0" w:color="auto"/>
                    <w:right w:val="none" w:sz="0" w:space="0" w:color="auto"/>
                  </w:divBdr>
                  <w:divsChild>
                    <w:div w:id="894854121">
                      <w:marLeft w:val="0"/>
                      <w:marRight w:val="0"/>
                      <w:marTop w:val="0"/>
                      <w:marBottom w:val="0"/>
                      <w:divBdr>
                        <w:top w:val="none" w:sz="0" w:space="0" w:color="auto"/>
                        <w:left w:val="none" w:sz="0" w:space="0" w:color="auto"/>
                        <w:bottom w:val="none" w:sz="0" w:space="0" w:color="auto"/>
                        <w:right w:val="none" w:sz="0" w:space="0" w:color="auto"/>
                      </w:divBdr>
                    </w:div>
                  </w:divsChild>
                </w:div>
                <w:div w:id="338701889">
                  <w:marLeft w:val="0"/>
                  <w:marRight w:val="0"/>
                  <w:marTop w:val="0"/>
                  <w:marBottom w:val="0"/>
                  <w:divBdr>
                    <w:top w:val="none" w:sz="0" w:space="0" w:color="auto"/>
                    <w:left w:val="none" w:sz="0" w:space="0" w:color="auto"/>
                    <w:bottom w:val="none" w:sz="0" w:space="0" w:color="auto"/>
                    <w:right w:val="none" w:sz="0" w:space="0" w:color="auto"/>
                  </w:divBdr>
                  <w:divsChild>
                    <w:div w:id="1555391195">
                      <w:marLeft w:val="0"/>
                      <w:marRight w:val="0"/>
                      <w:marTop w:val="0"/>
                      <w:marBottom w:val="0"/>
                      <w:divBdr>
                        <w:top w:val="none" w:sz="0" w:space="0" w:color="auto"/>
                        <w:left w:val="none" w:sz="0" w:space="0" w:color="auto"/>
                        <w:bottom w:val="none" w:sz="0" w:space="0" w:color="auto"/>
                        <w:right w:val="none" w:sz="0" w:space="0" w:color="auto"/>
                      </w:divBdr>
                    </w:div>
                  </w:divsChild>
                </w:div>
                <w:div w:id="345132647">
                  <w:marLeft w:val="0"/>
                  <w:marRight w:val="0"/>
                  <w:marTop w:val="0"/>
                  <w:marBottom w:val="0"/>
                  <w:divBdr>
                    <w:top w:val="none" w:sz="0" w:space="0" w:color="auto"/>
                    <w:left w:val="none" w:sz="0" w:space="0" w:color="auto"/>
                    <w:bottom w:val="none" w:sz="0" w:space="0" w:color="auto"/>
                    <w:right w:val="none" w:sz="0" w:space="0" w:color="auto"/>
                  </w:divBdr>
                  <w:divsChild>
                    <w:div w:id="531067499">
                      <w:marLeft w:val="0"/>
                      <w:marRight w:val="0"/>
                      <w:marTop w:val="0"/>
                      <w:marBottom w:val="0"/>
                      <w:divBdr>
                        <w:top w:val="none" w:sz="0" w:space="0" w:color="auto"/>
                        <w:left w:val="none" w:sz="0" w:space="0" w:color="auto"/>
                        <w:bottom w:val="none" w:sz="0" w:space="0" w:color="auto"/>
                        <w:right w:val="none" w:sz="0" w:space="0" w:color="auto"/>
                      </w:divBdr>
                    </w:div>
                  </w:divsChild>
                </w:div>
                <w:div w:id="364404047">
                  <w:marLeft w:val="0"/>
                  <w:marRight w:val="0"/>
                  <w:marTop w:val="0"/>
                  <w:marBottom w:val="0"/>
                  <w:divBdr>
                    <w:top w:val="none" w:sz="0" w:space="0" w:color="auto"/>
                    <w:left w:val="none" w:sz="0" w:space="0" w:color="auto"/>
                    <w:bottom w:val="none" w:sz="0" w:space="0" w:color="auto"/>
                    <w:right w:val="none" w:sz="0" w:space="0" w:color="auto"/>
                  </w:divBdr>
                  <w:divsChild>
                    <w:div w:id="1501384273">
                      <w:marLeft w:val="0"/>
                      <w:marRight w:val="0"/>
                      <w:marTop w:val="0"/>
                      <w:marBottom w:val="0"/>
                      <w:divBdr>
                        <w:top w:val="none" w:sz="0" w:space="0" w:color="auto"/>
                        <w:left w:val="none" w:sz="0" w:space="0" w:color="auto"/>
                        <w:bottom w:val="none" w:sz="0" w:space="0" w:color="auto"/>
                        <w:right w:val="none" w:sz="0" w:space="0" w:color="auto"/>
                      </w:divBdr>
                    </w:div>
                  </w:divsChild>
                </w:div>
                <w:div w:id="370349947">
                  <w:marLeft w:val="0"/>
                  <w:marRight w:val="0"/>
                  <w:marTop w:val="0"/>
                  <w:marBottom w:val="0"/>
                  <w:divBdr>
                    <w:top w:val="none" w:sz="0" w:space="0" w:color="auto"/>
                    <w:left w:val="none" w:sz="0" w:space="0" w:color="auto"/>
                    <w:bottom w:val="none" w:sz="0" w:space="0" w:color="auto"/>
                    <w:right w:val="none" w:sz="0" w:space="0" w:color="auto"/>
                  </w:divBdr>
                  <w:divsChild>
                    <w:div w:id="153953490">
                      <w:marLeft w:val="0"/>
                      <w:marRight w:val="0"/>
                      <w:marTop w:val="0"/>
                      <w:marBottom w:val="0"/>
                      <w:divBdr>
                        <w:top w:val="none" w:sz="0" w:space="0" w:color="auto"/>
                        <w:left w:val="none" w:sz="0" w:space="0" w:color="auto"/>
                        <w:bottom w:val="none" w:sz="0" w:space="0" w:color="auto"/>
                        <w:right w:val="none" w:sz="0" w:space="0" w:color="auto"/>
                      </w:divBdr>
                    </w:div>
                  </w:divsChild>
                </w:div>
                <w:div w:id="379280817">
                  <w:marLeft w:val="0"/>
                  <w:marRight w:val="0"/>
                  <w:marTop w:val="0"/>
                  <w:marBottom w:val="0"/>
                  <w:divBdr>
                    <w:top w:val="none" w:sz="0" w:space="0" w:color="auto"/>
                    <w:left w:val="none" w:sz="0" w:space="0" w:color="auto"/>
                    <w:bottom w:val="none" w:sz="0" w:space="0" w:color="auto"/>
                    <w:right w:val="none" w:sz="0" w:space="0" w:color="auto"/>
                  </w:divBdr>
                  <w:divsChild>
                    <w:div w:id="857081233">
                      <w:marLeft w:val="0"/>
                      <w:marRight w:val="0"/>
                      <w:marTop w:val="0"/>
                      <w:marBottom w:val="0"/>
                      <w:divBdr>
                        <w:top w:val="none" w:sz="0" w:space="0" w:color="auto"/>
                        <w:left w:val="none" w:sz="0" w:space="0" w:color="auto"/>
                        <w:bottom w:val="none" w:sz="0" w:space="0" w:color="auto"/>
                        <w:right w:val="none" w:sz="0" w:space="0" w:color="auto"/>
                      </w:divBdr>
                    </w:div>
                  </w:divsChild>
                </w:div>
                <w:div w:id="381028507">
                  <w:marLeft w:val="0"/>
                  <w:marRight w:val="0"/>
                  <w:marTop w:val="0"/>
                  <w:marBottom w:val="0"/>
                  <w:divBdr>
                    <w:top w:val="none" w:sz="0" w:space="0" w:color="auto"/>
                    <w:left w:val="none" w:sz="0" w:space="0" w:color="auto"/>
                    <w:bottom w:val="none" w:sz="0" w:space="0" w:color="auto"/>
                    <w:right w:val="none" w:sz="0" w:space="0" w:color="auto"/>
                  </w:divBdr>
                  <w:divsChild>
                    <w:div w:id="1811752516">
                      <w:marLeft w:val="0"/>
                      <w:marRight w:val="0"/>
                      <w:marTop w:val="0"/>
                      <w:marBottom w:val="0"/>
                      <w:divBdr>
                        <w:top w:val="none" w:sz="0" w:space="0" w:color="auto"/>
                        <w:left w:val="none" w:sz="0" w:space="0" w:color="auto"/>
                        <w:bottom w:val="none" w:sz="0" w:space="0" w:color="auto"/>
                        <w:right w:val="none" w:sz="0" w:space="0" w:color="auto"/>
                      </w:divBdr>
                    </w:div>
                  </w:divsChild>
                </w:div>
                <w:div w:id="382296974">
                  <w:marLeft w:val="0"/>
                  <w:marRight w:val="0"/>
                  <w:marTop w:val="0"/>
                  <w:marBottom w:val="0"/>
                  <w:divBdr>
                    <w:top w:val="none" w:sz="0" w:space="0" w:color="auto"/>
                    <w:left w:val="none" w:sz="0" w:space="0" w:color="auto"/>
                    <w:bottom w:val="none" w:sz="0" w:space="0" w:color="auto"/>
                    <w:right w:val="none" w:sz="0" w:space="0" w:color="auto"/>
                  </w:divBdr>
                  <w:divsChild>
                    <w:div w:id="479349799">
                      <w:marLeft w:val="0"/>
                      <w:marRight w:val="0"/>
                      <w:marTop w:val="0"/>
                      <w:marBottom w:val="0"/>
                      <w:divBdr>
                        <w:top w:val="none" w:sz="0" w:space="0" w:color="auto"/>
                        <w:left w:val="none" w:sz="0" w:space="0" w:color="auto"/>
                        <w:bottom w:val="none" w:sz="0" w:space="0" w:color="auto"/>
                        <w:right w:val="none" w:sz="0" w:space="0" w:color="auto"/>
                      </w:divBdr>
                    </w:div>
                  </w:divsChild>
                </w:div>
                <w:div w:id="386730238">
                  <w:marLeft w:val="0"/>
                  <w:marRight w:val="0"/>
                  <w:marTop w:val="0"/>
                  <w:marBottom w:val="0"/>
                  <w:divBdr>
                    <w:top w:val="none" w:sz="0" w:space="0" w:color="auto"/>
                    <w:left w:val="none" w:sz="0" w:space="0" w:color="auto"/>
                    <w:bottom w:val="none" w:sz="0" w:space="0" w:color="auto"/>
                    <w:right w:val="none" w:sz="0" w:space="0" w:color="auto"/>
                  </w:divBdr>
                  <w:divsChild>
                    <w:div w:id="1478958156">
                      <w:marLeft w:val="0"/>
                      <w:marRight w:val="0"/>
                      <w:marTop w:val="0"/>
                      <w:marBottom w:val="0"/>
                      <w:divBdr>
                        <w:top w:val="none" w:sz="0" w:space="0" w:color="auto"/>
                        <w:left w:val="none" w:sz="0" w:space="0" w:color="auto"/>
                        <w:bottom w:val="none" w:sz="0" w:space="0" w:color="auto"/>
                        <w:right w:val="none" w:sz="0" w:space="0" w:color="auto"/>
                      </w:divBdr>
                    </w:div>
                  </w:divsChild>
                </w:div>
                <w:div w:id="393741047">
                  <w:marLeft w:val="0"/>
                  <w:marRight w:val="0"/>
                  <w:marTop w:val="0"/>
                  <w:marBottom w:val="0"/>
                  <w:divBdr>
                    <w:top w:val="none" w:sz="0" w:space="0" w:color="auto"/>
                    <w:left w:val="none" w:sz="0" w:space="0" w:color="auto"/>
                    <w:bottom w:val="none" w:sz="0" w:space="0" w:color="auto"/>
                    <w:right w:val="none" w:sz="0" w:space="0" w:color="auto"/>
                  </w:divBdr>
                  <w:divsChild>
                    <w:div w:id="597057990">
                      <w:marLeft w:val="0"/>
                      <w:marRight w:val="0"/>
                      <w:marTop w:val="0"/>
                      <w:marBottom w:val="0"/>
                      <w:divBdr>
                        <w:top w:val="none" w:sz="0" w:space="0" w:color="auto"/>
                        <w:left w:val="none" w:sz="0" w:space="0" w:color="auto"/>
                        <w:bottom w:val="none" w:sz="0" w:space="0" w:color="auto"/>
                        <w:right w:val="none" w:sz="0" w:space="0" w:color="auto"/>
                      </w:divBdr>
                    </w:div>
                  </w:divsChild>
                </w:div>
                <w:div w:id="395667043">
                  <w:marLeft w:val="0"/>
                  <w:marRight w:val="0"/>
                  <w:marTop w:val="0"/>
                  <w:marBottom w:val="0"/>
                  <w:divBdr>
                    <w:top w:val="none" w:sz="0" w:space="0" w:color="auto"/>
                    <w:left w:val="none" w:sz="0" w:space="0" w:color="auto"/>
                    <w:bottom w:val="none" w:sz="0" w:space="0" w:color="auto"/>
                    <w:right w:val="none" w:sz="0" w:space="0" w:color="auto"/>
                  </w:divBdr>
                  <w:divsChild>
                    <w:div w:id="900018654">
                      <w:marLeft w:val="0"/>
                      <w:marRight w:val="0"/>
                      <w:marTop w:val="0"/>
                      <w:marBottom w:val="0"/>
                      <w:divBdr>
                        <w:top w:val="none" w:sz="0" w:space="0" w:color="auto"/>
                        <w:left w:val="none" w:sz="0" w:space="0" w:color="auto"/>
                        <w:bottom w:val="none" w:sz="0" w:space="0" w:color="auto"/>
                        <w:right w:val="none" w:sz="0" w:space="0" w:color="auto"/>
                      </w:divBdr>
                    </w:div>
                  </w:divsChild>
                </w:div>
                <w:div w:id="397898453">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
                  </w:divsChild>
                </w:div>
                <w:div w:id="403842969">
                  <w:marLeft w:val="0"/>
                  <w:marRight w:val="0"/>
                  <w:marTop w:val="0"/>
                  <w:marBottom w:val="0"/>
                  <w:divBdr>
                    <w:top w:val="none" w:sz="0" w:space="0" w:color="auto"/>
                    <w:left w:val="none" w:sz="0" w:space="0" w:color="auto"/>
                    <w:bottom w:val="none" w:sz="0" w:space="0" w:color="auto"/>
                    <w:right w:val="none" w:sz="0" w:space="0" w:color="auto"/>
                  </w:divBdr>
                  <w:divsChild>
                    <w:div w:id="1116481019">
                      <w:marLeft w:val="0"/>
                      <w:marRight w:val="0"/>
                      <w:marTop w:val="0"/>
                      <w:marBottom w:val="0"/>
                      <w:divBdr>
                        <w:top w:val="none" w:sz="0" w:space="0" w:color="auto"/>
                        <w:left w:val="none" w:sz="0" w:space="0" w:color="auto"/>
                        <w:bottom w:val="none" w:sz="0" w:space="0" w:color="auto"/>
                        <w:right w:val="none" w:sz="0" w:space="0" w:color="auto"/>
                      </w:divBdr>
                    </w:div>
                  </w:divsChild>
                </w:div>
                <w:div w:id="438793342">
                  <w:marLeft w:val="0"/>
                  <w:marRight w:val="0"/>
                  <w:marTop w:val="0"/>
                  <w:marBottom w:val="0"/>
                  <w:divBdr>
                    <w:top w:val="none" w:sz="0" w:space="0" w:color="auto"/>
                    <w:left w:val="none" w:sz="0" w:space="0" w:color="auto"/>
                    <w:bottom w:val="none" w:sz="0" w:space="0" w:color="auto"/>
                    <w:right w:val="none" w:sz="0" w:space="0" w:color="auto"/>
                  </w:divBdr>
                  <w:divsChild>
                    <w:div w:id="756169629">
                      <w:marLeft w:val="0"/>
                      <w:marRight w:val="0"/>
                      <w:marTop w:val="0"/>
                      <w:marBottom w:val="0"/>
                      <w:divBdr>
                        <w:top w:val="none" w:sz="0" w:space="0" w:color="auto"/>
                        <w:left w:val="none" w:sz="0" w:space="0" w:color="auto"/>
                        <w:bottom w:val="none" w:sz="0" w:space="0" w:color="auto"/>
                        <w:right w:val="none" w:sz="0" w:space="0" w:color="auto"/>
                      </w:divBdr>
                    </w:div>
                  </w:divsChild>
                </w:div>
                <w:div w:id="442068398">
                  <w:marLeft w:val="0"/>
                  <w:marRight w:val="0"/>
                  <w:marTop w:val="0"/>
                  <w:marBottom w:val="0"/>
                  <w:divBdr>
                    <w:top w:val="none" w:sz="0" w:space="0" w:color="auto"/>
                    <w:left w:val="none" w:sz="0" w:space="0" w:color="auto"/>
                    <w:bottom w:val="none" w:sz="0" w:space="0" w:color="auto"/>
                    <w:right w:val="none" w:sz="0" w:space="0" w:color="auto"/>
                  </w:divBdr>
                  <w:divsChild>
                    <w:div w:id="594364975">
                      <w:marLeft w:val="0"/>
                      <w:marRight w:val="0"/>
                      <w:marTop w:val="0"/>
                      <w:marBottom w:val="0"/>
                      <w:divBdr>
                        <w:top w:val="none" w:sz="0" w:space="0" w:color="auto"/>
                        <w:left w:val="none" w:sz="0" w:space="0" w:color="auto"/>
                        <w:bottom w:val="none" w:sz="0" w:space="0" w:color="auto"/>
                        <w:right w:val="none" w:sz="0" w:space="0" w:color="auto"/>
                      </w:divBdr>
                    </w:div>
                  </w:divsChild>
                </w:div>
                <w:div w:id="444010120">
                  <w:marLeft w:val="0"/>
                  <w:marRight w:val="0"/>
                  <w:marTop w:val="0"/>
                  <w:marBottom w:val="0"/>
                  <w:divBdr>
                    <w:top w:val="none" w:sz="0" w:space="0" w:color="auto"/>
                    <w:left w:val="none" w:sz="0" w:space="0" w:color="auto"/>
                    <w:bottom w:val="none" w:sz="0" w:space="0" w:color="auto"/>
                    <w:right w:val="none" w:sz="0" w:space="0" w:color="auto"/>
                  </w:divBdr>
                  <w:divsChild>
                    <w:div w:id="1455834287">
                      <w:marLeft w:val="0"/>
                      <w:marRight w:val="0"/>
                      <w:marTop w:val="0"/>
                      <w:marBottom w:val="0"/>
                      <w:divBdr>
                        <w:top w:val="none" w:sz="0" w:space="0" w:color="auto"/>
                        <w:left w:val="none" w:sz="0" w:space="0" w:color="auto"/>
                        <w:bottom w:val="none" w:sz="0" w:space="0" w:color="auto"/>
                        <w:right w:val="none" w:sz="0" w:space="0" w:color="auto"/>
                      </w:divBdr>
                    </w:div>
                  </w:divsChild>
                </w:div>
                <w:div w:id="451022219">
                  <w:marLeft w:val="0"/>
                  <w:marRight w:val="0"/>
                  <w:marTop w:val="0"/>
                  <w:marBottom w:val="0"/>
                  <w:divBdr>
                    <w:top w:val="none" w:sz="0" w:space="0" w:color="auto"/>
                    <w:left w:val="none" w:sz="0" w:space="0" w:color="auto"/>
                    <w:bottom w:val="none" w:sz="0" w:space="0" w:color="auto"/>
                    <w:right w:val="none" w:sz="0" w:space="0" w:color="auto"/>
                  </w:divBdr>
                  <w:divsChild>
                    <w:div w:id="1279482443">
                      <w:marLeft w:val="0"/>
                      <w:marRight w:val="0"/>
                      <w:marTop w:val="0"/>
                      <w:marBottom w:val="0"/>
                      <w:divBdr>
                        <w:top w:val="none" w:sz="0" w:space="0" w:color="auto"/>
                        <w:left w:val="none" w:sz="0" w:space="0" w:color="auto"/>
                        <w:bottom w:val="none" w:sz="0" w:space="0" w:color="auto"/>
                        <w:right w:val="none" w:sz="0" w:space="0" w:color="auto"/>
                      </w:divBdr>
                    </w:div>
                  </w:divsChild>
                </w:div>
                <w:div w:id="463545635">
                  <w:marLeft w:val="0"/>
                  <w:marRight w:val="0"/>
                  <w:marTop w:val="0"/>
                  <w:marBottom w:val="0"/>
                  <w:divBdr>
                    <w:top w:val="none" w:sz="0" w:space="0" w:color="auto"/>
                    <w:left w:val="none" w:sz="0" w:space="0" w:color="auto"/>
                    <w:bottom w:val="none" w:sz="0" w:space="0" w:color="auto"/>
                    <w:right w:val="none" w:sz="0" w:space="0" w:color="auto"/>
                  </w:divBdr>
                  <w:divsChild>
                    <w:div w:id="1069575450">
                      <w:marLeft w:val="0"/>
                      <w:marRight w:val="0"/>
                      <w:marTop w:val="0"/>
                      <w:marBottom w:val="0"/>
                      <w:divBdr>
                        <w:top w:val="none" w:sz="0" w:space="0" w:color="auto"/>
                        <w:left w:val="none" w:sz="0" w:space="0" w:color="auto"/>
                        <w:bottom w:val="none" w:sz="0" w:space="0" w:color="auto"/>
                        <w:right w:val="none" w:sz="0" w:space="0" w:color="auto"/>
                      </w:divBdr>
                    </w:div>
                  </w:divsChild>
                </w:div>
                <w:div w:id="465590642">
                  <w:marLeft w:val="0"/>
                  <w:marRight w:val="0"/>
                  <w:marTop w:val="0"/>
                  <w:marBottom w:val="0"/>
                  <w:divBdr>
                    <w:top w:val="none" w:sz="0" w:space="0" w:color="auto"/>
                    <w:left w:val="none" w:sz="0" w:space="0" w:color="auto"/>
                    <w:bottom w:val="none" w:sz="0" w:space="0" w:color="auto"/>
                    <w:right w:val="none" w:sz="0" w:space="0" w:color="auto"/>
                  </w:divBdr>
                  <w:divsChild>
                    <w:div w:id="1178696390">
                      <w:marLeft w:val="0"/>
                      <w:marRight w:val="0"/>
                      <w:marTop w:val="0"/>
                      <w:marBottom w:val="0"/>
                      <w:divBdr>
                        <w:top w:val="none" w:sz="0" w:space="0" w:color="auto"/>
                        <w:left w:val="none" w:sz="0" w:space="0" w:color="auto"/>
                        <w:bottom w:val="none" w:sz="0" w:space="0" w:color="auto"/>
                        <w:right w:val="none" w:sz="0" w:space="0" w:color="auto"/>
                      </w:divBdr>
                    </w:div>
                  </w:divsChild>
                </w:div>
                <w:div w:id="474764116">
                  <w:marLeft w:val="0"/>
                  <w:marRight w:val="0"/>
                  <w:marTop w:val="0"/>
                  <w:marBottom w:val="0"/>
                  <w:divBdr>
                    <w:top w:val="none" w:sz="0" w:space="0" w:color="auto"/>
                    <w:left w:val="none" w:sz="0" w:space="0" w:color="auto"/>
                    <w:bottom w:val="none" w:sz="0" w:space="0" w:color="auto"/>
                    <w:right w:val="none" w:sz="0" w:space="0" w:color="auto"/>
                  </w:divBdr>
                  <w:divsChild>
                    <w:div w:id="1846749618">
                      <w:marLeft w:val="0"/>
                      <w:marRight w:val="0"/>
                      <w:marTop w:val="0"/>
                      <w:marBottom w:val="0"/>
                      <w:divBdr>
                        <w:top w:val="none" w:sz="0" w:space="0" w:color="auto"/>
                        <w:left w:val="none" w:sz="0" w:space="0" w:color="auto"/>
                        <w:bottom w:val="none" w:sz="0" w:space="0" w:color="auto"/>
                        <w:right w:val="none" w:sz="0" w:space="0" w:color="auto"/>
                      </w:divBdr>
                    </w:div>
                  </w:divsChild>
                </w:div>
                <w:div w:id="499002838">
                  <w:marLeft w:val="0"/>
                  <w:marRight w:val="0"/>
                  <w:marTop w:val="0"/>
                  <w:marBottom w:val="0"/>
                  <w:divBdr>
                    <w:top w:val="none" w:sz="0" w:space="0" w:color="auto"/>
                    <w:left w:val="none" w:sz="0" w:space="0" w:color="auto"/>
                    <w:bottom w:val="none" w:sz="0" w:space="0" w:color="auto"/>
                    <w:right w:val="none" w:sz="0" w:space="0" w:color="auto"/>
                  </w:divBdr>
                  <w:divsChild>
                    <w:div w:id="560597730">
                      <w:marLeft w:val="0"/>
                      <w:marRight w:val="0"/>
                      <w:marTop w:val="0"/>
                      <w:marBottom w:val="0"/>
                      <w:divBdr>
                        <w:top w:val="none" w:sz="0" w:space="0" w:color="auto"/>
                        <w:left w:val="none" w:sz="0" w:space="0" w:color="auto"/>
                        <w:bottom w:val="none" w:sz="0" w:space="0" w:color="auto"/>
                        <w:right w:val="none" w:sz="0" w:space="0" w:color="auto"/>
                      </w:divBdr>
                    </w:div>
                  </w:divsChild>
                </w:div>
                <w:div w:id="502625981">
                  <w:marLeft w:val="0"/>
                  <w:marRight w:val="0"/>
                  <w:marTop w:val="0"/>
                  <w:marBottom w:val="0"/>
                  <w:divBdr>
                    <w:top w:val="none" w:sz="0" w:space="0" w:color="auto"/>
                    <w:left w:val="none" w:sz="0" w:space="0" w:color="auto"/>
                    <w:bottom w:val="none" w:sz="0" w:space="0" w:color="auto"/>
                    <w:right w:val="none" w:sz="0" w:space="0" w:color="auto"/>
                  </w:divBdr>
                  <w:divsChild>
                    <w:div w:id="1604074491">
                      <w:marLeft w:val="0"/>
                      <w:marRight w:val="0"/>
                      <w:marTop w:val="0"/>
                      <w:marBottom w:val="0"/>
                      <w:divBdr>
                        <w:top w:val="none" w:sz="0" w:space="0" w:color="auto"/>
                        <w:left w:val="none" w:sz="0" w:space="0" w:color="auto"/>
                        <w:bottom w:val="none" w:sz="0" w:space="0" w:color="auto"/>
                        <w:right w:val="none" w:sz="0" w:space="0" w:color="auto"/>
                      </w:divBdr>
                    </w:div>
                  </w:divsChild>
                </w:div>
                <w:div w:id="502748267">
                  <w:marLeft w:val="0"/>
                  <w:marRight w:val="0"/>
                  <w:marTop w:val="0"/>
                  <w:marBottom w:val="0"/>
                  <w:divBdr>
                    <w:top w:val="none" w:sz="0" w:space="0" w:color="auto"/>
                    <w:left w:val="none" w:sz="0" w:space="0" w:color="auto"/>
                    <w:bottom w:val="none" w:sz="0" w:space="0" w:color="auto"/>
                    <w:right w:val="none" w:sz="0" w:space="0" w:color="auto"/>
                  </w:divBdr>
                  <w:divsChild>
                    <w:div w:id="205455951">
                      <w:marLeft w:val="0"/>
                      <w:marRight w:val="0"/>
                      <w:marTop w:val="0"/>
                      <w:marBottom w:val="0"/>
                      <w:divBdr>
                        <w:top w:val="none" w:sz="0" w:space="0" w:color="auto"/>
                        <w:left w:val="none" w:sz="0" w:space="0" w:color="auto"/>
                        <w:bottom w:val="none" w:sz="0" w:space="0" w:color="auto"/>
                        <w:right w:val="none" w:sz="0" w:space="0" w:color="auto"/>
                      </w:divBdr>
                    </w:div>
                  </w:divsChild>
                </w:div>
                <w:div w:id="516383702">
                  <w:marLeft w:val="0"/>
                  <w:marRight w:val="0"/>
                  <w:marTop w:val="0"/>
                  <w:marBottom w:val="0"/>
                  <w:divBdr>
                    <w:top w:val="none" w:sz="0" w:space="0" w:color="auto"/>
                    <w:left w:val="none" w:sz="0" w:space="0" w:color="auto"/>
                    <w:bottom w:val="none" w:sz="0" w:space="0" w:color="auto"/>
                    <w:right w:val="none" w:sz="0" w:space="0" w:color="auto"/>
                  </w:divBdr>
                  <w:divsChild>
                    <w:div w:id="986863653">
                      <w:marLeft w:val="0"/>
                      <w:marRight w:val="0"/>
                      <w:marTop w:val="0"/>
                      <w:marBottom w:val="0"/>
                      <w:divBdr>
                        <w:top w:val="none" w:sz="0" w:space="0" w:color="auto"/>
                        <w:left w:val="none" w:sz="0" w:space="0" w:color="auto"/>
                        <w:bottom w:val="none" w:sz="0" w:space="0" w:color="auto"/>
                        <w:right w:val="none" w:sz="0" w:space="0" w:color="auto"/>
                      </w:divBdr>
                    </w:div>
                  </w:divsChild>
                </w:div>
                <w:div w:id="517934998">
                  <w:marLeft w:val="0"/>
                  <w:marRight w:val="0"/>
                  <w:marTop w:val="0"/>
                  <w:marBottom w:val="0"/>
                  <w:divBdr>
                    <w:top w:val="none" w:sz="0" w:space="0" w:color="auto"/>
                    <w:left w:val="none" w:sz="0" w:space="0" w:color="auto"/>
                    <w:bottom w:val="none" w:sz="0" w:space="0" w:color="auto"/>
                    <w:right w:val="none" w:sz="0" w:space="0" w:color="auto"/>
                  </w:divBdr>
                  <w:divsChild>
                    <w:div w:id="1639872294">
                      <w:marLeft w:val="0"/>
                      <w:marRight w:val="0"/>
                      <w:marTop w:val="0"/>
                      <w:marBottom w:val="0"/>
                      <w:divBdr>
                        <w:top w:val="none" w:sz="0" w:space="0" w:color="auto"/>
                        <w:left w:val="none" w:sz="0" w:space="0" w:color="auto"/>
                        <w:bottom w:val="none" w:sz="0" w:space="0" w:color="auto"/>
                        <w:right w:val="none" w:sz="0" w:space="0" w:color="auto"/>
                      </w:divBdr>
                    </w:div>
                  </w:divsChild>
                </w:div>
                <w:div w:id="520775761">
                  <w:marLeft w:val="0"/>
                  <w:marRight w:val="0"/>
                  <w:marTop w:val="0"/>
                  <w:marBottom w:val="0"/>
                  <w:divBdr>
                    <w:top w:val="none" w:sz="0" w:space="0" w:color="auto"/>
                    <w:left w:val="none" w:sz="0" w:space="0" w:color="auto"/>
                    <w:bottom w:val="none" w:sz="0" w:space="0" w:color="auto"/>
                    <w:right w:val="none" w:sz="0" w:space="0" w:color="auto"/>
                  </w:divBdr>
                  <w:divsChild>
                    <w:div w:id="668942648">
                      <w:marLeft w:val="0"/>
                      <w:marRight w:val="0"/>
                      <w:marTop w:val="0"/>
                      <w:marBottom w:val="0"/>
                      <w:divBdr>
                        <w:top w:val="none" w:sz="0" w:space="0" w:color="auto"/>
                        <w:left w:val="none" w:sz="0" w:space="0" w:color="auto"/>
                        <w:bottom w:val="none" w:sz="0" w:space="0" w:color="auto"/>
                        <w:right w:val="none" w:sz="0" w:space="0" w:color="auto"/>
                      </w:divBdr>
                    </w:div>
                  </w:divsChild>
                </w:div>
                <w:div w:id="530847815">
                  <w:marLeft w:val="0"/>
                  <w:marRight w:val="0"/>
                  <w:marTop w:val="0"/>
                  <w:marBottom w:val="0"/>
                  <w:divBdr>
                    <w:top w:val="none" w:sz="0" w:space="0" w:color="auto"/>
                    <w:left w:val="none" w:sz="0" w:space="0" w:color="auto"/>
                    <w:bottom w:val="none" w:sz="0" w:space="0" w:color="auto"/>
                    <w:right w:val="none" w:sz="0" w:space="0" w:color="auto"/>
                  </w:divBdr>
                  <w:divsChild>
                    <w:div w:id="404762725">
                      <w:marLeft w:val="0"/>
                      <w:marRight w:val="0"/>
                      <w:marTop w:val="0"/>
                      <w:marBottom w:val="0"/>
                      <w:divBdr>
                        <w:top w:val="none" w:sz="0" w:space="0" w:color="auto"/>
                        <w:left w:val="none" w:sz="0" w:space="0" w:color="auto"/>
                        <w:bottom w:val="none" w:sz="0" w:space="0" w:color="auto"/>
                        <w:right w:val="none" w:sz="0" w:space="0" w:color="auto"/>
                      </w:divBdr>
                    </w:div>
                  </w:divsChild>
                </w:div>
                <w:div w:id="535197017">
                  <w:marLeft w:val="0"/>
                  <w:marRight w:val="0"/>
                  <w:marTop w:val="0"/>
                  <w:marBottom w:val="0"/>
                  <w:divBdr>
                    <w:top w:val="none" w:sz="0" w:space="0" w:color="auto"/>
                    <w:left w:val="none" w:sz="0" w:space="0" w:color="auto"/>
                    <w:bottom w:val="none" w:sz="0" w:space="0" w:color="auto"/>
                    <w:right w:val="none" w:sz="0" w:space="0" w:color="auto"/>
                  </w:divBdr>
                  <w:divsChild>
                    <w:div w:id="934560867">
                      <w:marLeft w:val="0"/>
                      <w:marRight w:val="0"/>
                      <w:marTop w:val="0"/>
                      <w:marBottom w:val="0"/>
                      <w:divBdr>
                        <w:top w:val="none" w:sz="0" w:space="0" w:color="auto"/>
                        <w:left w:val="none" w:sz="0" w:space="0" w:color="auto"/>
                        <w:bottom w:val="none" w:sz="0" w:space="0" w:color="auto"/>
                        <w:right w:val="none" w:sz="0" w:space="0" w:color="auto"/>
                      </w:divBdr>
                    </w:div>
                  </w:divsChild>
                </w:div>
                <w:div w:id="535853425">
                  <w:marLeft w:val="0"/>
                  <w:marRight w:val="0"/>
                  <w:marTop w:val="0"/>
                  <w:marBottom w:val="0"/>
                  <w:divBdr>
                    <w:top w:val="none" w:sz="0" w:space="0" w:color="auto"/>
                    <w:left w:val="none" w:sz="0" w:space="0" w:color="auto"/>
                    <w:bottom w:val="none" w:sz="0" w:space="0" w:color="auto"/>
                    <w:right w:val="none" w:sz="0" w:space="0" w:color="auto"/>
                  </w:divBdr>
                  <w:divsChild>
                    <w:div w:id="759834644">
                      <w:marLeft w:val="0"/>
                      <w:marRight w:val="0"/>
                      <w:marTop w:val="0"/>
                      <w:marBottom w:val="0"/>
                      <w:divBdr>
                        <w:top w:val="none" w:sz="0" w:space="0" w:color="auto"/>
                        <w:left w:val="none" w:sz="0" w:space="0" w:color="auto"/>
                        <w:bottom w:val="none" w:sz="0" w:space="0" w:color="auto"/>
                        <w:right w:val="none" w:sz="0" w:space="0" w:color="auto"/>
                      </w:divBdr>
                    </w:div>
                  </w:divsChild>
                </w:div>
                <w:div w:id="537622203">
                  <w:marLeft w:val="0"/>
                  <w:marRight w:val="0"/>
                  <w:marTop w:val="0"/>
                  <w:marBottom w:val="0"/>
                  <w:divBdr>
                    <w:top w:val="none" w:sz="0" w:space="0" w:color="auto"/>
                    <w:left w:val="none" w:sz="0" w:space="0" w:color="auto"/>
                    <w:bottom w:val="none" w:sz="0" w:space="0" w:color="auto"/>
                    <w:right w:val="none" w:sz="0" w:space="0" w:color="auto"/>
                  </w:divBdr>
                  <w:divsChild>
                    <w:div w:id="75707046">
                      <w:marLeft w:val="0"/>
                      <w:marRight w:val="0"/>
                      <w:marTop w:val="0"/>
                      <w:marBottom w:val="0"/>
                      <w:divBdr>
                        <w:top w:val="none" w:sz="0" w:space="0" w:color="auto"/>
                        <w:left w:val="none" w:sz="0" w:space="0" w:color="auto"/>
                        <w:bottom w:val="none" w:sz="0" w:space="0" w:color="auto"/>
                        <w:right w:val="none" w:sz="0" w:space="0" w:color="auto"/>
                      </w:divBdr>
                    </w:div>
                  </w:divsChild>
                </w:div>
                <w:div w:id="574121250">
                  <w:marLeft w:val="0"/>
                  <w:marRight w:val="0"/>
                  <w:marTop w:val="0"/>
                  <w:marBottom w:val="0"/>
                  <w:divBdr>
                    <w:top w:val="none" w:sz="0" w:space="0" w:color="auto"/>
                    <w:left w:val="none" w:sz="0" w:space="0" w:color="auto"/>
                    <w:bottom w:val="none" w:sz="0" w:space="0" w:color="auto"/>
                    <w:right w:val="none" w:sz="0" w:space="0" w:color="auto"/>
                  </w:divBdr>
                  <w:divsChild>
                    <w:div w:id="27685503">
                      <w:marLeft w:val="0"/>
                      <w:marRight w:val="0"/>
                      <w:marTop w:val="0"/>
                      <w:marBottom w:val="0"/>
                      <w:divBdr>
                        <w:top w:val="none" w:sz="0" w:space="0" w:color="auto"/>
                        <w:left w:val="none" w:sz="0" w:space="0" w:color="auto"/>
                        <w:bottom w:val="none" w:sz="0" w:space="0" w:color="auto"/>
                        <w:right w:val="none" w:sz="0" w:space="0" w:color="auto"/>
                      </w:divBdr>
                    </w:div>
                  </w:divsChild>
                </w:div>
                <w:div w:id="579683142">
                  <w:marLeft w:val="0"/>
                  <w:marRight w:val="0"/>
                  <w:marTop w:val="0"/>
                  <w:marBottom w:val="0"/>
                  <w:divBdr>
                    <w:top w:val="none" w:sz="0" w:space="0" w:color="auto"/>
                    <w:left w:val="none" w:sz="0" w:space="0" w:color="auto"/>
                    <w:bottom w:val="none" w:sz="0" w:space="0" w:color="auto"/>
                    <w:right w:val="none" w:sz="0" w:space="0" w:color="auto"/>
                  </w:divBdr>
                  <w:divsChild>
                    <w:div w:id="536744982">
                      <w:marLeft w:val="0"/>
                      <w:marRight w:val="0"/>
                      <w:marTop w:val="0"/>
                      <w:marBottom w:val="0"/>
                      <w:divBdr>
                        <w:top w:val="none" w:sz="0" w:space="0" w:color="auto"/>
                        <w:left w:val="none" w:sz="0" w:space="0" w:color="auto"/>
                        <w:bottom w:val="none" w:sz="0" w:space="0" w:color="auto"/>
                        <w:right w:val="none" w:sz="0" w:space="0" w:color="auto"/>
                      </w:divBdr>
                    </w:div>
                  </w:divsChild>
                </w:div>
                <w:div w:id="587346912">
                  <w:marLeft w:val="0"/>
                  <w:marRight w:val="0"/>
                  <w:marTop w:val="0"/>
                  <w:marBottom w:val="0"/>
                  <w:divBdr>
                    <w:top w:val="none" w:sz="0" w:space="0" w:color="auto"/>
                    <w:left w:val="none" w:sz="0" w:space="0" w:color="auto"/>
                    <w:bottom w:val="none" w:sz="0" w:space="0" w:color="auto"/>
                    <w:right w:val="none" w:sz="0" w:space="0" w:color="auto"/>
                  </w:divBdr>
                  <w:divsChild>
                    <w:div w:id="930893520">
                      <w:marLeft w:val="0"/>
                      <w:marRight w:val="0"/>
                      <w:marTop w:val="0"/>
                      <w:marBottom w:val="0"/>
                      <w:divBdr>
                        <w:top w:val="none" w:sz="0" w:space="0" w:color="auto"/>
                        <w:left w:val="none" w:sz="0" w:space="0" w:color="auto"/>
                        <w:bottom w:val="none" w:sz="0" w:space="0" w:color="auto"/>
                        <w:right w:val="none" w:sz="0" w:space="0" w:color="auto"/>
                      </w:divBdr>
                    </w:div>
                  </w:divsChild>
                </w:div>
                <w:div w:id="588395843">
                  <w:marLeft w:val="0"/>
                  <w:marRight w:val="0"/>
                  <w:marTop w:val="0"/>
                  <w:marBottom w:val="0"/>
                  <w:divBdr>
                    <w:top w:val="none" w:sz="0" w:space="0" w:color="auto"/>
                    <w:left w:val="none" w:sz="0" w:space="0" w:color="auto"/>
                    <w:bottom w:val="none" w:sz="0" w:space="0" w:color="auto"/>
                    <w:right w:val="none" w:sz="0" w:space="0" w:color="auto"/>
                  </w:divBdr>
                  <w:divsChild>
                    <w:div w:id="2063938708">
                      <w:marLeft w:val="0"/>
                      <w:marRight w:val="0"/>
                      <w:marTop w:val="0"/>
                      <w:marBottom w:val="0"/>
                      <w:divBdr>
                        <w:top w:val="none" w:sz="0" w:space="0" w:color="auto"/>
                        <w:left w:val="none" w:sz="0" w:space="0" w:color="auto"/>
                        <w:bottom w:val="none" w:sz="0" w:space="0" w:color="auto"/>
                        <w:right w:val="none" w:sz="0" w:space="0" w:color="auto"/>
                      </w:divBdr>
                    </w:div>
                  </w:divsChild>
                </w:div>
                <w:div w:id="589698960">
                  <w:marLeft w:val="0"/>
                  <w:marRight w:val="0"/>
                  <w:marTop w:val="0"/>
                  <w:marBottom w:val="0"/>
                  <w:divBdr>
                    <w:top w:val="none" w:sz="0" w:space="0" w:color="auto"/>
                    <w:left w:val="none" w:sz="0" w:space="0" w:color="auto"/>
                    <w:bottom w:val="none" w:sz="0" w:space="0" w:color="auto"/>
                    <w:right w:val="none" w:sz="0" w:space="0" w:color="auto"/>
                  </w:divBdr>
                  <w:divsChild>
                    <w:div w:id="1216310487">
                      <w:marLeft w:val="0"/>
                      <w:marRight w:val="0"/>
                      <w:marTop w:val="0"/>
                      <w:marBottom w:val="0"/>
                      <w:divBdr>
                        <w:top w:val="none" w:sz="0" w:space="0" w:color="auto"/>
                        <w:left w:val="none" w:sz="0" w:space="0" w:color="auto"/>
                        <w:bottom w:val="none" w:sz="0" w:space="0" w:color="auto"/>
                        <w:right w:val="none" w:sz="0" w:space="0" w:color="auto"/>
                      </w:divBdr>
                    </w:div>
                  </w:divsChild>
                </w:div>
                <w:div w:id="594558628">
                  <w:marLeft w:val="0"/>
                  <w:marRight w:val="0"/>
                  <w:marTop w:val="0"/>
                  <w:marBottom w:val="0"/>
                  <w:divBdr>
                    <w:top w:val="none" w:sz="0" w:space="0" w:color="auto"/>
                    <w:left w:val="none" w:sz="0" w:space="0" w:color="auto"/>
                    <w:bottom w:val="none" w:sz="0" w:space="0" w:color="auto"/>
                    <w:right w:val="none" w:sz="0" w:space="0" w:color="auto"/>
                  </w:divBdr>
                  <w:divsChild>
                    <w:div w:id="326323006">
                      <w:marLeft w:val="0"/>
                      <w:marRight w:val="0"/>
                      <w:marTop w:val="0"/>
                      <w:marBottom w:val="0"/>
                      <w:divBdr>
                        <w:top w:val="none" w:sz="0" w:space="0" w:color="auto"/>
                        <w:left w:val="none" w:sz="0" w:space="0" w:color="auto"/>
                        <w:bottom w:val="none" w:sz="0" w:space="0" w:color="auto"/>
                        <w:right w:val="none" w:sz="0" w:space="0" w:color="auto"/>
                      </w:divBdr>
                    </w:div>
                  </w:divsChild>
                </w:div>
                <w:div w:id="633413898">
                  <w:marLeft w:val="0"/>
                  <w:marRight w:val="0"/>
                  <w:marTop w:val="0"/>
                  <w:marBottom w:val="0"/>
                  <w:divBdr>
                    <w:top w:val="none" w:sz="0" w:space="0" w:color="auto"/>
                    <w:left w:val="none" w:sz="0" w:space="0" w:color="auto"/>
                    <w:bottom w:val="none" w:sz="0" w:space="0" w:color="auto"/>
                    <w:right w:val="none" w:sz="0" w:space="0" w:color="auto"/>
                  </w:divBdr>
                  <w:divsChild>
                    <w:div w:id="525947494">
                      <w:marLeft w:val="0"/>
                      <w:marRight w:val="0"/>
                      <w:marTop w:val="0"/>
                      <w:marBottom w:val="0"/>
                      <w:divBdr>
                        <w:top w:val="none" w:sz="0" w:space="0" w:color="auto"/>
                        <w:left w:val="none" w:sz="0" w:space="0" w:color="auto"/>
                        <w:bottom w:val="none" w:sz="0" w:space="0" w:color="auto"/>
                        <w:right w:val="none" w:sz="0" w:space="0" w:color="auto"/>
                      </w:divBdr>
                    </w:div>
                  </w:divsChild>
                </w:div>
                <w:div w:id="640811732">
                  <w:marLeft w:val="0"/>
                  <w:marRight w:val="0"/>
                  <w:marTop w:val="0"/>
                  <w:marBottom w:val="0"/>
                  <w:divBdr>
                    <w:top w:val="none" w:sz="0" w:space="0" w:color="auto"/>
                    <w:left w:val="none" w:sz="0" w:space="0" w:color="auto"/>
                    <w:bottom w:val="none" w:sz="0" w:space="0" w:color="auto"/>
                    <w:right w:val="none" w:sz="0" w:space="0" w:color="auto"/>
                  </w:divBdr>
                  <w:divsChild>
                    <w:div w:id="146292174">
                      <w:marLeft w:val="0"/>
                      <w:marRight w:val="0"/>
                      <w:marTop w:val="0"/>
                      <w:marBottom w:val="0"/>
                      <w:divBdr>
                        <w:top w:val="none" w:sz="0" w:space="0" w:color="auto"/>
                        <w:left w:val="none" w:sz="0" w:space="0" w:color="auto"/>
                        <w:bottom w:val="none" w:sz="0" w:space="0" w:color="auto"/>
                        <w:right w:val="none" w:sz="0" w:space="0" w:color="auto"/>
                      </w:divBdr>
                    </w:div>
                  </w:divsChild>
                </w:div>
                <w:div w:id="645280436">
                  <w:marLeft w:val="0"/>
                  <w:marRight w:val="0"/>
                  <w:marTop w:val="0"/>
                  <w:marBottom w:val="0"/>
                  <w:divBdr>
                    <w:top w:val="none" w:sz="0" w:space="0" w:color="auto"/>
                    <w:left w:val="none" w:sz="0" w:space="0" w:color="auto"/>
                    <w:bottom w:val="none" w:sz="0" w:space="0" w:color="auto"/>
                    <w:right w:val="none" w:sz="0" w:space="0" w:color="auto"/>
                  </w:divBdr>
                  <w:divsChild>
                    <w:div w:id="754084309">
                      <w:marLeft w:val="0"/>
                      <w:marRight w:val="0"/>
                      <w:marTop w:val="0"/>
                      <w:marBottom w:val="0"/>
                      <w:divBdr>
                        <w:top w:val="none" w:sz="0" w:space="0" w:color="auto"/>
                        <w:left w:val="none" w:sz="0" w:space="0" w:color="auto"/>
                        <w:bottom w:val="none" w:sz="0" w:space="0" w:color="auto"/>
                        <w:right w:val="none" w:sz="0" w:space="0" w:color="auto"/>
                      </w:divBdr>
                    </w:div>
                  </w:divsChild>
                </w:div>
                <w:div w:id="672607639">
                  <w:marLeft w:val="0"/>
                  <w:marRight w:val="0"/>
                  <w:marTop w:val="0"/>
                  <w:marBottom w:val="0"/>
                  <w:divBdr>
                    <w:top w:val="none" w:sz="0" w:space="0" w:color="auto"/>
                    <w:left w:val="none" w:sz="0" w:space="0" w:color="auto"/>
                    <w:bottom w:val="none" w:sz="0" w:space="0" w:color="auto"/>
                    <w:right w:val="none" w:sz="0" w:space="0" w:color="auto"/>
                  </w:divBdr>
                  <w:divsChild>
                    <w:div w:id="378163500">
                      <w:marLeft w:val="0"/>
                      <w:marRight w:val="0"/>
                      <w:marTop w:val="0"/>
                      <w:marBottom w:val="0"/>
                      <w:divBdr>
                        <w:top w:val="none" w:sz="0" w:space="0" w:color="auto"/>
                        <w:left w:val="none" w:sz="0" w:space="0" w:color="auto"/>
                        <w:bottom w:val="none" w:sz="0" w:space="0" w:color="auto"/>
                        <w:right w:val="none" w:sz="0" w:space="0" w:color="auto"/>
                      </w:divBdr>
                    </w:div>
                  </w:divsChild>
                </w:div>
                <w:div w:id="676232641">
                  <w:marLeft w:val="0"/>
                  <w:marRight w:val="0"/>
                  <w:marTop w:val="0"/>
                  <w:marBottom w:val="0"/>
                  <w:divBdr>
                    <w:top w:val="none" w:sz="0" w:space="0" w:color="auto"/>
                    <w:left w:val="none" w:sz="0" w:space="0" w:color="auto"/>
                    <w:bottom w:val="none" w:sz="0" w:space="0" w:color="auto"/>
                    <w:right w:val="none" w:sz="0" w:space="0" w:color="auto"/>
                  </w:divBdr>
                  <w:divsChild>
                    <w:div w:id="651980295">
                      <w:marLeft w:val="0"/>
                      <w:marRight w:val="0"/>
                      <w:marTop w:val="0"/>
                      <w:marBottom w:val="0"/>
                      <w:divBdr>
                        <w:top w:val="none" w:sz="0" w:space="0" w:color="auto"/>
                        <w:left w:val="none" w:sz="0" w:space="0" w:color="auto"/>
                        <w:bottom w:val="none" w:sz="0" w:space="0" w:color="auto"/>
                        <w:right w:val="none" w:sz="0" w:space="0" w:color="auto"/>
                      </w:divBdr>
                    </w:div>
                  </w:divsChild>
                </w:div>
                <w:div w:id="680817882">
                  <w:marLeft w:val="0"/>
                  <w:marRight w:val="0"/>
                  <w:marTop w:val="0"/>
                  <w:marBottom w:val="0"/>
                  <w:divBdr>
                    <w:top w:val="none" w:sz="0" w:space="0" w:color="auto"/>
                    <w:left w:val="none" w:sz="0" w:space="0" w:color="auto"/>
                    <w:bottom w:val="none" w:sz="0" w:space="0" w:color="auto"/>
                    <w:right w:val="none" w:sz="0" w:space="0" w:color="auto"/>
                  </w:divBdr>
                  <w:divsChild>
                    <w:div w:id="1619945814">
                      <w:marLeft w:val="0"/>
                      <w:marRight w:val="0"/>
                      <w:marTop w:val="0"/>
                      <w:marBottom w:val="0"/>
                      <w:divBdr>
                        <w:top w:val="none" w:sz="0" w:space="0" w:color="auto"/>
                        <w:left w:val="none" w:sz="0" w:space="0" w:color="auto"/>
                        <w:bottom w:val="none" w:sz="0" w:space="0" w:color="auto"/>
                        <w:right w:val="none" w:sz="0" w:space="0" w:color="auto"/>
                      </w:divBdr>
                    </w:div>
                  </w:divsChild>
                </w:div>
                <w:div w:id="689448942">
                  <w:marLeft w:val="0"/>
                  <w:marRight w:val="0"/>
                  <w:marTop w:val="0"/>
                  <w:marBottom w:val="0"/>
                  <w:divBdr>
                    <w:top w:val="none" w:sz="0" w:space="0" w:color="auto"/>
                    <w:left w:val="none" w:sz="0" w:space="0" w:color="auto"/>
                    <w:bottom w:val="none" w:sz="0" w:space="0" w:color="auto"/>
                    <w:right w:val="none" w:sz="0" w:space="0" w:color="auto"/>
                  </w:divBdr>
                  <w:divsChild>
                    <w:div w:id="556867407">
                      <w:marLeft w:val="0"/>
                      <w:marRight w:val="0"/>
                      <w:marTop w:val="0"/>
                      <w:marBottom w:val="0"/>
                      <w:divBdr>
                        <w:top w:val="none" w:sz="0" w:space="0" w:color="auto"/>
                        <w:left w:val="none" w:sz="0" w:space="0" w:color="auto"/>
                        <w:bottom w:val="none" w:sz="0" w:space="0" w:color="auto"/>
                        <w:right w:val="none" w:sz="0" w:space="0" w:color="auto"/>
                      </w:divBdr>
                    </w:div>
                  </w:divsChild>
                </w:div>
                <w:div w:id="695158839">
                  <w:marLeft w:val="0"/>
                  <w:marRight w:val="0"/>
                  <w:marTop w:val="0"/>
                  <w:marBottom w:val="0"/>
                  <w:divBdr>
                    <w:top w:val="none" w:sz="0" w:space="0" w:color="auto"/>
                    <w:left w:val="none" w:sz="0" w:space="0" w:color="auto"/>
                    <w:bottom w:val="none" w:sz="0" w:space="0" w:color="auto"/>
                    <w:right w:val="none" w:sz="0" w:space="0" w:color="auto"/>
                  </w:divBdr>
                  <w:divsChild>
                    <w:div w:id="1839496986">
                      <w:marLeft w:val="0"/>
                      <w:marRight w:val="0"/>
                      <w:marTop w:val="0"/>
                      <w:marBottom w:val="0"/>
                      <w:divBdr>
                        <w:top w:val="none" w:sz="0" w:space="0" w:color="auto"/>
                        <w:left w:val="none" w:sz="0" w:space="0" w:color="auto"/>
                        <w:bottom w:val="none" w:sz="0" w:space="0" w:color="auto"/>
                        <w:right w:val="none" w:sz="0" w:space="0" w:color="auto"/>
                      </w:divBdr>
                    </w:div>
                  </w:divsChild>
                </w:div>
                <w:div w:id="701057816">
                  <w:marLeft w:val="0"/>
                  <w:marRight w:val="0"/>
                  <w:marTop w:val="0"/>
                  <w:marBottom w:val="0"/>
                  <w:divBdr>
                    <w:top w:val="none" w:sz="0" w:space="0" w:color="auto"/>
                    <w:left w:val="none" w:sz="0" w:space="0" w:color="auto"/>
                    <w:bottom w:val="none" w:sz="0" w:space="0" w:color="auto"/>
                    <w:right w:val="none" w:sz="0" w:space="0" w:color="auto"/>
                  </w:divBdr>
                  <w:divsChild>
                    <w:div w:id="2039574910">
                      <w:marLeft w:val="0"/>
                      <w:marRight w:val="0"/>
                      <w:marTop w:val="0"/>
                      <w:marBottom w:val="0"/>
                      <w:divBdr>
                        <w:top w:val="none" w:sz="0" w:space="0" w:color="auto"/>
                        <w:left w:val="none" w:sz="0" w:space="0" w:color="auto"/>
                        <w:bottom w:val="none" w:sz="0" w:space="0" w:color="auto"/>
                        <w:right w:val="none" w:sz="0" w:space="0" w:color="auto"/>
                      </w:divBdr>
                    </w:div>
                  </w:divsChild>
                </w:div>
                <w:div w:id="703755591">
                  <w:marLeft w:val="0"/>
                  <w:marRight w:val="0"/>
                  <w:marTop w:val="0"/>
                  <w:marBottom w:val="0"/>
                  <w:divBdr>
                    <w:top w:val="none" w:sz="0" w:space="0" w:color="auto"/>
                    <w:left w:val="none" w:sz="0" w:space="0" w:color="auto"/>
                    <w:bottom w:val="none" w:sz="0" w:space="0" w:color="auto"/>
                    <w:right w:val="none" w:sz="0" w:space="0" w:color="auto"/>
                  </w:divBdr>
                  <w:divsChild>
                    <w:div w:id="1166170900">
                      <w:marLeft w:val="0"/>
                      <w:marRight w:val="0"/>
                      <w:marTop w:val="0"/>
                      <w:marBottom w:val="0"/>
                      <w:divBdr>
                        <w:top w:val="none" w:sz="0" w:space="0" w:color="auto"/>
                        <w:left w:val="none" w:sz="0" w:space="0" w:color="auto"/>
                        <w:bottom w:val="none" w:sz="0" w:space="0" w:color="auto"/>
                        <w:right w:val="none" w:sz="0" w:space="0" w:color="auto"/>
                      </w:divBdr>
                    </w:div>
                  </w:divsChild>
                </w:div>
                <w:div w:id="704599474">
                  <w:marLeft w:val="0"/>
                  <w:marRight w:val="0"/>
                  <w:marTop w:val="0"/>
                  <w:marBottom w:val="0"/>
                  <w:divBdr>
                    <w:top w:val="none" w:sz="0" w:space="0" w:color="auto"/>
                    <w:left w:val="none" w:sz="0" w:space="0" w:color="auto"/>
                    <w:bottom w:val="none" w:sz="0" w:space="0" w:color="auto"/>
                    <w:right w:val="none" w:sz="0" w:space="0" w:color="auto"/>
                  </w:divBdr>
                  <w:divsChild>
                    <w:div w:id="58291426">
                      <w:marLeft w:val="0"/>
                      <w:marRight w:val="0"/>
                      <w:marTop w:val="0"/>
                      <w:marBottom w:val="0"/>
                      <w:divBdr>
                        <w:top w:val="none" w:sz="0" w:space="0" w:color="auto"/>
                        <w:left w:val="none" w:sz="0" w:space="0" w:color="auto"/>
                        <w:bottom w:val="none" w:sz="0" w:space="0" w:color="auto"/>
                        <w:right w:val="none" w:sz="0" w:space="0" w:color="auto"/>
                      </w:divBdr>
                    </w:div>
                  </w:divsChild>
                </w:div>
                <w:div w:id="713311706">
                  <w:marLeft w:val="0"/>
                  <w:marRight w:val="0"/>
                  <w:marTop w:val="0"/>
                  <w:marBottom w:val="0"/>
                  <w:divBdr>
                    <w:top w:val="none" w:sz="0" w:space="0" w:color="auto"/>
                    <w:left w:val="none" w:sz="0" w:space="0" w:color="auto"/>
                    <w:bottom w:val="none" w:sz="0" w:space="0" w:color="auto"/>
                    <w:right w:val="none" w:sz="0" w:space="0" w:color="auto"/>
                  </w:divBdr>
                  <w:divsChild>
                    <w:div w:id="359202967">
                      <w:marLeft w:val="0"/>
                      <w:marRight w:val="0"/>
                      <w:marTop w:val="0"/>
                      <w:marBottom w:val="0"/>
                      <w:divBdr>
                        <w:top w:val="none" w:sz="0" w:space="0" w:color="auto"/>
                        <w:left w:val="none" w:sz="0" w:space="0" w:color="auto"/>
                        <w:bottom w:val="none" w:sz="0" w:space="0" w:color="auto"/>
                        <w:right w:val="none" w:sz="0" w:space="0" w:color="auto"/>
                      </w:divBdr>
                    </w:div>
                  </w:divsChild>
                </w:div>
                <w:div w:id="719204072">
                  <w:marLeft w:val="0"/>
                  <w:marRight w:val="0"/>
                  <w:marTop w:val="0"/>
                  <w:marBottom w:val="0"/>
                  <w:divBdr>
                    <w:top w:val="none" w:sz="0" w:space="0" w:color="auto"/>
                    <w:left w:val="none" w:sz="0" w:space="0" w:color="auto"/>
                    <w:bottom w:val="none" w:sz="0" w:space="0" w:color="auto"/>
                    <w:right w:val="none" w:sz="0" w:space="0" w:color="auto"/>
                  </w:divBdr>
                  <w:divsChild>
                    <w:div w:id="315113631">
                      <w:marLeft w:val="0"/>
                      <w:marRight w:val="0"/>
                      <w:marTop w:val="0"/>
                      <w:marBottom w:val="0"/>
                      <w:divBdr>
                        <w:top w:val="none" w:sz="0" w:space="0" w:color="auto"/>
                        <w:left w:val="none" w:sz="0" w:space="0" w:color="auto"/>
                        <w:bottom w:val="none" w:sz="0" w:space="0" w:color="auto"/>
                        <w:right w:val="none" w:sz="0" w:space="0" w:color="auto"/>
                      </w:divBdr>
                    </w:div>
                  </w:divsChild>
                </w:div>
                <w:div w:id="726759504">
                  <w:marLeft w:val="0"/>
                  <w:marRight w:val="0"/>
                  <w:marTop w:val="0"/>
                  <w:marBottom w:val="0"/>
                  <w:divBdr>
                    <w:top w:val="none" w:sz="0" w:space="0" w:color="auto"/>
                    <w:left w:val="none" w:sz="0" w:space="0" w:color="auto"/>
                    <w:bottom w:val="none" w:sz="0" w:space="0" w:color="auto"/>
                    <w:right w:val="none" w:sz="0" w:space="0" w:color="auto"/>
                  </w:divBdr>
                  <w:divsChild>
                    <w:div w:id="1033765989">
                      <w:marLeft w:val="0"/>
                      <w:marRight w:val="0"/>
                      <w:marTop w:val="0"/>
                      <w:marBottom w:val="0"/>
                      <w:divBdr>
                        <w:top w:val="none" w:sz="0" w:space="0" w:color="auto"/>
                        <w:left w:val="none" w:sz="0" w:space="0" w:color="auto"/>
                        <w:bottom w:val="none" w:sz="0" w:space="0" w:color="auto"/>
                        <w:right w:val="none" w:sz="0" w:space="0" w:color="auto"/>
                      </w:divBdr>
                    </w:div>
                  </w:divsChild>
                </w:div>
                <w:div w:id="734427598">
                  <w:marLeft w:val="0"/>
                  <w:marRight w:val="0"/>
                  <w:marTop w:val="0"/>
                  <w:marBottom w:val="0"/>
                  <w:divBdr>
                    <w:top w:val="none" w:sz="0" w:space="0" w:color="auto"/>
                    <w:left w:val="none" w:sz="0" w:space="0" w:color="auto"/>
                    <w:bottom w:val="none" w:sz="0" w:space="0" w:color="auto"/>
                    <w:right w:val="none" w:sz="0" w:space="0" w:color="auto"/>
                  </w:divBdr>
                  <w:divsChild>
                    <w:div w:id="1621959994">
                      <w:marLeft w:val="0"/>
                      <w:marRight w:val="0"/>
                      <w:marTop w:val="0"/>
                      <w:marBottom w:val="0"/>
                      <w:divBdr>
                        <w:top w:val="none" w:sz="0" w:space="0" w:color="auto"/>
                        <w:left w:val="none" w:sz="0" w:space="0" w:color="auto"/>
                        <w:bottom w:val="none" w:sz="0" w:space="0" w:color="auto"/>
                        <w:right w:val="none" w:sz="0" w:space="0" w:color="auto"/>
                      </w:divBdr>
                    </w:div>
                  </w:divsChild>
                </w:div>
                <w:div w:id="740836880">
                  <w:marLeft w:val="0"/>
                  <w:marRight w:val="0"/>
                  <w:marTop w:val="0"/>
                  <w:marBottom w:val="0"/>
                  <w:divBdr>
                    <w:top w:val="none" w:sz="0" w:space="0" w:color="auto"/>
                    <w:left w:val="none" w:sz="0" w:space="0" w:color="auto"/>
                    <w:bottom w:val="none" w:sz="0" w:space="0" w:color="auto"/>
                    <w:right w:val="none" w:sz="0" w:space="0" w:color="auto"/>
                  </w:divBdr>
                  <w:divsChild>
                    <w:div w:id="1807234713">
                      <w:marLeft w:val="0"/>
                      <w:marRight w:val="0"/>
                      <w:marTop w:val="0"/>
                      <w:marBottom w:val="0"/>
                      <w:divBdr>
                        <w:top w:val="none" w:sz="0" w:space="0" w:color="auto"/>
                        <w:left w:val="none" w:sz="0" w:space="0" w:color="auto"/>
                        <w:bottom w:val="none" w:sz="0" w:space="0" w:color="auto"/>
                        <w:right w:val="none" w:sz="0" w:space="0" w:color="auto"/>
                      </w:divBdr>
                    </w:div>
                  </w:divsChild>
                </w:div>
                <w:div w:id="741026841">
                  <w:marLeft w:val="0"/>
                  <w:marRight w:val="0"/>
                  <w:marTop w:val="0"/>
                  <w:marBottom w:val="0"/>
                  <w:divBdr>
                    <w:top w:val="none" w:sz="0" w:space="0" w:color="auto"/>
                    <w:left w:val="none" w:sz="0" w:space="0" w:color="auto"/>
                    <w:bottom w:val="none" w:sz="0" w:space="0" w:color="auto"/>
                    <w:right w:val="none" w:sz="0" w:space="0" w:color="auto"/>
                  </w:divBdr>
                  <w:divsChild>
                    <w:div w:id="352808198">
                      <w:marLeft w:val="0"/>
                      <w:marRight w:val="0"/>
                      <w:marTop w:val="0"/>
                      <w:marBottom w:val="0"/>
                      <w:divBdr>
                        <w:top w:val="none" w:sz="0" w:space="0" w:color="auto"/>
                        <w:left w:val="none" w:sz="0" w:space="0" w:color="auto"/>
                        <w:bottom w:val="none" w:sz="0" w:space="0" w:color="auto"/>
                        <w:right w:val="none" w:sz="0" w:space="0" w:color="auto"/>
                      </w:divBdr>
                    </w:div>
                  </w:divsChild>
                </w:div>
                <w:div w:id="744304071">
                  <w:marLeft w:val="0"/>
                  <w:marRight w:val="0"/>
                  <w:marTop w:val="0"/>
                  <w:marBottom w:val="0"/>
                  <w:divBdr>
                    <w:top w:val="none" w:sz="0" w:space="0" w:color="auto"/>
                    <w:left w:val="none" w:sz="0" w:space="0" w:color="auto"/>
                    <w:bottom w:val="none" w:sz="0" w:space="0" w:color="auto"/>
                    <w:right w:val="none" w:sz="0" w:space="0" w:color="auto"/>
                  </w:divBdr>
                  <w:divsChild>
                    <w:div w:id="301471637">
                      <w:marLeft w:val="0"/>
                      <w:marRight w:val="0"/>
                      <w:marTop w:val="0"/>
                      <w:marBottom w:val="0"/>
                      <w:divBdr>
                        <w:top w:val="none" w:sz="0" w:space="0" w:color="auto"/>
                        <w:left w:val="none" w:sz="0" w:space="0" w:color="auto"/>
                        <w:bottom w:val="none" w:sz="0" w:space="0" w:color="auto"/>
                        <w:right w:val="none" w:sz="0" w:space="0" w:color="auto"/>
                      </w:divBdr>
                    </w:div>
                  </w:divsChild>
                </w:div>
                <w:div w:id="757289491">
                  <w:marLeft w:val="0"/>
                  <w:marRight w:val="0"/>
                  <w:marTop w:val="0"/>
                  <w:marBottom w:val="0"/>
                  <w:divBdr>
                    <w:top w:val="none" w:sz="0" w:space="0" w:color="auto"/>
                    <w:left w:val="none" w:sz="0" w:space="0" w:color="auto"/>
                    <w:bottom w:val="none" w:sz="0" w:space="0" w:color="auto"/>
                    <w:right w:val="none" w:sz="0" w:space="0" w:color="auto"/>
                  </w:divBdr>
                  <w:divsChild>
                    <w:div w:id="1049303597">
                      <w:marLeft w:val="0"/>
                      <w:marRight w:val="0"/>
                      <w:marTop w:val="0"/>
                      <w:marBottom w:val="0"/>
                      <w:divBdr>
                        <w:top w:val="none" w:sz="0" w:space="0" w:color="auto"/>
                        <w:left w:val="none" w:sz="0" w:space="0" w:color="auto"/>
                        <w:bottom w:val="none" w:sz="0" w:space="0" w:color="auto"/>
                        <w:right w:val="none" w:sz="0" w:space="0" w:color="auto"/>
                      </w:divBdr>
                    </w:div>
                  </w:divsChild>
                </w:div>
                <w:div w:id="761023332">
                  <w:marLeft w:val="0"/>
                  <w:marRight w:val="0"/>
                  <w:marTop w:val="0"/>
                  <w:marBottom w:val="0"/>
                  <w:divBdr>
                    <w:top w:val="none" w:sz="0" w:space="0" w:color="auto"/>
                    <w:left w:val="none" w:sz="0" w:space="0" w:color="auto"/>
                    <w:bottom w:val="none" w:sz="0" w:space="0" w:color="auto"/>
                    <w:right w:val="none" w:sz="0" w:space="0" w:color="auto"/>
                  </w:divBdr>
                  <w:divsChild>
                    <w:div w:id="1683048027">
                      <w:marLeft w:val="0"/>
                      <w:marRight w:val="0"/>
                      <w:marTop w:val="0"/>
                      <w:marBottom w:val="0"/>
                      <w:divBdr>
                        <w:top w:val="none" w:sz="0" w:space="0" w:color="auto"/>
                        <w:left w:val="none" w:sz="0" w:space="0" w:color="auto"/>
                        <w:bottom w:val="none" w:sz="0" w:space="0" w:color="auto"/>
                        <w:right w:val="none" w:sz="0" w:space="0" w:color="auto"/>
                      </w:divBdr>
                    </w:div>
                  </w:divsChild>
                </w:div>
                <w:div w:id="768086234">
                  <w:marLeft w:val="0"/>
                  <w:marRight w:val="0"/>
                  <w:marTop w:val="0"/>
                  <w:marBottom w:val="0"/>
                  <w:divBdr>
                    <w:top w:val="none" w:sz="0" w:space="0" w:color="auto"/>
                    <w:left w:val="none" w:sz="0" w:space="0" w:color="auto"/>
                    <w:bottom w:val="none" w:sz="0" w:space="0" w:color="auto"/>
                    <w:right w:val="none" w:sz="0" w:space="0" w:color="auto"/>
                  </w:divBdr>
                  <w:divsChild>
                    <w:div w:id="831141970">
                      <w:marLeft w:val="0"/>
                      <w:marRight w:val="0"/>
                      <w:marTop w:val="0"/>
                      <w:marBottom w:val="0"/>
                      <w:divBdr>
                        <w:top w:val="none" w:sz="0" w:space="0" w:color="auto"/>
                        <w:left w:val="none" w:sz="0" w:space="0" w:color="auto"/>
                        <w:bottom w:val="none" w:sz="0" w:space="0" w:color="auto"/>
                        <w:right w:val="none" w:sz="0" w:space="0" w:color="auto"/>
                      </w:divBdr>
                    </w:div>
                  </w:divsChild>
                </w:div>
                <w:div w:id="782267693">
                  <w:marLeft w:val="0"/>
                  <w:marRight w:val="0"/>
                  <w:marTop w:val="0"/>
                  <w:marBottom w:val="0"/>
                  <w:divBdr>
                    <w:top w:val="none" w:sz="0" w:space="0" w:color="auto"/>
                    <w:left w:val="none" w:sz="0" w:space="0" w:color="auto"/>
                    <w:bottom w:val="none" w:sz="0" w:space="0" w:color="auto"/>
                    <w:right w:val="none" w:sz="0" w:space="0" w:color="auto"/>
                  </w:divBdr>
                  <w:divsChild>
                    <w:div w:id="1773014939">
                      <w:marLeft w:val="0"/>
                      <w:marRight w:val="0"/>
                      <w:marTop w:val="0"/>
                      <w:marBottom w:val="0"/>
                      <w:divBdr>
                        <w:top w:val="none" w:sz="0" w:space="0" w:color="auto"/>
                        <w:left w:val="none" w:sz="0" w:space="0" w:color="auto"/>
                        <w:bottom w:val="none" w:sz="0" w:space="0" w:color="auto"/>
                        <w:right w:val="none" w:sz="0" w:space="0" w:color="auto"/>
                      </w:divBdr>
                    </w:div>
                  </w:divsChild>
                </w:div>
                <w:div w:id="784538742">
                  <w:marLeft w:val="0"/>
                  <w:marRight w:val="0"/>
                  <w:marTop w:val="0"/>
                  <w:marBottom w:val="0"/>
                  <w:divBdr>
                    <w:top w:val="none" w:sz="0" w:space="0" w:color="auto"/>
                    <w:left w:val="none" w:sz="0" w:space="0" w:color="auto"/>
                    <w:bottom w:val="none" w:sz="0" w:space="0" w:color="auto"/>
                    <w:right w:val="none" w:sz="0" w:space="0" w:color="auto"/>
                  </w:divBdr>
                  <w:divsChild>
                    <w:div w:id="468481333">
                      <w:marLeft w:val="0"/>
                      <w:marRight w:val="0"/>
                      <w:marTop w:val="0"/>
                      <w:marBottom w:val="0"/>
                      <w:divBdr>
                        <w:top w:val="none" w:sz="0" w:space="0" w:color="auto"/>
                        <w:left w:val="none" w:sz="0" w:space="0" w:color="auto"/>
                        <w:bottom w:val="none" w:sz="0" w:space="0" w:color="auto"/>
                        <w:right w:val="none" w:sz="0" w:space="0" w:color="auto"/>
                      </w:divBdr>
                    </w:div>
                  </w:divsChild>
                </w:div>
                <w:div w:id="789396669">
                  <w:marLeft w:val="0"/>
                  <w:marRight w:val="0"/>
                  <w:marTop w:val="0"/>
                  <w:marBottom w:val="0"/>
                  <w:divBdr>
                    <w:top w:val="none" w:sz="0" w:space="0" w:color="auto"/>
                    <w:left w:val="none" w:sz="0" w:space="0" w:color="auto"/>
                    <w:bottom w:val="none" w:sz="0" w:space="0" w:color="auto"/>
                    <w:right w:val="none" w:sz="0" w:space="0" w:color="auto"/>
                  </w:divBdr>
                  <w:divsChild>
                    <w:div w:id="1544439761">
                      <w:marLeft w:val="0"/>
                      <w:marRight w:val="0"/>
                      <w:marTop w:val="0"/>
                      <w:marBottom w:val="0"/>
                      <w:divBdr>
                        <w:top w:val="none" w:sz="0" w:space="0" w:color="auto"/>
                        <w:left w:val="none" w:sz="0" w:space="0" w:color="auto"/>
                        <w:bottom w:val="none" w:sz="0" w:space="0" w:color="auto"/>
                        <w:right w:val="none" w:sz="0" w:space="0" w:color="auto"/>
                      </w:divBdr>
                    </w:div>
                  </w:divsChild>
                </w:div>
                <w:div w:id="791022610">
                  <w:marLeft w:val="0"/>
                  <w:marRight w:val="0"/>
                  <w:marTop w:val="0"/>
                  <w:marBottom w:val="0"/>
                  <w:divBdr>
                    <w:top w:val="none" w:sz="0" w:space="0" w:color="auto"/>
                    <w:left w:val="none" w:sz="0" w:space="0" w:color="auto"/>
                    <w:bottom w:val="none" w:sz="0" w:space="0" w:color="auto"/>
                    <w:right w:val="none" w:sz="0" w:space="0" w:color="auto"/>
                  </w:divBdr>
                  <w:divsChild>
                    <w:div w:id="1047921408">
                      <w:marLeft w:val="0"/>
                      <w:marRight w:val="0"/>
                      <w:marTop w:val="0"/>
                      <w:marBottom w:val="0"/>
                      <w:divBdr>
                        <w:top w:val="none" w:sz="0" w:space="0" w:color="auto"/>
                        <w:left w:val="none" w:sz="0" w:space="0" w:color="auto"/>
                        <w:bottom w:val="none" w:sz="0" w:space="0" w:color="auto"/>
                        <w:right w:val="none" w:sz="0" w:space="0" w:color="auto"/>
                      </w:divBdr>
                    </w:div>
                  </w:divsChild>
                </w:div>
                <w:div w:id="795754548">
                  <w:marLeft w:val="0"/>
                  <w:marRight w:val="0"/>
                  <w:marTop w:val="0"/>
                  <w:marBottom w:val="0"/>
                  <w:divBdr>
                    <w:top w:val="none" w:sz="0" w:space="0" w:color="auto"/>
                    <w:left w:val="none" w:sz="0" w:space="0" w:color="auto"/>
                    <w:bottom w:val="none" w:sz="0" w:space="0" w:color="auto"/>
                    <w:right w:val="none" w:sz="0" w:space="0" w:color="auto"/>
                  </w:divBdr>
                  <w:divsChild>
                    <w:div w:id="1913419195">
                      <w:marLeft w:val="0"/>
                      <w:marRight w:val="0"/>
                      <w:marTop w:val="0"/>
                      <w:marBottom w:val="0"/>
                      <w:divBdr>
                        <w:top w:val="none" w:sz="0" w:space="0" w:color="auto"/>
                        <w:left w:val="none" w:sz="0" w:space="0" w:color="auto"/>
                        <w:bottom w:val="none" w:sz="0" w:space="0" w:color="auto"/>
                        <w:right w:val="none" w:sz="0" w:space="0" w:color="auto"/>
                      </w:divBdr>
                    </w:div>
                  </w:divsChild>
                </w:div>
                <w:div w:id="803237268">
                  <w:marLeft w:val="0"/>
                  <w:marRight w:val="0"/>
                  <w:marTop w:val="0"/>
                  <w:marBottom w:val="0"/>
                  <w:divBdr>
                    <w:top w:val="none" w:sz="0" w:space="0" w:color="auto"/>
                    <w:left w:val="none" w:sz="0" w:space="0" w:color="auto"/>
                    <w:bottom w:val="none" w:sz="0" w:space="0" w:color="auto"/>
                    <w:right w:val="none" w:sz="0" w:space="0" w:color="auto"/>
                  </w:divBdr>
                  <w:divsChild>
                    <w:div w:id="1476950139">
                      <w:marLeft w:val="0"/>
                      <w:marRight w:val="0"/>
                      <w:marTop w:val="0"/>
                      <w:marBottom w:val="0"/>
                      <w:divBdr>
                        <w:top w:val="none" w:sz="0" w:space="0" w:color="auto"/>
                        <w:left w:val="none" w:sz="0" w:space="0" w:color="auto"/>
                        <w:bottom w:val="none" w:sz="0" w:space="0" w:color="auto"/>
                        <w:right w:val="none" w:sz="0" w:space="0" w:color="auto"/>
                      </w:divBdr>
                    </w:div>
                  </w:divsChild>
                </w:div>
                <w:div w:id="817571175">
                  <w:marLeft w:val="0"/>
                  <w:marRight w:val="0"/>
                  <w:marTop w:val="0"/>
                  <w:marBottom w:val="0"/>
                  <w:divBdr>
                    <w:top w:val="none" w:sz="0" w:space="0" w:color="auto"/>
                    <w:left w:val="none" w:sz="0" w:space="0" w:color="auto"/>
                    <w:bottom w:val="none" w:sz="0" w:space="0" w:color="auto"/>
                    <w:right w:val="none" w:sz="0" w:space="0" w:color="auto"/>
                  </w:divBdr>
                  <w:divsChild>
                    <w:div w:id="716515672">
                      <w:marLeft w:val="0"/>
                      <w:marRight w:val="0"/>
                      <w:marTop w:val="0"/>
                      <w:marBottom w:val="0"/>
                      <w:divBdr>
                        <w:top w:val="none" w:sz="0" w:space="0" w:color="auto"/>
                        <w:left w:val="none" w:sz="0" w:space="0" w:color="auto"/>
                        <w:bottom w:val="none" w:sz="0" w:space="0" w:color="auto"/>
                        <w:right w:val="none" w:sz="0" w:space="0" w:color="auto"/>
                      </w:divBdr>
                    </w:div>
                  </w:divsChild>
                </w:div>
                <w:div w:id="823544754">
                  <w:marLeft w:val="0"/>
                  <w:marRight w:val="0"/>
                  <w:marTop w:val="0"/>
                  <w:marBottom w:val="0"/>
                  <w:divBdr>
                    <w:top w:val="none" w:sz="0" w:space="0" w:color="auto"/>
                    <w:left w:val="none" w:sz="0" w:space="0" w:color="auto"/>
                    <w:bottom w:val="none" w:sz="0" w:space="0" w:color="auto"/>
                    <w:right w:val="none" w:sz="0" w:space="0" w:color="auto"/>
                  </w:divBdr>
                  <w:divsChild>
                    <w:div w:id="460618218">
                      <w:marLeft w:val="0"/>
                      <w:marRight w:val="0"/>
                      <w:marTop w:val="0"/>
                      <w:marBottom w:val="0"/>
                      <w:divBdr>
                        <w:top w:val="none" w:sz="0" w:space="0" w:color="auto"/>
                        <w:left w:val="none" w:sz="0" w:space="0" w:color="auto"/>
                        <w:bottom w:val="none" w:sz="0" w:space="0" w:color="auto"/>
                        <w:right w:val="none" w:sz="0" w:space="0" w:color="auto"/>
                      </w:divBdr>
                    </w:div>
                  </w:divsChild>
                </w:div>
                <w:div w:id="824859538">
                  <w:marLeft w:val="0"/>
                  <w:marRight w:val="0"/>
                  <w:marTop w:val="0"/>
                  <w:marBottom w:val="0"/>
                  <w:divBdr>
                    <w:top w:val="none" w:sz="0" w:space="0" w:color="auto"/>
                    <w:left w:val="none" w:sz="0" w:space="0" w:color="auto"/>
                    <w:bottom w:val="none" w:sz="0" w:space="0" w:color="auto"/>
                    <w:right w:val="none" w:sz="0" w:space="0" w:color="auto"/>
                  </w:divBdr>
                  <w:divsChild>
                    <w:div w:id="1681856928">
                      <w:marLeft w:val="0"/>
                      <w:marRight w:val="0"/>
                      <w:marTop w:val="0"/>
                      <w:marBottom w:val="0"/>
                      <w:divBdr>
                        <w:top w:val="none" w:sz="0" w:space="0" w:color="auto"/>
                        <w:left w:val="none" w:sz="0" w:space="0" w:color="auto"/>
                        <w:bottom w:val="none" w:sz="0" w:space="0" w:color="auto"/>
                        <w:right w:val="none" w:sz="0" w:space="0" w:color="auto"/>
                      </w:divBdr>
                    </w:div>
                  </w:divsChild>
                </w:div>
                <w:div w:id="850994878">
                  <w:marLeft w:val="0"/>
                  <w:marRight w:val="0"/>
                  <w:marTop w:val="0"/>
                  <w:marBottom w:val="0"/>
                  <w:divBdr>
                    <w:top w:val="none" w:sz="0" w:space="0" w:color="auto"/>
                    <w:left w:val="none" w:sz="0" w:space="0" w:color="auto"/>
                    <w:bottom w:val="none" w:sz="0" w:space="0" w:color="auto"/>
                    <w:right w:val="none" w:sz="0" w:space="0" w:color="auto"/>
                  </w:divBdr>
                  <w:divsChild>
                    <w:div w:id="1938177103">
                      <w:marLeft w:val="0"/>
                      <w:marRight w:val="0"/>
                      <w:marTop w:val="0"/>
                      <w:marBottom w:val="0"/>
                      <w:divBdr>
                        <w:top w:val="none" w:sz="0" w:space="0" w:color="auto"/>
                        <w:left w:val="none" w:sz="0" w:space="0" w:color="auto"/>
                        <w:bottom w:val="none" w:sz="0" w:space="0" w:color="auto"/>
                        <w:right w:val="none" w:sz="0" w:space="0" w:color="auto"/>
                      </w:divBdr>
                    </w:div>
                  </w:divsChild>
                </w:div>
                <w:div w:id="865170661">
                  <w:marLeft w:val="0"/>
                  <w:marRight w:val="0"/>
                  <w:marTop w:val="0"/>
                  <w:marBottom w:val="0"/>
                  <w:divBdr>
                    <w:top w:val="none" w:sz="0" w:space="0" w:color="auto"/>
                    <w:left w:val="none" w:sz="0" w:space="0" w:color="auto"/>
                    <w:bottom w:val="none" w:sz="0" w:space="0" w:color="auto"/>
                    <w:right w:val="none" w:sz="0" w:space="0" w:color="auto"/>
                  </w:divBdr>
                  <w:divsChild>
                    <w:div w:id="725033314">
                      <w:marLeft w:val="0"/>
                      <w:marRight w:val="0"/>
                      <w:marTop w:val="0"/>
                      <w:marBottom w:val="0"/>
                      <w:divBdr>
                        <w:top w:val="none" w:sz="0" w:space="0" w:color="auto"/>
                        <w:left w:val="none" w:sz="0" w:space="0" w:color="auto"/>
                        <w:bottom w:val="none" w:sz="0" w:space="0" w:color="auto"/>
                        <w:right w:val="none" w:sz="0" w:space="0" w:color="auto"/>
                      </w:divBdr>
                    </w:div>
                  </w:divsChild>
                </w:div>
                <w:div w:id="871501611">
                  <w:marLeft w:val="0"/>
                  <w:marRight w:val="0"/>
                  <w:marTop w:val="0"/>
                  <w:marBottom w:val="0"/>
                  <w:divBdr>
                    <w:top w:val="none" w:sz="0" w:space="0" w:color="auto"/>
                    <w:left w:val="none" w:sz="0" w:space="0" w:color="auto"/>
                    <w:bottom w:val="none" w:sz="0" w:space="0" w:color="auto"/>
                    <w:right w:val="none" w:sz="0" w:space="0" w:color="auto"/>
                  </w:divBdr>
                  <w:divsChild>
                    <w:div w:id="1202784161">
                      <w:marLeft w:val="0"/>
                      <w:marRight w:val="0"/>
                      <w:marTop w:val="0"/>
                      <w:marBottom w:val="0"/>
                      <w:divBdr>
                        <w:top w:val="none" w:sz="0" w:space="0" w:color="auto"/>
                        <w:left w:val="none" w:sz="0" w:space="0" w:color="auto"/>
                        <w:bottom w:val="none" w:sz="0" w:space="0" w:color="auto"/>
                        <w:right w:val="none" w:sz="0" w:space="0" w:color="auto"/>
                      </w:divBdr>
                    </w:div>
                  </w:divsChild>
                </w:div>
                <w:div w:id="877818089">
                  <w:marLeft w:val="0"/>
                  <w:marRight w:val="0"/>
                  <w:marTop w:val="0"/>
                  <w:marBottom w:val="0"/>
                  <w:divBdr>
                    <w:top w:val="none" w:sz="0" w:space="0" w:color="auto"/>
                    <w:left w:val="none" w:sz="0" w:space="0" w:color="auto"/>
                    <w:bottom w:val="none" w:sz="0" w:space="0" w:color="auto"/>
                    <w:right w:val="none" w:sz="0" w:space="0" w:color="auto"/>
                  </w:divBdr>
                  <w:divsChild>
                    <w:div w:id="284775565">
                      <w:marLeft w:val="0"/>
                      <w:marRight w:val="0"/>
                      <w:marTop w:val="0"/>
                      <w:marBottom w:val="0"/>
                      <w:divBdr>
                        <w:top w:val="none" w:sz="0" w:space="0" w:color="auto"/>
                        <w:left w:val="none" w:sz="0" w:space="0" w:color="auto"/>
                        <w:bottom w:val="none" w:sz="0" w:space="0" w:color="auto"/>
                        <w:right w:val="none" w:sz="0" w:space="0" w:color="auto"/>
                      </w:divBdr>
                    </w:div>
                  </w:divsChild>
                </w:div>
                <w:div w:id="883252396">
                  <w:marLeft w:val="0"/>
                  <w:marRight w:val="0"/>
                  <w:marTop w:val="0"/>
                  <w:marBottom w:val="0"/>
                  <w:divBdr>
                    <w:top w:val="none" w:sz="0" w:space="0" w:color="auto"/>
                    <w:left w:val="none" w:sz="0" w:space="0" w:color="auto"/>
                    <w:bottom w:val="none" w:sz="0" w:space="0" w:color="auto"/>
                    <w:right w:val="none" w:sz="0" w:space="0" w:color="auto"/>
                  </w:divBdr>
                  <w:divsChild>
                    <w:div w:id="2124568573">
                      <w:marLeft w:val="0"/>
                      <w:marRight w:val="0"/>
                      <w:marTop w:val="0"/>
                      <w:marBottom w:val="0"/>
                      <w:divBdr>
                        <w:top w:val="none" w:sz="0" w:space="0" w:color="auto"/>
                        <w:left w:val="none" w:sz="0" w:space="0" w:color="auto"/>
                        <w:bottom w:val="none" w:sz="0" w:space="0" w:color="auto"/>
                        <w:right w:val="none" w:sz="0" w:space="0" w:color="auto"/>
                      </w:divBdr>
                    </w:div>
                  </w:divsChild>
                </w:div>
                <w:div w:id="885069640">
                  <w:marLeft w:val="0"/>
                  <w:marRight w:val="0"/>
                  <w:marTop w:val="0"/>
                  <w:marBottom w:val="0"/>
                  <w:divBdr>
                    <w:top w:val="none" w:sz="0" w:space="0" w:color="auto"/>
                    <w:left w:val="none" w:sz="0" w:space="0" w:color="auto"/>
                    <w:bottom w:val="none" w:sz="0" w:space="0" w:color="auto"/>
                    <w:right w:val="none" w:sz="0" w:space="0" w:color="auto"/>
                  </w:divBdr>
                  <w:divsChild>
                    <w:div w:id="1810129484">
                      <w:marLeft w:val="0"/>
                      <w:marRight w:val="0"/>
                      <w:marTop w:val="0"/>
                      <w:marBottom w:val="0"/>
                      <w:divBdr>
                        <w:top w:val="none" w:sz="0" w:space="0" w:color="auto"/>
                        <w:left w:val="none" w:sz="0" w:space="0" w:color="auto"/>
                        <w:bottom w:val="none" w:sz="0" w:space="0" w:color="auto"/>
                        <w:right w:val="none" w:sz="0" w:space="0" w:color="auto"/>
                      </w:divBdr>
                    </w:div>
                  </w:divsChild>
                </w:div>
                <w:div w:id="892621741">
                  <w:marLeft w:val="0"/>
                  <w:marRight w:val="0"/>
                  <w:marTop w:val="0"/>
                  <w:marBottom w:val="0"/>
                  <w:divBdr>
                    <w:top w:val="none" w:sz="0" w:space="0" w:color="auto"/>
                    <w:left w:val="none" w:sz="0" w:space="0" w:color="auto"/>
                    <w:bottom w:val="none" w:sz="0" w:space="0" w:color="auto"/>
                    <w:right w:val="none" w:sz="0" w:space="0" w:color="auto"/>
                  </w:divBdr>
                  <w:divsChild>
                    <w:div w:id="549532490">
                      <w:marLeft w:val="0"/>
                      <w:marRight w:val="0"/>
                      <w:marTop w:val="0"/>
                      <w:marBottom w:val="0"/>
                      <w:divBdr>
                        <w:top w:val="none" w:sz="0" w:space="0" w:color="auto"/>
                        <w:left w:val="none" w:sz="0" w:space="0" w:color="auto"/>
                        <w:bottom w:val="none" w:sz="0" w:space="0" w:color="auto"/>
                        <w:right w:val="none" w:sz="0" w:space="0" w:color="auto"/>
                      </w:divBdr>
                    </w:div>
                  </w:divsChild>
                </w:div>
                <w:div w:id="901057924">
                  <w:marLeft w:val="0"/>
                  <w:marRight w:val="0"/>
                  <w:marTop w:val="0"/>
                  <w:marBottom w:val="0"/>
                  <w:divBdr>
                    <w:top w:val="none" w:sz="0" w:space="0" w:color="auto"/>
                    <w:left w:val="none" w:sz="0" w:space="0" w:color="auto"/>
                    <w:bottom w:val="none" w:sz="0" w:space="0" w:color="auto"/>
                    <w:right w:val="none" w:sz="0" w:space="0" w:color="auto"/>
                  </w:divBdr>
                  <w:divsChild>
                    <w:div w:id="85999515">
                      <w:marLeft w:val="0"/>
                      <w:marRight w:val="0"/>
                      <w:marTop w:val="0"/>
                      <w:marBottom w:val="0"/>
                      <w:divBdr>
                        <w:top w:val="none" w:sz="0" w:space="0" w:color="auto"/>
                        <w:left w:val="none" w:sz="0" w:space="0" w:color="auto"/>
                        <w:bottom w:val="none" w:sz="0" w:space="0" w:color="auto"/>
                        <w:right w:val="none" w:sz="0" w:space="0" w:color="auto"/>
                      </w:divBdr>
                    </w:div>
                  </w:divsChild>
                </w:div>
                <w:div w:id="901527578">
                  <w:marLeft w:val="0"/>
                  <w:marRight w:val="0"/>
                  <w:marTop w:val="0"/>
                  <w:marBottom w:val="0"/>
                  <w:divBdr>
                    <w:top w:val="none" w:sz="0" w:space="0" w:color="auto"/>
                    <w:left w:val="none" w:sz="0" w:space="0" w:color="auto"/>
                    <w:bottom w:val="none" w:sz="0" w:space="0" w:color="auto"/>
                    <w:right w:val="none" w:sz="0" w:space="0" w:color="auto"/>
                  </w:divBdr>
                  <w:divsChild>
                    <w:div w:id="1048341780">
                      <w:marLeft w:val="0"/>
                      <w:marRight w:val="0"/>
                      <w:marTop w:val="0"/>
                      <w:marBottom w:val="0"/>
                      <w:divBdr>
                        <w:top w:val="none" w:sz="0" w:space="0" w:color="auto"/>
                        <w:left w:val="none" w:sz="0" w:space="0" w:color="auto"/>
                        <w:bottom w:val="none" w:sz="0" w:space="0" w:color="auto"/>
                        <w:right w:val="none" w:sz="0" w:space="0" w:color="auto"/>
                      </w:divBdr>
                    </w:div>
                  </w:divsChild>
                </w:div>
                <w:div w:id="908461232">
                  <w:marLeft w:val="0"/>
                  <w:marRight w:val="0"/>
                  <w:marTop w:val="0"/>
                  <w:marBottom w:val="0"/>
                  <w:divBdr>
                    <w:top w:val="none" w:sz="0" w:space="0" w:color="auto"/>
                    <w:left w:val="none" w:sz="0" w:space="0" w:color="auto"/>
                    <w:bottom w:val="none" w:sz="0" w:space="0" w:color="auto"/>
                    <w:right w:val="none" w:sz="0" w:space="0" w:color="auto"/>
                  </w:divBdr>
                  <w:divsChild>
                    <w:div w:id="238171701">
                      <w:marLeft w:val="0"/>
                      <w:marRight w:val="0"/>
                      <w:marTop w:val="0"/>
                      <w:marBottom w:val="0"/>
                      <w:divBdr>
                        <w:top w:val="none" w:sz="0" w:space="0" w:color="auto"/>
                        <w:left w:val="none" w:sz="0" w:space="0" w:color="auto"/>
                        <w:bottom w:val="none" w:sz="0" w:space="0" w:color="auto"/>
                        <w:right w:val="none" w:sz="0" w:space="0" w:color="auto"/>
                      </w:divBdr>
                    </w:div>
                  </w:divsChild>
                </w:div>
                <w:div w:id="945427733">
                  <w:marLeft w:val="0"/>
                  <w:marRight w:val="0"/>
                  <w:marTop w:val="0"/>
                  <w:marBottom w:val="0"/>
                  <w:divBdr>
                    <w:top w:val="none" w:sz="0" w:space="0" w:color="auto"/>
                    <w:left w:val="none" w:sz="0" w:space="0" w:color="auto"/>
                    <w:bottom w:val="none" w:sz="0" w:space="0" w:color="auto"/>
                    <w:right w:val="none" w:sz="0" w:space="0" w:color="auto"/>
                  </w:divBdr>
                  <w:divsChild>
                    <w:div w:id="1928271992">
                      <w:marLeft w:val="0"/>
                      <w:marRight w:val="0"/>
                      <w:marTop w:val="0"/>
                      <w:marBottom w:val="0"/>
                      <w:divBdr>
                        <w:top w:val="none" w:sz="0" w:space="0" w:color="auto"/>
                        <w:left w:val="none" w:sz="0" w:space="0" w:color="auto"/>
                        <w:bottom w:val="none" w:sz="0" w:space="0" w:color="auto"/>
                        <w:right w:val="none" w:sz="0" w:space="0" w:color="auto"/>
                      </w:divBdr>
                    </w:div>
                  </w:divsChild>
                </w:div>
                <w:div w:id="946734913">
                  <w:marLeft w:val="0"/>
                  <w:marRight w:val="0"/>
                  <w:marTop w:val="0"/>
                  <w:marBottom w:val="0"/>
                  <w:divBdr>
                    <w:top w:val="none" w:sz="0" w:space="0" w:color="auto"/>
                    <w:left w:val="none" w:sz="0" w:space="0" w:color="auto"/>
                    <w:bottom w:val="none" w:sz="0" w:space="0" w:color="auto"/>
                    <w:right w:val="none" w:sz="0" w:space="0" w:color="auto"/>
                  </w:divBdr>
                  <w:divsChild>
                    <w:div w:id="2123062296">
                      <w:marLeft w:val="0"/>
                      <w:marRight w:val="0"/>
                      <w:marTop w:val="0"/>
                      <w:marBottom w:val="0"/>
                      <w:divBdr>
                        <w:top w:val="none" w:sz="0" w:space="0" w:color="auto"/>
                        <w:left w:val="none" w:sz="0" w:space="0" w:color="auto"/>
                        <w:bottom w:val="none" w:sz="0" w:space="0" w:color="auto"/>
                        <w:right w:val="none" w:sz="0" w:space="0" w:color="auto"/>
                      </w:divBdr>
                    </w:div>
                  </w:divsChild>
                </w:div>
                <w:div w:id="947929610">
                  <w:marLeft w:val="0"/>
                  <w:marRight w:val="0"/>
                  <w:marTop w:val="0"/>
                  <w:marBottom w:val="0"/>
                  <w:divBdr>
                    <w:top w:val="none" w:sz="0" w:space="0" w:color="auto"/>
                    <w:left w:val="none" w:sz="0" w:space="0" w:color="auto"/>
                    <w:bottom w:val="none" w:sz="0" w:space="0" w:color="auto"/>
                    <w:right w:val="none" w:sz="0" w:space="0" w:color="auto"/>
                  </w:divBdr>
                  <w:divsChild>
                    <w:div w:id="180164144">
                      <w:marLeft w:val="0"/>
                      <w:marRight w:val="0"/>
                      <w:marTop w:val="0"/>
                      <w:marBottom w:val="0"/>
                      <w:divBdr>
                        <w:top w:val="none" w:sz="0" w:space="0" w:color="auto"/>
                        <w:left w:val="none" w:sz="0" w:space="0" w:color="auto"/>
                        <w:bottom w:val="none" w:sz="0" w:space="0" w:color="auto"/>
                        <w:right w:val="none" w:sz="0" w:space="0" w:color="auto"/>
                      </w:divBdr>
                    </w:div>
                  </w:divsChild>
                </w:div>
                <w:div w:id="950361750">
                  <w:marLeft w:val="0"/>
                  <w:marRight w:val="0"/>
                  <w:marTop w:val="0"/>
                  <w:marBottom w:val="0"/>
                  <w:divBdr>
                    <w:top w:val="none" w:sz="0" w:space="0" w:color="auto"/>
                    <w:left w:val="none" w:sz="0" w:space="0" w:color="auto"/>
                    <w:bottom w:val="none" w:sz="0" w:space="0" w:color="auto"/>
                    <w:right w:val="none" w:sz="0" w:space="0" w:color="auto"/>
                  </w:divBdr>
                  <w:divsChild>
                    <w:div w:id="501624870">
                      <w:marLeft w:val="0"/>
                      <w:marRight w:val="0"/>
                      <w:marTop w:val="0"/>
                      <w:marBottom w:val="0"/>
                      <w:divBdr>
                        <w:top w:val="none" w:sz="0" w:space="0" w:color="auto"/>
                        <w:left w:val="none" w:sz="0" w:space="0" w:color="auto"/>
                        <w:bottom w:val="none" w:sz="0" w:space="0" w:color="auto"/>
                        <w:right w:val="none" w:sz="0" w:space="0" w:color="auto"/>
                      </w:divBdr>
                    </w:div>
                  </w:divsChild>
                </w:div>
                <w:div w:id="952055297">
                  <w:marLeft w:val="0"/>
                  <w:marRight w:val="0"/>
                  <w:marTop w:val="0"/>
                  <w:marBottom w:val="0"/>
                  <w:divBdr>
                    <w:top w:val="none" w:sz="0" w:space="0" w:color="auto"/>
                    <w:left w:val="none" w:sz="0" w:space="0" w:color="auto"/>
                    <w:bottom w:val="none" w:sz="0" w:space="0" w:color="auto"/>
                    <w:right w:val="none" w:sz="0" w:space="0" w:color="auto"/>
                  </w:divBdr>
                  <w:divsChild>
                    <w:div w:id="600336893">
                      <w:marLeft w:val="0"/>
                      <w:marRight w:val="0"/>
                      <w:marTop w:val="0"/>
                      <w:marBottom w:val="0"/>
                      <w:divBdr>
                        <w:top w:val="none" w:sz="0" w:space="0" w:color="auto"/>
                        <w:left w:val="none" w:sz="0" w:space="0" w:color="auto"/>
                        <w:bottom w:val="none" w:sz="0" w:space="0" w:color="auto"/>
                        <w:right w:val="none" w:sz="0" w:space="0" w:color="auto"/>
                      </w:divBdr>
                    </w:div>
                  </w:divsChild>
                </w:div>
                <w:div w:id="955870313">
                  <w:marLeft w:val="0"/>
                  <w:marRight w:val="0"/>
                  <w:marTop w:val="0"/>
                  <w:marBottom w:val="0"/>
                  <w:divBdr>
                    <w:top w:val="none" w:sz="0" w:space="0" w:color="auto"/>
                    <w:left w:val="none" w:sz="0" w:space="0" w:color="auto"/>
                    <w:bottom w:val="none" w:sz="0" w:space="0" w:color="auto"/>
                    <w:right w:val="none" w:sz="0" w:space="0" w:color="auto"/>
                  </w:divBdr>
                  <w:divsChild>
                    <w:div w:id="734817869">
                      <w:marLeft w:val="0"/>
                      <w:marRight w:val="0"/>
                      <w:marTop w:val="0"/>
                      <w:marBottom w:val="0"/>
                      <w:divBdr>
                        <w:top w:val="none" w:sz="0" w:space="0" w:color="auto"/>
                        <w:left w:val="none" w:sz="0" w:space="0" w:color="auto"/>
                        <w:bottom w:val="none" w:sz="0" w:space="0" w:color="auto"/>
                        <w:right w:val="none" w:sz="0" w:space="0" w:color="auto"/>
                      </w:divBdr>
                    </w:div>
                  </w:divsChild>
                </w:div>
                <w:div w:id="963460116">
                  <w:marLeft w:val="0"/>
                  <w:marRight w:val="0"/>
                  <w:marTop w:val="0"/>
                  <w:marBottom w:val="0"/>
                  <w:divBdr>
                    <w:top w:val="none" w:sz="0" w:space="0" w:color="auto"/>
                    <w:left w:val="none" w:sz="0" w:space="0" w:color="auto"/>
                    <w:bottom w:val="none" w:sz="0" w:space="0" w:color="auto"/>
                    <w:right w:val="none" w:sz="0" w:space="0" w:color="auto"/>
                  </w:divBdr>
                  <w:divsChild>
                    <w:div w:id="243146542">
                      <w:marLeft w:val="0"/>
                      <w:marRight w:val="0"/>
                      <w:marTop w:val="0"/>
                      <w:marBottom w:val="0"/>
                      <w:divBdr>
                        <w:top w:val="none" w:sz="0" w:space="0" w:color="auto"/>
                        <w:left w:val="none" w:sz="0" w:space="0" w:color="auto"/>
                        <w:bottom w:val="none" w:sz="0" w:space="0" w:color="auto"/>
                        <w:right w:val="none" w:sz="0" w:space="0" w:color="auto"/>
                      </w:divBdr>
                    </w:div>
                  </w:divsChild>
                </w:div>
                <w:div w:id="970670384">
                  <w:marLeft w:val="0"/>
                  <w:marRight w:val="0"/>
                  <w:marTop w:val="0"/>
                  <w:marBottom w:val="0"/>
                  <w:divBdr>
                    <w:top w:val="none" w:sz="0" w:space="0" w:color="auto"/>
                    <w:left w:val="none" w:sz="0" w:space="0" w:color="auto"/>
                    <w:bottom w:val="none" w:sz="0" w:space="0" w:color="auto"/>
                    <w:right w:val="none" w:sz="0" w:space="0" w:color="auto"/>
                  </w:divBdr>
                  <w:divsChild>
                    <w:div w:id="897327224">
                      <w:marLeft w:val="0"/>
                      <w:marRight w:val="0"/>
                      <w:marTop w:val="0"/>
                      <w:marBottom w:val="0"/>
                      <w:divBdr>
                        <w:top w:val="none" w:sz="0" w:space="0" w:color="auto"/>
                        <w:left w:val="none" w:sz="0" w:space="0" w:color="auto"/>
                        <w:bottom w:val="none" w:sz="0" w:space="0" w:color="auto"/>
                        <w:right w:val="none" w:sz="0" w:space="0" w:color="auto"/>
                      </w:divBdr>
                    </w:div>
                  </w:divsChild>
                </w:div>
                <w:div w:id="980770279">
                  <w:marLeft w:val="0"/>
                  <w:marRight w:val="0"/>
                  <w:marTop w:val="0"/>
                  <w:marBottom w:val="0"/>
                  <w:divBdr>
                    <w:top w:val="none" w:sz="0" w:space="0" w:color="auto"/>
                    <w:left w:val="none" w:sz="0" w:space="0" w:color="auto"/>
                    <w:bottom w:val="none" w:sz="0" w:space="0" w:color="auto"/>
                    <w:right w:val="none" w:sz="0" w:space="0" w:color="auto"/>
                  </w:divBdr>
                  <w:divsChild>
                    <w:div w:id="444079698">
                      <w:marLeft w:val="0"/>
                      <w:marRight w:val="0"/>
                      <w:marTop w:val="0"/>
                      <w:marBottom w:val="0"/>
                      <w:divBdr>
                        <w:top w:val="none" w:sz="0" w:space="0" w:color="auto"/>
                        <w:left w:val="none" w:sz="0" w:space="0" w:color="auto"/>
                        <w:bottom w:val="none" w:sz="0" w:space="0" w:color="auto"/>
                        <w:right w:val="none" w:sz="0" w:space="0" w:color="auto"/>
                      </w:divBdr>
                    </w:div>
                  </w:divsChild>
                </w:div>
                <w:div w:id="991106923">
                  <w:marLeft w:val="0"/>
                  <w:marRight w:val="0"/>
                  <w:marTop w:val="0"/>
                  <w:marBottom w:val="0"/>
                  <w:divBdr>
                    <w:top w:val="none" w:sz="0" w:space="0" w:color="auto"/>
                    <w:left w:val="none" w:sz="0" w:space="0" w:color="auto"/>
                    <w:bottom w:val="none" w:sz="0" w:space="0" w:color="auto"/>
                    <w:right w:val="none" w:sz="0" w:space="0" w:color="auto"/>
                  </w:divBdr>
                  <w:divsChild>
                    <w:div w:id="2094233163">
                      <w:marLeft w:val="0"/>
                      <w:marRight w:val="0"/>
                      <w:marTop w:val="0"/>
                      <w:marBottom w:val="0"/>
                      <w:divBdr>
                        <w:top w:val="none" w:sz="0" w:space="0" w:color="auto"/>
                        <w:left w:val="none" w:sz="0" w:space="0" w:color="auto"/>
                        <w:bottom w:val="none" w:sz="0" w:space="0" w:color="auto"/>
                        <w:right w:val="none" w:sz="0" w:space="0" w:color="auto"/>
                      </w:divBdr>
                    </w:div>
                  </w:divsChild>
                </w:div>
                <w:div w:id="992102128">
                  <w:marLeft w:val="0"/>
                  <w:marRight w:val="0"/>
                  <w:marTop w:val="0"/>
                  <w:marBottom w:val="0"/>
                  <w:divBdr>
                    <w:top w:val="none" w:sz="0" w:space="0" w:color="auto"/>
                    <w:left w:val="none" w:sz="0" w:space="0" w:color="auto"/>
                    <w:bottom w:val="none" w:sz="0" w:space="0" w:color="auto"/>
                    <w:right w:val="none" w:sz="0" w:space="0" w:color="auto"/>
                  </w:divBdr>
                  <w:divsChild>
                    <w:div w:id="276986406">
                      <w:marLeft w:val="0"/>
                      <w:marRight w:val="0"/>
                      <w:marTop w:val="0"/>
                      <w:marBottom w:val="0"/>
                      <w:divBdr>
                        <w:top w:val="none" w:sz="0" w:space="0" w:color="auto"/>
                        <w:left w:val="none" w:sz="0" w:space="0" w:color="auto"/>
                        <w:bottom w:val="none" w:sz="0" w:space="0" w:color="auto"/>
                        <w:right w:val="none" w:sz="0" w:space="0" w:color="auto"/>
                      </w:divBdr>
                    </w:div>
                  </w:divsChild>
                </w:div>
                <w:div w:id="1008874193">
                  <w:marLeft w:val="0"/>
                  <w:marRight w:val="0"/>
                  <w:marTop w:val="0"/>
                  <w:marBottom w:val="0"/>
                  <w:divBdr>
                    <w:top w:val="none" w:sz="0" w:space="0" w:color="auto"/>
                    <w:left w:val="none" w:sz="0" w:space="0" w:color="auto"/>
                    <w:bottom w:val="none" w:sz="0" w:space="0" w:color="auto"/>
                    <w:right w:val="none" w:sz="0" w:space="0" w:color="auto"/>
                  </w:divBdr>
                  <w:divsChild>
                    <w:div w:id="166409224">
                      <w:marLeft w:val="0"/>
                      <w:marRight w:val="0"/>
                      <w:marTop w:val="0"/>
                      <w:marBottom w:val="0"/>
                      <w:divBdr>
                        <w:top w:val="none" w:sz="0" w:space="0" w:color="auto"/>
                        <w:left w:val="none" w:sz="0" w:space="0" w:color="auto"/>
                        <w:bottom w:val="none" w:sz="0" w:space="0" w:color="auto"/>
                        <w:right w:val="none" w:sz="0" w:space="0" w:color="auto"/>
                      </w:divBdr>
                    </w:div>
                  </w:divsChild>
                </w:div>
                <w:div w:id="1012800428">
                  <w:marLeft w:val="0"/>
                  <w:marRight w:val="0"/>
                  <w:marTop w:val="0"/>
                  <w:marBottom w:val="0"/>
                  <w:divBdr>
                    <w:top w:val="none" w:sz="0" w:space="0" w:color="auto"/>
                    <w:left w:val="none" w:sz="0" w:space="0" w:color="auto"/>
                    <w:bottom w:val="none" w:sz="0" w:space="0" w:color="auto"/>
                    <w:right w:val="none" w:sz="0" w:space="0" w:color="auto"/>
                  </w:divBdr>
                  <w:divsChild>
                    <w:div w:id="1484197650">
                      <w:marLeft w:val="0"/>
                      <w:marRight w:val="0"/>
                      <w:marTop w:val="0"/>
                      <w:marBottom w:val="0"/>
                      <w:divBdr>
                        <w:top w:val="none" w:sz="0" w:space="0" w:color="auto"/>
                        <w:left w:val="none" w:sz="0" w:space="0" w:color="auto"/>
                        <w:bottom w:val="none" w:sz="0" w:space="0" w:color="auto"/>
                        <w:right w:val="none" w:sz="0" w:space="0" w:color="auto"/>
                      </w:divBdr>
                    </w:div>
                  </w:divsChild>
                </w:div>
                <w:div w:id="1023242182">
                  <w:marLeft w:val="0"/>
                  <w:marRight w:val="0"/>
                  <w:marTop w:val="0"/>
                  <w:marBottom w:val="0"/>
                  <w:divBdr>
                    <w:top w:val="none" w:sz="0" w:space="0" w:color="auto"/>
                    <w:left w:val="none" w:sz="0" w:space="0" w:color="auto"/>
                    <w:bottom w:val="none" w:sz="0" w:space="0" w:color="auto"/>
                    <w:right w:val="none" w:sz="0" w:space="0" w:color="auto"/>
                  </w:divBdr>
                  <w:divsChild>
                    <w:div w:id="1246643326">
                      <w:marLeft w:val="0"/>
                      <w:marRight w:val="0"/>
                      <w:marTop w:val="0"/>
                      <w:marBottom w:val="0"/>
                      <w:divBdr>
                        <w:top w:val="none" w:sz="0" w:space="0" w:color="auto"/>
                        <w:left w:val="none" w:sz="0" w:space="0" w:color="auto"/>
                        <w:bottom w:val="none" w:sz="0" w:space="0" w:color="auto"/>
                        <w:right w:val="none" w:sz="0" w:space="0" w:color="auto"/>
                      </w:divBdr>
                    </w:div>
                  </w:divsChild>
                </w:div>
                <w:div w:id="1042511248">
                  <w:marLeft w:val="0"/>
                  <w:marRight w:val="0"/>
                  <w:marTop w:val="0"/>
                  <w:marBottom w:val="0"/>
                  <w:divBdr>
                    <w:top w:val="none" w:sz="0" w:space="0" w:color="auto"/>
                    <w:left w:val="none" w:sz="0" w:space="0" w:color="auto"/>
                    <w:bottom w:val="none" w:sz="0" w:space="0" w:color="auto"/>
                    <w:right w:val="none" w:sz="0" w:space="0" w:color="auto"/>
                  </w:divBdr>
                  <w:divsChild>
                    <w:div w:id="929001244">
                      <w:marLeft w:val="0"/>
                      <w:marRight w:val="0"/>
                      <w:marTop w:val="0"/>
                      <w:marBottom w:val="0"/>
                      <w:divBdr>
                        <w:top w:val="none" w:sz="0" w:space="0" w:color="auto"/>
                        <w:left w:val="none" w:sz="0" w:space="0" w:color="auto"/>
                        <w:bottom w:val="none" w:sz="0" w:space="0" w:color="auto"/>
                        <w:right w:val="none" w:sz="0" w:space="0" w:color="auto"/>
                      </w:divBdr>
                    </w:div>
                  </w:divsChild>
                </w:div>
                <w:div w:id="1046031954">
                  <w:marLeft w:val="0"/>
                  <w:marRight w:val="0"/>
                  <w:marTop w:val="0"/>
                  <w:marBottom w:val="0"/>
                  <w:divBdr>
                    <w:top w:val="none" w:sz="0" w:space="0" w:color="auto"/>
                    <w:left w:val="none" w:sz="0" w:space="0" w:color="auto"/>
                    <w:bottom w:val="none" w:sz="0" w:space="0" w:color="auto"/>
                    <w:right w:val="none" w:sz="0" w:space="0" w:color="auto"/>
                  </w:divBdr>
                  <w:divsChild>
                    <w:div w:id="1997029128">
                      <w:marLeft w:val="0"/>
                      <w:marRight w:val="0"/>
                      <w:marTop w:val="0"/>
                      <w:marBottom w:val="0"/>
                      <w:divBdr>
                        <w:top w:val="none" w:sz="0" w:space="0" w:color="auto"/>
                        <w:left w:val="none" w:sz="0" w:space="0" w:color="auto"/>
                        <w:bottom w:val="none" w:sz="0" w:space="0" w:color="auto"/>
                        <w:right w:val="none" w:sz="0" w:space="0" w:color="auto"/>
                      </w:divBdr>
                    </w:div>
                  </w:divsChild>
                </w:div>
                <w:div w:id="1046488658">
                  <w:marLeft w:val="0"/>
                  <w:marRight w:val="0"/>
                  <w:marTop w:val="0"/>
                  <w:marBottom w:val="0"/>
                  <w:divBdr>
                    <w:top w:val="none" w:sz="0" w:space="0" w:color="auto"/>
                    <w:left w:val="none" w:sz="0" w:space="0" w:color="auto"/>
                    <w:bottom w:val="none" w:sz="0" w:space="0" w:color="auto"/>
                    <w:right w:val="none" w:sz="0" w:space="0" w:color="auto"/>
                  </w:divBdr>
                  <w:divsChild>
                    <w:div w:id="1480532305">
                      <w:marLeft w:val="0"/>
                      <w:marRight w:val="0"/>
                      <w:marTop w:val="0"/>
                      <w:marBottom w:val="0"/>
                      <w:divBdr>
                        <w:top w:val="none" w:sz="0" w:space="0" w:color="auto"/>
                        <w:left w:val="none" w:sz="0" w:space="0" w:color="auto"/>
                        <w:bottom w:val="none" w:sz="0" w:space="0" w:color="auto"/>
                        <w:right w:val="none" w:sz="0" w:space="0" w:color="auto"/>
                      </w:divBdr>
                    </w:div>
                  </w:divsChild>
                </w:div>
                <w:div w:id="1064837908">
                  <w:marLeft w:val="0"/>
                  <w:marRight w:val="0"/>
                  <w:marTop w:val="0"/>
                  <w:marBottom w:val="0"/>
                  <w:divBdr>
                    <w:top w:val="none" w:sz="0" w:space="0" w:color="auto"/>
                    <w:left w:val="none" w:sz="0" w:space="0" w:color="auto"/>
                    <w:bottom w:val="none" w:sz="0" w:space="0" w:color="auto"/>
                    <w:right w:val="none" w:sz="0" w:space="0" w:color="auto"/>
                  </w:divBdr>
                  <w:divsChild>
                    <w:div w:id="684282127">
                      <w:marLeft w:val="0"/>
                      <w:marRight w:val="0"/>
                      <w:marTop w:val="0"/>
                      <w:marBottom w:val="0"/>
                      <w:divBdr>
                        <w:top w:val="none" w:sz="0" w:space="0" w:color="auto"/>
                        <w:left w:val="none" w:sz="0" w:space="0" w:color="auto"/>
                        <w:bottom w:val="none" w:sz="0" w:space="0" w:color="auto"/>
                        <w:right w:val="none" w:sz="0" w:space="0" w:color="auto"/>
                      </w:divBdr>
                    </w:div>
                  </w:divsChild>
                </w:div>
                <w:div w:id="1065567213">
                  <w:marLeft w:val="0"/>
                  <w:marRight w:val="0"/>
                  <w:marTop w:val="0"/>
                  <w:marBottom w:val="0"/>
                  <w:divBdr>
                    <w:top w:val="none" w:sz="0" w:space="0" w:color="auto"/>
                    <w:left w:val="none" w:sz="0" w:space="0" w:color="auto"/>
                    <w:bottom w:val="none" w:sz="0" w:space="0" w:color="auto"/>
                    <w:right w:val="none" w:sz="0" w:space="0" w:color="auto"/>
                  </w:divBdr>
                  <w:divsChild>
                    <w:div w:id="346567708">
                      <w:marLeft w:val="0"/>
                      <w:marRight w:val="0"/>
                      <w:marTop w:val="0"/>
                      <w:marBottom w:val="0"/>
                      <w:divBdr>
                        <w:top w:val="none" w:sz="0" w:space="0" w:color="auto"/>
                        <w:left w:val="none" w:sz="0" w:space="0" w:color="auto"/>
                        <w:bottom w:val="none" w:sz="0" w:space="0" w:color="auto"/>
                        <w:right w:val="none" w:sz="0" w:space="0" w:color="auto"/>
                      </w:divBdr>
                    </w:div>
                  </w:divsChild>
                </w:div>
                <w:div w:id="1070999497">
                  <w:marLeft w:val="0"/>
                  <w:marRight w:val="0"/>
                  <w:marTop w:val="0"/>
                  <w:marBottom w:val="0"/>
                  <w:divBdr>
                    <w:top w:val="none" w:sz="0" w:space="0" w:color="auto"/>
                    <w:left w:val="none" w:sz="0" w:space="0" w:color="auto"/>
                    <w:bottom w:val="none" w:sz="0" w:space="0" w:color="auto"/>
                    <w:right w:val="none" w:sz="0" w:space="0" w:color="auto"/>
                  </w:divBdr>
                  <w:divsChild>
                    <w:div w:id="478115590">
                      <w:marLeft w:val="0"/>
                      <w:marRight w:val="0"/>
                      <w:marTop w:val="0"/>
                      <w:marBottom w:val="0"/>
                      <w:divBdr>
                        <w:top w:val="none" w:sz="0" w:space="0" w:color="auto"/>
                        <w:left w:val="none" w:sz="0" w:space="0" w:color="auto"/>
                        <w:bottom w:val="none" w:sz="0" w:space="0" w:color="auto"/>
                        <w:right w:val="none" w:sz="0" w:space="0" w:color="auto"/>
                      </w:divBdr>
                    </w:div>
                  </w:divsChild>
                </w:div>
                <w:div w:id="1079135651">
                  <w:marLeft w:val="0"/>
                  <w:marRight w:val="0"/>
                  <w:marTop w:val="0"/>
                  <w:marBottom w:val="0"/>
                  <w:divBdr>
                    <w:top w:val="none" w:sz="0" w:space="0" w:color="auto"/>
                    <w:left w:val="none" w:sz="0" w:space="0" w:color="auto"/>
                    <w:bottom w:val="none" w:sz="0" w:space="0" w:color="auto"/>
                    <w:right w:val="none" w:sz="0" w:space="0" w:color="auto"/>
                  </w:divBdr>
                  <w:divsChild>
                    <w:div w:id="273292585">
                      <w:marLeft w:val="0"/>
                      <w:marRight w:val="0"/>
                      <w:marTop w:val="0"/>
                      <w:marBottom w:val="0"/>
                      <w:divBdr>
                        <w:top w:val="none" w:sz="0" w:space="0" w:color="auto"/>
                        <w:left w:val="none" w:sz="0" w:space="0" w:color="auto"/>
                        <w:bottom w:val="none" w:sz="0" w:space="0" w:color="auto"/>
                        <w:right w:val="none" w:sz="0" w:space="0" w:color="auto"/>
                      </w:divBdr>
                    </w:div>
                  </w:divsChild>
                </w:div>
                <w:div w:id="1083799547">
                  <w:marLeft w:val="0"/>
                  <w:marRight w:val="0"/>
                  <w:marTop w:val="0"/>
                  <w:marBottom w:val="0"/>
                  <w:divBdr>
                    <w:top w:val="none" w:sz="0" w:space="0" w:color="auto"/>
                    <w:left w:val="none" w:sz="0" w:space="0" w:color="auto"/>
                    <w:bottom w:val="none" w:sz="0" w:space="0" w:color="auto"/>
                    <w:right w:val="none" w:sz="0" w:space="0" w:color="auto"/>
                  </w:divBdr>
                  <w:divsChild>
                    <w:div w:id="1725254019">
                      <w:marLeft w:val="0"/>
                      <w:marRight w:val="0"/>
                      <w:marTop w:val="0"/>
                      <w:marBottom w:val="0"/>
                      <w:divBdr>
                        <w:top w:val="none" w:sz="0" w:space="0" w:color="auto"/>
                        <w:left w:val="none" w:sz="0" w:space="0" w:color="auto"/>
                        <w:bottom w:val="none" w:sz="0" w:space="0" w:color="auto"/>
                        <w:right w:val="none" w:sz="0" w:space="0" w:color="auto"/>
                      </w:divBdr>
                    </w:div>
                  </w:divsChild>
                </w:div>
                <w:div w:id="1090539647">
                  <w:marLeft w:val="0"/>
                  <w:marRight w:val="0"/>
                  <w:marTop w:val="0"/>
                  <w:marBottom w:val="0"/>
                  <w:divBdr>
                    <w:top w:val="none" w:sz="0" w:space="0" w:color="auto"/>
                    <w:left w:val="none" w:sz="0" w:space="0" w:color="auto"/>
                    <w:bottom w:val="none" w:sz="0" w:space="0" w:color="auto"/>
                    <w:right w:val="none" w:sz="0" w:space="0" w:color="auto"/>
                  </w:divBdr>
                  <w:divsChild>
                    <w:div w:id="809903542">
                      <w:marLeft w:val="0"/>
                      <w:marRight w:val="0"/>
                      <w:marTop w:val="0"/>
                      <w:marBottom w:val="0"/>
                      <w:divBdr>
                        <w:top w:val="none" w:sz="0" w:space="0" w:color="auto"/>
                        <w:left w:val="none" w:sz="0" w:space="0" w:color="auto"/>
                        <w:bottom w:val="none" w:sz="0" w:space="0" w:color="auto"/>
                        <w:right w:val="none" w:sz="0" w:space="0" w:color="auto"/>
                      </w:divBdr>
                    </w:div>
                  </w:divsChild>
                </w:div>
                <w:div w:id="1092892220">
                  <w:marLeft w:val="0"/>
                  <w:marRight w:val="0"/>
                  <w:marTop w:val="0"/>
                  <w:marBottom w:val="0"/>
                  <w:divBdr>
                    <w:top w:val="none" w:sz="0" w:space="0" w:color="auto"/>
                    <w:left w:val="none" w:sz="0" w:space="0" w:color="auto"/>
                    <w:bottom w:val="none" w:sz="0" w:space="0" w:color="auto"/>
                    <w:right w:val="none" w:sz="0" w:space="0" w:color="auto"/>
                  </w:divBdr>
                  <w:divsChild>
                    <w:div w:id="13050">
                      <w:marLeft w:val="0"/>
                      <w:marRight w:val="0"/>
                      <w:marTop w:val="0"/>
                      <w:marBottom w:val="0"/>
                      <w:divBdr>
                        <w:top w:val="none" w:sz="0" w:space="0" w:color="auto"/>
                        <w:left w:val="none" w:sz="0" w:space="0" w:color="auto"/>
                        <w:bottom w:val="none" w:sz="0" w:space="0" w:color="auto"/>
                        <w:right w:val="none" w:sz="0" w:space="0" w:color="auto"/>
                      </w:divBdr>
                    </w:div>
                  </w:divsChild>
                </w:div>
                <w:div w:id="1093554374">
                  <w:marLeft w:val="0"/>
                  <w:marRight w:val="0"/>
                  <w:marTop w:val="0"/>
                  <w:marBottom w:val="0"/>
                  <w:divBdr>
                    <w:top w:val="none" w:sz="0" w:space="0" w:color="auto"/>
                    <w:left w:val="none" w:sz="0" w:space="0" w:color="auto"/>
                    <w:bottom w:val="none" w:sz="0" w:space="0" w:color="auto"/>
                    <w:right w:val="none" w:sz="0" w:space="0" w:color="auto"/>
                  </w:divBdr>
                  <w:divsChild>
                    <w:div w:id="1017778512">
                      <w:marLeft w:val="0"/>
                      <w:marRight w:val="0"/>
                      <w:marTop w:val="0"/>
                      <w:marBottom w:val="0"/>
                      <w:divBdr>
                        <w:top w:val="none" w:sz="0" w:space="0" w:color="auto"/>
                        <w:left w:val="none" w:sz="0" w:space="0" w:color="auto"/>
                        <w:bottom w:val="none" w:sz="0" w:space="0" w:color="auto"/>
                        <w:right w:val="none" w:sz="0" w:space="0" w:color="auto"/>
                      </w:divBdr>
                    </w:div>
                  </w:divsChild>
                </w:div>
                <w:div w:id="1106265832">
                  <w:marLeft w:val="0"/>
                  <w:marRight w:val="0"/>
                  <w:marTop w:val="0"/>
                  <w:marBottom w:val="0"/>
                  <w:divBdr>
                    <w:top w:val="none" w:sz="0" w:space="0" w:color="auto"/>
                    <w:left w:val="none" w:sz="0" w:space="0" w:color="auto"/>
                    <w:bottom w:val="none" w:sz="0" w:space="0" w:color="auto"/>
                    <w:right w:val="none" w:sz="0" w:space="0" w:color="auto"/>
                  </w:divBdr>
                  <w:divsChild>
                    <w:div w:id="291718194">
                      <w:marLeft w:val="0"/>
                      <w:marRight w:val="0"/>
                      <w:marTop w:val="0"/>
                      <w:marBottom w:val="0"/>
                      <w:divBdr>
                        <w:top w:val="none" w:sz="0" w:space="0" w:color="auto"/>
                        <w:left w:val="none" w:sz="0" w:space="0" w:color="auto"/>
                        <w:bottom w:val="none" w:sz="0" w:space="0" w:color="auto"/>
                        <w:right w:val="none" w:sz="0" w:space="0" w:color="auto"/>
                      </w:divBdr>
                    </w:div>
                  </w:divsChild>
                </w:div>
                <w:div w:id="1130170807">
                  <w:marLeft w:val="0"/>
                  <w:marRight w:val="0"/>
                  <w:marTop w:val="0"/>
                  <w:marBottom w:val="0"/>
                  <w:divBdr>
                    <w:top w:val="none" w:sz="0" w:space="0" w:color="auto"/>
                    <w:left w:val="none" w:sz="0" w:space="0" w:color="auto"/>
                    <w:bottom w:val="none" w:sz="0" w:space="0" w:color="auto"/>
                    <w:right w:val="none" w:sz="0" w:space="0" w:color="auto"/>
                  </w:divBdr>
                  <w:divsChild>
                    <w:div w:id="1295136310">
                      <w:marLeft w:val="0"/>
                      <w:marRight w:val="0"/>
                      <w:marTop w:val="0"/>
                      <w:marBottom w:val="0"/>
                      <w:divBdr>
                        <w:top w:val="none" w:sz="0" w:space="0" w:color="auto"/>
                        <w:left w:val="none" w:sz="0" w:space="0" w:color="auto"/>
                        <w:bottom w:val="none" w:sz="0" w:space="0" w:color="auto"/>
                        <w:right w:val="none" w:sz="0" w:space="0" w:color="auto"/>
                      </w:divBdr>
                    </w:div>
                  </w:divsChild>
                </w:div>
                <w:div w:id="1130633463">
                  <w:marLeft w:val="0"/>
                  <w:marRight w:val="0"/>
                  <w:marTop w:val="0"/>
                  <w:marBottom w:val="0"/>
                  <w:divBdr>
                    <w:top w:val="none" w:sz="0" w:space="0" w:color="auto"/>
                    <w:left w:val="none" w:sz="0" w:space="0" w:color="auto"/>
                    <w:bottom w:val="none" w:sz="0" w:space="0" w:color="auto"/>
                    <w:right w:val="none" w:sz="0" w:space="0" w:color="auto"/>
                  </w:divBdr>
                  <w:divsChild>
                    <w:div w:id="1435127448">
                      <w:marLeft w:val="0"/>
                      <w:marRight w:val="0"/>
                      <w:marTop w:val="0"/>
                      <w:marBottom w:val="0"/>
                      <w:divBdr>
                        <w:top w:val="none" w:sz="0" w:space="0" w:color="auto"/>
                        <w:left w:val="none" w:sz="0" w:space="0" w:color="auto"/>
                        <w:bottom w:val="none" w:sz="0" w:space="0" w:color="auto"/>
                        <w:right w:val="none" w:sz="0" w:space="0" w:color="auto"/>
                      </w:divBdr>
                    </w:div>
                  </w:divsChild>
                </w:div>
                <w:div w:id="1132287532">
                  <w:marLeft w:val="0"/>
                  <w:marRight w:val="0"/>
                  <w:marTop w:val="0"/>
                  <w:marBottom w:val="0"/>
                  <w:divBdr>
                    <w:top w:val="none" w:sz="0" w:space="0" w:color="auto"/>
                    <w:left w:val="none" w:sz="0" w:space="0" w:color="auto"/>
                    <w:bottom w:val="none" w:sz="0" w:space="0" w:color="auto"/>
                    <w:right w:val="none" w:sz="0" w:space="0" w:color="auto"/>
                  </w:divBdr>
                  <w:divsChild>
                    <w:div w:id="1464664162">
                      <w:marLeft w:val="0"/>
                      <w:marRight w:val="0"/>
                      <w:marTop w:val="0"/>
                      <w:marBottom w:val="0"/>
                      <w:divBdr>
                        <w:top w:val="none" w:sz="0" w:space="0" w:color="auto"/>
                        <w:left w:val="none" w:sz="0" w:space="0" w:color="auto"/>
                        <w:bottom w:val="none" w:sz="0" w:space="0" w:color="auto"/>
                        <w:right w:val="none" w:sz="0" w:space="0" w:color="auto"/>
                      </w:divBdr>
                    </w:div>
                  </w:divsChild>
                </w:div>
                <w:div w:id="1141652711">
                  <w:marLeft w:val="0"/>
                  <w:marRight w:val="0"/>
                  <w:marTop w:val="0"/>
                  <w:marBottom w:val="0"/>
                  <w:divBdr>
                    <w:top w:val="none" w:sz="0" w:space="0" w:color="auto"/>
                    <w:left w:val="none" w:sz="0" w:space="0" w:color="auto"/>
                    <w:bottom w:val="none" w:sz="0" w:space="0" w:color="auto"/>
                    <w:right w:val="none" w:sz="0" w:space="0" w:color="auto"/>
                  </w:divBdr>
                  <w:divsChild>
                    <w:div w:id="145829059">
                      <w:marLeft w:val="0"/>
                      <w:marRight w:val="0"/>
                      <w:marTop w:val="0"/>
                      <w:marBottom w:val="0"/>
                      <w:divBdr>
                        <w:top w:val="none" w:sz="0" w:space="0" w:color="auto"/>
                        <w:left w:val="none" w:sz="0" w:space="0" w:color="auto"/>
                        <w:bottom w:val="none" w:sz="0" w:space="0" w:color="auto"/>
                        <w:right w:val="none" w:sz="0" w:space="0" w:color="auto"/>
                      </w:divBdr>
                    </w:div>
                  </w:divsChild>
                </w:div>
                <w:div w:id="1145463528">
                  <w:marLeft w:val="0"/>
                  <w:marRight w:val="0"/>
                  <w:marTop w:val="0"/>
                  <w:marBottom w:val="0"/>
                  <w:divBdr>
                    <w:top w:val="none" w:sz="0" w:space="0" w:color="auto"/>
                    <w:left w:val="none" w:sz="0" w:space="0" w:color="auto"/>
                    <w:bottom w:val="none" w:sz="0" w:space="0" w:color="auto"/>
                    <w:right w:val="none" w:sz="0" w:space="0" w:color="auto"/>
                  </w:divBdr>
                  <w:divsChild>
                    <w:div w:id="1555045913">
                      <w:marLeft w:val="0"/>
                      <w:marRight w:val="0"/>
                      <w:marTop w:val="0"/>
                      <w:marBottom w:val="0"/>
                      <w:divBdr>
                        <w:top w:val="none" w:sz="0" w:space="0" w:color="auto"/>
                        <w:left w:val="none" w:sz="0" w:space="0" w:color="auto"/>
                        <w:bottom w:val="none" w:sz="0" w:space="0" w:color="auto"/>
                        <w:right w:val="none" w:sz="0" w:space="0" w:color="auto"/>
                      </w:divBdr>
                    </w:div>
                  </w:divsChild>
                </w:div>
                <w:div w:id="1152914801">
                  <w:marLeft w:val="0"/>
                  <w:marRight w:val="0"/>
                  <w:marTop w:val="0"/>
                  <w:marBottom w:val="0"/>
                  <w:divBdr>
                    <w:top w:val="none" w:sz="0" w:space="0" w:color="auto"/>
                    <w:left w:val="none" w:sz="0" w:space="0" w:color="auto"/>
                    <w:bottom w:val="none" w:sz="0" w:space="0" w:color="auto"/>
                    <w:right w:val="none" w:sz="0" w:space="0" w:color="auto"/>
                  </w:divBdr>
                  <w:divsChild>
                    <w:div w:id="451478944">
                      <w:marLeft w:val="0"/>
                      <w:marRight w:val="0"/>
                      <w:marTop w:val="0"/>
                      <w:marBottom w:val="0"/>
                      <w:divBdr>
                        <w:top w:val="none" w:sz="0" w:space="0" w:color="auto"/>
                        <w:left w:val="none" w:sz="0" w:space="0" w:color="auto"/>
                        <w:bottom w:val="none" w:sz="0" w:space="0" w:color="auto"/>
                        <w:right w:val="none" w:sz="0" w:space="0" w:color="auto"/>
                      </w:divBdr>
                    </w:div>
                  </w:divsChild>
                </w:div>
                <w:div w:id="1155297399">
                  <w:marLeft w:val="0"/>
                  <w:marRight w:val="0"/>
                  <w:marTop w:val="0"/>
                  <w:marBottom w:val="0"/>
                  <w:divBdr>
                    <w:top w:val="none" w:sz="0" w:space="0" w:color="auto"/>
                    <w:left w:val="none" w:sz="0" w:space="0" w:color="auto"/>
                    <w:bottom w:val="none" w:sz="0" w:space="0" w:color="auto"/>
                    <w:right w:val="none" w:sz="0" w:space="0" w:color="auto"/>
                  </w:divBdr>
                  <w:divsChild>
                    <w:div w:id="95827049">
                      <w:marLeft w:val="0"/>
                      <w:marRight w:val="0"/>
                      <w:marTop w:val="0"/>
                      <w:marBottom w:val="0"/>
                      <w:divBdr>
                        <w:top w:val="none" w:sz="0" w:space="0" w:color="auto"/>
                        <w:left w:val="none" w:sz="0" w:space="0" w:color="auto"/>
                        <w:bottom w:val="none" w:sz="0" w:space="0" w:color="auto"/>
                        <w:right w:val="none" w:sz="0" w:space="0" w:color="auto"/>
                      </w:divBdr>
                    </w:div>
                  </w:divsChild>
                </w:div>
                <w:div w:id="1175539086">
                  <w:marLeft w:val="0"/>
                  <w:marRight w:val="0"/>
                  <w:marTop w:val="0"/>
                  <w:marBottom w:val="0"/>
                  <w:divBdr>
                    <w:top w:val="none" w:sz="0" w:space="0" w:color="auto"/>
                    <w:left w:val="none" w:sz="0" w:space="0" w:color="auto"/>
                    <w:bottom w:val="none" w:sz="0" w:space="0" w:color="auto"/>
                    <w:right w:val="none" w:sz="0" w:space="0" w:color="auto"/>
                  </w:divBdr>
                  <w:divsChild>
                    <w:div w:id="2079090143">
                      <w:marLeft w:val="0"/>
                      <w:marRight w:val="0"/>
                      <w:marTop w:val="0"/>
                      <w:marBottom w:val="0"/>
                      <w:divBdr>
                        <w:top w:val="none" w:sz="0" w:space="0" w:color="auto"/>
                        <w:left w:val="none" w:sz="0" w:space="0" w:color="auto"/>
                        <w:bottom w:val="none" w:sz="0" w:space="0" w:color="auto"/>
                        <w:right w:val="none" w:sz="0" w:space="0" w:color="auto"/>
                      </w:divBdr>
                    </w:div>
                  </w:divsChild>
                </w:div>
                <w:div w:id="1177188583">
                  <w:marLeft w:val="0"/>
                  <w:marRight w:val="0"/>
                  <w:marTop w:val="0"/>
                  <w:marBottom w:val="0"/>
                  <w:divBdr>
                    <w:top w:val="none" w:sz="0" w:space="0" w:color="auto"/>
                    <w:left w:val="none" w:sz="0" w:space="0" w:color="auto"/>
                    <w:bottom w:val="none" w:sz="0" w:space="0" w:color="auto"/>
                    <w:right w:val="none" w:sz="0" w:space="0" w:color="auto"/>
                  </w:divBdr>
                  <w:divsChild>
                    <w:div w:id="310594764">
                      <w:marLeft w:val="0"/>
                      <w:marRight w:val="0"/>
                      <w:marTop w:val="0"/>
                      <w:marBottom w:val="0"/>
                      <w:divBdr>
                        <w:top w:val="none" w:sz="0" w:space="0" w:color="auto"/>
                        <w:left w:val="none" w:sz="0" w:space="0" w:color="auto"/>
                        <w:bottom w:val="none" w:sz="0" w:space="0" w:color="auto"/>
                        <w:right w:val="none" w:sz="0" w:space="0" w:color="auto"/>
                      </w:divBdr>
                    </w:div>
                  </w:divsChild>
                </w:div>
                <w:div w:id="1180195750">
                  <w:marLeft w:val="0"/>
                  <w:marRight w:val="0"/>
                  <w:marTop w:val="0"/>
                  <w:marBottom w:val="0"/>
                  <w:divBdr>
                    <w:top w:val="none" w:sz="0" w:space="0" w:color="auto"/>
                    <w:left w:val="none" w:sz="0" w:space="0" w:color="auto"/>
                    <w:bottom w:val="none" w:sz="0" w:space="0" w:color="auto"/>
                    <w:right w:val="none" w:sz="0" w:space="0" w:color="auto"/>
                  </w:divBdr>
                  <w:divsChild>
                    <w:div w:id="2090421348">
                      <w:marLeft w:val="0"/>
                      <w:marRight w:val="0"/>
                      <w:marTop w:val="0"/>
                      <w:marBottom w:val="0"/>
                      <w:divBdr>
                        <w:top w:val="none" w:sz="0" w:space="0" w:color="auto"/>
                        <w:left w:val="none" w:sz="0" w:space="0" w:color="auto"/>
                        <w:bottom w:val="none" w:sz="0" w:space="0" w:color="auto"/>
                        <w:right w:val="none" w:sz="0" w:space="0" w:color="auto"/>
                      </w:divBdr>
                    </w:div>
                  </w:divsChild>
                </w:div>
                <w:div w:id="1180778886">
                  <w:marLeft w:val="0"/>
                  <w:marRight w:val="0"/>
                  <w:marTop w:val="0"/>
                  <w:marBottom w:val="0"/>
                  <w:divBdr>
                    <w:top w:val="none" w:sz="0" w:space="0" w:color="auto"/>
                    <w:left w:val="none" w:sz="0" w:space="0" w:color="auto"/>
                    <w:bottom w:val="none" w:sz="0" w:space="0" w:color="auto"/>
                    <w:right w:val="none" w:sz="0" w:space="0" w:color="auto"/>
                  </w:divBdr>
                  <w:divsChild>
                    <w:div w:id="1062487847">
                      <w:marLeft w:val="0"/>
                      <w:marRight w:val="0"/>
                      <w:marTop w:val="0"/>
                      <w:marBottom w:val="0"/>
                      <w:divBdr>
                        <w:top w:val="none" w:sz="0" w:space="0" w:color="auto"/>
                        <w:left w:val="none" w:sz="0" w:space="0" w:color="auto"/>
                        <w:bottom w:val="none" w:sz="0" w:space="0" w:color="auto"/>
                        <w:right w:val="none" w:sz="0" w:space="0" w:color="auto"/>
                      </w:divBdr>
                    </w:div>
                  </w:divsChild>
                </w:div>
                <w:div w:id="1184366983">
                  <w:marLeft w:val="0"/>
                  <w:marRight w:val="0"/>
                  <w:marTop w:val="0"/>
                  <w:marBottom w:val="0"/>
                  <w:divBdr>
                    <w:top w:val="none" w:sz="0" w:space="0" w:color="auto"/>
                    <w:left w:val="none" w:sz="0" w:space="0" w:color="auto"/>
                    <w:bottom w:val="none" w:sz="0" w:space="0" w:color="auto"/>
                    <w:right w:val="none" w:sz="0" w:space="0" w:color="auto"/>
                  </w:divBdr>
                  <w:divsChild>
                    <w:div w:id="560680637">
                      <w:marLeft w:val="0"/>
                      <w:marRight w:val="0"/>
                      <w:marTop w:val="0"/>
                      <w:marBottom w:val="0"/>
                      <w:divBdr>
                        <w:top w:val="none" w:sz="0" w:space="0" w:color="auto"/>
                        <w:left w:val="none" w:sz="0" w:space="0" w:color="auto"/>
                        <w:bottom w:val="none" w:sz="0" w:space="0" w:color="auto"/>
                        <w:right w:val="none" w:sz="0" w:space="0" w:color="auto"/>
                      </w:divBdr>
                    </w:div>
                  </w:divsChild>
                </w:div>
                <w:div w:id="1194729604">
                  <w:marLeft w:val="0"/>
                  <w:marRight w:val="0"/>
                  <w:marTop w:val="0"/>
                  <w:marBottom w:val="0"/>
                  <w:divBdr>
                    <w:top w:val="none" w:sz="0" w:space="0" w:color="auto"/>
                    <w:left w:val="none" w:sz="0" w:space="0" w:color="auto"/>
                    <w:bottom w:val="none" w:sz="0" w:space="0" w:color="auto"/>
                    <w:right w:val="none" w:sz="0" w:space="0" w:color="auto"/>
                  </w:divBdr>
                  <w:divsChild>
                    <w:div w:id="641882363">
                      <w:marLeft w:val="0"/>
                      <w:marRight w:val="0"/>
                      <w:marTop w:val="0"/>
                      <w:marBottom w:val="0"/>
                      <w:divBdr>
                        <w:top w:val="none" w:sz="0" w:space="0" w:color="auto"/>
                        <w:left w:val="none" w:sz="0" w:space="0" w:color="auto"/>
                        <w:bottom w:val="none" w:sz="0" w:space="0" w:color="auto"/>
                        <w:right w:val="none" w:sz="0" w:space="0" w:color="auto"/>
                      </w:divBdr>
                    </w:div>
                  </w:divsChild>
                </w:div>
                <w:div w:id="1202017106">
                  <w:marLeft w:val="0"/>
                  <w:marRight w:val="0"/>
                  <w:marTop w:val="0"/>
                  <w:marBottom w:val="0"/>
                  <w:divBdr>
                    <w:top w:val="none" w:sz="0" w:space="0" w:color="auto"/>
                    <w:left w:val="none" w:sz="0" w:space="0" w:color="auto"/>
                    <w:bottom w:val="none" w:sz="0" w:space="0" w:color="auto"/>
                    <w:right w:val="none" w:sz="0" w:space="0" w:color="auto"/>
                  </w:divBdr>
                  <w:divsChild>
                    <w:div w:id="1988585181">
                      <w:marLeft w:val="0"/>
                      <w:marRight w:val="0"/>
                      <w:marTop w:val="0"/>
                      <w:marBottom w:val="0"/>
                      <w:divBdr>
                        <w:top w:val="none" w:sz="0" w:space="0" w:color="auto"/>
                        <w:left w:val="none" w:sz="0" w:space="0" w:color="auto"/>
                        <w:bottom w:val="none" w:sz="0" w:space="0" w:color="auto"/>
                        <w:right w:val="none" w:sz="0" w:space="0" w:color="auto"/>
                      </w:divBdr>
                    </w:div>
                  </w:divsChild>
                </w:div>
                <w:div w:id="1213421340">
                  <w:marLeft w:val="0"/>
                  <w:marRight w:val="0"/>
                  <w:marTop w:val="0"/>
                  <w:marBottom w:val="0"/>
                  <w:divBdr>
                    <w:top w:val="none" w:sz="0" w:space="0" w:color="auto"/>
                    <w:left w:val="none" w:sz="0" w:space="0" w:color="auto"/>
                    <w:bottom w:val="none" w:sz="0" w:space="0" w:color="auto"/>
                    <w:right w:val="none" w:sz="0" w:space="0" w:color="auto"/>
                  </w:divBdr>
                  <w:divsChild>
                    <w:div w:id="853418929">
                      <w:marLeft w:val="0"/>
                      <w:marRight w:val="0"/>
                      <w:marTop w:val="0"/>
                      <w:marBottom w:val="0"/>
                      <w:divBdr>
                        <w:top w:val="none" w:sz="0" w:space="0" w:color="auto"/>
                        <w:left w:val="none" w:sz="0" w:space="0" w:color="auto"/>
                        <w:bottom w:val="none" w:sz="0" w:space="0" w:color="auto"/>
                        <w:right w:val="none" w:sz="0" w:space="0" w:color="auto"/>
                      </w:divBdr>
                    </w:div>
                  </w:divsChild>
                </w:div>
                <w:div w:id="1215309868">
                  <w:marLeft w:val="0"/>
                  <w:marRight w:val="0"/>
                  <w:marTop w:val="0"/>
                  <w:marBottom w:val="0"/>
                  <w:divBdr>
                    <w:top w:val="none" w:sz="0" w:space="0" w:color="auto"/>
                    <w:left w:val="none" w:sz="0" w:space="0" w:color="auto"/>
                    <w:bottom w:val="none" w:sz="0" w:space="0" w:color="auto"/>
                    <w:right w:val="none" w:sz="0" w:space="0" w:color="auto"/>
                  </w:divBdr>
                  <w:divsChild>
                    <w:div w:id="2026052732">
                      <w:marLeft w:val="0"/>
                      <w:marRight w:val="0"/>
                      <w:marTop w:val="0"/>
                      <w:marBottom w:val="0"/>
                      <w:divBdr>
                        <w:top w:val="none" w:sz="0" w:space="0" w:color="auto"/>
                        <w:left w:val="none" w:sz="0" w:space="0" w:color="auto"/>
                        <w:bottom w:val="none" w:sz="0" w:space="0" w:color="auto"/>
                        <w:right w:val="none" w:sz="0" w:space="0" w:color="auto"/>
                      </w:divBdr>
                    </w:div>
                  </w:divsChild>
                </w:div>
                <w:div w:id="1215697078">
                  <w:marLeft w:val="0"/>
                  <w:marRight w:val="0"/>
                  <w:marTop w:val="0"/>
                  <w:marBottom w:val="0"/>
                  <w:divBdr>
                    <w:top w:val="none" w:sz="0" w:space="0" w:color="auto"/>
                    <w:left w:val="none" w:sz="0" w:space="0" w:color="auto"/>
                    <w:bottom w:val="none" w:sz="0" w:space="0" w:color="auto"/>
                    <w:right w:val="none" w:sz="0" w:space="0" w:color="auto"/>
                  </w:divBdr>
                  <w:divsChild>
                    <w:div w:id="1576865154">
                      <w:marLeft w:val="0"/>
                      <w:marRight w:val="0"/>
                      <w:marTop w:val="0"/>
                      <w:marBottom w:val="0"/>
                      <w:divBdr>
                        <w:top w:val="none" w:sz="0" w:space="0" w:color="auto"/>
                        <w:left w:val="none" w:sz="0" w:space="0" w:color="auto"/>
                        <w:bottom w:val="none" w:sz="0" w:space="0" w:color="auto"/>
                        <w:right w:val="none" w:sz="0" w:space="0" w:color="auto"/>
                      </w:divBdr>
                    </w:div>
                  </w:divsChild>
                </w:div>
                <w:div w:id="1251282287">
                  <w:marLeft w:val="0"/>
                  <w:marRight w:val="0"/>
                  <w:marTop w:val="0"/>
                  <w:marBottom w:val="0"/>
                  <w:divBdr>
                    <w:top w:val="none" w:sz="0" w:space="0" w:color="auto"/>
                    <w:left w:val="none" w:sz="0" w:space="0" w:color="auto"/>
                    <w:bottom w:val="none" w:sz="0" w:space="0" w:color="auto"/>
                    <w:right w:val="none" w:sz="0" w:space="0" w:color="auto"/>
                  </w:divBdr>
                  <w:divsChild>
                    <w:div w:id="2126460286">
                      <w:marLeft w:val="0"/>
                      <w:marRight w:val="0"/>
                      <w:marTop w:val="0"/>
                      <w:marBottom w:val="0"/>
                      <w:divBdr>
                        <w:top w:val="none" w:sz="0" w:space="0" w:color="auto"/>
                        <w:left w:val="none" w:sz="0" w:space="0" w:color="auto"/>
                        <w:bottom w:val="none" w:sz="0" w:space="0" w:color="auto"/>
                        <w:right w:val="none" w:sz="0" w:space="0" w:color="auto"/>
                      </w:divBdr>
                    </w:div>
                  </w:divsChild>
                </w:div>
                <w:div w:id="1271475468">
                  <w:marLeft w:val="0"/>
                  <w:marRight w:val="0"/>
                  <w:marTop w:val="0"/>
                  <w:marBottom w:val="0"/>
                  <w:divBdr>
                    <w:top w:val="none" w:sz="0" w:space="0" w:color="auto"/>
                    <w:left w:val="none" w:sz="0" w:space="0" w:color="auto"/>
                    <w:bottom w:val="none" w:sz="0" w:space="0" w:color="auto"/>
                    <w:right w:val="none" w:sz="0" w:space="0" w:color="auto"/>
                  </w:divBdr>
                  <w:divsChild>
                    <w:div w:id="451173004">
                      <w:marLeft w:val="0"/>
                      <w:marRight w:val="0"/>
                      <w:marTop w:val="0"/>
                      <w:marBottom w:val="0"/>
                      <w:divBdr>
                        <w:top w:val="none" w:sz="0" w:space="0" w:color="auto"/>
                        <w:left w:val="none" w:sz="0" w:space="0" w:color="auto"/>
                        <w:bottom w:val="none" w:sz="0" w:space="0" w:color="auto"/>
                        <w:right w:val="none" w:sz="0" w:space="0" w:color="auto"/>
                      </w:divBdr>
                    </w:div>
                  </w:divsChild>
                </w:div>
                <w:div w:id="1275136275">
                  <w:marLeft w:val="0"/>
                  <w:marRight w:val="0"/>
                  <w:marTop w:val="0"/>
                  <w:marBottom w:val="0"/>
                  <w:divBdr>
                    <w:top w:val="none" w:sz="0" w:space="0" w:color="auto"/>
                    <w:left w:val="none" w:sz="0" w:space="0" w:color="auto"/>
                    <w:bottom w:val="none" w:sz="0" w:space="0" w:color="auto"/>
                    <w:right w:val="none" w:sz="0" w:space="0" w:color="auto"/>
                  </w:divBdr>
                  <w:divsChild>
                    <w:div w:id="387148599">
                      <w:marLeft w:val="0"/>
                      <w:marRight w:val="0"/>
                      <w:marTop w:val="0"/>
                      <w:marBottom w:val="0"/>
                      <w:divBdr>
                        <w:top w:val="none" w:sz="0" w:space="0" w:color="auto"/>
                        <w:left w:val="none" w:sz="0" w:space="0" w:color="auto"/>
                        <w:bottom w:val="none" w:sz="0" w:space="0" w:color="auto"/>
                        <w:right w:val="none" w:sz="0" w:space="0" w:color="auto"/>
                      </w:divBdr>
                    </w:div>
                  </w:divsChild>
                </w:div>
                <w:div w:id="1284770840">
                  <w:marLeft w:val="0"/>
                  <w:marRight w:val="0"/>
                  <w:marTop w:val="0"/>
                  <w:marBottom w:val="0"/>
                  <w:divBdr>
                    <w:top w:val="none" w:sz="0" w:space="0" w:color="auto"/>
                    <w:left w:val="none" w:sz="0" w:space="0" w:color="auto"/>
                    <w:bottom w:val="none" w:sz="0" w:space="0" w:color="auto"/>
                    <w:right w:val="none" w:sz="0" w:space="0" w:color="auto"/>
                  </w:divBdr>
                  <w:divsChild>
                    <w:div w:id="1737699306">
                      <w:marLeft w:val="0"/>
                      <w:marRight w:val="0"/>
                      <w:marTop w:val="0"/>
                      <w:marBottom w:val="0"/>
                      <w:divBdr>
                        <w:top w:val="none" w:sz="0" w:space="0" w:color="auto"/>
                        <w:left w:val="none" w:sz="0" w:space="0" w:color="auto"/>
                        <w:bottom w:val="none" w:sz="0" w:space="0" w:color="auto"/>
                        <w:right w:val="none" w:sz="0" w:space="0" w:color="auto"/>
                      </w:divBdr>
                    </w:div>
                  </w:divsChild>
                </w:div>
                <w:div w:id="1293054443">
                  <w:marLeft w:val="0"/>
                  <w:marRight w:val="0"/>
                  <w:marTop w:val="0"/>
                  <w:marBottom w:val="0"/>
                  <w:divBdr>
                    <w:top w:val="none" w:sz="0" w:space="0" w:color="auto"/>
                    <w:left w:val="none" w:sz="0" w:space="0" w:color="auto"/>
                    <w:bottom w:val="none" w:sz="0" w:space="0" w:color="auto"/>
                    <w:right w:val="none" w:sz="0" w:space="0" w:color="auto"/>
                  </w:divBdr>
                  <w:divsChild>
                    <w:div w:id="116417308">
                      <w:marLeft w:val="0"/>
                      <w:marRight w:val="0"/>
                      <w:marTop w:val="0"/>
                      <w:marBottom w:val="0"/>
                      <w:divBdr>
                        <w:top w:val="none" w:sz="0" w:space="0" w:color="auto"/>
                        <w:left w:val="none" w:sz="0" w:space="0" w:color="auto"/>
                        <w:bottom w:val="none" w:sz="0" w:space="0" w:color="auto"/>
                        <w:right w:val="none" w:sz="0" w:space="0" w:color="auto"/>
                      </w:divBdr>
                    </w:div>
                  </w:divsChild>
                </w:div>
                <w:div w:id="1300693724">
                  <w:marLeft w:val="0"/>
                  <w:marRight w:val="0"/>
                  <w:marTop w:val="0"/>
                  <w:marBottom w:val="0"/>
                  <w:divBdr>
                    <w:top w:val="none" w:sz="0" w:space="0" w:color="auto"/>
                    <w:left w:val="none" w:sz="0" w:space="0" w:color="auto"/>
                    <w:bottom w:val="none" w:sz="0" w:space="0" w:color="auto"/>
                    <w:right w:val="none" w:sz="0" w:space="0" w:color="auto"/>
                  </w:divBdr>
                  <w:divsChild>
                    <w:div w:id="1502164981">
                      <w:marLeft w:val="0"/>
                      <w:marRight w:val="0"/>
                      <w:marTop w:val="0"/>
                      <w:marBottom w:val="0"/>
                      <w:divBdr>
                        <w:top w:val="none" w:sz="0" w:space="0" w:color="auto"/>
                        <w:left w:val="none" w:sz="0" w:space="0" w:color="auto"/>
                        <w:bottom w:val="none" w:sz="0" w:space="0" w:color="auto"/>
                        <w:right w:val="none" w:sz="0" w:space="0" w:color="auto"/>
                      </w:divBdr>
                    </w:div>
                  </w:divsChild>
                </w:div>
                <w:div w:id="1315834706">
                  <w:marLeft w:val="0"/>
                  <w:marRight w:val="0"/>
                  <w:marTop w:val="0"/>
                  <w:marBottom w:val="0"/>
                  <w:divBdr>
                    <w:top w:val="none" w:sz="0" w:space="0" w:color="auto"/>
                    <w:left w:val="none" w:sz="0" w:space="0" w:color="auto"/>
                    <w:bottom w:val="none" w:sz="0" w:space="0" w:color="auto"/>
                    <w:right w:val="none" w:sz="0" w:space="0" w:color="auto"/>
                  </w:divBdr>
                  <w:divsChild>
                    <w:div w:id="787968353">
                      <w:marLeft w:val="0"/>
                      <w:marRight w:val="0"/>
                      <w:marTop w:val="0"/>
                      <w:marBottom w:val="0"/>
                      <w:divBdr>
                        <w:top w:val="none" w:sz="0" w:space="0" w:color="auto"/>
                        <w:left w:val="none" w:sz="0" w:space="0" w:color="auto"/>
                        <w:bottom w:val="none" w:sz="0" w:space="0" w:color="auto"/>
                        <w:right w:val="none" w:sz="0" w:space="0" w:color="auto"/>
                      </w:divBdr>
                    </w:div>
                  </w:divsChild>
                </w:div>
                <w:div w:id="1330598829">
                  <w:marLeft w:val="0"/>
                  <w:marRight w:val="0"/>
                  <w:marTop w:val="0"/>
                  <w:marBottom w:val="0"/>
                  <w:divBdr>
                    <w:top w:val="none" w:sz="0" w:space="0" w:color="auto"/>
                    <w:left w:val="none" w:sz="0" w:space="0" w:color="auto"/>
                    <w:bottom w:val="none" w:sz="0" w:space="0" w:color="auto"/>
                    <w:right w:val="none" w:sz="0" w:space="0" w:color="auto"/>
                  </w:divBdr>
                  <w:divsChild>
                    <w:div w:id="498539944">
                      <w:marLeft w:val="0"/>
                      <w:marRight w:val="0"/>
                      <w:marTop w:val="0"/>
                      <w:marBottom w:val="0"/>
                      <w:divBdr>
                        <w:top w:val="none" w:sz="0" w:space="0" w:color="auto"/>
                        <w:left w:val="none" w:sz="0" w:space="0" w:color="auto"/>
                        <w:bottom w:val="none" w:sz="0" w:space="0" w:color="auto"/>
                        <w:right w:val="none" w:sz="0" w:space="0" w:color="auto"/>
                      </w:divBdr>
                    </w:div>
                  </w:divsChild>
                </w:div>
                <w:div w:id="1345324083">
                  <w:marLeft w:val="0"/>
                  <w:marRight w:val="0"/>
                  <w:marTop w:val="0"/>
                  <w:marBottom w:val="0"/>
                  <w:divBdr>
                    <w:top w:val="none" w:sz="0" w:space="0" w:color="auto"/>
                    <w:left w:val="none" w:sz="0" w:space="0" w:color="auto"/>
                    <w:bottom w:val="none" w:sz="0" w:space="0" w:color="auto"/>
                    <w:right w:val="none" w:sz="0" w:space="0" w:color="auto"/>
                  </w:divBdr>
                  <w:divsChild>
                    <w:div w:id="970552283">
                      <w:marLeft w:val="0"/>
                      <w:marRight w:val="0"/>
                      <w:marTop w:val="0"/>
                      <w:marBottom w:val="0"/>
                      <w:divBdr>
                        <w:top w:val="none" w:sz="0" w:space="0" w:color="auto"/>
                        <w:left w:val="none" w:sz="0" w:space="0" w:color="auto"/>
                        <w:bottom w:val="none" w:sz="0" w:space="0" w:color="auto"/>
                        <w:right w:val="none" w:sz="0" w:space="0" w:color="auto"/>
                      </w:divBdr>
                    </w:div>
                  </w:divsChild>
                </w:div>
                <w:div w:id="1359116710">
                  <w:marLeft w:val="0"/>
                  <w:marRight w:val="0"/>
                  <w:marTop w:val="0"/>
                  <w:marBottom w:val="0"/>
                  <w:divBdr>
                    <w:top w:val="none" w:sz="0" w:space="0" w:color="auto"/>
                    <w:left w:val="none" w:sz="0" w:space="0" w:color="auto"/>
                    <w:bottom w:val="none" w:sz="0" w:space="0" w:color="auto"/>
                    <w:right w:val="none" w:sz="0" w:space="0" w:color="auto"/>
                  </w:divBdr>
                  <w:divsChild>
                    <w:div w:id="1694846129">
                      <w:marLeft w:val="0"/>
                      <w:marRight w:val="0"/>
                      <w:marTop w:val="0"/>
                      <w:marBottom w:val="0"/>
                      <w:divBdr>
                        <w:top w:val="none" w:sz="0" w:space="0" w:color="auto"/>
                        <w:left w:val="none" w:sz="0" w:space="0" w:color="auto"/>
                        <w:bottom w:val="none" w:sz="0" w:space="0" w:color="auto"/>
                        <w:right w:val="none" w:sz="0" w:space="0" w:color="auto"/>
                      </w:divBdr>
                    </w:div>
                  </w:divsChild>
                </w:div>
                <w:div w:id="1391417319">
                  <w:marLeft w:val="0"/>
                  <w:marRight w:val="0"/>
                  <w:marTop w:val="0"/>
                  <w:marBottom w:val="0"/>
                  <w:divBdr>
                    <w:top w:val="none" w:sz="0" w:space="0" w:color="auto"/>
                    <w:left w:val="none" w:sz="0" w:space="0" w:color="auto"/>
                    <w:bottom w:val="none" w:sz="0" w:space="0" w:color="auto"/>
                    <w:right w:val="none" w:sz="0" w:space="0" w:color="auto"/>
                  </w:divBdr>
                  <w:divsChild>
                    <w:div w:id="1199733087">
                      <w:marLeft w:val="0"/>
                      <w:marRight w:val="0"/>
                      <w:marTop w:val="0"/>
                      <w:marBottom w:val="0"/>
                      <w:divBdr>
                        <w:top w:val="none" w:sz="0" w:space="0" w:color="auto"/>
                        <w:left w:val="none" w:sz="0" w:space="0" w:color="auto"/>
                        <w:bottom w:val="none" w:sz="0" w:space="0" w:color="auto"/>
                        <w:right w:val="none" w:sz="0" w:space="0" w:color="auto"/>
                      </w:divBdr>
                    </w:div>
                  </w:divsChild>
                </w:div>
                <w:div w:id="1395666541">
                  <w:marLeft w:val="0"/>
                  <w:marRight w:val="0"/>
                  <w:marTop w:val="0"/>
                  <w:marBottom w:val="0"/>
                  <w:divBdr>
                    <w:top w:val="none" w:sz="0" w:space="0" w:color="auto"/>
                    <w:left w:val="none" w:sz="0" w:space="0" w:color="auto"/>
                    <w:bottom w:val="none" w:sz="0" w:space="0" w:color="auto"/>
                    <w:right w:val="none" w:sz="0" w:space="0" w:color="auto"/>
                  </w:divBdr>
                  <w:divsChild>
                    <w:div w:id="868251668">
                      <w:marLeft w:val="0"/>
                      <w:marRight w:val="0"/>
                      <w:marTop w:val="0"/>
                      <w:marBottom w:val="0"/>
                      <w:divBdr>
                        <w:top w:val="none" w:sz="0" w:space="0" w:color="auto"/>
                        <w:left w:val="none" w:sz="0" w:space="0" w:color="auto"/>
                        <w:bottom w:val="none" w:sz="0" w:space="0" w:color="auto"/>
                        <w:right w:val="none" w:sz="0" w:space="0" w:color="auto"/>
                      </w:divBdr>
                    </w:div>
                  </w:divsChild>
                </w:div>
                <w:div w:id="1395860880">
                  <w:marLeft w:val="0"/>
                  <w:marRight w:val="0"/>
                  <w:marTop w:val="0"/>
                  <w:marBottom w:val="0"/>
                  <w:divBdr>
                    <w:top w:val="none" w:sz="0" w:space="0" w:color="auto"/>
                    <w:left w:val="none" w:sz="0" w:space="0" w:color="auto"/>
                    <w:bottom w:val="none" w:sz="0" w:space="0" w:color="auto"/>
                    <w:right w:val="none" w:sz="0" w:space="0" w:color="auto"/>
                  </w:divBdr>
                  <w:divsChild>
                    <w:div w:id="716125640">
                      <w:marLeft w:val="0"/>
                      <w:marRight w:val="0"/>
                      <w:marTop w:val="0"/>
                      <w:marBottom w:val="0"/>
                      <w:divBdr>
                        <w:top w:val="none" w:sz="0" w:space="0" w:color="auto"/>
                        <w:left w:val="none" w:sz="0" w:space="0" w:color="auto"/>
                        <w:bottom w:val="none" w:sz="0" w:space="0" w:color="auto"/>
                        <w:right w:val="none" w:sz="0" w:space="0" w:color="auto"/>
                      </w:divBdr>
                    </w:div>
                  </w:divsChild>
                </w:div>
                <w:div w:id="1402674877">
                  <w:marLeft w:val="0"/>
                  <w:marRight w:val="0"/>
                  <w:marTop w:val="0"/>
                  <w:marBottom w:val="0"/>
                  <w:divBdr>
                    <w:top w:val="none" w:sz="0" w:space="0" w:color="auto"/>
                    <w:left w:val="none" w:sz="0" w:space="0" w:color="auto"/>
                    <w:bottom w:val="none" w:sz="0" w:space="0" w:color="auto"/>
                    <w:right w:val="none" w:sz="0" w:space="0" w:color="auto"/>
                  </w:divBdr>
                  <w:divsChild>
                    <w:div w:id="1477841273">
                      <w:marLeft w:val="0"/>
                      <w:marRight w:val="0"/>
                      <w:marTop w:val="0"/>
                      <w:marBottom w:val="0"/>
                      <w:divBdr>
                        <w:top w:val="none" w:sz="0" w:space="0" w:color="auto"/>
                        <w:left w:val="none" w:sz="0" w:space="0" w:color="auto"/>
                        <w:bottom w:val="none" w:sz="0" w:space="0" w:color="auto"/>
                        <w:right w:val="none" w:sz="0" w:space="0" w:color="auto"/>
                      </w:divBdr>
                    </w:div>
                  </w:divsChild>
                </w:div>
                <w:div w:id="1417164729">
                  <w:marLeft w:val="0"/>
                  <w:marRight w:val="0"/>
                  <w:marTop w:val="0"/>
                  <w:marBottom w:val="0"/>
                  <w:divBdr>
                    <w:top w:val="none" w:sz="0" w:space="0" w:color="auto"/>
                    <w:left w:val="none" w:sz="0" w:space="0" w:color="auto"/>
                    <w:bottom w:val="none" w:sz="0" w:space="0" w:color="auto"/>
                    <w:right w:val="none" w:sz="0" w:space="0" w:color="auto"/>
                  </w:divBdr>
                  <w:divsChild>
                    <w:div w:id="1737438751">
                      <w:marLeft w:val="0"/>
                      <w:marRight w:val="0"/>
                      <w:marTop w:val="0"/>
                      <w:marBottom w:val="0"/>
                      <w:divBdr>
                        <w:top w:val="none" w:sz="0" w:space="0" w:color="auto"/>
                        <w:left w:val="none" w:sz="0" w:space="0" w:color="auto"/>
                        <w:bottom w:val="none" w:sz="0" w:space="0" w:color="auto"/>
                        <w:right w:val="none" w:sz="0" w:space="0" w:color="auto"/>
                      </w:divBdr>
                    </w:div>
                  </w:divsChild>
                </w:div>
                <w:div w:id="1426922053">
                  <w:marLeft w:val="0"/>
                  <w:marRight w:val="0"/>
                  <w:marTop w:val="0"/>
                  <w:marBottom w:val="0"/>
                  <w:divBdr>
                    <w:top w:val="none" w:sz="0" w:space="0" w:color="auto"/>
                    <w:left w:val="none" w:sz="0" w:space="0" w:color="auto"/>
                    <w:bottom w:val="none" w:sz="0" w:space="0" w:color="auto"/>
                    <w:right w:val="none" w:sz="0" w:space="0" w:color="auto"/>
                  </w:divBdr>
                  <w:divsChild>
                    <w:div w:id="929973385">
                      <w:marLeft w:val="0"/>
                      <w:marRight w:val="0"/>
                      <w:marTop w:val="0"/>
                      <w:marBottom w:val="0"/>
                      <w:divBdr>
                        <w:top w:val="none" w:sz="0" w:space="0" w:color="auto"/>
                        <w:left w:val="none" w:sz="0" w:space="0" w:color="auto"/>
                        <w:bottom w:val="none" w:sz="0" w:space="0" w:color="auto"/>
                        <w:right w:val="none" w:sz="0" w:space="0" w:color="auto"/>
                      </w:divBdr>
                    </w:div>
                  </w:divsChild>
                </w:div>
                <w:div w:id="1431580178">
                  <w:marLeft w:val="0"/>
                  <w:marRight w:val="0"/>
                  <w:marTop w:val="0"/>
                  <w:marBottom w:val="0"/>
                  <w:divBdr>
                    <w:top w:val="none" w:sz="0" w:space="0" w:color="auto"/>
                    <w:left w:val="none" w:sz="0" w:space="0" w:color="auto"/>
                    <w:bottom w:val="none" w:sz="0" w:space="0" w:color="auto"/>
                    <w:right w:val="none" w:sz="0" w:space="0" w:color="auto"/>
                  </w:divBdr>
                  <w:divsChild>
                    <w:div w:id="302389348">
                      <w:marLeft w:val="0"/>
                      <w:marRight w:val="0"/>
                      <w:marTop w:val="0"/>
                      <w:marBottom w:val="0"/>
                      <w:divBdr>
                        <w:top w:val="none" w:sz="0" w:space="0" w:color="auto"/>
                        <w:left w:val="none" w:sz="0" w:space="0" w:color="auto"/>
                        <w:bottom w:val="none" w:sz="0" w:space="0" w:color="auto"/>
                        <w:right w:val="none" w:sz="0" w:space="0" w:color="auto"/>
                      </w:divBdr>
                    </w:div>
                  </w:divsChild>
                </w:div>
                <w:div w:id="1432509658">
                  <w:marLeft w:val="0"/>
                  <w:marRight w:val="0"/>
                  <w:marTop w:val="0"/>
                  <w:marBottom w:val="0"/>
                  <w:divBdr>
                    <w:top w:val="none" w:sz="0" w:space="0" w:color="auto"/>
                    <w:left w:val="none" w:sz="0" w:space="0" w:color="auto"/>
                    <w:bottom w:val="none" w:sz="0" w:space="0" w:color="auto"/>
                    <w:right w:val="none" w:sz="0" w:space="0" w:color="auto"/>
                  </w:divBdr>
                  <w:divsChild>
                    <w:div w:id="1530413309">
                      <w:marLeft w:val="0"/>
                      <w:marRight w:val="0"/>
                      <w:marTop w:val="0"/>
                      <w:marBottom w:val="0"/>
                      <w:divBdr>
                        <w:top w:val="none" w:sz="0" w:space="0" w:color="auto"/>
                        <w:left w:val="none" w:sz="0" w:space="0" w:color="auto"/>
                        <w:bottom w:val="none" w:sz="0" w:space="0" w:color="auto"/>
                        <w:right w:val="none" w:sz="0" w:space="0" w:color="auto"/>
                      </w:divBdr>
                    </w:div>
                  </w:divsChild>
                </w:div>
                <w:div w:id="1461074857">
                  <w:marLeft w:val="0"/>
                  <w:marRight w:val="0"/>
                  <w:marTop w:val="0"/>
                  <w:marBottom w:val="0"/>
                  <w:divBdr>
                    <w:top w:val="none" w:sz="0" w:space="0" w:color="auto"/>
                    <w:left w:val="none" w:sz="0" w:space="0" w:color="auto"/>
                    <w:bottom w:val="none" w:sz="0" w:space="0" w:color="auto"/>
                    <w:right w:val="none" w:sz="0" w:space="0" w:color="auto"/>
                  </w:divBdr>
                  <w:divsChild>
                    <w:div w:id="198445059">
                      <w:marLeft w:val="0"/>
                      <w:marRight w:val="0"/>
                      <w:marTop w:val="0"/>
                      <w:marBottom w:val="0"/>
                      <w:divBdr>
                        <w:top w:val="none" w:sz="0" w:space="0" w:color="auto"/>
                        <w:left w:val="none" w:sz="0" w:space="0" w:color="auto"/>
                        <w:bottom w:val="none" w:sz="0" w:space="0" w:color="auto"/>
                        <w:right w:val="none" w:sz="0" w:space="0" w:color="auto"/>
                      </w:divBdr>
                    </w:div>
                  </w:divsChild>
                </w:div>
                <w:div w:id="1491293031">
                  <w:marLeft w:val="0"/>
                  <w:marRight w:val="0"/>
                  <w:marTop w:val="0"/>
                  <w:marBottom w:val="0"/>
                  <w:divBdr>
                    <w:top w:val="none" w:sz="0" w:space="0" w:color="auto"/>
                    <w:left w:val="none" w:sz="0" w:space="0" w:color="auto"/>
                    <w:bottom w:val="none" w:sz="0" w:space="0" w:color="auto"/>
                    <w:right w:val="none" w:sz="0" w:space="0" w:color="auto"/>
                  </w:divBdr>
                  <w:divsChild>
                    <w:div w:id="1593392151">
                      <w:marLeft w:val="0"/>
                      <w:marRight w:val="0"/>
                      <w:marTop w:val="0"/>
                      <w:marBottom w:val="0"/>
                      <w:divBdr>
                        <w:top w:val="none" w:sz="0" w:space="0" w:color="auto"/>
                        <w:left w:val="none" w:sz="0" w:space="0" w:color="auto"/>
                        <w:bottom w:val="none" w:sz="0" w:space="0" w:color="auto"/>
                        <w:right w:val="none" w:sz="0" w:space="0" w:color="auto"/>
                      </w:divBdr>
                    </w:div>
                  </w:divsChild>
                </w:div>
                <w:div w:id="1502886940">
                  <w:marLeft w:val="0"/>
                  <w:marRight w:val="0"/>
                  <w:marTop w:val="0"/>
                  <w:marBottom w:val="0"/>
                  <w:divBdr>
                    <w:top w:val="none" w:sz="0" w:space="0" w:color="auto"/>
                    <w:left w:val="none" w:sz="0" w:space="0" w:color="auto"/>
                    <w:bottom w:val="none" w:sz="0" w:space="0" w:color="auto"/>
                    <w:right w:val="none" w:sz="0" w:space="0" w:color="auto"/>
                  </w:divBdr>
                  <w:divsChild>
                    <w:div w:id="1882093005">
                      <w:marLeft w:val="0"/>
                      <w:marRight w:val="0"/>
                      <w:marTop w:val="0"/>
                      <w:marBottom w:val="0"/>
                      <w:divBdr>
                        <w:top w:val="none" w:sz="0" w:space="0" w:color="auto"/>
                        <w:left w:val="none" w:sz="0" w:space="0" w:color="auto"/>
                        <w:bottom w:val="none" w:sz="0" w:space="0" w:color="auto"/>
                        <w:right w:val="none" w:sz="0" w:space="0" w:color="auto"/>
                      </w:divBdr>
                    </w:div>
                  </w:divsChild>
                </w:div>
                <w:div w:id="1511867092">
                  <w:marLeft w:val="0"/>
                  <w:marRight w:val="0"/>
                  <w:marTop w:val="0"/>
                  <w:marBottom w:val="0"/>
                  <w:divBdr>
                    <w:top w:val="none" w:sz="0" w:space="0" w:color="auto"/>
                    <w:left w:val="none" w:sz="0" w:space="0" w:color="auto"/>
                    <w:bottom w:val="none" w:sz="0" w:space="0" w:color="auto"/>
                    <w:right w:val="none" w:sz="0" w:space="0" w:color="auto"/>
                  </w:divBdr>
                  <w:divsChild>
                    <w:div w:id="1468889105">
                      <w:marLeft w:val="0"/>
                      <w:marRight w:val="0"/>
                      <w:marTop w:val="0"/>
                      <w:marBottom w:val="0"/>
                      <w:divBdr>
                        <w:top w:val="none" w:sz="0" w:space="0" w:color="auto"/>
                        <w:left w:val="none" w:sz="0" w:space="0" w:color="auto"/>
                        <w:bottom w:val="none" w:sz="0" w:space="0" w:color="auto"/>
                        <w:right w:val="none" w:sz="0" w:space="0" w:color="auto"/>
                      </w:divBdr>
                    </w:div>
                  </w:divsChild>
                </w:div>
                <w:div w:id="1523586769">
                  <w:marLeft w:val="0"/>
                  <w:marRight w:val="0"/>
                  <w:marTop w:val="0"/>
                  <w:marBottom w:val="0"/>
                  <w:divBdr>
                    <w:top w:val="none" w:sz="0" w:space="0" w:color="auto"/>
                    <w:left w:val="none" w:sz="0" w:space="0" w:color="auto"/>
                    <w:bottom w:val="none" w:sz="0" w:space="0" w:color="auto"/>
                    <w:right w:val="none" w:sz="0" w:space="0" w:color="auto"/>
                  </w:divBdr>
                  <w:divsChild>
                    <w:div w:id="1253198152">
                      <w:marLeft w:val="0"/>
                      <w:marRight w:val="0"/>
                      <w:marTop w:val="0"/>
                      <w:marBottom w:val="0"/>
                      <w:divBdr>
                        <w:top w:val="none" w:sz="0" w:space="0" w:color="auto"/>
                        <w:left w:val="none" w:sz="0" w:space="0" w:color="auto"/>
                        <w:bottom w:val="none" w:sz="0" w:space="0" w:color="auto"/>
                        <w:right w:val="none" w:sz="0" w:space="0" w:color="auto"/>
                      </w:divBdr>
                    </w:div>
                  </w:divsChild>
                </w:div>
                <w:div w:id="1523938659">
                  <w:marLeft w:val="0"/>
                  <w:marRight w:val="0"/>
                  <w:marTop w:val="0"/>
                  <w:marBottom w:val="0"/>
                  <w:divBdr>
                    <w:top w:val="none" w:sz="0" w:space="0" w:color="auto"/>
                    <w:left w:val="none" w:sz="0" w:space="0" w:color="auto"/>
                    <w:bottom w:val="none" w:sz="0" w:space="0" w:color="auto"/>
                    <w:right w:val="none" w:sz="0" w:space="0" w:color="auto"/>
                  </w:divBdr>
                  <w:divsChild>
                    <w:div w:id="340008367">
                      <w:marLeft w:val="0"/>
                      <w:marRight w:val="0"/>
                      <w:marTop w:val="0"/>
                      <w:marBottom w:val="0"/>
                      <w:divBdr>
                        <w:top w:val="none" w:sz="0" w:space="0" w:color="auto"/>
                        <w:left w:val="none" w:sz="0" w:space="0" w:color="auto"/>
                        <w:bottom w:val="none" w:sz="0" w:space="0" w:color="auto"/>
                        <w:right w:val="none" w:sz="0" w:space="0" w:color="auto"/>
                      </w:divBdr>
                    </w:div>
                  </w:divsChild>
                </w:div>
                <w:div w:id="1547370971">
                  <w:marLeft w:val="0"/>
                  <w:marRight w:val="0"/>
                  <w:marTop w:val="0"/>
                  <w:marBottom w:val="0"/>
                  <w:divBdr>
                    <w:top w:val="none" w:sz="0" w:space="0" w:color="auto"/>
                    <w:left w:val="none" w:sz="0" w:space="0" w:color="auto"/>
                    <w:bottom w:val="none" w:sz="0" w:space="0" w:color="auto"/>
                    <w:right w:val="none" w:sz="0" w:space="0" w:color="auto"/>
                  </w:divBdr>
                  <w:divsChild>
                    <w:div w:id="1042900621">
                      <w:marLeft w:val="0"/>
                      <w:marRight w:val="0"/>
                      <w:marTop w:val="0"/>
                      <w:marBottom w:val="0"/>
                      <w:divBdr>
                        <w:top w:val="none" w:sz="0" w:space="0" w:color="auto"/>
                        <w:left w:val="none" w:sz="0" w:space="0" w:color="auto"/>
                        <w:bottom w:val="none" w:sz="0" w:space="0" w:color="auto"/>
                        <w:right w:val="none" w:sz="0" w:space="0" w:color="auto"/>
                      </w:divBdr>
                    </w:div>
                  </w:divsChild>
                </w:div>
                <w:div w:id="1549610065">
                  <w:marLeft w:val="0"/>
                  <w:marRight w:val="0"/>
                  <w:marTop w:val="0"/>
                  <w:marBottom w:val="0"/>
                  <w:divBdr>
                    <w:top w:val="none" w:sz="0" w:space="0" w:color="auto"/>
                    <w:left w:val="none" w:sz="0" w:space="0" w:color="auto"/>
                    <w:bottom w:val="none" w:sz="0" w:space="0" w:color="auto"/>
                    <w:right w:val="none" w:sz="0" w:space="0" w:color="auto"/>
                  </w:divBdr>
                  <w:divsChild>
                    <w:div w:id="419107510">
                      <w:marLeft w:val="0"/>
                      <w:marRight w:val="0"/>
                      <w:marTop w:val="0"/>
                      <w:marBottom w:val="0"/>
                      <w:divBdr>
                        <w:top w:val="none" w:sz="0" w:space="0" w:color="auto"/>
                        <w:left w:val="none" w:sz="0" w:space="0" w:color="auto"/>
                        <w:bottom w:val="none" w:sz="0" w:space="0" w:color="auto"/>
                        <w:right w:val="none" w:sz="0" w:space="0" w:color="auto"/>
                      </w:divBdr>
                    </w:div>
                  </w:divsChild>
                </w:div>
                <w:div w:id="1550648903">
                  <w:marLeft w:val="0"/>
                  <w:marRight w:val="0"/>
                  <w:marTop w:val="0"/>
                  <w:marBottom w:val="0"/>
                  <w:divBdr>
                    <w:top w:val="none" w:sz="0" w:space="0" w:color="auto"/>
                    <w:left w:val="none" w:sz="0" w:space="0" w:color="auto"/>
                    <w:bottom w:val="none" w:sz="0" w:space="0" w:color="auto"/>
                    <w:right w:val="none" w:sz="0" w:space="0" w:color="auto"/>
                  </w:divBdr>
                  <w:divsChild>
                    <w:div w:id="142360736">
                      <w:marLeft w:val="0"/>
                      <w:marRight w:val="0"/>
                      <w:marTop w:val="0"/>
                      <w:marBottom w:val="0"/>
                      <w:divBdr>
                        <w:top w:val="none" w:sz="0" w:space="0" w:color="auto"/>
                        <w:left w:val="none" w:sz="0" w:space="0" w:color="auto"/>
                        <w:bottom w:val="none" w:sz="0" w:space="0" w:color="auto"/>
                        <w:right w:val="none" w:sz="0" w:space="0" w:color="auto"/>
                      </w:divBdr>
                    </w:div>
                  </w:divsChild>
                </w:div>
                <w:div w:id="1552882415">
                  <w:marLeft w:val="0"/>
                  <w:marRight w:val="0"/>
                  <w:marTop w:val="0"/>
                  <w:marBottom w:val="0"/>
                  <w:divBdr>
                    <w:top w:val="none" w:sz="0" w:space="0" w:color="auto"/>
                    <w:left w:val="none" w:sz="0" w:space="0" w:color="auto"/>
                    <w:bottom w:val="none" w:sz="0" w:space="0" w:color="auto"/>
                    <w:right w:val="none" w:sz="0" w:space="0" w:color="auto"/>
                  </w:divBdr>
                  <w:divsChild>
                    <w:div w:id="262307187">
                      <w:marLeft w:val="0"/>
                      <w:marRight w:val="0"/>
                      <w:marTop w:val="0"/>
                      <w:marBottom w:val="0"/>
                      <w:divBdr>
                        <w:top w:val="none" w:sz="0" w:space="0" w:color="auto"/>
                        <w:left w:val="none" w:sz="0" w:space="0" w:color="auto"/>
                        <w:bottom w:val="none" w:sz="0" w:space="0" w:color="auto"/>
                        <w:right w:val="none" w:sz="0" w:space="0" w:color="auto"/>
                      </w:divBdr>
                    </w:div>
                  </w:divsChild>
                </w:div>
                <w:div w:id="1565608064">
                  <w:marLeft w:val="0"/>
                  <w:marRight w:val="0"/>
                  <w:marTop w:val="0"/>
                  <w:marBottom w:val="0"/>
                  <w:divBdr>
                    <w:top w:val="none" w:sz="0" w:space="0" w:color="auto"/>
                    <w:left w:val="none" w:sz="0" w:space="0" w:color="auto"/>
                    <w:bottom w:val="none" w:sz="0" w:space="0" w:color="auto"/>
                    <w:right w:val="none" w:sz="0" w:space="0" w:color="auto"/>
                  </w:divBdr>
                  <w:divsChild>
                    <w:div w:id="1902253754">
                      <w:marLeft w:val="0"/>
                      <w:marRight w:val="0"/>
                      <w:marTop w:val="0"/>
                      <w:marBottom w:val="0"/>
                      <w:divBdr>
                        <w:top w:val="none" w:sz="0" w:space="0" w:color="auto"/>
                        <w:left w:val="none" w:sz="0" w:space="0" w:color="auto"/>
                        <w:bottom w:val="none" w:sz="0" w:space="0" w:color="auto"/>
                        <w:right w:val="none" w:sz="0" w:space="0" w:color="auto"/>
                      </w:divBdr>
                    </w:div>
                  </w:divsChild>
                </w:div>
                <w:div w:id="1575625102">
                  <w:marLeft w:val="0"/>
                  <w:marRight w:val="0"/>
                  <w:marTop w:val="0"/>
                  <w:marBottom w:val="0"/>
                  <w:divBdr>
                    <w:top w:val="none" w:sz="0" w:space="0" w:color="auto"/>
                    <w:left w:val="none" w:sz="0" w:space="0" w:color="auto"/>
                    <w:bottom w:val="none" w:sz="0" w:space="0" w:color="auto"/>
                    <w:right w:val="none" w:sz="0" w:space="0" w:color="auto"/>
                  </w:divBdr>
                  <w:divsChild>
                    <w:div w:id="1106736002">
                      <w:marLeft w:val="0"/>
                      <w:marRight w:val="0"/>
                      <w:marTop w:val="0"/>
                      <w:marBottom w:val="0"/>
                      <w:divBdr>
                        <w:top w:val="none" w:sz="0" w:space="0" w:color="auto"/>
                        <w:left w:val="none" w:sz="0" w:space="0" w:color="auto"/>
                        <w:bottom w:val="none" w:sz="0" w:space="0" w:color="auto"/>
                        <w:right w:val="none" w:sz="0" w:space="0" w:color="auto"/>
                      </w:divBdr>
                    </w:div>
                  </w:divsChild>
                </w:div>
                <w:div w:id="1583179015">
                  <w:marLeft w:val="0"/>
                  <w:marRight w:val="0"/>
                  <w:marTop w:val="0"/>
                  <w:marBottom w:val="0"/>
                  <w:divBdr>
                    <w:top w:val="none" w:sz="0" w:space="0" w:color="auto"/>
                    <w:left w:val="none" w:sz="0" w:space="0" w:color="auto"/>
                    <w:bottom w:val="none" w:sz="0" w:space="0" w:color="auto"/>
                    <w:right w:val="none" w:sz="0" w:space="0" w:color="auto"/>
                  </w:divBdr>
                  <w:divsChild>
                    <w:div w:id="1996641191">
                      <w:marLeft w:val="0"/>
                      <w:marRight w:val="0"/>
                      <w:marTop w:val="0"/>
                      <w:marBottom w:val="0"/>
                      <w:divBdr>
                        <w:top w:val="none" w:sz="0" w:space="0" w:color="auto"/>
                        <w:left w:val="none" w:sz="0" w:space="0" w:color="auto"/>
                        <w:bottom w:val="none" w:sz="0" w:space="0" w:color="auto"/>
                        <w:right w:val="none" w:sz="0" w:space="0" w:color="auto"/>
                      </w:divBdr>
                    </w:div>
                  </w:divsChild>
                </w:div>
                <w:div w:id="1597441012">
                  <w:marLeft w:val="0"/>
                  <w:marRight w:val="0"/>
                  <w:marTop w:val="0"/>
                  <w:marBottom w:val="0"/>
                  <w:divBdr>
                    <w:top w:val="none" w:sz="0" w:space="0" w:color="auto"/>
                    <w:left w:val="none" w:sz="0" w:space="0" w:color="auto"/>
                    <w:bottom w:val="none" w:sz="0" w:space="0" w:color="auto"/>
                    <w:right w:val="none" w:sz="0" w:space="0" w:color="auto"/>
                  </w:divBdr>
                  <w:divsChild>
                    <w:div w:id="772825604">
                      <w:marLeft w:val="0"/>
                      <w:marRight w:val="0"/>
                      <w:marTop w:val="0"/>
                      <w:marBottom w:val="0"/>
                      <w:divBdr>
                        <w:top w:val="none" w:sz="0" w:space="0" w:color="auto"/>
                        <w:left w:val="none" w:sz="0" w:space="0" w:color="auto"/>
                        <w:bottom w:val="none" w:sz="0" w:space="0" w:color="auto"/>
                        <w:right w:val="none" w:sz="0" w:space="0" w:color="auto"/>
                      </w:divBdr>
                    </w:div>
                  </w:divsChild>
                </w:div>
                <w:div w:id="1601142506">
                  <w:marLeft w:val="0"/>
                  <w:marRight w:val="0"/>
                  <w:marTop w:val="0"/>
                  <w:marBottom w:val="0"/>
                  <w:divBdr>
                    <w:top w:val="none" w:sz="0" w:space="0" w:color="auto"/>
                    <w:left w:val="none" w:sz="0" w:space="0" w:color="auto"/>
                    <w:bottom w:val="none" w:sz="0" w:space="0" w:color="auto"/>
                    <w:right w:val="none" w:sz="0" w:space="0" w:color="auto"/>
                  </w:divBdr>
                  <w:divsChild>
                    <w:div w:id="1048409829">
                      <w:marLeft w:val="0"/>
                      <w:marRight w:val="0"/>
                      <w:marTop w:val="0"/>
                      <w:marBottom w:val="0"/>
                      <w:divBdr>
                        <w:top w:val="none" w:sz="0" w:space="0" w:color="auto"/>
                        <w:left w:val="none" w:sz="0" w:space="0" w:color="auto"/>
                        <w:bottom w:val="none" w:sz="0" w:space="0" w:color="auto"/>
                        <w:right w:val="none" w:sz="0" w:space="0" w:color="auto"/>
                      </w:divBdr>
                    </w:div>
                  </w:divsChild>
                </w:div>
                <w:div w:id="1605841856">
                  <w:marLeft w:val="0"/>
                  <w:marRight w:val="0"/>
                  <w:marTop w:val="0"/>
                  <w:marBottom w:val="0"/>
                  <w:divBdr>
                    <w:top w:val="none" w:sz="0" w:space="0" w:color="auto"/>
                    <w:left w:val="none" w:sz="0" w:space="0" w:color="auto"/>
                    <w:bottom w:val="none" w:sz="0" w:space="0" w:color="auto"/>
                    <w:right w:val="none" w:sz="0" w:space="0" w:color="auto"/>
                  </w:divBdr>
                  <w:divsChild>
                    <w:div w:id="1051462012">
                      <w:marLeft w:val="0"/>
                      <w:marRight w:val="0"/>
                      <w:marTop w:val="0"/>
                      <w:marBottom w:val="0"/>
                      <w:divBdr>
                        <w:top w:val="none" w:sz="0" w:space="0" w:color="auto"/>
                        <w:left w:val="none" w:sz="0" w:space="0" w:color="auto"/>
                        <w:bottom w:val="none" w:sz="0" w:space="0" w:color="auto"/>
                        <w:right w:val="none" w:sz="0" w:space="0" w:color="auto"/>
                      </w:divBdr>
                    </w:div>
                  </w:divsChild>
                </w:div>
                <w:div w:id="1609315750">
                  <w:marLeft w:val="0"/>
                  <w:marRight w:val="0"/>
                  <w:marTop w:val="0"/>
                  <w:marBottom w:val="0"/>
                  <w:divBdr>
                    <w:top w:val="none" w:sz="0" w:space="0" w:color="auto"/>
                    <w:left w:val="none" w:sz="0" w:space="0" w:color="auto"/>
                    <w:bottom w:val="none" w:sz="0" w:space="0" w:color="auto"/>
                    <w:right w:val="none" w:sz="0" w:space="0" w:color="auto"/>
                  </w:divBdr>
                  <w:divsChild>
                    <w:div w:id="1474564256">
                      <w:marLeft w:val="0"/>
                      <w:marRight w:val="0"/>
                      <w:marTop w:val="0"/>
                      <w:marBottom w:val="0"/>
                      <w:divBdr>
                        <w:top w:val="none" w:sz="0" w:space="0" w:color="auto"/>
                        <w:left w:val="none" w:sz="0" w:space="0" w:color="auto"/>
                        <w:bottom w:val="none" w:sz="0" w:space="0" w:color="auto"/>
                        <w:right w:val="none" w:sz="0" w:space="0" w:color="auto"/>
                      </w:divBdr>
                    </w:div>
                  </w:divsChild>
                </w:div>
                <w:div w:id="1625042632">
                  <w:marLeft w:val="0"/>
                  <w:marRight w:val="0"/>
                  <w:marTop w:val="0"/>
                  <w:marBottom w:val="0"/>
                  <w:divBdr>
                    <w:top w:val="none" w:sz="0" w:space="0" w:color="auto"/>
                    <w:left w:val="none" w:sz="0" w:space="0" w:color="auto"/>
                    <w:bottom w:val="none" w:sz="0" w:space="0" w:color="auto"/>
                    <w:right w:val="none" w:sz="0" w:space="0" w:color="auto"/>
                  </w:divBdr>
                  <w:divsChild>
                    <w:div w:id="2004430860">
                      <w:marLeft w:val="0"/>
                      <w:marRight w:val="0"/>
                      <w:marTop w:val="0"/>
                      <w:marBottom w:val="0"/>
                      <w:divBdr>
                        <w:top w:val="none" w:sz="0" w:space="0" w:color="auto"/>
                        <w:left w:val="none" w:sz="0" w:space="0" w:color="auto"/>
                        <w:bottom w:val="none" w:sz="0" w:space="0" w:color="auto"/>
                        <w:right w:val="none" w:sz="0" w:space="0" w:color="auto"/>
                      </w:divBdr>
                    </w:div>
                  </w:divsChild>
                </w:div>
                <w:div w:id="1634480208">
                  <w:marLeft w:val="0"/>
                  <w:marRight w:val="0"/>
                  <w:marTop w:val="0"/>
                  <w:marBottom w:val="0"/>
                  <w:divBdr>
                    <w:top w:val="none" w:sz="0" w:space="0" w:color="auto"/>
                    <w:left w:val="none" w:sz="0" w:space="0" w:color="auto"/>
                    <w:bottom w:val="none" w:sz="0" w:space="0" w:color="auto"/>
                    <w:right w:val="none" w:sz="0" w:space="0" w:color="auto"/>
                  </w:divBdr>
                  <w:divsChild>
                    <w:div w:id="2030906433">
                      <w:marLeft w:val="0"/>
                      <w:marRight w:val="0"/>
                      <w:marTop w:val="0"/>
                      <w:marBottom w:val="0"/>
                      <w:divBdr>
                        <w:top w:val="none" w:sz="0" w:space="0" w:color="auto"/>
                        <w:left w:val="none" w:sz="0" w:space="0" w:color="auto"/>
                        <w:bottom w:val="none" w:sz="0" w:space="0" w:color="auto"/>
                        <w:right w:val="none" w:sz="0" w:space="0" w:color="auto"/>
                      </w:divBdr>
                    </w:div>
                  </w:divsChild>
                </w:div>
                <w:div w:id="1639214846">
                  <w:marLeft w:val="0"/>
                  <w:marRight w:val="0"/>
                  <w:marTop w:val="0"/>
                  <w:marBottom w:val="0"/>
                  <w:divBdr>
                    <w:top w:val="none" w:sz="0" w:space="0" w:color="auto"/>
                    <w:left w:val="none" w:sz="0" w:space="0" w:color="auto"/>
                    <w:bottom w:val="none" w:sz="0" w:space="0" w:color="auto"/>
                    <w:right w:val="none" w:sz="0" w:space="0" w:color="auto"/>
                  </w:divBdr>
                  <w:divsChild>
                    <w:div w:id="1878813179">
                      <w:marLeft w:val="0"/>
                      <w:marRight w:val="0"/>
                      <w:marTop w:val="0"/>
                      <w:marBottom w:val="0"/>
                      <w:divBdr>
                        <w:top w:val="none" w:sz="0" w:space="0" w:color="auto"/>
                        <w:left w:val="none" w:sz="0" w:space="0" w:color="auto"/>
                        <w:bottom w:val="none" w:sz="0" w:space="0" w:color="auto"/>
                        <w:right w:val="none" w:sz="0" w:space="0" w:color="auto"/>
                      </w:divBdr>
                    </w:div>
                  </w:divsChild>
                </w:div>
                <w:div w:id="1647127754">
                  <w:marLeft w:val="0"/>
                  <w:marRight w:val="0"/>
                  <w:marTop w:val="0"/>
                  <w:marBottom w:val="0"/>
                  <w:divBdr>
                    <w:top w:val="none" w:sz="0" w:space="0" w:color="auto"/>
                    <w:left w:val="none" w:sz="0" w:space="0" w:color="auto"/>
                    <w:bottom w:val="none" w:sz="0" w:space="0" w:color="auto"/>
                    <w:right w:val="none" w:sz="0" w:space="0" w:color="auto"/>
                  </w:divBdr>
                  <w:divsChild>
                    <w:div w:id="271254741">
                      <w:marLeft w:val="0"/>
                      <w:marRight w:val="0"/>
                      <w:marTop w:val="0"/>
                      <w:marBottom w:val="0"/>
                      <w:divBdr>
                        <w:top w:val="none" w:sz="0" w:space="0" w:color="auto"/>
                        <w:left w:val="none" w:sz="0" w:space="0" w:color="auto"/>
                        <w:bottom w:val="none" w:sz="0" w:space="0" w:color="auto"/>
                        <w:right w:val="none" w:sz="0" w:space="0" w:color="auto"/>
                      </w:divBdr>
                    </w:div>
                  </w:divsChild>
                </w:div>
                <w:div w:id="1660575444">
                  <w:marLeft w:val="0"/>
                  <w:marRight w:val="0"/>
                  <w:marTop w:val="0"/>
                  <w:marBottom w:val="0"/>
                  <w:divBdr>
                    <w:top w:val="none" w:sz="0" w:space="0" w:color="auto"/>
                    <w:left w:val="none" w:sz="0" w:space="0" w:color="auto"/>
                    <w:bottom w:val="none" w:sz="0" w:space="0" w:color="auto"/>
                    <w:right w:val="none" w:sz="0" w:space="0" w:color="auto"/>
                  </w:divBdr>
                  <w:divsChild>
                    <w:div w:id="679745046">
                      <w:marLeft w:val="0"/>
                      <w:marRight w:val="0"/>
                      <w:marTop w:val="0"/>
                      <w:marBottom w:val="0"/>
                      <w:divBdr>
                        <w:top w:val="none" w:sz="0" w:space="0" w:color="auto"/>
                        <w:left w:val="none" w:sz="0" w:space="0" w:color="auto"/>
                        <w:bottom w:val="none" w:sz="0" w:space="0" w:color="auto"/>
                        <w:right w:val="none" w:sz="0" w:space="0" w:color="auto"/>
                      </w:divBdr>
                    </w:div>
                  </w:divsChild>
                </w:div>
                <w:div w:id="1665087593">
                  <w:marLeft w:val="0"/>
                  <w:marRight w:val="0"/>
                  <w:marTop w:val="0"/>
                  <w:marBottom w:val="0"/>
                  <w:divBdr>
                    <w:top w:val="none" w:sz="0" w:space="0" w:color="auto"/>
                    <w:left w:val="none" w:sz="0" w:space="0" w:color="auto"/>
                    <w:bottom w:val="none" w:sz="0" w:space="0" w:color="auto"/>
                    <w:right w:val="none" w:sz="0" w:space="0" w:color="auto"/>
                  </w:divBdr>
                  <w:divsChild>
                    <w:div w:id="241263028">
                      <w:marLeft w:val="0"/>
                      <w:marRight w:val="0"/>
                      <w:marTop w:val="0"/>
                      <w:marBottom w:val="0"/>
                      <w:divBdr>
                        <w:top w:val="none" w:sz="0" w:space="0" w:color="auto"/>
                        <w:left w:val="none" w:sz="0" w:space="0" w:color="auto"/>
                        <w:bottom w:val="none" w:sz="0" w:space="0" w:color="auto"/>
                        <w:right w:val="none" w:sz="0" w:space="0" w:color="auto"/>
                      </w:divBdr>
                    </w:div>
                  </w:divsChild>
                </w:div>
                <w:div w:id="1681589594">
                  <w:marLeft w:val="0"/>
                  <w:marRight w:val="0"/>
                  <w:marTop w:val="0"/>
                  <w:marBottom w:val="0"/>
                  <w:divBdr>
                    <w:top w:val="none" w:sz="0" w:space="0" w:color="auto"/>
                    <w:left w:val="none" w:sz="0" w:space="0" w:color="auto"/>
                    <w:bottom w:val="none" w:sz="0" w:space="0" w:color="auto"/>
                    <w:right w:val="none" w:sz="0" w:space="0" w:color="auto"/>
                  </w:divBdr>
                  <w:divsChild>
                    <w:div w:id="2087994619">
                      <w:marLeft w:val="0"/>
                      <w:marRight w:val="0"/>
                      <w:marTop w:val="0"/>
                      <w:marBottom w:val="0"/>
                      <w:divBdr>
                        <w:top w:val="none" w:sz="0" w:space="0" w:color="auto"/>
                        <w:left w:val="none" w:sz="0" w:space="0" w:color="auto"/>
                        <w:bottom w:val="none" w:sz="0" w:space="0" w:color="auto"/>
                        <w:right w:val="none" w:sz="0" w:space="0" w:color="auto"/>
                      </w:divBdr>
                    </w:div>
                  </w:divsChild>
                </w:div>
                <w:div w:id="1685592228">
                  <w:marLeft w:val="0"/>
                  <w:marRight w:val="0"/>
                  <w:marTop w:val="0"/>
                  <w:marBottom w:val="0"/>
                  <w:divBdr>
                    <w:top w:val="none" w:sz="0" w:space="0" w:color="auto"/>
                    <w:left w:val="none" w:sz="0" w:space="0" w:color="auto"/>
                    <w:bottom w:val="none" w:sz="0" w:space="0" w:color="auto"/>
                    <w:right w:val="none" w:sz="0" w:space="0" w:color="auto"/>
                  </w:divBdr>
                  <w:divsChild>
                    <w:div w:id="1608342877">
                      <w:marLeft w:val="0"/>
                      <w:marRight w:val="0"/>
                      <w:marTop w:val="0"/>
                      <w:marBottom w:val="0"/>
                      <w:divBdr>
                        <w:top w:val="none" w:sz="0" w:space="0" w:color="auto"/>
                        <w:left w:val="none" w:sz="0" w:space="0" w:color="auto"/>
                        <w:bottom w:val="none" w:sz="0" w:space="0" w:color="auto"/>
                        <w:right w:val="none" w:sz="0" w:space="0" w:color="auto"/>
                      </w:divBdr>
                    </w:div>
                  </w:divsChild>
                </w:div>
                <w:div w:id="1686050377">
                  <w:marLeft w:val="0"/>
                  <w:marRight w:val="0"/>
                  <w:marTop w:val="0"/>
                  <w:marBottom w:val="0"/>
                  <w:divBdr>
                    <w:top w:val="none" w:sz="0" w:space="0" w:color="auto"/>
                    <w:left w:val="none" w:sz="0" w:space="0" w:color="auto"/>
                    <w:bottom w:val="none" w:sz="0" w:space="0" w:color="auto"/>
                    <w:right w:val="none" w:sz="0" w:space="0" w:color="auto"/>
                  </w:divBdr>
                  <w:divsChild>
                    <w:div w:id="738989066">
                      <w:marLeft w:val="0"/>
                      <w:marRight w:val="0"/>
                      <w:marTop w:val="0"/>
                      <w:marBottom w:val="0"/>
                      <w:divBdr>
                        <w:top w:val="none" w:sz="0" w:space="0" w:color="auto"/>
                        <w:left w:val="none" w:sz="0" w:space="0" w:color="auto"/>
                        <w:bottom w:val="none" w:sz="0" w:space="0" w:color="auto"/>
                        <w:right w:val="none" w:sz="0" w:space="0" w:color="auto"/>
                      </w:divBdr>
                    </w:div>
                  </w:divsChild>
                </w:div>
                <w:div w:id="1687050890">
                  <w:marLeft w:val="0"/>
                  <w:marRight w:val="0"/>
                  <w:marTop w:val="0"/>
                  <w:marBottom w:val="0"/>
                  <w:divBdr>
                    <w:top w:val="none" w:sz="0" w:space="0" w:color="auto"/>
                    <w:left w:val="none" w:sz="0" w:space="0" w:color="auto"/>
                    <w:bottom w:val="none" w:sz="0" w:space="0" w:color="auto"/>
                    <w:right w:val="none" w:sz="0" w:space="0" w:color="auto"/>
                  </w:divBdr>
                  <w:divsChild>
                    <w:div w:id="2031565243">
                      <w:marLeft w:val="0"/>
                      <w:marRight w:val="0"/>
                      <w:marTop w:val="0"/>
                      <w:marBottom w:val="0"/>
                      <w:divBdr>
                        <w:top w:val="none" w:sz="0" w:space="0" w:color="auto"/>
                        <w:left w:val="none" w:sz="0" w:space="0" w:color="auto"/>
                        <w:bottom w:val="none" w:sz="0" w:space="0" w:color="auto"/>
                        <w:right w:val="none" w:sz="0" w:space="0" w:color="auto"/>
                      </w:divBdr>
                    </w:div>
                  </w:divsChild>
                </w:div>
                <w:div w:id="1693074422">
                  <w:marLeft w:val="0"/>
                  <w:marRight w:val="0"/>
                  <w:marTop w:val="0"/>
                  <w:marBottom w:val="0"/>
                  <w:divBdr>
                    <w:top w:val="none" w:sz="0" w:space="0" w:color="auto"/>
                    <w:left w:val="none" w:sz="0" w:space="0" w:color="auto"/>
                    <w:bottom w:val="none" w:sz="0" w:space="0" w:color="auto"/>
                    <w:right w:val="none" w:sz="0" w:space="0" w:color="auto"/>
                  </w:divBdr>
                  <w:divsChild>
                    <w:div w:id="11539326">
                      <w:marLeft w:val="0"/>
                      <w:marRight w:val="0"/>
                      <w:marTop w:val="0"/>
                      <w:marBottom w:val="0"/>
                      <w:divBdr>
                        <w:top w:val="none" w:sz="0" w:space="0" w:color="auto"/>
                        <w:left w:val="none" w:sz="0" w:space="0" w:color="auto"/>
                        <w:bottom w:val="none" w:sz="0" w:space="0" w:color="auto"/>
                        <w:right w:val="none" w:sz="0" w:space="0" w:color="auto"/>
                      </w:divBdr>
                    </w:div>
                  </w:divsChild>
                </w:div>
                <w:div w:id="1701465626">
                  <w:marLeft w:val="0"/>
                  <w:marRight w:val="0"/>
                  <w:marTop w:val="0"/>
                  <w:marBottom w:val="0"/>
                  <w:divBdr>
                    <w:top w:val="none" w:sz="0" w:space="0" w:color="auto"/>
                    <w:left w:val="none" w:sz="0" w:space="0" w:color="auto"/>
                    <w:bottom w:val="none" w:sz="0" w:space="0" w:color="auto"/>
                    <w:right w:val="none" w:sz="0" w:space="0" w:color="auto"/>
                  </w:divBdr>
                  <w:divsChild>
                    <w:div w:id="29965285">
                      <w:marLeft w:val="0"/>
                      <w:marRight w:val="0"/>
                      <w:marTop w:val="0"/>
                      <w:marBottom w:val="0"/>
                      <w:divBdr>
                        <w:top w:val="none" w:sz="0" w:space="0" w:color="auto"/>
                        <w:left w:val="none" w:sz="0" w:space="0" w:color="auto"/>
                        <w:bottom w:val="none" w:sz="0" w:space="0" w:color="auto"/>
                        <w:right w:val="none" w:sz="0" w:space="0" w:color="auto"/>
                      </w:divBdr>
                    </w:div>
                  </w:divsChild>
                </w:div>
                <w:div w:id="1703675692">
                  <w:marLeft w:val="0"/>
                  <w:marRight w:val="0"/>
                  <w:marTop w:val="0"/>
                  <w:marBottom w:val="0"/>
                  <w:divBdr>
                    <w:top w:val="none" w:sz="0" w:space="0" w:color="auto"/>
                    <w:left w:val="none" w:sz="0" w:space="0" w:color="auto"/>
                    <w:bottom w:val="none" w:sz="0" w:space="0" w:color="auto"/>
                    <w:right w:val="none" w:sz="0" w:space="0" w:color="auto"/>
                  </w:divBdr>
                  <w:divsChild>
                    <w:div w:id="615138455">
                      <w:marLeft w:val="0"/>
                      <w:marRight w:val="0"/>
                      <w:marTop w:val="0"/>
                      <w:marBottom w:val="0"/>
                      <w:divBdr>
                        <w:top w:val="none" w:sz="0" w:space="0" w:color="auto"/>
                        <w:left w:val="none" w:sz="0" w:space="0" w:color="auto"/>
                        <w:bottom w:val="none" w:sz="0" w:space="0" w:color="auto"/>
                        <w:right w:val="none" w:sz="0" w:space="0" w:color="auto"/>
                      </w:divBdr>
                    </w:div>
                  </w:divsChild>
                </w:div>
                <w:div w:id="1712419836">
                  <w:marLeft w:val="0"/>
                  <w:marRight w:val="0"/>
                  <w:marTop w:val="0"/>
                  <w:marBottom w:val="0"/>
                  <w:divBdr>
                    <w:top w:val="none" w:sz="0" w:space="0" w:color="auto"/>
                    <w:left w:val="none" w:sz="0" w:space="0" w:color="auto"/>
                    <w:bottom w:val="none" w:sz="0" w:space="0" w:color="auto"/>
                    <w:right w:val="none" w:sz="0" w:space="0" w:color="auto"/>
                  </w:divBdr>
                  <w:divsChild>
                    <w:div w:id="612830388">
                      <w:marLeft w:val="0"/>
                      <w:marRight w:val="0"/>
                      <w:marTop w:val="0"/>
                      <w:marBottom w:val="0"/>
                      <w:divBdr>
                        <w:top w:val="none" w:sz="0" w:space="0" w:color="auto"/>
                        <w:left w:val="none" w:sz="0" w:space="0" w:color="auto"/>
                        <w:bottom w:val="none" w:sz="0" w:space="0" w:color="auto"/>
                        <w:right w:val="none" w:sz="0" w:space="0" w:color="auto"/>
                      </w:divBdr>
                    </w:div>
                  </w:divsChild>
                </w:div>
                <w:div w:id="1720082152">
                  <w:marLeft w:val="0"/>
                  <w:marRight w:val="0"/>
                  <w:marTop w:val="0"/>
                  <w:marBottom w:val="0"/>
                  <w:divBdr>
                    <w:top w:val="none" w:sz="0" w:space="0" w:color="auto"/>
                    <w:left w:val="none" w:sz="0" w:space="0" w:color="auto"/>
                    <w:bottom w:val="none" w:sz="0" w:space="0" w:color="auto"/>
                    <w:right w:val="none" w:sz="0" w:space="0" w:color="auto"/>
                  </w:divBdr>
                  <w:divsChild>
                    <w:div w:id="1536312147">
                      <w:marLeft w:val="0"/>
                      <w:marRight w:val="0"/>
                      <w:marTop w:val="0"/>
                      <w:marBottom w:val="0"/>
                      <w:divBdr>
                        <w:top w:val="none" w:sz="0" w:space="0" w:color="auto"/>
                        <w:left w:val="none" w:sz="0" w:space="0" w:color="auto"/>
                        <w:bottom w:val="none" w:sz="0" w:space="0" w:color="auto"/>
                        <w:right w:val="none" w:sz="0" w:space="0" w:color="auto"/>
                      </w:divBdr>
                    </w:div>
                  </w:divsChild>
                </w:div>
                <w:div w:id="1739357907">
                  <w:marLeft w:val="0"/>
                  <w:marRight w:val="0"/>
                  <w:marTop w:val="0"/>
                  <w:marBottom w:val="0"/>
                  <w:divBdr>
                    <w:top w:val="none" w:sz="0" w:space="0" w:color="auto"/>
                    <w:left w:val="none" w:sz="0" w:space="0" w:color="auto"/>
                    <w:bottom w:val="none" w:sz="0" w:space="0" w:color="auto"/>
                    <w:right w:val="none" w:sz="0" w:space="0" w:color="auto"/>
                  </w:divBdr>
                  <w:divsChild>
                    <w:div w:id="1821730853">
                      <w:marLeft w:val="0"/>
                      <w:marRight w:val="0"/>
                      <w:marTop w:val="0"/>
                      <w:marBottom w:val="0"/>
                      <w:divBdr>
                        <w:top w:val="none" w:sz="0" w:space="0" w:color="auto"/>
                        <w:left w:val="none" w:sz="0" w:space="0" w:color="auto"/>
                        <w:bottom w:val="none" w:sz="0" w:space="0" w:color="auto"/>
                        <w:right w:val="none" w:sz="0" w:space="0" w:color="auto"/>
                      </w:divBdr>
                    </w:div>
                  </w:divsChild>
                </w:div>
                <w:div w:id="1741438253">
                  <w:marLeft w:val="0"/>
                  <w:marRight w:val="0"/>
                  <w:marTop w:val="0"/>
                  <w:marBottom w:val="0"/>
                  <w:divBdr>
                    <w:top w:val="none" w:sz="0" w:space="0" w:color="auto"/>
                    <w:left w:val="none" w:sz="0" w:space="0" w:color="auto"/>
                    <w:bottom w:val="none" w:sz="0" w:space="0" w:color="auto"/>
                    <w:right w:val="none" w:sz="0" w:space="0" w:color="auto"/>
                  </w:divBdr>
                  <w:divsChild>
                    <w:div w:id="436677918">
                      <w:marLeft w:val="0"/>
                      <w:marRight w:val="0"/>
                      <w:marTop w:val="0"/>
                      <w:marBottom w:val="0"/>
                      <w:divBdr>
                        <w:top w:val="none" w:sz="0" w:space="0" w:color="auto"/>
                        <w:left w:val="none" w:sz="0" w:space="0" w:color="auto"/>
                        <w:bottom w:val="none" w:sz="0" w:space="0" w:color="auto"/>
                        <w:right w:val="none" w:sz="0" w:space="0" w:color="auto"/>
                      </w:divBdr>
                    </w:div>
                  </w:divsChild>
                </w:div>
                <w:div w:id="1742174921">
                  <w:marLeft w:val="0"/>
                  <w:marRight w:val="0"/>
                  <w:marTop w:val="0"/>
                  <w:marBottom w:val="0"/>
                  <w:divBdr>
                    <w:top w:val="none" w:sz="0" w:space="0" w:color="auto"/>
                    <w:left w:val="none" w:sz="0" w:space="0" w:color="auto"/>
                    <w:bottom w:val="none" w:sz="0" w:space="0" w:color="auto"/>
                    <w:right w:val="none" w:sz="0" w:space="0" w:color="auto"/>
                  </w:divBdr>
                  <w:divsChild>
                    <w:div w:id="400250482">
                      <w:marLeft w:val="0"/>
                      <w:marRight w:val="0"/>
                      <w:marTop w:val="0"/>
                      <w:marBottom w:val="0"/>
                      <w:divBdr>
                        <w:top w:val="none" w:sz="0" w:space="0" w:color="auto"/>
                        <w:left w:val="none" w:sz="0" w:space="0" w:color="auto"/>
                        <w:bottom w:val="none" w:sz="0" w:space="0" w:color="auto"/>
                        <w:right w:val="none" w:sz="0" w:space="0" w:color="auto"/>
                      </w:divBdr>
                    </w:div>
                  </w:divsChild>
                </w:div>
                <w:div w:id="1743940634">
                  <w:marLeft w:val="0"/>
                  <w:marRight w:val="0"/>
                  <w:marTop w:val="0"/>
                  <w:marBottom w:val="0"/>
                  <w:divBdr>
                    <w:top w:val="none" w:sz="0" w:space="0" w:color="auto"/>
                    <w:left w:val="none" w:sz="0" w:space="0" w:color="auto"/>
                    <w:bottom w:val="none" w:sz="0" w:space="0" w:color="auto"/>
                    <w:right w:val="none" w:sz="0" w:space="0" w:color="auto"/>
                  </w:divBdr>
                  <w:divsChild>
                    <w:div w:id="366299424">
                      <w:marLeft w:val="0"/>
                      <w:marRight w:val="0"/>
                      <w:marTop w:val="0"/>
                      <w:marBottom w:val="0"/>
                      <w:divBdr>
                        <w:top w:val="none" w:sz="0" w:space="0" w:color="auto"/>
                        <w:left w:val="none" w:sz="0" w:space="0" w:color="auto"/>
                        <w:bottom w:val="none" w:sz="0" w:space="0" w:color="auto"/>
                        <w:right w:val="none" w:sz="0" w:space="0" w:color="auto"/>
                      </w:divBdr>
                    </w:div>
                  </w:divsChild>
                </w:div>
                <w:div w:id="1780636432">
                  <w:marLeft w:val="0"/>
                  <w:marRight w:val="0"/>
                  <w:marTop w:val="0"/>
                  <w:marBottom w:val="0"/>
                  <w:divBdr>
                    <w:top w:val="none" w:sz="0" w:space="0" w:color="auto"/>
                    <w:left w:val="none" w:sz="0" w:space="0" w:color="auto"/>
                    <w:bottom w:val="none" w:sz="0" w:space="0" w:color="auto"/>
                    <w:right w:val="none" w:sz="0" w:space="0" w:color="auto"/>
                  </w:divBdr>
                  <w:divsChild>
                    <w:div w:id="1297487479">
                      <w:marLeft w:val="0"/>
                      <w:marRight w:val="0"/>
                      <w:marTop w:val="0"/>
                      <w:marBottom w:val="0"/>
                      <w:divBdr>
                        <w:top w:val="none" w:sz="0" w:space="0" w:color="auto"/>
                        <w:left w:val="none" w:sz="0" w:space="0" w:color="auto"/>
                        <w:bottom w:val="none" w:sz="0" w:space="0" w:color="auto"/>
                        <w:right w:val="none" w:sz="0" w:space="0" w:color="auto"/>
                      </w:divBdr>
                    </w:div>
                  </w:divsChild>
                </w:div>
                <w:div w:id="1784379842">
                  <w:marLeft w:val="0"/>
                  <w:marRight w:val="0"/>
                  <w:marTop w:val="0"/>
                  <w:marBottom w:val="0"/>
                  <w:divBdr>
                    <w:top w:val="none" w:sz="0" w:space="0" w:color="auto"/>
                    <w:left w:val="none" w:sz="0" w:space="0" w:color="auto"/>
                    <w:bottom w:val="none" w:sz="0" w:space="0" w:color="auto"/>
                    <w:right w:val="none" w:sz="0" w:space="0" w:color="auto"/>
                  </w:divBdr>
                  <w:divsChild>
                    <w:div w:id="1658145339">
                      <w:marLeft w:val="0"/>
                      <w:marRight w:val="0"/>
                      <w:marTop w:val="0"/>
                      <w:marBottom w:val="0"/>
                      <w:divBdr>
                        <w:top w:val="none" w:sz="0" w:space="0" w:color="auto"/>
                        <w:left w:val="none" w:sz="0" w:space="0" w:color="auto"/>
                        <w:bottom w:val="none" w:sz="0" w:space="0" w:color="auto"/>
                        <w:right w:val="none" w:sz="0" w:space="0" w:color="auto"/>
                      </w:divBdr>
                    </w:div>
                  </w:divsChild>
                </w:div>
                <w:div w:id="1804079888">
                  <w:marLeft w:val="0"/>
                  <w:marRight w:val="0"/>
                  <w:marTop w:val="0"/>
                  <w:marBottom w:val="0"/>
                  <w:divBdr>
                    <w:top w:val="none" w:sz="0" w:space="0" w:color="auto"/>
                    <w:left w:val="none" w:sz="0" w:space="0" w:color="auto"/>
                    <w:bottom w:val="none" w:sz="0" w:space="0" w:color="auto"/>
                    <w:right w:val="none" w:sz="0" w:space="0" w:color="auto"/>
                  </w:divBdr>
                  <w:divsChild>
                    <w:div w:id="1479565094">
                      <w:marLeft w:val="0"/>
                      <w:marRight w:val="0"/>
                      <w:marTop w:val="0"/>
                      <w:marBottom w:val="0"/>
                      <w:divBdr>
                        <w:top w:val="none" w:sz="0" w:space="0" w:color="auto"/>
                        <w:left w:val="none" w:sz="0" w:space="0" w:color="auto"/>
                        <w:bottom w:val="none" w:sz="0" w:space="0" w:color="auto"/>
                        <w:right w:val="none" w:sz="0" w:space="0" w:color="auto"/>
                      </w:divBdr>
                    </w:div>
                  </w:divsChild>
                </w:div>
                <w:div w:id="1813986719">
                  <w:marLeft w:val="0"/>
                  <w:marRight w:val="0"/>
                  <w:marTop w:val="0"/>
                  <w:marBottom w:val="0"/>
                  <w:divBdr>
                    <w:top w:val="none" w:sz="0" w:space="0" w:color="auto"/>
                    <w:left w:val="none" w:sz="0" w:space="0" w:color="auto"/>
                    <w:bottom w:val="none" w:sz="0" w:space="0" w:color="auto"/>
                    <w:right w:val="none" w:sz="0" w:space="0" w:color="auto"/>
                  </w:divBdr>
                  <w:divsChild>
                    <w:div w:id="1499150826">
                      <w:marLeft w:val="0"/>
                      <w:marRight w:val="0"/>
                      <w:marTop w:val="0"/>
                      <w:marBottom w:val="0"/>
                      <w:divBdr>
                        <w:top w:val="none" w:sz="0" w:space="0" w:color="auto"/>
                        <w:left w:val="none" w:sz="0" w:space="0" w:color="auto"/>
                        <w:bottom w:val="none" w:sz="0" w:space="0" w:color="auto"/>
                        <w:right w:val="none" w:sz="0" w:space="0" w:color="auto"/>
                      </w:divBdr>
                    </w:div>
                  </w:divsChild>
                </w:div>
                <w:div w:id="1819372390">
                  <w:marLeft w:val="0"/>
                  <w:marRight w:val="0"/>
                  <w:marTop w:val="0"/>
                  <w:marBottom w:val="0"/>
                  <w:divBdr>
                    <w:top w:val="none" w:sz="0" w:space="0" w:color="auto"/>
                    <w:left w:val="none" w:sz="0" w:space="0" w:color="auto"/>
                    <w:bottom w:val="none" w:sz="0" w:space="0" w:color="auto"/>
                    <w:right w:val="none" w:sz="0" w:space="0" w:color="auto"/>
                  </w:divBdr>
                  <w:divsChild>
                    <w:div w:id="869298016">
                      <w:marLeft w:val="0"/>
                      <w:marRight w:val="0"/>
                      <w:marTop w:val="0"/>
                      <w:marBottom w:val="0"/>
                      <w:divBdr>
                        <w:top w:val="none" w:sz="0" w:space="0" w:color="auto"/>
                        <w:left w:val="none" w:sz="0" w:space="0" w:color="auto"/>
                        <w:bottom w:val="none" w:sz="0" w:space="0" w:color="auto"/>
                        <w:right w:val="none" w:sz="0" w:space="0" w:color="auto"/>
                      </w:divBdr>
                    </w:div>
                  </w:divsChild>
                </w:div>
                <w:div w:id="1820540238">
                  <w:marLeft w:val="0"/>
                  <w:marRight w:val="0"/>
                  <w:marTop w:val="0"/>
                  <w:marBottom w:val="0"/>
                  <w:divBdr>
                    <w:top w:val="none" w:sz="0" w:space="0" w:color="auto"/>
                    <w:left w:val="none" w:sz="0" w:space="0" w:color="auto"/>
                    <w:bottom w:val="none" w:sz="0" w:space="0" w:color="auto"/>
                    <w:right w:val="none" w:sz="0" w:space="0" w:color="auto"/>
                  </w:divBdr>
                  <w:divsChild>
                    <w:div w:id="1463110154">
                      <w:marLeft w:val="0"/>
                      <w:marRight w:val="0"/>
                      <w:marTop w:val="0"/>
                      <w:marBottom w:val="0"/>
                      <w:divBdr>
                        <w:top w:val="none" w:sz="0" w:space="0" w:color="auto"/>
                        <w:left w:val="none" w:sz="0" w:space="0" w:color="auto"/>
                        <w:bottom w:val="none" w:sz="0" w:space="0" w:color="auto"/>
                        <w:right w:val="none" w:sz="0" w:space="0" w:color="auto"/>
                      </w:divBdr>
                    </w:div>
                  </w:divsChild>
                </w:div>
                <w:div w:id="1822430791">
                  <w:marLeft w:val="0"/>
                  <w:marRight w:val="0"/>
                  <w:marTop w:val="0"/>
                  <w:marBottom w:val="0"/>
                  <w:divBdr>
                    <w:top w:val="none" w:sz="0" w:space="0" w:color="auto"/>
                    <w:left w:val="none" w:sz="0" w:space="0" w:color="auto"/>
                    <w:bottom w:val="none" w:sz="0" w:space="0" w:color="auto"/>
                    <w:right w:val="none" w:sz="0" w:space="0" w:color="auto"/>
                  </w:divBdr>
                  <w:divsChild>
                    <w:div w:id="1804077593">
                      <w:marLeft w:val="0"/>
                      <w:marRight w:val="0"/>
                      <w:marTop w:val="0"/>
                      <w:marBottom w:val="0"/>
                      <w:divBdr>
                        <w:top w:val="none" w:sz="0" w:space="0" w:color="auto"/>
                        <w:left w:val="none" w:sz="0" w:space="0" w:color="auto"/>
                        <w:bottom w:val="none" w:sz="0" w:space="0" w:color="auto"/>
                        <w:right w:val="none" w:sz="0" w:space="0" w:color="auto"/>
                      </w:divBdr>
                    </w:div>
                  </w:divsChild>
                </w:div>
                <w:div w:id="1834687482">
                  <w:marLeft w:val="0"/>
                  <w:marRight w:val="0"/>
                  <w:marTop w:val="0"/>
                  <w:marBottom w:val="0"/>
                  <w:divBdr>
                    <w:top w:val="none" w:sz="0" w:space="0" w:color="auto"/>
                    <w:left w:val="none" w:sz="0" w:space="0" w:color="auto"/>
                    <w:bottom w:val="none" w:sz="0" w:space="0" w:color="auto"/>
                    <w:right w:val="none" w:sz="0" w:space="0" w:color="auto"/>
                  </w:divBdr>
                  <w:divsChild>
                    <w:div w:id="1044063301">
                      <w:marLeft w:val="0"/>
                      <w:marRight w:val="0"/>
                      <w:marTop w:val="0"/>
                      <w:marBottom w:val="0"/>
                      <w:divBdr>
                        <w:top w:val="none" w:sz="0" w:space="0" w:color="auto"/>
                        <w:left w:val="none" w:sz="0" w:space="0" w:color="auto"/>
                        <w:bottom w:val="none" w:sz="0" w:space="0" w:color="auto"/>
                        <w:right w:val="none" w:sz="0" w:space="0" w:color="auto"/>
                      </w:divBdr>
                    </w:div>
                  </w:divsChild>
                </w:div>
                <w:div w:id="1836802643">
                  <w:marLeft w:val="0"/>
                  <w:marRight w:val="0"/>
                  <w:marTop w:val="0"/>
                  <w:marBottom w:val="0"/>
                  <w:divBdr>
                    <w:top w:val="none" w:sz="0" w:space="0" w:color="auto"/>
                    <w:left w:val="none" w:sz="0" w:space="0" w:color="auto"/>
                    <w:bottom w:val="none" w:sz="0" w:space="0" w:color="auto"/>
                    <w:right w:val="none" w:sz="0" w:space="0" w:color="auto"/>
                  </w:divBdr>
                  <w:divsChild>
                    <w:div w:id="1416242148">
                      <w:marLeft w:val="0"/>
                      <w:marRight w:val="0"/>
                      <w:marTop w:val="0"/>
                      <w:marBottom w:val="0"/>
                      <w:divBdr>
                        <w:top w:val="none" w:sz="0" w:space="0" w:color="auto"/>
                        <w:left w:val="none" w:sz="0" w:space="0" w:color="auto"/>
                        <w:bottom w:val="none" w:sz="0" w:space="0" w:color="auto"/>
                        <w:right w:val="none" w:sz="0" w:space="0" w:color="auto"/>
                      </w:divBdr>
                    </w:div>
                  </w:divsChild>
                </w:div>
                <w:div w:id="1842696822">
                  <w:marLeft w:val="0"/>
                  <w:marRight w:val="0"/>
                  <w:marTop w:val="0"/>
                  <w:marBottom w:val="0"/>
                  <w:divBdr>
                    <w:top w:val="none" w:sz="0" w:space="0" w:color="auto"/>
                    <w:left w:val="none" w:sz="0" w:space="0" w:color="auto"/>
                    <w:bottom w:val="none" w:sz="0" w:space="0" w:color="auto"/>
                    <w:right w:val="none" w:sz="0" w:space="0" w:color="auto"/>
                  </w:divBdr>
                  <w:divsChild>
                    <w:div w:id="1430009556">
                      <w:marLeft w:val="0"/>
                      <w:marRight w:val="0"/>
                      <w:marTop w:val="0"/>
                      <w:marBottom w:val="0"/>
                      <w:divBdr>
                        <w:top w:val="none" w:sz="0" w:space="0" w:color="auto"/>
                        <w:left w:val="none" w:sz="0" w:space="0" w:color="auto"/>
                        <w:bottom w:val="none" w:sz="0" w:space="0" w:color="auto"/>
                        <w:right w:val="none" w:sz="0" w:space="0" w:color="auto"/>
                      </w:divBdr>
                    </w:div>
                  </w:divsChild>
                </w:div>
                <w:div w:id="1844666253">
                  <w:marLeft w:val="0"/>
                  <w:marRight w:val="0"/>
                  <w:marTop w:val="0"/>
                  <w:marBottom w:val="0"/>
                  <w:divBdr>
                    <w:top w:val="none" w:sz="0" w:space="0" w:color="auto"/>
                    <w:left w:val="none" w:sz="0" w:space="0" w:color="auto"/>
                    <w:bottom w:val="none" w:sz="0" w:space="0" w:color="auto"/>
                    <w:right w:val="none" w:sz="0" w:space="0" w:color="auto"/>
                  </w:divBdr>
                  <w:divsChild>
                    <w:div w:id="470824706">
                      <w:marLeft w:val="0"/>
                      <w:marRight w:val="0"/>
                      <w:marTop w:val="0"/>
                      <w:marBottom w:val="0"/>
                      <w:divBdr>
                        <w:top w:val="none" w:sz="0" w:space="0" w:color="auto"/>
                        <w:left w:val="none" w:sz="0" w:space="0" w:color="auto"/>
                        <w:bottom w:val="none" w:sz="0" w:space="0" w:color="auto"/>
                        <w:right w:val="none" w:sz="0" w:space="0" w:color="auto"/>
                      </w:divBdr>
                    </w:div>
                  </w:divsChild>
                </w:div>
                <w:div w:id="1865290926">
                  <w:marLeft w:val="0"/>
                  <w:marRight w:val="0"/>
                  <w:marTop w:val="0"/>
                  <w:marBottom w:val="0"/>
                  <w:divBdr>
                    <w:top w:val="none" w:sz="0" w:space="0" w:color="auto"/>
                    <w:left w:val="none" w:sz="0" w:space="0" w:color="auto"/>
                    <w:bottom w:val="none" w:sz="0" w:space="0" w:color="auto"/>
                    <w:right w:val="none" w:sz="0" w:space="0" w:color="auto"/>
                  </w:divBdr>
                  <w:divsChild>
                    <w:div w:id="1048607622">
                      <w:marLeft w:val="0"/>
                      <w:marRight w:val="0"/>
                      <w:marTop w:val="0"/>
                      <w:marBottom w:val="0"/>
                      <w:divBdr>
                        <w:top w:val="none" w:sz="0" w:space="0" w:color="auto"/>
                        <w:left w:val="none" w:sz="0" w:space="0" w:color="auto"/>
                        <w:bottom w:val="none" w:sz="0" w:space="0" w:color="auto"/>
                        <w:right w:val="none" w:sz="0" w:space="0" w:color="auto"/>
                      </w:divBdr>
                    </w:div>
                  </w:divsChild>
                </w:div>
                <w:div w:id="1865752604">
                  <w:marLeft w:val="0"/>
                  <w:marRight w:val="0"/>
                  <w:marTop w:val="0"/>
                  <w:marBottom w:val="0"/>
                  <w:divBdr>
                    <w:top w:val="none" w:sz="0" w:space="0" w:color="auto"/>
                    <w:left w:val="none" w:sz="0" w:space="0" w:color="auto"/>
                    <w:bottom w:val="none" w:sz="0" w:space="0" w:color="auto"/>
                    <w:right w:val="none" w:sz="0" w:space="0" w:color="auto"/>
                  </w:divBdr>
                  <w:divsChild>
                    <w:div w:id="466167693">
                      <w:marLeft w:val="0"/>
                      <w:marRight w:val="0"/>
                      <w:marTop w:val="0"/>
                      <w:marBottom w:val="0"/>
                      <w:divBdr>
                        <w:top w:val="none" w:sz="0" w:space="0" w:color="auto"/>
                        <w:left w:val="none" w:sz="0" w:space="0" w:color="auto"/>
                        <w:bottom w:val="none" w:sz="0" w:space="0" w:color="auto"/>
                        <w:right w:val="none" w:sz="0" w:space="0" w:color="auto"/>
                      </w:divBdr>
                    </w:div>
                  </w:divsChild>
                </w:div>
                <w:div w:id="1867789839">
                  <w:marLeft w:val="0"/>
                  <w:marRight w:val="0"/>
                  <w:marTop w:val="0"/>
                  <w:marBottom w:val="0"/>
                  <w:divBdr>
                    <w:top w:val="none" w:sz="0" w:space="0" w:color="auto"/>
                    <w:left w:val="none" w:sz="0" w:space="0" w:color="auto"/>
                    <w:bottom w:val="none" w:sz="0" w:space="0" w:color="auto"/>
                    <w:right w:val="none" w:sz="0" w:space="0" w:color="auto"/>
                  </w:divBdr>
                  <w:divsChild>
                    <w:div w:id="127213857">
                      <w:marLeft w:val="0"/>
                      <w:marRight w:val="0"/>
                      <w:marTop w:val="0"/>
                      <w:marBottom w:val="0"/>
                      <w:divBdr>
                        <w:top w:val="none" w:sz="0" w:space="0" w:color="auto"/>
                        <w:left w:val="none" w:sz="0" w:space="0" w:color="auto"/>
                        <w:bottom w:val="none" w:sz="0" w:space="0" w:color="auto"/>
                        <w:right w:val="none" w:sz="0" w:space="0" w:color="auto"/>
                      </w:divBdr>
                    </w:div>
                  </w:divsChild>
                </w:div>
                <w:div w:id="1877572512">
                  <w:marLeft w:val="0"/>
                  <w:marRight w:val="0"/>
                  <w:marTop w:val="0"/>
                  <w:marBottom w:val="0"/>
                  <w:divBdr>
                    <w:top w:val="none" w:sz="0" w:space="0" w:color="auto"/>
                    <w:left w:val="none" w:sz="0" w:space="0" w:color="auto"/>
                    <w:bottom w:val="none" w:sz="0" w:space="0" w:color="auto"/>
                    <w:right w:val="none" w:sz="0" w:space="0" w:color="auto"/>
                  </w:divBdr>
                  <w:divsChild>
                    <w:div w:id="1559512635">
                      <w:marLeft w:val="0"/>
                      <w:marRight w:val="0"/>
                      <w:marTop w:val="0"/>
                      <w:marBottom w:val="0"/>
                      <w:divBdr>
                        <w:top w:val="none" w:sz="0" w:space="0" w:color="auto"/>
                        <w:left w:val="none" w:sz="0" w:space="0" w:color="auto"/>
                        <w:bottom w:val="none" w:sz="0" w:space="0" w:color="auto"/>
                        <w:right w:val="none" w:sz="0" w:space="0" w:color="auto"/>
                      </w:divBdr>
                    </w:div>
                  </w:divsChild>
                </w:div>
                <w:div w:id="1878004761">
                  <w:marLeft w:val="0"/>
                  <w:marRight w:val="0"/>
                  <w:marTop w:val="0"/>
                  <w:marBottom w:val="0"/>
                  <w:divBdr>
                    <w:top w:val="none" w:sz="0" w:space="0" w:color="auto"/>
                    <w:left w:val="none" w:sz="0" w:space="0" w:color="auto"/>
                    <w:bottom w:val="none" w:sz="0" w:space="0" w:color="auto"/>
                    <w:right w:val="none" w:sz="0" w:space="0" w:color="auto"/>
                  </w:divBdr>
                  <w:divsChild>
                    <w:div w:id="1258098165">
                      <w:marLeft w:val="0"/>
                      <w:marRight w:val="0"/>
                      <w:marTop w:val="0"/>
                      <w:marBottom w:val="0"/>
                      <w:divBdr>
                        <w:top w:val="none" w:sz="0" w:space="0" w:color="auto"/>
                        <w:left w:val="none" w:sz="0" w:space="0" w:color="auto"/>
                        <w:bottom w:val="none" w:sz="0" w:space="0" w:color="auto"/>
                        <w:right w:val="none" w:sz="0" w:space="0" w:color="auto"/>
                      </w:divBdr>
                    </w:div>
                  </w:divsChild>
                </w:div>
                <w:div w:id="1883319207">
                  <w:marLeft w:val="0"/>
                  <w:marRight w:val="0"/>
                  <w:marTop w:val="0"/>
                  <w:marBottom w:val="0"/>
                  <w:divBdr>
                    <w:top w:val="none" w:sz="0" w:space="0" w:color="auto"/>
                    <w:left w:val="none" w:sz="0" w:space="0" w:color="auto"/>
                    <w:bottom w:val="none" w:sz="0" w:space="0" w:color="auto"/>
                    <w:right w:val="none" w:sz="0" w:space="0" w:color="auto"/>
                  </w:divBdr>
                  <w:divsChild>
                    <w:div w:id="841161596">
                      <w:marLeft w:val="0"/>
                      <w:marRight w:val="0"/>
                      <w:marTop w:val="0"/>
                      <w:marBottom w:val="0"/>
                      <w:divBdr>
                        <w:top w:val="none" w:sz="0" w:space="0" w:color="auto"/>
                        <w:left w:val="none" w:sz="0" w:space="0" w:color="auto"/>
                        <w:bottom w:val="none" w:sz="0" w:space="0" w:color="auto"/>
                        <w:right w:val="none" w:sz="0" w:space="0" w:color="auto"/>
                      </w:divBdr>
                    </w:div>
                  </w:divsChild>
                </w:div>
                <w:div w:id="1887136249">
                  <w:marLeft w:val="0"/>
                  <w:marRight w:val="0"/>
                  <w:marTop w:val="0"/>
                  <w:marBottom w:val="0"/>
                  <w:divBdr>
                    <w:top w:val="none" w:sz="0" w:space="0" w:color="auto"/>
                    <w:left w:val="none" w:sz="0" w:space="0" w:color="auto"/>
                    <w:bottom w:val="none" w:sz="0" w:space="0" w:color="auto"/>
                    <w:right w:val="none" w:sz="0" w:space="0" w:color="auto"/>
                  </w:divBdr>
                  <w:divsChild>
                    <w:div w:id="1126122767">
                      <w:marLeft w:val="0"/>
                      <w:marRight w:val="0"/>
                      <w:marTop w:val="0"/>
                      <w:marBottom w:val="0"/>
                      <w:divBdr>
                        <w:top w:val="none" w:sz="0" w:space="0" w:color="auto"/>
                        <w:left w:val="none" w:sz="0" w:space="0" w:color="auto"/>
                        <w:bottom w:val="none" w:sz="0" w:space="0" w:color="auto"/>
                        <w:right w:val="none" w:sz="0" w:space="0" w:color="auto"/>
                      </w:divBdr>
                    </w:div>
                  </w:divsChild>
                </w:div>
                <w:div w:id="1888905827">
                  <w:marLeft w:val="0"/>
                  <w:marRight w:val="0"/>
                  <w:marTop w:val="0"/>
                  <w:marBottom w:val="0"/>
                  <w:divBdr>
                    <w:top w:val="none" w:sz="0" w:space="0" w:color="auto"/>
                    <w:left w:val="none" w:sz="0" w:space="0" w:color="auto"/>
                    <w:bottom w:val="none" w:sz="0" w:space="0" w:color="auto"/>
                    <w:right w:val="none" w:sz="0" w:space="0" w:color="auto"/>
                  </w:divBdr>
                  <w:divsChild>
                    <w:div w:id="1780643658">
                      <w:marLeft w:val="0"/>
                      <w:marRight w:val="0"/>
                      <w:marTop w:val="0"/>
                      <w:marBottom w:val="0"/>
                      <w:divBdr>
                        <w:top w:val="none" w:sz="0" w:space="0" w:color="auto"/>
                        <w:left w:val="none" w:sz="0" w:space="0" w:color="auto"/>
                        <w:bottom w:val="none" w:sz="0" w:space="0" w:color="auto"/>
                        <w:right w:val="none" w:sz="0" w:space="0" w:color="auto"/>
                      </w:divBdr>
                    </w:div>
                  </w:divsChild>
                </w:div>
                <w:div w:id="1896356513">
                  <w:marLeft w:val="0"/>
                  <w:marRight w:val="0"/>
                  <w:marTop w:val="0"/>
                  <w:marBottom w:val="0"/>
                  <w:divBdr>
                    <w:top w:val="none" w:sz="0" w:space="0" w:color="auto"/>
                    <w:left w:val="none" w:sz="0" w:space="0" w:color="auto"/>
                    <w:bottom w:val="none" w:sz="0" w:space="0" w:color="auto"/>
                    <w:right w:val="none" w:sz="0" w:space="0" w:color="auto"/>
                  </w:divBdr>
                  <w:divsChild>
                    <w:div w:id="1236865719">
                      <w:marLeft w:val="0"/>
                      <w:marRight w:val="0"/>
                      <w:marTop w:val="0"/>
                      <w:marBottom w:val="0"/>
                      <w:divBdr>
                        <w:top w:val="none" w:sz="0" w:space="0" w:color="auto"/>
                        <w:left w:val="none" w:sz="0" w:space="0" w:color="auto"/>
                        <w:bottom w:val="none" w:sz="0" w:space="0" w:color="auto"/>
                        <w:right w:val="none" w:sz="0" w:space="0" w:color="auto"/>
                      </w:divBdr>
                    </w:div>
                  </w:divsChild>
                </w:div>
                <w:div w:id="1900092690">
                  <w:marLeft w:val="0"/>
                  <w:marRight w:val="0"/>
                  <w:marTop w:val="0"/>
                  <w:marBottom w:val="0"/>
                  <w:divBdr>
                    <w:top w:val="none" w:sz="0" w:space="0" w:color="auto"/>
                    <w:left w:val="none" w:sz="0" w:space="0" w:color="auto"/>
                    <w:bottom w:val="none" w:sz="0" w:space="0" w:color="auto"/>
                    <w:right w:val="none" w:sz="0" w:space="0" w:color="auto"/>
                  </w:divBdr>
                  <w:divsChild>
                    <w:div w:id="1783719713">
                      <w:marLeft w:val="0"/>
                      <w:marRight w:val="0"/>
                      <w:marTop w:val="0"/>
                      <w:marBottom w:val="0"/>
                      <w:divBdr>
                        <w:top w:val="none" w:sz="0" w:space="0" w:color="auto"/>
                        <w:left w:val="none" w:sz="0" w:space="0" w:color="auto"/>
                        <w:bottom w:val="none" w:sz="0" w:space="0" w:color="auto"/>
                        <w:right w:val="none" w:sz="0" w:space="0" w:color="auto"/>
                      </w:divBdr>
                    </w:div>
                  </w:divsChild>
                </w:div>
                <w:div w:id="1921600151">
                  <w:marLeft w:val="0"/>
                  <w:marRight w:val="0"/>
                  <w:marTop w:val="0"/>
                  <w:marBottom w:val="0"/>
                  <w:divBdr>
                    <w:top w:val="none" w:sz="0" w:space="0" w:color="auto"/>
                    <w:left w:val="none" w:sz="0" w:space="0" w:color="auto"/>
                    <w:bottom w:val="none" w:sz="0" w:space="0" w:color="auto"/>
                    <w:right w:val="none" w:sz="0" w:space="0" w:color="auto"/>
                  </w:divBdr>
                  <w:divsChild>
                    <w:div w:id="1789549140">
                      <w:marLeft w:val="0"/>
                      <w:marRight w:val="0"/>
                      <w:marTop w:val="0"/>
                      <w:marBottom w:val="0"/>
                      <w:divBdr>
                        <w:top w:val="none" w:sz="0" w:space="0" w:color="auto"/>
                        <w:left w:val="none" w:sz="0" w:space="0" w:color="auto"/>
                        <w:bottom w:val="none" w:sz="0" w:space="0" w:color="auto"/>
                        <w:right w:val="none" w:sz="0" w:space="0" w:color="auto"/>
                      </w:divBdr>
                    </w:div>
                  </w:divsChild>
                </w:div>
                <w:div w:id="1927034384">
                  <w:marLeft w:val="0"/>
                  <w:marRight w:val="0"/>
                  <w:marTop w:val="0"/>
                  <w:marBottom w:val="0"/>
                  <w:divBdr>
                    <w:top w:val="none" w:sz="0" w:space="0" w:color="auto"/>
                    <w:left w:val="none" w:sz="0" w:space="0" w:color="auto"/>
                    <w:bottom w:val="none" w:sz="0" w:space="0" w:color="auto"/>
                    <w:right w:val="none" w:sz="0" w:space="0" w:color="auto"/>
                  </w:divBdr>
                  <w:divsChild>
                    <w:div w:id="59061274">
                      <w:marLeft w:val="0"/>
                      <w:marRight w:val="0"/>
                      <w:marTop w:val="0"/>
                      <w:marBottom w:val="0"/>
                      <w:divBdr>
                        <w:top w:val="none" w:sz="0" w:space="0" w:color="auto"/>
                        <w:left w:val="none" w:sz="0" w:space="0" w:color="auto"/>
                        <w:bottom w:val="none" w:sz="0" w:space="0" w:color="auto"/>
                        <w:right w:val="none" w:sz="0" w:space="0" w:color="auto"/>
                      </w:divBdr>
                    </w:div>
                  </w:divsChild>
                </w:div>
                <w:div w:id="1934390674">
                  <w:marLeft w:val="0"/>
                  <w:marRight w:val="0"/>
                  <w:marTop w:val="0"/>
                  <w:marBottom w:val="0"/>
                  <w:divBdr>
                    <w:top w:val="none" w:sz="0" w:space="0" w:color="auto"/>
                    <w:left w:val="none" w:sz="0" w:space="0" w:color="auto"/>
                    <w:bottom w:val="none" w:sz="0" w:space="0" w:color="auto"/>
                    <w:right w:val="none" w:sz="0" w:space="0" w:color="auto"/>
                  </w:divBdr>
                  <w:divsChild>
                    <w:div w:id="1900632613">
                      <w:marLeft w:val="0"/>
                      <w:marRight w:val="0"/>
                      <w:marTop w:val="0"/>
                      <w:marBottom w:val="0"/>
                      <w:divBdr>
                        <w:top w:val="none" w:sz="0" w:space="0" w:color="auto"/>
                        <w:left w:val="none" w:sz="0" w:space="0" w:color="auto"/>
                        <w:bottom w:val="none" w:sz="0" w:space="0" w:color="auto"/>
                        <w:right w:val="none" w:sz="0" w:space="0" w:color="auto"/>
                      </w:divBdr>
                    </w:div>
                  </w:divsChild>
                </w:div>
                <w:div w:id="1944678942">
                  <w:marLeft w:val="0"/>
                  <w:marRight w:val="0"/>
                  <w:marTop w:val="0"/>
                  <w:marBottom w:val="0"/>
                  <w:divBdr>
                    <w:top w:val="none" w:sz="0" w:space="0" w:color="auto"/>
                    <w:left w:val="none" w:sz="0" w:space="0" w:color="auto"/>
                    <w:bottom w:val="none" w:sz="0" w:space="0" w:color="auto"/>
                    <w:right w:val="none" w:sz="0" w:space="0" w:color="auto"/>
                  </w:divBdr>
                  <w:divsChild>
                    <w:div w:id="1081366917">
                      <w:marLeft w:val="0"/>
                      <w:marRight w:val="0"/>
                      <w:marTop w:val="0"/>
                      <w:marBottom w:val="0"/>
                      <w:divBdr>
                        <w:top w:val="none" w:sz="0" w:space="0" w:color="auto"/>
                        <w:left w:val="none" w:sz="0" w:space="0" w:color="auto"/>
                        <w:bottom w:val="none" w:sz="0" w:space="0" w:color="auto"/>
                        <w:right w:val="none" w:sz="0" w:space="0" w:color="auto"/>
                      </w:divBdr>
                    </w:div>
                  </w:divsChild>
                </w:div>
                <w:div w:id="1953197985">
                  <w:marLeft w:val="0"/>
                  <w:marRight w:val="0"/>
                  <w:marTop w:val="0"/>
                  <w:marBottom w:val="0"/>
                  <w:divBdr>
                    <w:top w:val="none" w:sz="0" w:space="0" w:color="auto"/>
                    <w:left w:val="none" w:sz="0" w:space="0" w:color="auto"/>
                    <w:bottom w:val="none" w:sz="0" w:space="0" w:color="auto"/>
                    <w:right w:val="none" w:sz="0" w:space="0" w:color="auto"/>
                  </w:divBdr>
                  <w:divsChild>
                    <w:div w:id="31423950">
                      <w:marLeft w:val="0"/>
                      <w:marRight w:val="0"/>
                      <w:marTop w:val="0"/>
                      <w:marBottom w:val="0"/>
                      <w:divBdr>
                        <w:top w:val="none" w:sz="0" w:space="0" w:color="auto"/>
                        <w:left w:val="none" w:sz="0" w:space="0" w:color="auto"/>
                        <w:bottom w:val="none" w:sz="0" w:space="0" w:color="auto"/>
                        <w:right w:val="none" w:sz="0" w:space="0" w:color="auto"/>
                      </w:divBdr>
                    </w:div>
                  </w:divsChild>
                </w:div>
                <w:div w:id="1967353129">
                  <w:marLeft w:val="0"/>
                  <w:marRight w:val="0"/>
                  <w:marTop w:val="0"/>
                  <w:marBottom w:val="0"/>
                  <w:divBdr>
                    <w:top w:val="none" w:sz="0" w:space="0" w:color="auto"/>
                    <w:left w:val="none" w:sz="0" w:space="0" w:color="auto"/>
                    <w:bottom w:val="none" w:sz="0" w:space="0" w:color="auto"/>
                    <w:right w:val="none" w:sz="0" w:space="0" w:color="auto"/>
                  </w:divBdr>
                  <w:divsChild>
                    <w:div w:id="1997805432">
                      <w:marLeft w:val="0"/>
                      <w:marRight w:val="0"/>
                      <w:marTop w:val="0"/>
                      <w:marBottom w:val="0"/>
                      <w:divBdr>
                        <w:top w:val="none" w:sz="0" w:space="0" w:color="auto"/>
                        <w:left w:val="none" w:sz="0" w:space="0" w:color="auto"/>
                        <w:bottom w:val="none" w:sz="0" w:space="0" w:color="auto"/>
                        <w:right w:val="none" w:sz="0" w:space="0" w:color="auto"/>
                      </w:divBdr>
                    </w:div>
                  </w:divsChild>
                </w:div>
                <w:div w:id="1978609544">
                  <w:marLeft w:val="0"/>
                  <w:marRight w:val="0"/>
                  <w:marTop w:val="0"/>
                  <w:marBottom w:val="0"/>
                  <w:divBdr>
                    <w:top w:val="none" w:sz="0" w:space="0" w:color="auto"/>
                    <w:left w:val="none" w:sz="0" w:space="0" w:color="auto"/>
                    <w:bottom w:val="none" w:sz="0" w:space="0" w:color="auto"/>
                    <w:right w:val="none" w:sz="0" w:space="0" w:color="auto"/>
                  </w:divBdr>
                  <w:divsChild>
                    <w:div w:id="1082264600">
                      <w:marLeft w:val="0"/>
                      <w:marRight w:val="0"/>
                      <w:marTop w:val="0"/>
                      <w:marBottom w:val="0"/>
                      <w:divBdr>
                        <w:top w:val="none" w:sz="0" w:space="0" w:color="auto"/>
                        <w:left w:val="none" w:sz="0" w:space="0" w:color="auto"/>
                        <w:bottom w:val="none" w:sz="0" w:space="0" w:color="auto"/>
                        <w:right w:val="none" w:sz="0" w:space="0" w:color="auto"/>
                      </w:divBdr>
                    </w:div>
                  </w:divsChild>
                </w:div>
                <w:div w:id="1988052875">
                  <w:marLeft w:val="0"/>
                  <w:marRight w:val="0"/>
                  <w:marTop w:val="0"/>
                  <w:marBottom w:val="0"/>
                  <w:divBdr>
                    <w:top w:val="none" w:sz="0" w:space="0" w:color="auto"/>
                    <w:left w:val="none" w:sz="0" w:space="0" w:color="auto"/>
                    <w:bottom w:val="none" w:sz="0" w:space="0" w:color="auto"/>
                    <w:right w:val="none" w:sz="0" w:space="0" w:color="auto"/>
                  </w:divBdr>
                  <w:divsChild>
                    <w:div w:id="1904830564">
                      <w:marLeft w:val="0"/>
                      <w:marRight w:val="0"/>
                      <w:marTop w:val="0"/>
                      <w:marBottom w:val="0"/>
                      <w:divBdr>
                        <w:top w:val="none" w:sz="0" w:space="0" w:color="auto"/>
                        <w:left w:val="none" w:sz="0" w:space="0" w:color="auto"/>
                        <w:bottom w:val="none" w:sz="0" w:space="0" w:color="auto"/>
                        <w:right w:val="none" w:sz="0" w:space="0" w:color="auto"/>
                      </w:divBdr>
                    </w:div>
                  </w:divsChild>
                </w:div>
                <w:div w:id="2019690908">
                  <w:marLeft w:val="0"/>
                  <w:marRight w:val="0"/>
                  <w:marTop w:val="0"/>
                  <w:marBottom w:val="0"/>
                  <w:divBdr>
                    <w:top w:val="none" w:sz="0" w:space="0" w:color="auto"/>
                    <w:left w:val="none" w:sz="0" w:space="0" w:color="auto"/>
                    <w:bottom w:val="none" w:sz="0" w:space="0" w:color="auto"/>
                    <w:right w:val="none" w:sz="0" w:space="0" w:color="auto"/>
                  </w:divBdr>
                  <w:divsChild>
                    <w:div w:id="1185362510">
                      <w:marLeft w:val="0"/>
                      <w:marRight w:val="0"/>
                      <w:marTop w:val="0"/>
                      <w:marBottom w:val="0"/>
                      <w:divBdr>
                        <w:top w:val="none" w:sz="0" w:space="0" w:color="auto"/>
                        <w:left w:val="none" w:sz="0" w:space="0" w:color="auto"/>
                        <w:bottom w:val="none" w:sz="0" w:space="0" w:color="auto"/>
                        <w:right w:val="none" w:sz="0" w:space="0" w:color="auto"/>
                      </w:divBdr>
                    </w:div>
                  </w:divsChild>
                </w:div>
                <w:div w:id="2024428635">
                  <w:marLeft w:val="0"/>
                  <w:marRight w:val="0"/>
                  <w:marTop w:val="0"/>
                  <w:marBottom w:val="0"/>
                  <w:divBdr>
                    <w:top w:val="none" w:sz="0" w:space="0" w:color="auto"/>
                    <w:left w:val="none" w:sz="0" w:space="0" w:color="auto"/>
                    <w:bottom w:val="none" w:sz="0" w:space="0" w:color="auto"/>
                    <w:right w:val="none" w:sz="0" w:space="0" w:color="auto"/>
                  </w:divBdr>
                  <w:divsChild>
                    <w:div w:id="1027675414">
                      <w:marLeft w:val="0"/>
                      <w:marRight w:val="0"/>
                      <w:marTop w:val="0"/>
                      <w:marBottom w:val="0"/>
                      <w:divBdr>
                        <w:top w:val="none" w:sz="0" w:space="0" w:color="auto"/>
                        <w:left w:val="none" w:sz="0" w:space="0" w:color="auto"/>
                        <w:bottom w:val="none" w:sz="0" w:space="0" w:color="auto"/>
                        <w:right w:val="none" w:sz="0" w:space="0" w:color="auto"/>
                      </w:divBdr>
                    </w:div>
                  </w:divsChild>
                </w:div>
                <w:div w:id="2030985533">
                  <w:marLeft w:val="0"/>
                  <w:marRight w:val="0"/>
                  <w:marTop w:val="0"/>
                  <w:marBottom w:val="0"/>
                  <w:divBdr>
                    <w:top w:val="none" w:sz="0" w:space="0" w:color="auto"/>
                    <w:left w:val="none" w:sz="0" w:space="0" w:color="auto"/>
                    <w:bottom w:val="none" w:sz="0" w:space="0" w:color="auto"/>
                    <w:right w:val="none" w:sz="0" w:space="0" w:color="auto"/>
                  </w:divBdr>
                  <w:divsChild>
                    <w:div w:id="2100757941">
                      <w:marLeft w:val="0"/>
                      <w:marRight w:val="0"/>
                      <w:marTop w:val="0"/>
                      <w:marBottom w:val="0"/>
                      <w:divBdr>
                        <w:top w:val="none" w:sz="0" w:space="0" w:color="auto"/>
                        <w:left w:val="none" w:sz="0" w:space="0" w:color="auto"/>
                        <w:bottom w:val="none" w:sz="0" w:space="0" w:color="auto"/>
                        <w:right w:val="none" w:sz="0" w:space="0" w:color="auto"/>
                      </w:divBdr>
                    </w:div>
                  </w:divsChild>
                </w:div>
                <w:div w:id="2045445571">
                  <w:marLeft w:val="0"/>
                  <w:marRight w:val="0"/>
                  <w:marTop w:val="0"/>
                  <w:marBottom w:val="0"/>
                  <w:divBdr>
                    <w:top w:val="none" w:sz="0" w:space="0" w:color="auto"/>
                    <w:left w:val="none" w:sz="0" w:space="0" w:color="auto"/>
                    <w:bottom w:val="none" w:sz="0" w:space="0" w:color="auto"/>
                    <w:right w:val="none" w:sz="0" w:space="0" w:color="auto"/>
                  </w:divBdr>
                  <w:divsChild>
                    <w:div w:id="1548839870">
                      <w:marLeft w:val="0"/>
                      <w:marRight w:val="0"/>
                      <w:marTop w:val="0"/>
                      <w:marBottom w:val="0"/>
                      <w:divBdr>
                        <w:top w:val="none" w:sz="0" w:space="0" w:color="auto"/>
                        <w:left w:val="none" w:sz="0" w:space="0" w:color="auto"/>
                        <w:bottom w:val="none" w:sz="0" w:space="0" w:color="auto"/>
                        <w:right w:val="none" w:sz="0" w:space="0" w:color="auto"/>
                      </w:divBdr>
                    </w:div>
                  </w:divsChild>
                </w:div>
                <w:div w:id="2045790860">
                  <w:marLeft w:val="0"/>
                  <w:marRight w:val="0"/>
                  <w:marTop w:val="0"/>
                  <w:marBottom w:val="0"/>
                  <w:divBdr>
                    <w:top w:val="none" w:sz="0" w:space="0" w:color="auto"/>
                    <w:left w:val="none" w:sz="0" w:space="0" w:color="auto"/>
                    <w:bottom w:val="none" w:sz="0" w:space="0" w:color="auto"/>
                    <w:right w:val="none" w:sz="0" w:space="0" w:color="auto"/>
                  </w:divBdr>
                  <w:divsChild>
                    <w:div w:id="851410602">
                      <w:marLeft w:val="0"/>
                      <w:marRight w:val="0"/>
                      <w:marTop w:val="0"/>
                      <w:marBottom w:val="0"/>
                      <w:divBdr>
                        <w:top w:val="none" w:sz="0" w:space="0" w:color="auto"/>
                        <w:left w:val="none" w:sz="0" w:space="0" w:color="auto"/>
                        <w:bottom w:val="none" w:sz="0" w:space="0" w:color="auto"/>
                        <w:right w:val="none" w:sz="0" w:space="0" w:color="auto"/>
                      </w:divBdr>
                    </w:div>
                  </w:divsChild>
                </w:div>
                <w:div w:id="2073771847">
                  <w:marLeft w:val="0"/>
                  <w:marRight w:val="0"/>
                  <w:marTop w:val="0"/>
                  <w:marBottom w:val="0"/>
                  <w:divBdr>
                    <w:top w:val="none" w:sz="0" w:space="0" w:color="auto"/>
                    <w:left w:val="none" w:sz="0" w:space="0" w:color="auto"/>
                    <w:bottom w:val="none" w:sz="0" w:space="0" w:color="auto"/>
                    <w:right w:val="none" w:sz="0" w:space="0" w:color="auto"/>
                  </w:divBdr>
                  <w:divsChild>
                    <w:div w:id="729958765">
                      <w:marLeft w:val="0"/>
                      <w:marRight w:val="0"/>
                      <w:marTop w:val="0"/>
                      <w:marBottom w:val="0"/>
                      <w:divBdr>
                        <w:top w:val="none" w:sz="0" w:space="0" w:color="auto"/>
                        <w:left w:val="none" w:sz="0" w:space="0" w:color="auto"/>
                        <w:bottom w:val="none" w:sz="0" w:space="0" w:color="auto"/>
                        <w:right w:val="none" w:sz="0" w:space="0" w:color="auto"/>
                      </w:divBdr>
                    </w:div>
                  </w:divsChild>
                </w:div>
                <w:div w:id="2076389106">
                  <w:marLeft w:val="0"/>
                  <w:marRight w:val="0"/>
                  <w:marTop w:val="0"/>
                  <w:marBottom w:val="0"/>
                  <w:divBdr>
                    <w:top w:val="none" w:sz="0" w:space="0" w:color="auto"/>
                    <w:left w:val="none" w:sz="0" w:space="0" w:color="auto"/>
                    <w:bottom w:val="none" w:sz="0" w:space="0" w:color="auto"/>
                    <w:right w:val="none" w:sz="0" w:space="0" w:color="auto"/>
                  </w:divBdr>
                  <w:divsChild>
                    <w:div w:id="1276056844">
                      <w:marLeft w:val="0"/>
                      <w:marRight w:val="0"/>
                      <w:marTop w:val="0"/>
                      <w:marBottom w:val="0"/>
                      <w:divBdr>
                        <w:top w:val="none" w:sz="0" w:space="0" w:color="auto"/>
                        <w:left w:val="none" w:sz="0" w:space="0" w:color="auto"/>
                        <w:bottom w:val="none" w:sz="0" w:space="0" w:color="auto"/>
                        <w:right w:val="none" w:sz="0" w:space="0" w:color="auto"/>
                      </w:divBdr>
                    </w:div>
                  </w:divsChild>
                </w:div>
                <w:div w:id="2078088690">
                  <w:marLeft w:val="0"/>
                  <w:marRight w:val="0"/>
                  <w:marTop w:val="0"/>
                  <w:marBottom w:val="0"/>
                  <w:divBdr>
                    <w:top w:val="none" w:sz="0" w:space="0" w:color="auto"/>
                    <w:left w:val="none" w:sz="0" w:space="0" w:color="auto"/>
                    <w:bottom w:val="none" w:sz="0" w:space="0" w:color="auto"/>
                    <w:right w:val="none" w:sz="0" w:space="0" w:color="auto"/>
                  </w:divBdr>
                  <w:divsChild>
                    <w:div w:id="779684281">
                      <w:marLeft w:val="0"/>
                      <w:marRight w:val="0"/>
                      <w:marTop w:val="0"/>
                      <w:marBottom w:val="0"/>
                      <w:divBdr>
                        <w:top w:val="none" w:sz="0" w:space="0" w:color="auto"/>
                        <w:left w:val="none" w:sz="0" w:space="0" w:color="auto"/>
                        <w:bottom w:val="none" w:sz="0" w:space="0" w:color="auto"/>
                        <w:right w:val="none" w:sz="0" w:space="0" w:color="auto"/>
                      </w:divBdr>
                    </w:div>
                  </w:divsChild>
                </w:div>
                <w:div w:id="2092266655">
                  <w:marLeft w:val="0"/>
                  <w:marRight w:val="0"/>
                  <w:marTop w:val="0"/>
                  <w:marBottom w:val="0"/>
                  <w:divBdr>
                    <w:top w:val="none" w:sz="0" w:space="0" w:color="auto"/>
                    <w:left w:val="none" w:sz="0" w:space="0" w:color="auto"/>
                    <w:bottom w:val="none" w:sz="0" w:space="0" w:color="auto"/>
                    <w:right w:val="none" w:sz="0" w:space="0" w:color="auto"/>
                  </w:divBdr>
                  <w:divsChild>
                    <w:div w:id="102893528">
                      <w:marLeft w:val="0"/>
                      <w:marRight w:val="0"/>
                      <w:marTop w:val="0"/>
                      <w:marBottom w:val="0"/>
                      <w:divBdr>
                        <w:top w:val="none" w:sz="0" w:space="0" w:color="auto"/>
                        <w:left w:val="none" w:sz="0" w:space="0" w:color="auto"/>
                        <w:bottom w:val="none" w:sz="0" w:space="0" w:color="auto"/>
                        <w:right w:val="none" w:sz="0" w:space="0" w:color="auto"/>
                      </w:divBdr>
                    </w:div>
                  </w:divsChild>
                </w:div>
                <w:div w:id="2092309360">
                  <w:marLeft w:val="0"/>
                  <w:marRight w:val="0"/>
                  <w:marTop w:val="0"/>
                  <w:marBottom w:val="0"/>
                  <w:divBdr>
                    <w:top w:val="none" w:sz="0" w:space="0" w:color="auto"/>
                    <w:left w:val="none" w:sz="0" w:space="0" w:color="auto"/>
                    <w:bottom w:val="none" w:sz="0" w:space="0" w:color="auto"/>
                    <w:right w:val="none" w:sz="0" w:space="0" w:color="auto"/>
                  </w:divBdr>
                  <w:divsChild>
                    <w:div w:id="1335301602">
                      <w:marLeft w:val="0"/>
                      <w:marRight w:val="0"/>
                      <w:marTop w:val="0"/>
                      <w:marBottom w:val="0"/>
                      <w:divBdr>
                        <w:top w:val="none" w:sz="0" w:space="0" w:color="auto"/>
                        <w:left w:val="none" w:sz="0" w:space="0" w:color="auto"/>
                        <w:bottom w:val="none" w:sz="0" w:space="0" w:color="auto"/>
                        <w:right w:val="none" w:sz="0" w:space="0" w:color="auto"/>
                      </w:divBdr>
                    </w:div>
                  </w:divsChild>
                </w:div>
                <w:div w:id="2097899232">
                  <w:marLeft w:val="0"/>
                  <w:marRight w:val="0"/>
                  <w:marTop w:val="0"/>
                  <w:marBottom w:val="0"/>
                  <w:divBdr>
                    <w:top w:val="none" w:sz="0" w:space="0" w:color="auto"/>
                    <w:left w:val="none" w:sz="0" w:space="0" w:color="auto"/>
                    <w:bottom w:val="none" w:sz="0" w:space="0" w:color="auto"/>
                    <w:right w:val="none" w:sz="0" w:space="0" w:color="auto"/>
                  </w:divBdr>
                  <w:divsChild>
                    <w:div w:id="999968863">
                      <w:marLeft w:val="0"/>
                      <w:marRight w:val="0"/>
                      <w:marTop w:val="0"/>
                      <w:marBottom w:val="0"/>
                      <w:divBdr>
                        <w:top w:val="none" w:sz="0" w:space="0" w:color="auto"/>
                        <w:left w:val="none" w:sz="0" w:space="0" w:color="auto"/>
                        <w:bottom w:val="none" w:sz="0" w:space="0" w:color="auto"/>
                        <w:right w:val="none" w:sz="0" w:space="0" w:color="auto"/>
                      </w:divBdr>
                    </w:div>
                  </w:divsChild>
                </w:div>
                <w:div w:id="2113893366">
                  <w:marLeft w:val="0"/>
                  <w:marRight w:val="0"/>
                  <w:marTop w:val="0"/>
                  <w:marBottom w:val="0"/>
                  <w:divBdr>
                    <w:top w:val="none" w:sz="0" w:space="0" w:color="auto"/>
                    <w:left w:val="none" w:sz="0" w:space="0" w:color="auto"/>
                    <w:bottom w:val="none" w:sz="0" w:space="0" w:color="auto"/>
                    <w:right w:val="none" w:sz="0" w:space="0" w:color="auto"/>
                  </w:divBdr>
                  <w:divsChild>
                    <w:div w:id="1260723716">
                      <w:marLeft w:val="0"/>
                      <w:marRight w:val="0"/>
                      <w:marTop w:val="0"/>
                      <w:marBottom w:val="0"/>
                      <w:divBdr>
                        <w:top w:val="none" w:sz="0" w:space="0" w:color="auto"/>
                        <w:left w:val="none" w:sz="0" w:space="0" w:color="auto"/>
                        <w:bottom w:val="none" w:sz="0" w:space="0" w:color="auto"/>
                        <w:right w:val="none" w:sz="0" w:space="0" w:color="auto"/>
                      </w:divBdr>
                    </w:div>
                  </w:divsChild>
                </w:div>
                <w:div w:id="2115637293">
                  <w:marLeft w:val="0"/>
                  <w:marRight w:val="0"/>
                  <w:marTop w:val="0"/>
                  <w:marBottom w:val="0"/>
                  <w:divBdr>
                    <w:top w:val="none" w:sz="0" w:space="0" w:color="auto"/>
                    <w:left w:val="none" w:sz="0" w:space="0" w:color="auto"/>
                    <w:bottom w:val="none" w:sz="0" w:space="0" w:color="auto"/>
                    <w:right w:val="none" w:sz="0" w:space="0" w:color="auto"/>
                  </w:divBdr>
                  <w:divsChild>
                    <w:div w:id="1692878583">
                      <w:marLeft w:val="0"/>
                      <w:marRight w:val="0"/>
                      <w:marTop w:val="0"/>
                      <w:marBottom w:val="0"/>
                      <w:divBdr>
                        <w:top w:val="none" w:sz="0" w:space="0" w:color="auto"/>
                        <w:left w:val="none" w:sz="0" w:space="0" w:color="auto"/>
                        <w:bottom w:val="none" w:sz="0" w:space="0" w:color="auto"/>
                        <w:right w:val="none" w:sz="0" w:space="0" w:color="auto"/>
                      </w:divBdr>
                    </w:div>
                  </w:divsChild>
                </w:div>
                <w:div w:id="2122263470">
                  <w:marLeft w:val="0"/>
                  <w:marRight w:val="0"/>
                  <w:marTop w:val="0"/>
                  <w:marBottom w:val="0"/>
                  <w:divBdr>
                    <w:top w:val="none" w:sz="0" w:space="0" w:color="auto"/>
                    <w:left w:val="none" w:sz="0" w:space="0" w:color="auto"/>
                    <w:bottom w:val="none" w:sz="0" w:space="0" w:color="auto"/>
                    <w:right w:val="none" w:sz="0" w:space="0" w:color="auto"/>
                  </w:divBdr>
                  <w:divsChild>
                    <w:div w:id="1996644522">
                      <w:marLeft w:val="0"/>
                      <w:marRight w:val="0"/>
                      <w:marTop w:val="0"/>
                      <w:marBottom w:val="0"/>
                      <w:divBdr>
                        <w:top w:val="none" w:sz="0" w:space="0" w:color="auto"/>
                        <w:left w:val="none" w:sz="0" w:space="0" w:color="auto"/>
                        <w:bottom w:val="none" w:sz="0" w:space="0" w:color="auto"/>
                        <w:right w:val="none" w:sz="0" w:space="0" w:color="auto"/>
                      </w:divBdr>
                    </w:div>
                  </w:divsChild>
                </w:div>
                <w:div w:id="2125345058">
                  <w:marLeft w:val="0"/>
                  <w:marRight w:val="0"/>
                  <w:marTop w:val="0"/>
                  <w:marBottom w:val="0"/>
                  <w:divBdr>
                    <w:top w:val="none" w:sz="0" w:space="0" w:color="auto"/>
                    <w:left w:val="none" w:sz="0" w:space="0" w:color="auto"/>
                    <w:bottom w:val="none" w:sz="0" w:space="0" w:color="auto"/>
                    <w:right w:val="none" w:sz="0" w:space="0" w:color="auto"/>
                  </w:divBdr>
                  <w:divsChild>
                    <w:div w:id="543955272">
                      <w:marLeft w:val="0"/>
                      <w:marRight w:val="0"/>
                      <w:marTop w:val="0"/>
                      <w:marBottom w:val="0"/>
                      <w:divBdr>
                        <w:top w:val="none" w:sz="0" w:space="0" w:color="auto"/>
                        <w:left w:val="none" w:sz="0" w:space="0" w:color="auto"/>
                        <w:bottom w:val="none" w:sz="0" w:space="0" w:color="auto"/>
                        <w:right w:val="none" w:sz="0" w:space="0" w:color="auto"/>
                      </w:divBdr>
                    </w:div>
                  </w:divsChild>
                </w:div>
                <w:div w:id="2145005714">
                  <w:marLeft w:val="0"/>
                  <w:marRight w:val="0"/>
                  <w:marTop w:val="0"/>
                  <w:marBottom w:val="0"/>
                  <w:divBdr>
                    <w:top w:val="none" w:sz="0" w:space="0" w:color="auto"/>
                    <w:left w:val="none" w:sz="0" w:space="0" w:color="auto"/>
                    <w:bottom w:val="none" w:sz="0" w:space="0" w:color="auto"/>
                    <w:right w:val="none" w:sz="0" w:space="0" w:color="auto"/>
                  </w:divBdr>
                  <w:divsChild>
                    <w:div w:id="26681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087935">
          <w:marLeft w:val="0"/>
          <w:marRight w:val="0"/>
          <w:marTop w:val="0"/>
          <w:marBottom w:val="0"/>
          <w:divBdr>
            <w:top w:val="none" w:sz="0" w:space="0" w:color="auto"/>
            <w:left w:val="none" w:sz="0" w:space="0" w:color="auto"/>
            <w:bottom w:val="none" w:sz="0" w:space="0" w:color="auto"/>
            <w:right w:val="none" w:sz="0" w:space="0" w:color="auto"/>
          </w:divBdr>
          <w:divsChild>
            <w:div w:id="2101754554">
              <w:marLeft w:val="0"/>
              <w:marRight w:val="0"/>
              <w:marTop w:val="30"/>
              <w:marBottom w:val="30"/>
              <w:divBdr>
                <w:top w:val="none" w:sz="0" w:space="0" w:color="auto"/>
                <w:left w:val="none" w:sz="0" w:space="0" w:color="auto"/>
                <w:bottom w:val="none" w:sz="0" w:space="0" w:color="auto"/>
                <w:right w:val="none" w:sz="0" w:space="0" w:color="auto"/>
              </w:divBdr>
              <w:divsChild>
                <w:div w:id="8339639">
                  <w:marLeft w:val="0"/>
                  <w:marRight w:val="0"/>
                  <w:marTop w:val="0"/>
                  <w:marBottom w:val="0"/>
                  <w:divBdr>
                    <w:top w:val="none" w:sz="0" w:space="0" w:color="auto"/>
                    <w:left w:val="none" w:sz="0" w:space="0" w:color="auto"/>
                    <w:bottom w:val="none" w:sz="0" w:space="0" w:color="auto"/>
                    <w:right w:val="none" w:sz="0" w:space="0" w:color="auto"/>
                  </w:divBdr>
                  <w:divsChild>
                    <w:div w:id="798887914">
                      <w:marLeft w:val="0"/>
                      <w:marRight w:val="0"/>
                      <w:marTop w:val="0"/>
                      <w:marBottom w:val="0"/>
                      <w:divBdr>
                        <w:top w:val="none" w:sz="0" w:space="0" w:color="auto"/>
                        <w:left w:val="none" w:sz="0" w:space="0" w:color="auto"/>
                        <w:bottom w:val="none" w:sz="0" w:space="0" w:color="auto"/>
                        <w:right w:val="none" w:sz="0" w:space="0" w:color="auto"/>
                      </w:divBdr>
                    </w:div>
                  </w:divsChild>
                </w:div>
                <w:div w:id="20908742">
                  <w:marLeft w:val="0"/>
                  <w:marRight w:val="0"/>
                  <w:marTop w:val="0"/>
                  <w:marBottom w:val="0"/>
                  <w:divBdr>
                    <w:top w:val="none" w:sz="0" w:space="0" w:color="auto"/>
                    <w:left w:val="none" w:sz="0" w:space="0" w:color="auto"/>
                    <w:bottom w:val="none" w:sz="0" w:space="0" w:color="auto"/>
                    <w:right w:val="none" w:sz="0" w:space="0" w:color="auto"/>
                  </w:divBdr>
                  <w:divsChild>
                    <w:div w:id="1237664696">
                      <w:marLeft w:val="0"/>
                      <w:marRight w:val="0"/>
                      <w:marTop w:val="0"/>
                      <w:marBottom w:val="0"/>
                      <w:divBdr>
                        <w:top w:val="none" w:sz="0" w:space="0" w:color="auto"/>
                        <w:left w:val="none" w:sz="0" w:space="0" w:color="auto"/>
                        <w:bottom w:val="none" w:sz="0" w:space="0" w:color="auto"/>
                        <w:right w:val="none" w:sz="0" w:space="0" w:color="auto"/>
                      </w:divBdr>
                    </w:div>
                  </w:divsChild>
                </w:div>
                <w:div w:id="25957570">
                  <w:marLeft w:val="0"/>
                  <w:marRight w:val="0"/>
                  <w:marTop w:val="0"/>
                  <w:marBottom w:val="0"/>
                  <w:divBdr>
                    <w:top w:val="none" w:sz="0" w:space="0" w:color="auto"/>
                    <w:left w:val="none" w:sz="0" w:space="0" w:color="auto"/>
                    <w:bottom w:val="none" w:sz="0" w:space="0" w:color="auto"/>
                    <w:right w:val="none" w:sz="0" w:space="0" w:color="auto"/>
                  </w:divBdr>
                  <w:divsChild>
                    <w:div w:id="1961304436">
                      <w:marLeft w:val="0"/>
                      <w:marRight w:val="0"/>
                      <w:marTop w:val="0"/>
                      <w:marBottom w:val="0"/>
                      <w:divBdr>
                        <w:top w:val="none" w:sz="0" w:space="0" w:color="auto"/>
                        <w:left w:val="none" w:sz="0" w:space="0" w:color="auto"/>
                        <w:bottom w:val="none" w:sz="0" w:space="0" w:color="auto"/>
                        <w:right w:val="none" w:sz="0" w:space="0" w:color="auto"/>
                      </w:divBdr>
                    </w:div>
                  </w:divsChild>
                </w:div>
                <w:div w:id="30961135">
                  <w:marLeft w:val="0"/>
                  <w:marRight w:val="0"/>
                  <w:marTop w:val="0"/>
                  <w:marBottom w:val="0"/>
                  <w:divBdr>
                    <w:top w:val="none" w:sz="0" w:space="0" w:color="auto"/>
                    <w:left w:val="none" w:sz="0" w:space="0" w:color="auto"/>
                    <w:bottom w:val="none" w:sz="0" w:space="0" w:color="auto"/>
                    <w:right w:val="none" w:sz="0" w:space="0" w:color="auto"/>
                  </w:divBdr>
                  <w:divsChild>
                    <w:div w:id="907957320">
                      <w:marLeft w:val="0"/>
                      <w:marRight w:val="0"/>
                      <w:marTop w:val="0"/>
                      <w:marBottom w:val="0"/>
                      <w:divBdr>
                        <w:top w:val="none" w:sz="0" w:space="0" w:color="auto"/>
                        <w:left w:val="none" w:sz="0" w:space="0" w:color="auto"/>
                        <w:bottom w:val="none" w:sz="0" w:space="0" w:color="auto"/>
                        <w:right w:val="none" w:sz="0" w:space="0" w:color="auto"/>
                      </w:divBdr>
                    </w:div>
                  </w:divsChild>
                </w:div>
                <w:div w:id="34425867">
                  <w:marLeft w:val="0"/>
                  <w:marRight w:val="0"/>
                  <w:marTop w:val="0"/>
                  <w:marBottom w:val="0"/>
                  <w:divBdr>
                    <w:top w:val="none" w:sz="0" w:space="0" w:color="auto"/>
                    <w:left w:val="none" w:sz="0" w:space="0" w:color="auto"/>
                    <w:bottom w:val="none" w:sz="0" w:space="0" w:color="auto"/>
                    <w:right w:val="none" w:sz="0" w:space="0" w:color="auto"/>
                  </w:divBdr>
                  <w:divsChild>
                    <w:div w:id="445807198">
                      <w:marLeft w:val="0"/>
                      <w:marRight w:val="0"/>
                      <w:marTop w:val="0"/>
                      <w:marBottom w:val="0"/>
                      <w:divBdr>
                        <w:top w:val="none" w:sz="0" w:space="0" w:color="auto"/>
                        <w:left w:val="none" w:sz="0" w:space="0" w:color="auto"/>
                        <w:bottom w:val="none" w:sz="0" w:space="0" w:color="auto"/>
                        <w:right w:val="none" w:sz="0" w:space="0" w:color="auto"/>
                      </w:divBdr>
                    </w:div>
                  </w:divsChild>
                </w:div>
                <w:div w:id="36468058">
                  <w:marLeft w:val="0"/>
                  <w:marRight w:val="0"/>
                  <w:marTop w:val="0"/>
                  <w:marBottom w:val="0"/>
                  <w:divBdr>
                    <w:top w:val="none" w:sz="0" w:space="0" w:color="auto"/>
                    <w:left w:val="none" w:sz="0" w:space="0" w:color="auto"/>
                    <w:bottom w:val="none" w:sz="0" w:space="0" w:color="auto"/>
                    <w:right w:val="none" w:sz="0" w:space="0" w:color="auto"/>
                  </w:divBdr>
                  <w:divsChild>
                    <w:div w:id="1547520369">
                      <w:marLeft w:val="0"/>
                      <w:marRight w:val="0"/>
                      <w:marTop w:val="0"/>
                      <w:marBottom w:val="0"/>
                      <w:divBdr>
                        <w:top w:val="none" w:sz="0" w:space="0" w:color="auto"/>
                        <w:left w:val="none" w:sz="0" w:space="0" w:color="auto"/>
                        <w:bottom w:val="none" w:sz="0" w:space="0" w:color="auto"/>
                        <w:right w:val="none" w:sz="0" w:space="0" w:color="auto"/>
                      </w:divBdr>
                    </w:div>
                  </w:divsChild>
                </w:div>
                <w:div w:id="39672078">
                  <w:marLeft w:val="0"/>
                  <w:marRight w:val="0"/>
                  <w:marTop w:val="0"/>
                  <w:marBottom w:val="0"/>
                  <w:divBdr>
                    <w:top w:val="none" w:sz="0" w:space="0" w:color="auto"/>
                    <w:left w:val="none" w:sz="0" w:space="0" w:color="auto"/>
                    <w:bottom w:val="none" w:sz="0" w:space="0" w:color="auto"/>
                    <w:right w:val="none" w:sz="0" w:space="0" w:color="auto"/>
                  </w:divBdr>
                  <w:divsChild>
                    <w:div w:id="558709284">
                      <w:marLeft w:val="0"/>
                      <w:marRight w:val="0"/>
                      <w:marTop w:val="0"/>
                      <w:marBottom w:val="0"/>
                      <w:divBdr>
                        <w:top w:val="none" w:sz="0" w:space="0" w:color="auto"/>
                        <w:left w:val="none" w:sz="0" w:space="0" w:color="auto"/>
                        <w:bottom w:val="none" w:sz="0" w:space="0" w:color="auto"/>
                        <w:right w:val="none" w:sz="0" w:space="0" w:color="auto"/>
                      </w:divBdr>
                    </w:div>
                  </w:divsChild>
                </w:div>
                <w:div w:id="40904624">
                  <w:marLeft w:val="0"/>
                  <w:marRight w:val="0"/>
                  <w:marTop w:val="0"/>
                  <w:marBottom w:val="0"/>
                  <w:divBdr>
                    <w:top w:val="none" w:sz="0" w:space="0" w:color="auto"/>
                    <w:left w:val="none" w:sz="0" w:space="0" w:color="auto"/>
                    <w:bottom w:val="none" w:sz="0" w:space="0" w:color="auto"/>
                    <w:right w:val="none" w:sz="0" w:space="0" w:color="auto"/>
                  </w:divBdr>
                  <w:divsChild>
                    <w:div w:id="1399815944">
                      <w:marLeft w:val="0"/>
                      <w:marRight w:val="0"/>
                      <w:marTop w:val="0"/>
                      <w:marBottom w:val="0"/>
                      <w:divBdr>
                        <w:top w:val="none" w:sz="0" w:space="0" w:color="auto"/>
                        <w:left w:val="none" w:sz="0" w:space="0" w:color="auto"/>
                        <w:bottom w:val="none" w:sz="0" w:space="0" w:color="auto"/>
                        <w:right w:val="none" w:sz="0" w:space="0" w:color="auto"/>
                      </w:divBdr>
                    </w:div>
                  </w:divsChild>
                </w:div>
                <w:div w:id="49040389">
                  <w:marLeft w:val="0"/>
                  <w:marRight w:val="0"/>
                  <w:marTop w:val="0"/>
                  <w:marBottom w:val="0"/>
                  <w:divBdr>
                    <w:top w:val="none" w:sz="0" w:space="0" w:color="auto"/>
                    <w:left w:val="none" w:sz="0" w:space="0" w:color="auto"/>
                    <w:bottom w:val="none" w:sz="0" w:space="0" w:color="auto"/>
                    <w:right w:val="none" w:sz="0" w:space="0" w:color="auto"/>
                  </w:divBdr>
                  <w:divsChild>
                    <w:div w:id="970280976">
                      <w:marLeft w:val="0"/>
                      <w:marRight w:val="0"/>
                      <w:marTop w:val="0"/>
                      <w:marBottom w:val="0"/>
                      <w:divBdr>
                        <w:top w:val="none" w:sz="0" w:space="0" w:color="auto"/>
                        <w:left w:val="none" w:sz="0" w:space="0" w:color="auto"/>
                        <w:bottom w:val="none" w:sz="0" w:space="0" w:color="auto"/>
                        <w:right w:val="none" w:sz="0" w:space="0" w:color="auto"/>
                      </w:divBdr>
                    </w:div>
                  </w:divsChild>
                </w:div>
                <w:div w:id="62795322">
                  <w:marLeft w:val="0"/>
                  <w:marRight w:val="0"/>
                  <w:marTop w:val="0"/>
                  <w:marBottom w:val="0"/>
                  <w:divBdr>
                    <w:top w:val="none" w:sz="0" w:space="0" w:color="auto"/>
                    <w:left w:val="none" w:sz="0" w:space="0" w:color="auto"/>
                    <w:bottom w:val="none" w:sz="0" w:space="0" w:color="auto"/>
                    <w:right w:val="none" w:sz="0" w:space="0" w:color="auto"/>
                  </w:divBdr>
                  <w:divsChild>
                    <w:div w:id="1227373529">
                      <w:marLeft w:val="0"/>
                      <w:marRight w:val="0"/>
                      <w:marTop w:val="0"/>
                      <w:marBottom w:val="0"/>
                      <w:divBdr>
                        <w:top w:val="none" w:sz="0" w:space="0" w:color="auto"/>
                        <w:left w:val="none" w:sz="0" w:space="0" w:color="auto"/>
                        <w:bottom w:val="none" w:sz="0" w:space="0" w:color="auto"/>
                        <w:right w:val="none" w:sz="0" w:space="0" w:color="auto"/>
                      </w:divBdr>
                    </w:div>
                  </w:divsChild>
                </w:div>
                <w:div w:id="62917899">
                  <w:marLeft w:val="0"/>
                  <w:marRight w:val="0"/>
                  <w:marTop w:val="0"/>
                  <w:marBottom w:val="0"/>
                  <w:divBdr>
                    <w:top w:val="none" w:sz="0" w:space="0" w:color="auto"/>
                    <w:left w:val="none" w:sz="0" w:space="0" w:color="auto"/>
                    <w:bottom w:val="none" w:sz="0" w:space="0" w:color="auto"/>
                    <w:right w:val="none" w:sz="0" w:space="0" w:color="auto"/>
                  </w:divBdr>
                  <w:divsChild>
                    <w:div w:id="654182434">
                      <w:marLeft w:val="0"/>
                      <w:marRight w:val="0"/>
                      <w:marTop w:val="0"/>
                      <w:marBottom w:val="0"/>
                      <w:divBdr>
                        <w:top w:val="none" w:sz="0" w:space="0" w:color="auto"/>
                        <w:left w:val="none" w:sz="0" w:space="0" w:color="auto"/>
                        <w:bottom w:val="none" w:sz="0" w:space="0" w:color="auto"/>
                        <w:right w:val="none" w:sz="0" w:space="0" w:color="auto"/>
                      </w:divBdr>
                    </w:div>
                  </w:divsChild>
                </w:div>
                <w:div w:id="71314898">
                  <w:marLeft w:val="0"/>
                  <w:marRight w:val="0"/>
                  <w:marTop w:val="0"/>
                  <w:marBottom w:val="0"/>
                  <w:divBdr>
                    <w:top w:val="none" w:sz="0" w:space="0" w:color="auto"/>
                    <w:left w:val="none" w:sz="0" w:space="0" w:color="auto"/>
                    <w:bottom w:val="none" w:sz="0" w:space="0" w:color="auto"/>
                    <w:right w:val="none" w:sz="0" w:space="0" w:color="auto"/>
                  </w:divBdr>
                  <w:divsChild>
                    <w:div w:id="1475945264">
                      <w:marLeft w:val="0"/>
                      <w:marRight w:val="0"/>
                      <w:marTop w:val="0"/>
                      <w:marBottom w:val="0"/>
                      <w:divBdr>
                        <w:top w:val="none" w:sz="0" w:space="0" w:color="auto"/>
                        <w:left w:val="none" w:sz="0" w:space="0" w:color="auto"/>
                        <w:bottom w:val="none" w:sz="0" w:space="0" w:color="auto"/>
                        <w:right w:val="none" w:sz="0" w:space="0" w:color="auto"/>
                      </w:divBdr>
                    </w:div>
                  </w:divsChild>
                </w:div>
                <w:div w:id="76026099">
                  <w:marLeft w:val="0"/>
                  <w:marRight w:val="0"/>
                  <w:marTop w:val="0"/>
                  <w:marBottom w:val="0"/>
                  <w:divBdr>
                    <w:top w:val="none" w:sz="0" w:space="0" w:color="auto"/>
                    <w:left w:val="none" w:sz="0" w:space="0" w:color="auto"/>
                    <w:bottom w:val="none" w:sz="0" w:space="0" w:color="auto"/>
                    <w:right w:val="none" w:sz="0" w:space="0" w:color="auto"/>
                  </w:divBdr>
                  <w:divsChild>
                    <w:div w:id="482699371">
                      <w:marLeft w:val="0"/>
                      <w:marRight w:val="0"/>
                      <w:marTop w:val="0"/>
                      <w:marBottom w:val="0"/>
                      <w:divBdr>
                        <w:top w:val="none" w:sz="0" w:space="0" w:color="auto"/>
                        <w:left w:val="none" w:sz="0" w:space="0" w:color="auto"/>
                        <w:bottom w:val="none" w:sz="0" w:space="0" w:color="auto"/>
                        <w:right w:val="none" w:sz="0" w:space="0" w:color="auto"/>
                      </w:divBdr>
                    </w:div>
                  </w:divsChild>
                </w:div>
                <w:div w:id="79496168">
                  <w:marLeft w:val="0"/>
                  <w:marRight w:val="0"/>
                  <w:marTop w:val="0"/>
                  <w:marBottom w:val="0"/>
                  <w:divBdr>
                    <w:top w:val="none" w:sz="0" w:space="0" w:color="auto"/>
                    <w:left w:val="none" w:sz="0" w:space="0" w:color="auto"/>
                    <w:bottom w:val="none" w:sz="0" w:space="0" w:color="auto"/>
                    <w:right w:val="none" w:sz="0" w:space="0" w:color="auto"/>
                  </w:divBdr>
                  <w:divsChild>
                    <w:div w:id="612173274">
                      <w:marLeft w:val="0"/>
                      <w:marRight w:val="0"/>
                      <w:marTop w:val="0"/>
                      <w:marBottom w:val="0"/>
                      <w:divBdr>
                        <w:top w:val="none" w:sz="0" w:space="0" w:color="auto"/>
                        <w:left w:val="none" w:sz="0" w:space="0" w:color="auto"/>
                        <w:bottom w:val="none" w:sz="0" w:space="0" w:color="auto"/>
                        <w:right w:val="none" w:sz="0" w:space="0" w:color="auto"/>
                      </w:divBdr>
                    </w:div>
                  </w:divsChild>
                </w:div>
                <w:div w:id="103235545">
                  <w:marLeft w:val="0"/>
                  <w:marRight w:val="0"/>
                  <w:marTop w:val="0"/>
                  <w:marBottom w:val="0"/>
                  <w:divBdr>
                    <w:top w:val="none" w:sz="0" w:space="0" w:color="auto"/>
                    <w:left w:val="none" w:sz="0" w:space="0" w:color="auto"/>
                    <w:bottom w:val="none" w:sz="0" w:space="0" w:color="auto"/>
                    <w:right w:val="none" w:sz="0" w:space="0" w:color="auto"/>
                  </w:divBdr>
                  <w:divsChild>
                    <w:div w:id="1288505094">
                      <w:marLeft w:val="0"/>
                      <w:marRight w:val="0"/>
                      <w:marTop w:val="0"/>
                      <w:marBottom w:val="0"/>
                      <w:divBdr>
                        <w:top w:val="none" w:sz="0" w:space="0" w:color="auto"/>
                        <w:left w:val="none" w:sz="0" w:space="0" w:color="auto"/>
                        <w:bottom w:val="none" w:sz="0" w:space="0" w:color="auto"/>
                        <w:right w:val="none" w:sz="0" w:space="0" w:color="auto"/>
                      </w:divBdr>
                    </w:div>
                  </w:divsChild>
                </w:div>
                <w:div w:id="103964655">
                  <w:marLeft w:val="0"/>
                  <w:marRight w:val="0"/>
                  <w:marTop w:val="0"/>
                  <w:marBottom w:val="0"/>
                  <w:divBdr>
                    <w:top w:val="none" w:sz="0" w:space="0" w:color="auto"/>
                    <w:left w:val="none" w:sz="0" w:space="0" w:color="auto"/>
                    <w:bottom w:val="none" w:sz="0" w:space="0" w:color="auto"/>
                    <w:right w:val="none" w:sz="0" w:space="0" w:color="auto"/>
                  </w:divBdr>
                  <w:divsChild>
                    <w:div w:id="1924492282">
                      <w:marLeft w:val="0"/>
                      <w:marRight w:val="0"/>
                      <w:marTop w:val="0"/>
                      <w:marBottom w:val="0"/>
                      <w:divBdr>
                        <w:top w:val="none" w:sz="0" w:space="0" w:color="auto"/>
                        <w:left w:val="none" w:sz="0" w:space="0" w:color="auto"/>
                        <w:bottom w:val="none" w:sz="0" w:space="0" w:color="auto"/>
                        <w:right w:val="none" w:sz="0" w:space="0" w:color="auto"/>
                      </w:divBdr>
                    </w:div>
                  </w:divsChild>
                </w:div>
                <w:div w:id="107746613">
                  <w:marLeft w:val="0"/>
                  <w:marRight w:val="0"/>
                  <w:marTop w:val="0"/>
                  <w:marBottom w:val="0"/>
                  <w:divBdr>
                    <w:top w:val="none" w:sz="0" w:space="0" w:color="auto"/>
                    <w:left w:val="none" w:sz="0" w:space="0" w:color="auto"/>
                    <w:bottom w:val="none" w:sz="0" w:space="0" w:color="auto"/>
                    <w:right w:val="none" w:sz="0" w:space="0" w:color="auto"/>
                  </w:divBdr>
                  <w:divsChild>
                    <w:div w:id="975450492">
                      <w:marLeft w:val="0"/>
                      <w:marRight w:val="0"/>
                      <w:marTop w:val="0"/>
                      <w:marBottom w:val="0"/>
                      <w:divBdr>
                        <w:top w:val="none" w:sz="0" w:space="0" w:color="auto"/>
                        <w:left w:val="none" w:sz="0" w:space="0" w:color="auto"/>
                        <w:bottom w:val="none" w:sz="0" w:space="0" w:color="auto"/>
                        <w:right w:val="none" w:sz="0" w:space="0" w:color="auto"/>
                      </w:divBdr>
                    </w:div>
                  </w:divsChild>
                </w:div>
                <w:div w:id="126633475">
                  <w:marLeft w:val="0"/>
                  <w:marRight w:val="0"/>
                  <w:marTop w:val="0"/>
                  <w:marBottom w:val="0"/>
                  <w:divBdr>
                    <w:top w:val="none" w:sz="0" w:space="0" w:color="auto"/>
                    <w:left w:val="none" w:sz="0" w:space="0" w:color="auto"/>
                    <w:bottom w:val="none" w:sz="0" w:space="0" w:color="auto"/>
                    <w:right w:val="none" w:sz="0" w:space="0" w:color="auto"/>
                  </w:divBdr>
                  <w:divsChild>
                    <w:div w:id="424351822">
                      <w:marLeft w:val="0"/>
                      <w:marRight w:val="0"/>
                      <w:marTop w:val="0"/>
                      <w:marBottom w:val="0"/>
                      <w:divBdr>
                        <w:top w:val="none" w:sz="0" w:space="0" w:color="auto"/>
                        <w:left w:val="none" w:sz="0" w:space="0" w:color="auto"/>
                        <w:bottom w:val="none" w:sz="0" w:space="0" w:color="auto"/>
                        <w:right w:val="none" w:sz="0" w:space="0" w:color="auto"/>
                      </w:divBdr>
                    </w:div>
                  </w:divsChild>
                </w:div>
                <w:div w:id="133182899">
                  <w:marLeft w:val="0"/>
                  <w:marRight w:val="0"/>
                  <w:marTop w:val="0"/>
                  <w:marBottom w:val="0"/>
                  <w:divBdr>
                    <w:top w:val="none" w:sz="0" w:space="0" w:color="auto"/>
                    <w:left w:val="none" w:sz="0" w:space="0" w:color="auto"/>
                    <w:bottom w:val="none" w:sz="0" w:space="0" w:color="auto"/>
                    <w:right w:val="none" w:sz="0" w:space="0" w:color="auto"/>
                  </w:divBdr>
                  <w:divsChild>
                    <w:div w:id="1099720681">
                      <w:marLeft w:val="0"/>
                      <w:marRight w:val="0"/>
                      <w:marTop w:val="0"/>
                      <w:marBottom w:val="0"/>
                      <w:divBdr>
                        <w:top w:val="none" w:sz="0" w:space="0" w:color="auto"/>
                        <w:left w:val="none" w:sz="0" w:space="0" w:color="auto"/>
                        <w:bottom w:val="none" w:sz="0" w:space="0" w:color="auto"/>
                        <w:right w:val="none" w:sz="0" w:space="0" w:color="auto"/>
                      </w:divBdr>
                    </w:div>
                  </w:divsChild>
                </w:div>
                <w:div w:id="137459417">
                  <w:marLeft w:val="0"/>
                  <w:marRight w:val="0"/>
                  <w:marTop w:val="0"/>
                  <w:marBottom w:val="0"/>
                  <w:divBdr>
                    <w:top w:val="none" w:sz="0" w:space="0" w:color="auto"/>
                    <w:left w:val="none" w:sz="0" w:space="0" w:color="auto"/>
                    <w:bottom w:val="none" w:sz="0" w:space="0" w:color="auto"/>
                    <w:right w:val="none" w:sz="0" w:space="0" w:color="auto"/>
                  </w:divBdr>
                  <w:divsChild>
                    <w:div w:id="202711776">
                      <w:marLeft w:val="0"/>
                      <w:marRight w:val="0"/>
                      <w:marTop w:val="0"/>
                      <w:marBottom w:val="0"/>
                      <w:divBdr>
                        <w:top w:val="none" w:sz="0" w:space="0" w:color="auto"/>
                        <w:left w:val="none" w:sz="0" w:space="0" w:color="auto"/>
                        <w:bottom w:val="none" w:sz="0" w:space="0" w:color="auto"/>
                        <w:right w:val="none" w:sz="0" w:space="0" w:color="auto"/>
                      </w:divBdr>
                    </w:div>
                  </w:divsChild>
                </w:div>
                <w:div w:id="152306780">
                  <w:marLeft w:val="0"/>
                  <w:marRight w:val="0"/>
                  <w:marTop w:val="0"/>
                  <w:marBottom w:val="0"/>
                  <w:divBdr>
                    <w:top w:val="none" w:sz="0" w:space="0" w:color="auto"/>
                    <w:left w:val="none" w:sz="0" w:space="0" w:color="auto"/>
                    <w:bottom w:val="none" w:sz="0" w:space="0" w:color="auto"/>
                    <w:right w:val="none" w:sz="0" w:space="0" w:color="auto"/>
                  </w:divBdr>
                  <w:divsChild>
                    <w:div w:id="777873118">
                      <w:marLeft w:val="0"/>
                      <w:marRight w:val="0"/>
                      <w:marTop w:val="0"/>
                      <w:marBottom w:val="0"/>
                      <w:divBdr>
                        <w:top w:val="none" w:sz="0" w:space="0" w:color="auto"/>
                        <w:left w:val="none" w:sz="0" w:space="0" w:color="auto"/>
                        <w:bottom w:val="none" w:sz="0" w:space="0" w:color="auto"/>
                        <w:right w:val="none" w:sz="0" w:space="0" w:color="auto"/>
                      </w:divBdr>
                    </w:div>
                  </w:divsChild>
                </w:div>
                <w:div w:id="157187458">
                  <w:marLeft w:val="0"/>
                  <w:marRight w:val="0"/>
                  <w:marTop w:val="0"/>
                  <w:marBottom w:val="0"/>
                  <w:divBdr>
                    <w:top w:val="none" w:sz="0" w:space="0" w:color="auto"/>
                    <w:left w:val="none" w:sz="0" w:space="0" w:color="auto"/>
                    <w:bottom w:val="none" w:sz="0" w:space="0" w:color="auto"/>
                    <w:right w:val="none" w:sz="0" w:space="0" w:color="auto"/>
                  </w:divBdr>
                  <w:divsChild>
                    <w:div w:id="1448308253">
                      <w:marLeft w:val="0"/>
                      <w:marRight w:val="0"/>
                      <w:marTop w:val="0"/>
                      <w:marBottom w:val="0"/>
                      <w:divBdr>
                        <w:top w:val="none" w:sz="0" w:space="0" w:color="auto"/>
                        <w:left w:val="none" w:sz="0" w:space="0" w:color="auto"/>
                        <w:bottom w:val="none" w:sz="0" w:space="0" w:color="auto"/>
                        <w:right w:val="none" w:sz="0" w:space="0" w:color="auto"/>
                      </w:divBdr>
                    </w:div>
                  </w:divsChild>
                </w:div>
                <w:div w:id="182087638">
                  <w:marLeft w:val="0"/>
                  <w:marRight w:val="0"/>
                  <w:marTop w:val="0"/>
                  <w:marBottom w:val="0"/>
                  <w:divBdr>
                    <w:top w:val="none" w:sz="0" w:space="0" w:color="auto"/>
                    <w:left w:val="none" w:sz="0" w:space="0" w:color="auto"/>
                    <w:bottom w:val="none" w:sz="0" w:space="0" w:color="auto"/>
                    <w:right w:val="none" w:sz="0" w:space="0" w:color="auto"/>
                  </w:divBdr>
                  <w:divsChild>
                    <w:div w:id="76097092">
                      <w:marLeft w:val="0"/>
                      <w:marRight w:val="0"/>
                      <w:marTop w:val="0"/>
                      <w:marBottom w:val="0"/>
                      <w:divBdr>
                        <w:top w:val="none" w:sz="0" w:space="0" w:color="auto"/>
                        <w:left w:val="none" w:sz="0" w:space="0" w:color="auto"/>
                        <w:bottom w:val="none" w:sz="0" w:space="0" w:color="auto"/>
                        <w:right w:val="none" w:sz="0" w:space="0" w:color="auto"/>
                      </w:divBdr>
                    </w:div>
                  </w:divsChild>
                </w:div>
                <w:div w:id="194387852">
                  <w:marLeft w:val="0"/>
                  <w:marRight w:val="0"/>
                  <w:marTop w:val="0"/>
                  <w:marBottom w:val="0"/>
                  <w:divBdr>
                    <w:top w:val="none" w:sz="0" w:space="0" w:color="auto"/>
                    <w:left w:val="none" w:sz="0" w:space="0" w:color="auto"/>
                    <w:bottom w:val="none" w:sz="0" w:space="0" w:color="auto"/>
                    <w:right w:val="none" w:sz="0" w:space="0" w:color="auto"/>
                  </w:divBdr>
                  <w:divsChild>
                    <w:div w:id="1948391189">
                      <w:marLeft w:val="0"/>
                      <w:marRight w:val="0"/>
                      <w:marTop w:val="0"/>
                      <w:marBottom w:val="0"/>
                      <w:divBdr>
                        <w:top w:val="none" w:sz="0" w:space="0" w:color="auto"/>
                        <w:left w:val="none" w:sz="0" w:space="0" w:color="auto"/>
                        <w:bottom w:val="none" w:sz="0" w:space="0" w:color="auto"/>
                        <w:right w:val="none" w:sz="0" w:space="0" w:color="auto"/>
                      </w:divBdr>
                    </w:div>
                  </w:divsChild>
                </w:div>
                <w:div w:id="217863120">
                  <w:marLeft w:val="0"/>
                  <w:marRight w:val="0"/>
                  <w:marTop w:val="0"/>
                  <w:marBottom w:val="0"/>
                  <w:divBdr>
                    <w:top w:val="none" w:sz="0" w:space="0" w:color="auto"/>
                    <w:left w:val="none" w:sz="0" w:space="0" w:color="auto"/>
                    <w:bottom w:val="none" w:sz="0" w:space="0" w:color="auto"/>
                    <w:right w:val="none" w:sz="0" w:space="0" w:color="auto"/>
                  </w:divBdr>
                  <w:divsChild>
                    <w:div w:id="1333407834">
                      <w:marLeft w:val="0"/>
                      <w:marRight w:val="0"/>
                      <w:marTop w:val="0"/>
                      <w:marBottom w:val="0"/>
                      <w:divBdr>
                        <w:top w:val="none" w:sz="0" w:space="0" w:color="auto"/>
                        <w:left w:val="none" w:sz="0" w:space="0" w:color="auto"/>
                        <w:bottom w:val="none" w:sz="0" w:space="0" w:color="auto"/>
                        <w:right w:val="none" w:sz="0" w:space="0" w:color="auto"/>
                      </w:divBdr>
                    </w:div>
                  </w:divsChild>
                </w:div>
                <w:div w:id="222525505">
                  <w:marLeft w:val="0"/>
                  <w:marRight w:val="0"/>
                  <w:marTop w:val="0"/>
                  <w:marBottom w:val="0"/>
                  <w:divBdr>
                    <w:top w:val="none" w:sz="0" w:space="0" w:color="auto"/>
                    <w:left w:val="none" w:sz="0" w:space="0" w:color="auto"/>
                    <w:bottom w:val="none" w:sz="0" w:space="0" w:color="auto"/>
                    <w:right w:val="none" w:sz="0" w:space="0" w:color="auto"/>
                  </w:divBdr>
                  <w:divsChild>
                    <w:div w:id="361321865">
                      <w:marLeft w:val="0"/>
                      <w:marRight w:val="0"/>
                      <w:marTop w:val="0"/>
                      <w:marBottom w:val="0"/>
                      <w:divBdr>
                        <w:top w:val="none" w:sz="0" w:space="0" w:color="auto"/>
                        <w:left w:val="none" w:sz="0" w:space="0" w:color="auto"/>
                        <w:bottom w:val="none" w:sz="0" w:space="0" w:color="auto"/>
                        <w:right w:val="none" w:sz="0" w:space="0" w:color="auto"/>
                      </w:divBdr>
                    </w:div>
                  </w:divsChild>
                </w:div>
                <w:div w:id="227737651">
                  <w:marLeft w:val="0"/>
                  <w:marRight w:val="0"/>
                  <w:marTop w:val="0"/>
                  <w:marBottom w:val="0"/>
                  <w:divBdr>
                    <w:top w:val="none" w:sz="0" w:space="0" w:color="auto"/>
                    <w:left w:val="none" w:sz="0" w:space="0" w:color="auto"/>
                    <w:bottom w:val="none" w:sz="0" w:space="0" w:color="auto"/>
                    <w:right w:val="none" w:sz="0" w:space="0" w:color="auto"/>
                  </w:divBdr>
                  <w:divsChild>
                    <w:div w:id="1108551379">
                      <w:marLeft w:val="0"/>
                      <w:marRight w:val="0"/>
                      <w:marTop w:val="0"/>
                      <w:marBottom w:val="0"/>
                      <w:divBdr>
                        <w:top w:val="none" w:sz="0" w:space="0" w:color="auto"/>
                        <w:left w:val="none" w:sz="0" w:space="0" w:color="auto"/>
                        <w:bottom w:val="none" w:sz="0" w:space="0" w:color="auto"/>
                        <w:right w:val="none" w:sz="0" w:space="0" w:color="auto"/>
                      </w:divBdr>
                    </w:div>
                  </w:divsChild>
                </w:div>
                <w:div w:id="228271841">
                  <w:marLeft w:val="0"/>
                  <w:marRight w:val="0"/>
                  <w:marTop w:val="0"/>
                  <w:marBottom w:val="0"/>
                  <w:divBdr>
                    <w:top w:val="none" w:sz="0" w:space="0" w:color="auto"/>
                    <w:left w:val="none" w:sz="0" w:space="0" w:color="auto"/>
                    <w:bottom w:val="none" w:sz="0" w:space="0" w:color="auto"/>
                    <w:right w:val="none" w:sz="0" w:space="0" w:color="auto"/>
                  </w:divBdr>
                  <w:divsChild>
                    <w:div w:id="1490712411">
                      <w:marLeft w:val="0"/>
                      <w:marRight w:val="0"/>
                      <w:marTop w:val="0"/>
                      <w:marBottom w:val="0"/>
                      <w:divBdr>
                        <w:top w:val="none" w:sz="0" w:space="0" w:color="auto"/>
                        <w:left w:val="none" w:sz="0" w:space="0" w:color="auto"/>
                        <w:bottom w:val="none" w:sz="0" w:space="0" w:color="auto"/>
                        <w:right w:val="none" w:sz="0" w:space="0" w:color="auto"/>
                      </w:divBdr>
                    </w:div>
                  </w:divsChild>
                </w:div>
                <w:div w:id="235478332">
                  <w:marLeft w:val="0"/>
                  <w:marRight w:val="0"/>
                  <w:marTop w:val="0"/>
                  <w:marBottom w:val="0"/>
                  <w:divBdr>
                    <w:top w:val="none" w:sz="0" w:space="0" w:color="auto"/>
                    <w:left w:val="none" w:sz="0" w:space="0" w:color="auto"/>
                    <w:bottom w:val="none" w:sz="0" w:space="0" w:color="auto"/>
                    <w:right w:val="none" w:sz="0" w:space="0" w:color="auto"/>
                  </w:divBdr>
                  <w:divsChild>
                    <w:div w:id="983314953">
                      <w:marLeft w:val="0"/>
                      <w:marRight w:val="0"/>
                      <w:marTop w:val="0"/>
                      <w:marBottom w:val="0"/>
                      <w:divBdr>
                        <w:top w:val="none" w:sz="0" w:space="0" w:color="auto"/>
                        <w:left w:val="none" w:sz="0" w:space="0" w:color="auto"/>
                        <w:bottom w:val="none" w:sz="0" w:space="0" w:color="auto"/>
                        <w:right w:val="none" w:sz="0" w:space="0" w:color="auto"/>
                      </w:divBdr>
                    </w:div>
                  </w:divsChild>
                </w:div>
                <w:div w:id="250243745">
                  <w:marLeft w:val="0"/>
                  <w:marRight w:val="0"/>
                  <w:marTop w:val="0"/>
                  <w:marBottom w:val="0"/>
                  <w:divBdr>
                    <w:top w:val="none" w:sz="0" w:space="0" w:color="auto"/>
                    <w:left w:val="none" w:sz="0" w:space="0" w:color="auto"/>
                    <w:bottom w:val="none" w:sz="0" w:space="0" w:color="auto"/>
                    <w:right w:val="none" w:sz="0" w:space="0" w:color="auto"/>
                  </w:divBdr>
                  <w:divsChild>
                    <w:div w:id="1952204388">
                      <w:marLeft w:val="0"/>
                      <w:marRight w:val="0"/>
                      <w:marTop w:val="0"/>
                      <w:marBottom w:val="0"/>
                      <w:divBdr>
                        <w:top w:val="none" w:sz="0" w:space="0" w:color="auto"/>
                        <w:left w:val="none" w:sz="0" w:space="0" w:color="auto"/>
                        <w:bottom w:val="none" w:sz="0" w:space="0" w:color="auto"/>
                        <w:right w:val="none" w:sz="0" w:space="0" w:color="auto"/>
                      </w:divBdr>
                    </w:div>
                  </w:divsChild>
                </w:div>
                <w:div w:id="262736013">
                  <w:marLeft w:val="0"/>
                  <w:marRight w:val="0"/>
                  <w:marTop w:val="0"/>
                  <w:marBottom w:val="0"/>
                  <w:divBdr>
                    <w:top w:val="none" w:sz="0" w:space="0" w:color="auto"/>
                    <w:left w:val="none" w:sz="0" w:space="0" w:color="auto"/>
                    <w:bottom w:val="none" w:sz="0" w:space="0" w:color="auto"/>
                    <w:right w:val="none" w:sz="0" w:space="0" w:color="auto"/>
                  </w:divBdr>
                  <w:divsChild>
                    <w:div w:id="1949383748">
                      <w:marLeft w:val="0"/>
                      <w:marRight w:val="0"/>
                      <w:marTop w:val="0"/>
                      <w:marBottom w:val="0"/>
                      <w:divBdr>
                        <w:top w:val="none" w:sz="0" w:space="0" w:color="auto"/>
                        <w:left w:val="none" w:sz="0" w:space="0" w:color="auto"/>
                        <w:bottom w:val="none" w:sz="0" w:space="0" w:color="auto"/>
                        <w:right w:val="none" w:sz="0" w:space="0" w:color="auto"/>
                      </w:divBdr>
                    </w:div>
                  </w:divsChild>
                </w:div>
                <w:div w:id="277446377">
                  <w:marLeft w:val="0"/>
                  <w:marRight w:val="0"/>
                  <w:marTop w:val="0"/>
                  <w:marBottom w:val="0"/>
                  <w:divBdr>
                    <w:top w:val="none" w:sz="0" w:space="0" w:color="auto"/>
                    <w:left w:val="none" w:sz="0" w:space="0" w:color="auto"/>
                    <w:bottom w:val="none" w:sz="0" w:space="0" w:color="auto"/>
                    <w:right w:val="none" w:sz="0" w:space="0" w:color="auto"/>
                  </w:divBdr>
                  <w:divsChild>
                    <w:div w:id="1367561833">
                      <w:marLeft w:val="0"/>
                      <w:marRight w:val="0"/>
                      <w:marTop w:val="0"/>
                      <w:marBottom w:val="0"/>
                      <w:divBdr>
                        <w:top w:val="none" w:sz="0" w:space="0" w:color="auto"/>
                        <w:left w:val="none" w:sz="0" w:space="0" w:color="auto"/>
                        <w:bottom w:val="none" w:sz="0" w:space="0" w:color="auto"/>
                        <w:right w:val="none" w:sz="0" w:space="0" w:color="auto"/>
                      </w:divBdr>
                    </w:div>
                  </w:divsChild>
                </w:div>
                <w:div w:id="281693104">
                  <w:marLeft w:val="0"/>
                  <w:marRight w:val="0"/>
                  <w:marTop w:val="0"/>
                  <w:marBottom w:val="0"/>
                  <w:divBdr>
                    <w:top w:val="none" w:sz="0" w:space="0" w:color="auto"/>
                    <w:left w:val="none" w:sz="0" w:space="0" w:color="auto"/>
                    <w:bottom w:val="none" w:sz="0" w:space="0" w:color="auto"/>
                    <w:right w:val="none" w:sz="0" w:space="0" w:color="auto"/>
                  </w:divBdr>
                  <w:divsChild>
                    <w:div w:id="1786652722">
                      <w:marLeft w:val="0"/>
                      <w:marRight w:val="0"/>
                      <w:marTop w:val="0"/>
                      <w:marBottom w:val="0"/>
                      <w:divBdr>
                        <w:top w:val="none" w:sz="0" w:space="0" w:color="auto"/>
                        <w:left w:val="none" w:sz="0" w:space="0" w:color="auto"/>
                        <w:bottom w:val="none" w:sz="0" w:space="0" w:color="auto"/>
                        <w:right w:val="none" w:sz="0" w:space="0" w:color="auto"/>
                      </w:divBdr>
                    </w:div>
                  </w:divsChild>
                </w:div>
                <w:div w:id="293677971">
                  <w:marLeft w:val="0"/>
                  <w:marRight w:val="0"/>
                  <w:marTop w:val="0"/>
                  <w:marBottom w:val="0"/>
                  <w:divBdr>
                    <w:top w:val="none" w:sz="0" w:space="0" w:color="auto"/>
                    <w:left w:val="none" w:sz="0" w:space="0" w:color="auto"/>
                    <w:bottom w:val="none" w:sz="0" w:space="0" w:color="auto"/>
                    <w:right w:val="none" w:sz="0" w:space="0" w:color="auto"/>
                  </w:divBdr>
                  <w:divsChild>
                    <w:div w:id="25327241">
                      <w:marLeft w:val="0"/>
                      <w:marRight w:val="0"/>
                      <w:marTop w:val="0"/>
                      <w:marBottom w:val="0"/>
                      <w:divBdr>
                        <w:top w:val="none" w:sz="0" w:space="0" w:color="auto"/>
                        <w:left w:val="none" w:sz="0" w:space="0" w:color="auto"/>
                        <w:bottom w:val="none" w:sz="0" w:space="0" w:color="auto"/>
                        <w:right w:val="none" w:sz="0" w:space="0" w:color="auto"/>
                      </w:divBdr>
                    </w:div>
                  </w:divsChild>
                </w:div>
                <w:div w:id="314846832">
                  <w:marLeft w:val="0"/>
                  <w:marRight w:val="0"/>
                  <w:marTop w:val="0"/>
                  <w:marBottom w:val="0"/>
                  <w:divBdr>
                    <w:top w:val="none" w:sz="0" w:space="0" w:color="auto"/>
                    <w:left w:val="none" w:sz="0" w:space="0" w:color="auto"/>
                    <w:bottom w:val="none" w:sz="0" w:space="0" w:color="auto"/>
                    <w:right w:val="none" w:sz="0" w:space="0" w:color="auto"/>
                  </w:divBdr>
                  <w:divsChild>
                    <w:div w:id="486439578">
                      <w:marLeft w:val="0"/>
                      <w:marRight w:val="0"/>
                      <w:marTop w:val="0"/>
                      <w:marBottom w:val="0"/>
                      <w:divBdr>
                        <w:top w:val="none" w:sz="0" w:space="0" w:color="auto"/>
                        <w:left w:val="none" w:sz="0" w:space="0" w:color="auto"/>
                        <w:bottom w:val="none" w:sz="0" w:space="0" w:color="auto"/>
                        <w:right w:val="none" w:sz="0" w:space="0" w:color="auto"/>
                      </w:divBdr>
                    </w:div>
                  </w:divsChild>
                </w:div>
                <w:div w:id="317808499">
                  <w:marLeft w:val="0"/>
                  <w:marRight w:val="0"/>
                  <w:marTop w:val="0"/>
                  <w:marBottom w:val="0"/>
                  <w:divBdr>
                    <w:top w:val="none" w:sz="0" w:space="0" w:color="auto"/>
                    <w:left w:val="none" w:sz="0" w:space="0" w:color="auto"/>
                    <w:bottom w:val="none" w:sz="0" w:space="0" w:color="auto"/>
                    <w:right w:val="none" w:sz="0" w:space="0" w:color="auto"/>
                  </w:divBdr>
                  <w:divsChild>
                    <w:div w:id="1726677476">
                      <w:marLeft w:val="0"/>
                      <w:marRight w:val="0"/>
                      <w:marTop w:val="0"/>
                      <w:marBottom w:val="0"/>
                      <w:divBdr>
                        <w:top w:val="none" w:sz="0" w:space="0" w:color="auto"/>
                        <w:left w:val="none" w:sz="0" w:space="0" w:color="auto"/>
                        <w:bottom w:val="none" w:sz="0" w:space="0" w:color="auto"/>
                        <w:right w:val="none" w:sz="0" w:space="0" w:color="auto"/>
                      </w:divBdr>
                    </w:div>
                  </w:divsChild>
                </w:div>
                <w:div w:id="328604669">
                  <w:marLeft w:val="0"/>
                  <w:marRight w:val="0"/>
                  <w:marTop w:val="0"/>
                  <w:marBottom w:val="0"/>
                  <w:divBdr>
                    <w:top w:val="none" w:sz="0" w:space="0" w:color="auto"/>
                    <w:left w:val="none" w:sz="0" w:space="0" w:color="auto"/>
                    <w:bottom w:val="none" w:sz="0" w:space="0" w:color="auto"/>
                    <w:right w:val="none" w:sz="0" w:space="0" w:color="auto"/>
                  </w:divBdr>
                  <w:divsChild>
                    <w:div w:id="1628046827">
                      <w:marLeft w:val="0"/>
                      <w:marRight w:val="0"/>
                      <w:marTop w:val="0"/>
                      <w:marBottom w:val="0"/>
                      <w:divBdr>
                        <w:top w:val="none" w:sz="0" w:space="0" w:color="auto"/>
                        <w:left w:val="none" w:sz="0" w:space="0" w:color="auto"/>
                        <w:bottom w:val="none" w:sz="0" w:space="0" w:color="auto"/>
                        <w:right w:val="none" w:sz="0" w:space="0" w:color="auto"/>
                      </w:divBdr>
                    </w:div>
                  </w:divsChild>
                </w:div>
                <w:div w:id="340478026">
                  <w:marLeft w:val="0"/>
                  <w:marRight w:val="0"/>
                  <w:marTop w:val="0"/>
                  <w:marBottom w:val="0"/>
                  <w:divBdr>
                    <w:top w:val="none" w:sz="0" w:space="0" w:color="auto"/>
                    <w:left w:val="none" w:sz="0" w:space="0" w:color="auto"/>
                    <w:bottom w:val="none" w:sz="0" w:space="0" w:color="auto"/>
                    <w:right w:val="none" w:sz="0" w:space="0" w:color="auto"/>
                  </w:divBdr>
                  <w:divsChild>
                    <w:div w:id="1991907096">
                      <w:marLeft w:val="0"/>
                      <w:marRight w:val="0"/>
                      <w:marTop w:val="0"/>
                      <w:marBottom w:val="0"/>
                      <w:divBdr>
                        <w:top w:val="none" w:sz="0" w:space="0" w:color="auto"/>
                        <w:left w:val="none" w:sz="0" w:space="0" w:color="auto"/>
                        <w:bottom w:val="none" w:sz="0" w:space="0" w:color="auto"/>
                        <w:right w:val="none" w:sz="0" w:space="0" w:color="auto"/>
                      </w:divBdr>
                    </w:div>
                  </w:divsChild>
                </w:div>
                <w:div w:id="344794707">
                  <w:marLeft w:val="0"/>
                  <w:marRight w:val="0"/>
                  <w:marTop w:val="0"/>
                  <w:marBottom w:val="0"/>
                  <w:divBdr>
                    <w:top w:val="none" w:sz="0" w:space="0" w:color="auto"/>
                    <w:left w:val="none" w:sz="0" w:space="0" w:color="auto"/>
                    <w:bottom w:val="none" w:sz="0" w:space="0" w:color="auto"/>
                    <w:right w:val="none" w:sz="0" w:space="0" w:color="auto"/>
                  </w:divBdr>
                  <w:divsChild>
                    <w:div w:id="1980644290">
                      <w:marLeft w:val="0"/>
                      <w:marRight w:val="0"/>
                      <w:marTop w:val="0"/>
                      <w:marBottom w:val="0"/>
                      <w:divBdr>
                        <w:top w:val="none" w:sz="0" w:space="0" w:color="auto"/>
                        <w:left w:val="none" w:sz="0" w:space="0" w:color="auto"/>
                        <w:bottom w:val="none" w:sz="0" w:space="0" w:color="auto"/>
                        <w:right w:val="none" w:sz="0" w:space="0" w:color="auto"/>
                      </w:divBdr>
                    </w:div>
                  </w:divsChild>
                </w:div>
                <w:div w:id="347294970">
                  <w:marLeft w:val="0"/>
                  <w:marRight w:val="0"/>
                  <w:marTop w:val="0"/>
                  <w:marBottom w:val="0"/>
                  <w:divBdr>
                    <w:top w:val="none" w:sz="0" w:space="0" w:color="auto"/>
                    <w:left w:val="none" w:sz="0" w:space="0" w:color="auto"/>
                    <w:bottom w:val="none" w:sz="0" w:space="0" w:color="auto"/>
                    <w:right w:val="none" w:sz="0" w:space="0" w:color="auto"/>
                  </w:divBdr>
                  <w:divsChild>
                    <w:div w:id="769853875">
                      <w:marLeft w:val="0"/>
                      <w:marRight w:val="0"/>
                      <w:marTop w:val="0"/>
                      <w:marBottom w:val="0"/>
                      <w:divBdr>
                        <w:top w:val="none" w:sz="0" w:space="0" w:color="auto"/>
                        <w:left w:val="none" w:sz="0" w:space="0" w:color="auto"/>
                        <w:bottom w:val="none" w:sz="0" w:space="0" w:color="auto"/>
                        <w:right w:val="none" w:sz="0" w:space="0" w:color="auto"/>
                      </w:divBdr>
                    </w:div>
                  </w:divsChild>
                </w:div>
                <w:div w:id="359746720">
                  <w:marLeft w:val="0"/>
                  <w:marRight w:val="0"/>
                  <w:marTop w:val="0"/>
                  <w:marBottom w:val="0"/>
                  <w:divBdr>
                    <w:top w:val="none" w:sz="0" w:space="0" w:color="auto"/>
                    <w:left w:val="none" w:sz="0" w:space="0" w:color="auto"/>
                    <w:bottom w:val="none" w:sz="0" w:space="0" w:color="auto"/>
                    <w:right w:val="none" w:sz="0" w:space="0" w:color="auto"/>
                  </w:divBdr>
                  <w:divsChild>
                    <w:div w:id="1126967009">
                      <w:marLeft w:val="0"/>
                      <w:marRight w:val="0"/>
                      <w:marTop w:val="0"/>
                      <w:marBottom w:val="0"/>
                      <w:divBdr>
                        <w:top w:val="none" w:sz="0" w:space="0" w:color="auto"/>
                        <w:left w:val="none" w:sz="0" w:space="0" w:color="auto"/>
                        <w:bottom w:val="none" w:sz="0" w:space="0" w:color="auto"/>
                        <w:right w:val="none" w:sz="0" w:space="0" w:color="auto"/>
                      </w:divBdr>
                    </w:div>
                  </w:divsChild>
                </w:div>
                <w:div w:id="364256226">
                  <w:marLeft w:val="0"/>
                  <w:marRight w:val="0"/>
                  <w:marTop w:val="0"/>
                  <w:marBottom w:val="0"/>
                  <w:divBdr>
                    <w:top w:val="none" w:sz="0" w:space="0" w:color="auto"/>
                    <w:left w:val="none" w:sz="0" w:space="0" w:color="auto"/>
                    <w:bottom w:val="none" w:sz="0" w:space="0" w:color="auto"/>
                    <w:right w:val="none" w:sz="0" w:space="0" w:color="auto"/>
                  </w:divBdr>
                  <w:divsChild>
                    <w:div w:id="656879043">
                      <w:marLeft w:val="0"/>
                      <w:marRight w:val="0"/>
                      <w:marTop w:val="0"/>
                      <w:marBottom w:val="0"/>
                      <w:divBdr>
                        <w:top w:val="none" w:sz="0" w:space="0" w:color="auto"/>
                        <w:left w:val="none" w:sz="0" w:space="0" w:color="auto"/>
                        <w:bottom w:val="none" w:sz="0" w:space="0" w:color="auto"/>
                        <w:right w:val="none" w:sz="0" w:space="0" w:color="auto"/>
                      </w:divBdr>
                    </w:div>
                  </w:divsChild>
                </w:div>
                <w:div w:id="375011604">
                  <w:marLeft w:val="0"/>
                  <w:marRight w:val="0"/>
                  <w:marTop w:val="0"/>
                  <w:marBottom w:val="0"/>
                  <w:divBdr>
                    <w:top w:val="none" w:sz="0" w:space="0" w:color="auto"/>
                    <w:left w:val="none" w:sz="0" w:space="0" w:color="auto"/>
                    <w:bottom w:val="none" w:sz="0" w:space="0" w:color="auto"/>
                    <w:right w:val="none" w:sz="0" w:space="0" w:color="auto"/>
                  </w:divBdr>
                  <w:divsChild>
                    <w:div w:id="901872539">
                      <w:marLeft w:val="0"/>
                      <w:marRight w:val="0"/>
                      <w:marTop w:val="0"/>
                      <w:marBottom w:val="0"/>
                      <w:divBdr>
                        <w:top w:val="none" w:sz="0" w:space="0" w:color="auto"/>
                        <w:left w:val="none" w:sz="0" w:space="0" w:color="auto"/>
                        <w:bottom w:val="none" w:sz="0" w:space="0" w:color="auto"/>
                        <w:right w:val="none" w:sz="0" w:space="0" w:color="auto"/>
                      </w:divBdr>
                    </w:div>
                  </w:divsChild>
                </w:div>
                <w:div w:id="405761558">
                  <w:marLeft w:val="0"/>
                  <w:marRight w:val="0"/>
                  <w:marTop w:val="0"/>
                  <w:marBottom w:val="0"/>
                  <w:divBdr>
                    <w:top w:val="none" w:sz="0" w:space="0" w:color="auto"/>
                    <w:left w:val="none" w:sz="0" w:space="0" w:color="auto"/>
                    <w:bottom w:val="none" w:sz="0" w:space="0" w:color="auto"/>
                    <w:right w:val="none" w:sz="0" w:space="0" w:color="auto"/>
                  </w:divBdr>
                  <w:divsChild>
                    <w:div w:id="443504116">
                      <w:marLeft w:val="0"/>
                      <w:marRight w:val="0"/>
                      <w:marTop w:val="0"/>
                      <w:marBottom w:val="0"/>
                      <w:divBdr>
                        <w:top w:val="none" w:sz="0" w:space="0" w:color="auto"/>
                        <w:left w:val="none" w:sz="0" w:space="0" w:color="auto"/>
                        <w:bottom w:val="none" w:sz="0" w:space="0" w:color="auto"/>
                        <w:right w:val="none" w:sz="0" w:space="0" w:color="auto"/>
                      </w:divBdr>
                    </w:div>
                  </w:divsChild>
                </w:div>
                <w:div w:id="411245768">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413672830">
                  <w:marLeft w:val="0"/>
                  <w:marRight w:val="0"/>
                  <w:marTop w:val="0"/>
                  <w:marBottom w:val="0"/>
                  <w:divBdr>
                    <w:top w:val="none" w:sz="0" w:space="0" w:color="auto"/>
                    <w:left w:val="none" w:sz="0" w:space="0" w:color="auto"/>
                    <w:bottom w:val="none" w:sz="0" w:space="0" w:color="auto"/>
                    <w:right w:val="none" w:sz="0" w:space="0" w:color="auto"/>
                  </w:divBdr>
                  <w:divsChild>
                    <w:div w:id="1032070184">
                      <w:marLeft w:val="0"/>
                      <w:marRight w:val="0"/>
                      <w:marTop w:val="0"/>
                      <w:marBottom w:val="0"/>
                      <w:divBdr>
                        <w:top w:val="none" w:sz="0" w:space="0" w:color="auto"/>
                        <w:left w:val="none" w:sz="0" w:space="0" w:color="auto"/>
                        <w:bottom w:val="none" w:sz="0" w:space="0" w:color="auto"/>
                        <w:right w:val="none" w:sz="0" w:space="0" w:color="auto"/>
                      </w:divBdr>
                    </w:div>
                  </w:divsChild>
                </w:div>
                <w:div w:id="445469633">
                  <w:marLeft w:val="0"/>
                  <w:marRight w:val="0"/>
                  <w:marTop w:val="0"/>
                  <w:marBottom w:val="0"/>
                  <w:divBdr>
                    <w:top w:val="none" w:sz="0" w:space="0" w:color="auto"/>
                    <w:left w:val="none" w:sz="0" w:space="0" w:color="auto"/>
                    <w:bottom w:val="none" w:sz="0" w:space="0" w:color="auto"/>
                    <w:right w:val="none" w:sz="0" w:space="0" w:color="auto"/>
                  </w:divBdr>
                  <w:divsChild>
                    <w:div w:id="692995978">
                      <w:marLeft w:val="0"/>
                      <w:marRight w:val="0"/>
                      <w:marTop w:val="0"/>
                      <w:marBottom w:val="0"/>
                      <w:divBdr>
                        <w:top w:val="none" w:sz="0" w:space="0" w:color="auto"/>
                        <w:left w:val="none" w:sz="0" w:space="0" w:color="auto"/>
                        <w:bottom w:val="none" w:sz="0" w:space="0" w:color="auto"/>
                        <w:right w:val="none" w:sz="0" w:space="0" w:color="auto"/>
                      </w:divBdr>
                    </w:div>
                  </w:divsChild>
                </w:div>
                <w:div w:id="446655621">
                  <w:marLeft w:val="0"/>
                  <w:marRight w:val="0"/>
                  <w:marTop w:val="0"/>
                  <w:marBottom w:val="0"/>
                  <w:divBdr>
                    <w:top w:val="none" w:sz="0" w:space="0" w:color="auto"/>
                    <w:left w:val="none" w:sz="0" w:space="0" w:color="auto"/>
                    <w:bottom w:val="none" w:sz="0" w:space="0" w:color="auto"/>
                    <w:right w:val="none" w:sz="0" w:space="0" w:color="auto"/>
                  </w:divBdr>
                  <w:divsChild>
                    <w:div w:id="1107502950">
                      <w:marLeft w:val="0"/>
                      <w:marRight w:val="0"/>
                      <w:marTop w:val="0"/>
                      <w:marBottom w:val="0"/>
                      <w:divBdr>
                        <w:top w:val="none" w:sz="0" w:space="0" w:color="auto"/>
                        <w:left w:val="none" w:sz="0" w:space="0" w:color="auto"/>
                        <w:bottom w:val="none" w:sz="0" w:space="0" w:color="auto"/>
                        <w:right w:val="none" w:sz="0" w:space="0" w:color="auto"/>
                      </w:divBdr>
                    </w:div>
                  </w:divsChild>
                </w:div>
                <w:div w:id="460615147">
                  <w:marLeft w:val="0"/>
                  <w:marRight w:val="0"/>
                  <w:marTop w:val="0"/>
                  <w:marBottom w:val="0"/>
                  <w:divBdr>
                    <w:top w:val="none" w:sz="0" w:space="0" w:color="auto"/>
                    <w:left w:val="none" w:sz="0" w:space="0" w:color="auto"/>
                    <w:bottom w:val="none" w:sz="0" w:space="0" w:color="auto"/>
                    <w:right w:val="none" w:sz="0" w:space="0" w:color="auto"/>
                  </w:divBdr>
                  <w:divsChild>
                    <w:div w:id="509609491">
                      <w:marLeft w:val="0"/>
                      <w:marRight w:val="0"/>
                      <w:marTop w:val="0"/>
                      <w:marBottom w:val="0"/>
                      <w:divBdr>
                        <w:top w:val="none" w:sz="0" w:space="0" w:color="auto"/>
                        <w:left w:val="none" w:sz="0" w:space="0" w:color="auto"/>
                        <w:bottom w:val="none" w:sz="0" w:space="0" w:color="auto"/>
                        <w:right w:val="none" w:sz="0" w:space="0" w:color="auto"/>
                      </w:divBdr>
                    </w:div>
                  </w:divsChild>
                </w:div>
                <w:div w:id="517962436">
                  <w:marLeft w:val="0"/>
                  <w:marRight w:val="0"/>
                  <w:marTop w:val="0"/>
                  <w:marBottom w:val="0"/>
                  <w:divBdr>
                    <w:top w:val="none" w:sz="0" w:space="0" w:color="auto"/>
                    <w:left w:val="none" w:sz="0" w:space="0" w:color="auto"/>
                    <w:bottom w:val="none" w:sz="0" w:space="0" w:color="auto"/>
                    <w:right w:val="none" w:sz="0" w:space="0" w:color="auto"/>
                  </w:divBdr>
                  <w:divsChild>
                    <w:div w:id="1718896275">
                      <w:marLeft w:val="0"/>
                      <w:marRight w:val="0"/>
                      <w:marTop w:val="0"/>
                      <w:marBottom w:val="0"/>
                      <w:divBdr>
                        <w:top w:val="none" w:sz="0" w:space="0" w:color="auto"/>
                        <w:left w:val="none" w:sz="0" w:space="0" w:color="auto"/>
                        <w:bottom w:val="none" w:sz="0" w:space="0" w:color="auto"/>
                        <w:right w:val="none" w:sz="0" w:space="0" w:color="auto"/>
                      </w:divBdr>
                    </w:div>
                  </w:divsChild>
                </w:div>
                <w:div w:id="522861260">
                  <w:marLeft w:val="0"/>
                  <w:marRight w:val="0"/>
                  <w:marTop w:val="0"/>
                  <w:marBottom w:val="0"/>
                  <w:divBdr>
                    <w:top w:val="none" w:sz="0" w:space="0" w:color="auto"/>
                    <w:left w:val="none" w:sz="0" w:space="0" w:color="auto"/>
                    <w:bottom w:val="none" w:sz="0" w:space="0" w:color="auto"/>
                    <w:right w:val="none" w:sz="0" w:space="0" w:color="auto"/>
                  </w:divBdr>
                  <w:divsChild>
                    <w:div w:id="986477587">
                      <w:marLeft w:val="0"/>
                      <w:marRight w:val="0"/>
                      <w:marTop w:val="0"/>
                      <w:marBottom w:val="0"/>
                      <w:divBdr>
                        <w:top w:val="none" w:sz="0" w:space="0" w:color="auto"/>
                        <w:left w:val="none" w:sz="0" w:space="0" w:color="auto"/>
                        <w:bottom w:val="none" w:sz="0" w:space="0" w:color="auto"/>
                        <w:right w:val="none" w:sz="0" w:space="0" w:color="auto"/>
                      </w:divBdr>
                    </w:div>
                  </w:divsChild>
                </w:div>
                <w:div w:id="547961413">
                  <w:marLeft w:val="0"/>
                  <w:marRight w:val="0"/>
                  <w:marTop w:val="0"/>
                  <w:marBottom w:val="0"/>
                  <w:divBdr>
                    <w:top w:val="none" w:sz="0" w:space="0" w:color="auto"/>
                    <w:left w:val="none" w:sz="0" w:space="0" w:color="auto"/>
                    <w:bottom w:val="none" w:sz="0" w:space="0" w:color="auto"/>
                    <w:right w:val="none" w:sz="0" w:space="0" w:color="auto"/>
                  </w:divBdr>
                  <w:divsChild>
                    <w:div w:id="1534272011">
                      <w:marLeft w:val="0"/>
                      <w:marRight w:val="0"/>
                      <w:marTop w:val="0"/>
                      <w:marBottom w:val="0"/>
                      <w:divBdr>
                        <w:top w:val="none" w:sz="0" w:space="0" w:color="auto"/>
                        <w:left w:val="none" w:sz="0" w:space="0" w:color="auto"/>
                        <w:bottom w:val="none" w:sz="0" w:space="0" w:color="auto"/>
                        <w:right w:val="none" w:sz="0" w:space="0" w:color="auto"/>
                      </w:divBdr>
                    </w:div>
                  </w:divsChild>
                </w:div>
                <w:div w:id="552498532">
                  <w:marLeft w:val="0"/>
                  <w:marRight w:val="0"/>
                  <w:marTop w:val="0"/>
                  <w:marBottom w:val="0"/>
                  <w:divBdr>
                    <w:top w:val="none" w:sz="0" w:space="0" w:color="auto"/>
                    <w:left w:val="none" w:sz="0" w:space="0" w:color="auto"/>
                    <w:bottom w:val="none" w:sz="0" w:space="0" w:color="auto"/>
                    <w:right w:val="none" w:sz="0" w:space="0" w:color="auto"/>
                  </w:divBdr>
                  <w:divsChild>
                    <w:div w:id="458837732">
                      <w:marLeft w:val="0"/>
                      <w:marRight w:val="0"/>
                      <w:marTop w:val="0"/>
                      <w:marBottom w:val="0"/>
                      <w:divBdr>
                        <w:top w:val="none" w:sz="0" w:space="0" w:color="auto"/>
                        <w:left w:val="none" w:sz="0" w:space="0" w:color="auto"/>
                        <w:bottom w:val="none" w:sz="0" w:space="0" w:color="auto"/>
                        <w:right w:val="none" w:sz="0" w:space="0" w:color="auto"/>
                      </w:divBdr>
                    </w:div>
                  </w:divsChild>
                </w:div>
                <w:div w:id="575742760">
                  <w:marLeft w:val="0"/>
                  <w:marRight w:val="0"/>
                  <w:marTop w:val="0"/>
                  <w:marBottom w:val="0"/>
                  <w:divBdr>
                    <w:top w:val="none" w:sz="0" w:space="0" w:color="auto"/>
                    <w:left w:val="none" w:sz="0" w:space="0" w:color="auto"/>
                    <w:bottom w:val="none" w:sz="0" w:space="0" w:color="auto"/>
                    <w:right w:val="none" w:sz="0" w:space="0" w:color="auto"/>
                  </w:divBdr>
                  <w:divsChild>
                    <w:div w:id="1164079890">
                      <w:marLeft w:val="0"/>
                      <w:marRight w:val="0"/>
                      <w:marTop w:val="0"/>
                      <w:marBottom w:val="0"/>
                      <w:divBdr>
                        <w:top w:val="none" w:sz="0" w:space="0" w:color="auto"/>
                        <w:left w:val="none" w:sz="0" w:space="0" w:color="auto"/>
                        <w:bottom w:val="none" w:sz="0" w:space="0" w:color="auto"/>
                        <w:right w:val="none" w:sz="0" w:space="0" w:color="auto"/>
                      </w:divBdr>
                    </w:div>
                  </w:divsChild>
                </w:div>
                <w:div w:id="582183344">
                  <w:marLeft w:val="0"/>
                  <w:marRight w:val="0"/>
                  <w:marTop w:val="0"/>
                  <w:marBottom w:val="0"/>
                  <w:divBdr>
                    <w:top w:val="none" w:sz="0" w:space="0" w:color="auto"/>
                    <w:left w:val="none" w:sz="0" w:space="0" w:color="auto"/>
                    <w:bottom w:val="none" w:sz="0" w:space="0" w:color="auto"/>
                    <w:right w:val="none" w:sz="0" w:space="0" w:color="auto"/>
                  </w:divBdr>
                  <w:divsChild>
                    <w:div w:id="1117992177">
                      <w:marLeft w:val="0"/>
                      <w:marRight w:val="0"/>
                      <w:marTop w:val="0"/>
                      <w:marBottom w:val="0"/>
                      <w:divBdr>
                        <w:top w:val="none" w:sz="0" w:space="0" w:color="auto"/>
                        <w:left w:val="none" w:sz="0" w:space="0" w:color="auto"/>
                        <w:bottom w:val="none" w:sz="0" w:space="0" w:color="auto"/>
                        <w:right w:val="none" w:sz="0" w:space="0" w:color="auto"/>
                      </w:divBdr>
                    </w:div>
                  </w:divsChild>
                </w:div>
                <w:div w:id="585070038">
                  <w:marLeft w:val="0"/>
                  <w:marRight w:val="0"/>
                  <w:marTop w:val="0"/>
                  <w:marBottom w:val="0"/>
                  <w:divBdr>
                    <w:top w:val="none" w:sz="0" w:space="0" w:color="auto"/>
                    <w:left w:val="none" w:sz="0" w:space="0" w:color="auto"/>
                    <w:bottom w:val="none" w:sz="0" w:space="0" w:color="auto"/>
                    <w:right w:val="none" w:sz="0" w:space="0" w:color="auto"/>
                  </w:divBdr>
                  <w:divsChild>
                    <w:div w:id="1511213799">
                      <w:marLeft w:val="0"/>
                      <w:marRight w:val="0"/>
                      <w:marTop w:val="0"/>
                      <w:marBottom w:val="0"/>
                      <w:divBdr>
                        <w:top w:val="none" w:sz="0" w:space="0" w:color="auto"/>
                        <w:left w:val="none" w:sz="0" w:space="0" w:color="auto"/>
                        <w:bottom w:val="none" w:sz="0" w:space="0" w:color="auto"/>
                        <w:right w:val="none" w:sz="0" w:space="0" w:color="auto"/>
                      </w:divBdr>
                    </w:div>
                  </w:divsChild>
                </w:div>
                <w:div w:id="657225456">
                  <w:marLeft w:val="0"/>
                  <w:marRight w:val="0"/>
                  <w:marTop w:val="0"/>
                  <w:marBottom w:val="0"/>
                  <w:divBdr>
                    <w:top w:val="none" w:sz="0" w:space="0" w:color="auto"/>
                    <w:left w:val="none" w:sz="0" w:space="0" w:color="auto"/>
                    <w:bottom w:val="none" w:sz="0" w:space="0" w:color="auto"/>
                    <w:right w:val="none" w:sz="0" w:space="0" w:color="auto"/>
                  </w:divBdr>
                  <w:divsChild>
                    <w:div w:id="1065646593">
                      <w:marLeft w:val="0"/>
                      <w:marRight w:val="0"/>
                      <w:marTop w:val="0"/>
                      <w:marBottom w:val="0"/>
                      <w:divBdr>
                        <w:top w:val="none" w:sz="0" w:space="0" w:color="auto"/>
                        <w:left w:val="none" w:sz="0" w:space="0" w:color="auto"/>
                        <w:bottom w:val="none" w:sz="0" w:space="0" w:color="auto"/>
                        <w:right w:val="none" w:sz="0" w:space="0" w:color="auto"/>
                      </w:divBdr>
                    </w:div>
                  </w:divsChild>
                </w:div>
                <w:div w:id="670059507">
                  <w:marLeft w:val="0"/>
                  <w:marRight w:val="0"/>
                  <w:marTop w:val="0"/>
                  <w:marBottom w:val="0"/>
                  <w:divBdr>
                    <w:top w:val="none" w:sz="0" w:space="0" w:color="auto"/>
                    <w:left w:val="none" w:sz="0" w:space="0" w:color="auto"/>
                    <w:bottom w:val="none" w:sz="0" w:space="0" w:color="auto"/>
                    <w:right w:val="none" w:sz="0" w:space="0" w:color="auto"/>
                  </w:divBdr>
                  <w:divsChild>
                    <w:div w:id="85541623">
                      <w:marLeft w:val="0"/>
                      <w:marRight w:val="0"/>
                      <w:marTop w:val="0"/>
                      <w:marBottom w:val="0"/>
                      <w:divBdr>
                        <w:top w:val="none" w:sz="0" w:space="0" w:color="auto"/>
                        <w:left w:val="none" w:sz="0" w:space="0" w:color="auto"/>
                        <w:bottom w:val="none" w:sz="0" w:space="0" w:color="auto"/>
                        <w:right w:val="none" w:sz="0" w:space="0" w:color="auto"/>
                      </w:divBdr>
                    </w:div>
                  </w:divsChild>
                </w:div>
                <w:div w:id="696543466">
                  <w:marLeft w:val="0"/>
                  <w:marRight w:val="0"/>
                  <w:marTop w:val="0"/>
                  <w:marBottom w:val="0"/>
                  <w:divBdr>
                    <w:top w:val="none" w:sz="0" w:space="0" w:color="auto"/>
                    <w:left w:val="none" w:sz="0" w:space="0" w:color="auto"/>
                    <w:bottom w:val="none" w:sz="0" w:space="0" w:color="auto"/>
                    <w:right w:val="none" w:sz="0" w:space="0" w:color="auto"/>
                  </w:divBdr>
                  <w:divsChild>
                    <w:div w:id="1127820425">
                      <w:marLeft w:val="0"/>
                      <w:marRight w:val="0"/>
                      <w:marTop w:val="0"/>
                      <w:marBottom w:val="0"/>
                      <w:divBdr>
                        <w:top w:val="none" w:sz="0" w:space="0" w:color="auto"/>
                        <w:left w:val="none" w:sz="0" w:space="0" w:color="auto"/>
                        <w:bottom w:val="none" w:sz="0" w:space="0" w:color="auto"/>
                        <w:right w:val="none" w:sz="0" w:space="0" w:color="auto"/>
                      </w:divBdr>
                    </w:div>
                  </w:divsChild>
                </w:div>
                <w:div w:id="706368423">
                  <w:marLeft w:val="0"/>
                  <w:marRight w:val="0"/>
                  <w:marTop w:val="0"/>
                  <w:marBottom w:val="0"/>
                  <w:divBdr>
                    <w:top w:val="none" w:sz="0" w:space="0" w:color="auto"/>
                    <w:left w:val="none" w:sz="0" w:space="0" w:color="auto"/>
                    <w:bottom w:val="none" w:sz="0" w:space="0" w:color="auto"/>
                    <w:right w:val="none" w:sz="0" w:space="0" w:color="auto"/>
                  </w:divBdr>
                  <w:divsChild>
                    <w:div w:id="813107292">
                      <w:marLeft w:val="0"/>
                      <w:marRight w:val="0"/>
                      <w:marTop w:val="0"/>
                      <w:marBottom w:val="0"/>
                      <w:divBdr>
                        <w:top w:val="none" w:sz="0" w:space="0" w:color="auto"/>
                        <w:left w:val="none" w:sz="0" w:space="0" w:color="auto"/>
                        <w:bottom w:val="none" w:sz="0" w:space="0" w:color="auto"/>
                        <w:right w:val="none" w:sz="0" w:space="0" w:color="auto"/>
                      </w:divBdr>
                    </w:div>
                  </w:divsChild>
                </w:div>
                <w:div w:id="725445883">
                  <w:marLeft w:val="0"/>
                  <w:marRight w:val="0"/>
                  <w:marTop w:val="0"/>
                  <w:marBottom w:val="0"/>
                  <w:divBdr>
                    <w:top w:val="none" w:sz="0" w:space="0" w:color="auto"/>
                    <w:left w:val="none" w:sz="0" w:space="0" w:color="auto"/>
                    <w:bottom w:val="none" w:sz="0" w:space="0" w:color="auto"/>
                    <w:right w:val="none" w:sz="0" w:space="0" w:color="auto"/>
                  </w:divBdr>
                  <w:divsChild>
                    <w:div w:id="4989285">
                      <w:marLeft w:val="0"/>
                      <w:marRight w:val="0"/>
                      <w:marTop w:val="0"/>
                      <w:marBottom w:val="0"/>
                      <w:divBdr>
                        <w:top w:val="none" w:sz="0" w:space="0" w:color="auto"/>
                        <w:left w:val="none" w:sz="0" w:space="0" w:color="auto"/>
                        <w:bottom w:val="none" w:sz="0" w:space="0" w:color="auto"/>
                        <w:right w:val="none" w:sz="0" w:space="0" w:color="auto"/>
                      </w:divBdr>
                    </w:div>
                  </w:divsChild>
                </w:div>
                <w:div w:id="736784049">
                  <w:marLeft w:val="0"/>
                  <w:marRight w:val="0"/>
                  <w:marTop w:val="0"/>
                  <w:marBottom w:val="0"/>
                  <w:divBdr>
                    <w:top w:val="none" w:sz="0" w:space="0" w:color="auto"/>
                    <w:left w:val="none" w:sz="0" w:space="0" w:color="auto"/>
                    <w:bottom w:val="none" w:sz="0" w:space="0" w:color="auto"/>
                    <w:right w:val="none" w:sz="0" w:space="0" w:color="auto"/>
                  </w:divBdr>
                  <w:divsChild>
                    <w:div w:id="1536386216">
                      <w:marLeft w:val="0"/>
                      <w:marRight w:val="0"/>
                      <w:marTop w:val="0"/>
                      <w:marBottom w:val="0"/>
                      <w:divBdr>
                        <w:top w:val="none" w:sz="0" w:space="0" w:color="auto"/>
                        <w:left w:val="none" w:sz="0" w:space="0" w:color="auto"/>
                        <w:bottom w:val="none" w:sz="0" w:space="0" w:color="auto"/>
                        <w:right w:val="none" w:sz="0" w:space="0" w:color="auto"/>
                      </w:divBdr>
                    </w:div>
                  </w:divsChild>
                </w:div>
                <w:div w:id="737947313">
                  <w:marLeft w:val="0"/>
                  <w:marRight w:val="0"/>
                  <w:marTop w:val="0"/>
                  <w:marBottom w:val="0"/>
                  <w:divBdr>
                    <w:top w:val="none" w:sz="0" w:space="0" w:color="auto"/>
                    <w:left w:val="none" w:sz="0" w:space="0" w:color="auto"/>
                    <w:bottom w:val="none" w:sz="0" w:space="0" w:color="auto"/>
                    <w:right w:val="none" w:sz="0" w:space="0" w:color="auto"/>
                  </w:divBdr>
                  <w:divsChild>
                    <w:div w:id="272323164">
                      <w:marLeft w:val="0"/>
                      <w:marRight w:val="0"/>
                      <w:marTop w:val="0"/>
                      <w:marBottom w:val="0"/>
                      <w:divBdr>
                        <w:top w:val="none" w:sz="0" w:space="0" w:color="auto"/>
                        <w:left w:val="none" w:sz="0" w:space="0" w:color="auto"/>
                        <w:bottom w:val="none" w:sz="0" w:space="0" w:color="auto"/>
                        <w:right w:val="none" w:sz="0" w:space="0" w:color="auto"/>
                      </w:divBdr>
                    </w:div>
                  </w:divsChild>
                </w:div>
                <w:div w:id="746415510">
                  <w:marLeft w:val="0"/>
                  <w:marRight w:val="0"/>
                  <w:marTop w:val="0"/>
                  <w:marBottom w:val="0"/>
                  <w:divBdr>
                    <w:top w:val="none" w:sz="0" w:space="0" w:color="auto"/>
                    <w:left w:val="none" w:sz="0" w:space="0" w:color="auto"/>
                    <w:bottom w:val="none" w:sz="0" w:space="0" w:color="auto"/>
                    <w:right w:val="none" w:sz="0" w:space="0" w:color="auto"/>
                  </w:divBdr>
                  <w:divsChild>
                    <w:div w:id="1452360776">
                      <w:marLeft w:val="0"/>
                      <w:marRight w:val="0"/>
                      <w:marTop w:val="0"/>
                      <w:marBottom w:val="0"/>
                      <w:divBdr>
                        <w:top w:val="none" w:sz="0" w:space="0" w:color="auto"/>
                        <w:left w:val="none" w:sz="0" w:space="0" w:color="auto"/>
                        <w:bottom w:val="none" w:sz="0" w:space="0" w:color="auto"/>
                        <w:right w:val="none" w:sz="0" w:space="0" w:color="auto"/>
                      </w:divBdr>
                    </w:div>
                  </w:divsChild>
                </w:div>
                <w:div w:id="760761760">
                  <w:marLeft w:val="0"/>
                  <w:marRight w:val="0"/>
                  <w:marTop w:val="0"/>
                  <w:marBottom w:val="0"/>
                  <w:divBdr>
                    <w:top w:val="none" w:sz="0" w:space="0" w:color="auto"/>
                    <w:left w:val="none" w:sz="0" w:space="0" w:color="auto"/>
                    <w:bottom w:val="none" w:sz="0" w:space="0" w:color="auto"/>
                    <w:right w:val="none" w:sz="0" w:space="0" w:color="auto"/>
                  </w:divBdr>
                  <w:divsChild>
                    <w:div w:id="1632176900">
                      <w:marLeft w:val="0"/>
                      <w:marRight w:val="0"/>
                      <w:marTop w:val="0"/>
                      <w:marBottom w:val="0"/>
                      <w:divBdr>
                        <w:top w:val="none" w:sz="0" w:space="0" w:color="auto"/>
                        <w:left w:val="none" w:sz="0" w:space="0" w:color="auto"/>
                        <w:bottom w:val="none" w:sz="0" w:space="0" w:color="auto"/>
                        <w:right w:val="none" w:sz="0" w:space="0" w:color="auto"/>
                      </w:divBdr>
                    </w:div>
                  </w:divsChild>
                </w:div>
                <w:div w:id="762649607">
                  <w:marLeft w:val="0"/>
                  <w:marRight w:val="0"/>
                  <w:marTop w:val="0"/>
                  <w:marBottom w:val="0"/>
                  <w:divBdr>
                    <w:top w:val="none" w:sz="0" w:space="0" w:color="auto"/>
                    <w:left w:val="none" w:sz="0" w:space="0" w:color="auto"/>
                    <w:bottom w:val="none" w:sz="0" w:space="0" w:color="auto"/>
                    <w:right w:val="none" w:sz="0" w:space="0" w:color="auto"/>
                  </w:divBdr>
                  <w:divsChild>
                    <w:div w:id="882524736">
                      <w:marLeft w:val="0"/>
                      <w:marRight w:val="0"/>
                      <w:marTop w:val="0"/>
                      <w:marBottom w:val="0"/>
                      <w:divBdr>
                        <w:top w:val="none" w:sz="0" w:space="0" w:color="auto"/>
                        <w:left w:val="none" w:sz="0" w:space="0" w:color="auto"/>
                        <w:bottom w:val="none" w:sz="0" w:space="0" w:color="auto"/>
                        <w:right w:val="none" w:sz="0" w:space="0" w:color="auto"/>
                      </w:divBdr>
                    </w:div>
                  </w:divsChild>
                </w:div>
                <w:div w:id="776213120">
                  <w:marLeft w:val="0"/>
                  <w:marRight w:val="0"/>
                  <w:marTop w:val="0"/>
                  <w:marBottom w:val="0"/>
                  <w:divBdr>
                    <w:top w:val="none" w:sz="0" w:space="0" w:color="auto"/>
                    <w:left w:val="none" w:sz="0" w:space="0" w:color="auto"/>
                    <w:bottom w:val="none" w:sz="0" w:space="0" w:color="auto"/>
                    <w:right w:val="none" w:sz="0" w:space="0" w:color="auto"/>
                  </w:divBdr>
                  <w:divsChild>
                    <w:div w:id="1842044565">
                      <w:marLeft w:val="0"/>
                      <w:marRight w:val="0"/>
                      <w:marTop w:val="0"/>
                      <w:marBottom w:val="0"/>
                      <w:divBdr>
                        <w:top w:val="none" w:sz="0" w:space="0" w:color="auto"/>
                        <w:left w:val="none" w:sz="0" w:space="0" w:color="auto"/>
                        <w:bottom w:val="none" w:sz="0" w:space="0" w:color="auto"/>
                        <w:right w:val="none" w:sz="0" w:space="0" w:color="auto"/>
                      </w:divBdr>
                    </w:div>
                  </w:divsChild>
                </w:div>
                <w:div w:id="776602131">
                  <w:marLeft w:val="0"/>
                  <w:marRight w:val="0"/>
                  <w:marTop w:val="0"/>
                  <w:marBottom w:val="0"/>
                  <w:divBdr>
                    <w:top w:val="none" w:sz="0" w:space="0" w:color="auto"/>
                    <w:left w:val="none" w:sz="0" w:space="0" w:color="auto"/>
                    <w:bottom w:val="none" w:sz="0" w:space="0" w:color="auto"/>
                    <w:right w:val="none" w:sz="0" w:space="0" w:color="auto"/>
                  </w:divBdr>
                  <w:divsChild>
                    <w:div w:id="12654561">
                      <w:marLeft w:val="0"/>
                      <w:marRight w:val="0"/>
                      <w:marTop w:val="0"/>
                      <w:marBottom w:val="0"/>
                      <w:divBdr>
                        <w:top w:val="none" w:sz="0" w:space="0" w:color="auto"/>
                        <w:left w:val="none" w:sz="0" w:space="0" w:color="auto"/>
                        <w:bottom w:val="none" w:sz="0" w:space="0" w:color="auto"/>
                        <w:right w:val="none" w:sz="0" w:space="0" w:color="auto"/>
                      </w:divBdr>
                    </w:div>
                  </w:divsChild>
                </w:div>
                <w:div w:id="777718957">
                  <w:marLeft w:val="0"/>
                  <w:marRight w:val="0"/>
                  <w:marTop w:val="0"/>
                  <w:marBottom w:val="0"/>
                  <w:divBdr>
                    <w:top w:val="none" w:sz="0" w:space="0" w:color="auto"/>
                    <w:left w:val="none" w:sz="0" w:space="0" w:color="auto"/>
                    <w:bottom w:val="none" w:sz="0" w:space="0" w:color="auto"/>
                    <w:right w:val="none" w:sz="0" w:space="0" w:color="auto"/>
                  </w:divBdr>
                  <w:divsChild>
                    <w:div w:id="1821651893">
                      <w:marLeft w:val="0"/>
                      <w:marRight w:val="0"/>
                      <w:marTop w:val="0"/>
                      <w:marBottom w:val="0"/>
                      <w:divBdr>
                        <w:top w:val="none" w:sz="0" w:space="0" w:color="auto"/>
                        <w:left w:val="none" w:sz="0" w:space="0" w:color="auto"/>
                        <w:bottom w:val="none" w:sz="0" w:space="0" w:color="auto"/>
                        <w:right w:val="none" w:sz="0" w:space="0" w:color="auto"/>
                      </w:divBdr>
                    </w:div>
                  </w:divsChild>
                </w:div>
                <w:div w:id="781999546">
                  <w:marLeft w:val="0"/>
                  <w:marRight w:val="0"/>
                  <w:marTop w:val="0"/>
                  <w:marBottom w:val="0"/>
                  <w:divBdr>
                    <w:top w:val="none" w:sz="0" w:space="0" w:color="auto"/>
                    <w:left w:val="none" w:sz="0" w:space="0" w:color="auto"/>
                    <w:bottom w:val="none" w:sz="0" w:space="0" w:color="auto"/>
                    <w:right w:val="none" w:sz="0" w:space="0" w:color="auto"/>
                  </w:divBdr>
                  <w:divsChild>
                    <w:div w:id="606355195">
                      <w:marLeft w:val="0"/>
                      <w:marRight w:val="0"/>
                      <w:marTop w:val="0"/>
                      <w:marBottom w:val="0"/>
                      <w:divBdr>
                        <w:top w:val="none" w:sz="0" w:space="0" w:color="auto"/>
                        <w:left w:val="none" w:sz="0" w:space="0" w:color="auto"/>
                        <w:bottom w:val="none" w:sz="0" w:space="0" w:color="auto"/>
                        <w:right w:val="none" w:sz="0" w:space="0" w:color="auto"/>
                      </w:divBdr>
                    </w:div>
                  </w:divsChild>
                </w:div>
                <w:div w:id="799541421">
                  <w:marLeft w:val="0"/>
                  <w:marRight w:val="0"/>
                  <w:marTop w:val="0"/>
                  <w:marBottom w:val="0"/>
                  <w:divBdr>
                    <w:top w:val="none" w:sz="0" w:space="0" w:color="auto"/>
                    <w:left w:val="none" w:sz="0" w:space="0" w:color="auto"/>
                    <w:bottom w:val="none" w:sz="0" w:space="0" w:color="auto"/>
                    <w:right w:val="none" w:sz="0" w:space="0" w:color="auto"/>
                  </w:divBdr>
                  <w:divsChild>
                    <w:div w:id="1625309820">
                      <w:marLeft w:val="0"/>
                      <w:marRight w:val="0"/>
                      <w:marTop w:val="0"/>
                      <w:marBottom w:val="0"/>
                      <w:divBdr>
                        <w:top w:val="none" w:sz="0" w:space="0" w:color="auto"/>
                        <w:left w:val="none" w:sz="0" w:space="0" w:color="auto"/>
                        <w:bottom w:val="none" w:sz="0" w:space="0" w:color="auto"/>
                        <w:right w:val="none" w:sz="0" w:space="0" w:color="auto"/>
                      </w:divBdr>
                    </w:div>
                  </w:divsChild>
                </w:div>
                <w:div w:id="807667057">
                  <w:marLeft w:val="0"/>
                  <w:marRight w:val="0"/>
                  <w:marTop w:val="0"/>
                  <w:marBottom w:val="0"/>
                  <w:divBdr>
                    <w:top w:val="none" w:sz="0" w:space="0" w:color="auto"/>
                    <w:left w:val="none" w:sz="0" w:space="0" w:color="auto"/>
                    <w:bottom w:val="none" w:sz="0" w:space="0" w:color="auto"/>
                    <w:right w:val="none" w:sz="0" w:space="0" w:color="auto"/>
                  </w:divBdr>
                  <w:divsChild>
                    <w:div w:id="677848628">
                      <w:marLeft w:val="0"/>
                      <w:marRight w:val="0"/>
                      <w:marTop w:val="0"/>
                      <w:marBottom w:val="0"/>
                      <w:divBdr>
                        <w:top w:val="none" w:sz="0" w:space="0" w:color="auto"/>
                        <w:left w:val="none" w:sz="0" w:space="0" w:color="auto"/>
                        <w:bottom w:val="none" w:sz="0" w:space="0" w:color="auto"/>
                        <w:right w:val="none" w:sz="0" w:space="0" w:color="auto"/>
                      </w:divBdr>
                    </w:div>
                  </w:divsChild>
                </w:div>
                <w:div w:id="807671056">
                  <w:marLeft w:val="0"/>
                  <w:marRight w:val="0"/>
                  <w:marTop w:val="0"/>
                  <w:marBottom w:val="0"/>
                  <w:divBdr>
                    <w:top w:val="none" w:sz="0" w:space="0" w:color="auto"/>
                    <w:left w:val="none" w:sz="0" w:space="0" w:color="auto"/>
                    <w:bottom w:val="none" w:sz="0" w:space="0" w:color="auto"/>
                    <w:right w:val="none" w:sz="0" w:space="0" w:color="auto"/>
                  </w:divBdr>
                  <w:divsChild>
                    <w:div w:id="134033926">
                      <w:marLeft w:val="0"/>
                      <w:marRight w:val="0"/>
                      <w:marTop w:val="0"/>
                      <w:marBottom w:val="0"/>
                      <w:divBdr>
                        <w:top w:val="none" w:sz="0" w:space="0" w:color="auto"/>
                        <w:left w:val="none" w:sz="0" w:space="0" w:color="auto"/>
                        <w:bottom w:val="none" w:sz="0" w:space="0" w:color="auto"/>
                        <w:right w:val="none" w:sz="0" w:space="0" w:color="auto"/>
                      </w:divBdr>
                    </w:div>
                  </w:divsChild>
                </w:div>
                <w:div w:id="808287069">
                  <w:marLeft w:val="0"/>
                  <w:marRight w:val="0"/>
                  <w:marTop w:val="0"/>
                  <w:marBottom w:val="0"/>
                  <w:divBdr>
                    <w:top w:val="none" w:sz="0" w:space="0" w:color="auto"/>
                    <w:left w:val="none" w:sz="0" w:space="0" w:color="auto"/>
                    <w:bottom w:val="none" w:sz="0" w:space="0" w:color="auto"/>
                    <w:right w:val="none" w:sz="0" w:space="0" w:color="auto"/>
                  </w:divBdr>
                  <w:divsChild>
                    <w:div w:id="924923779">
                      <w:marLeft w:val="0"/>
                      <w:marRight w:val="0"/>
                      <w:marTop w:val="0"/>
                      <w:marBottom w:val="0"/>
                      <w:divBdr>
                        <w:top w:val="none" w:sz="0" w:space="0" w:color="auto"/>
                        <w:left w:val="none" w:sz="0" w:space="0" w:color="auto"/>
                        <w:bottom w:val="none" w:sz="0" w:space="0" w:color="auto"/>
                        <w:right w:val="none" w:sz="0" w:space="0" w:color="auto"/>
                      </w:divBdr>
                    </w:div>
                  </w:divsChild>
                </w:div>
                <w:div w:id="810295706">
                  <w:marLeft w:val="0"/>
                  <w:marRight w:val="0"/>
                  <w:marTop w:val="0"/>
                  <w:marBottom w:val="0"/>
                  <w:divBdr>
                    <w:top w:val="none" w:sz="0" w:space="0" w:color="auto"/>
                    <w:left w:val="none" w:sz="0" w:space="0" w:color="auto"/>
                    <w:bottom w:val="none" w:sz="0" w:space="0" w:color="auto"/>
                    <w:right w:val="none" w:sz="0" w:space="0" w:color="auto"/>
                  </w:divBdr>
                  <w:divsChild>
                    <w:div w:id="963652095">
                      <w:marLeft w:val="0"/>
                      <w:marRight w:val="0"/>
                      <w:marTop w:val="0"/>
                      <w:marBottom w:val="0"/>
                      <w:divBdr>
                        <w:top w:val="none" w:sz="0" w:space="0" w:color="auto"/>
                        <w:left w:val="none" w:sz="0" w:space="0" w:color="auto"/>
                        <w:bottom w:val="none" w:sz="0" w:space="0" w:color="auto"/>
                        <w:right w:val="none" w:sz="0" w:space="0" w:color="auto"/>
                      </w:divBdr>
                    </w:div>
                  </w:divsChild>
                </w:div>
                <w:div w:id="837040808">
                  <w:marLeft w:val="0"/>
                  <w:marRight w:val="0"/>
                  <w:marTop w:val="0"/>
                  <w:marBottom w:val="0"/>
                  <w:divBdr>
                    <w:top w:val="none" w:sz="0" w:space="0" w:color="auto"/>
                    <w:left w:val="none" w:sz="0" w:space="0" w:color="auto"/>
                    <w:bottom w:val="none" w:sz="0" w:space="0" w:color="auto"/>
                    <w:right w:val="none" w:sz="0" w:space="0" w:color="auto"/>
                  </w:divBdr>
                  <w:divsChild>
                    <w:div w:id="118107537">
                      <w:marLeft w:val="0"/>
                      <w:marRight w:val="0"/>
                      <w:marTop w:val="0"/>
                      <w:marBottom w:val="0"/>
                      <w:divBdr>
                        <w:top w:val="none" w:sz="0" w:space="0" w:color="auto"/>
                        <w:left w:val="none" w:sz="0" w:space="0" w:color="auto"/>
                        <w:bottom w:val="none" w:sz="0" w:space="0" w:color="auto"/>
                        <w:right w:val="none" w:sz="0" w:space="0" w:color="auto"/>
                      </w:divBdr>
                    </w:div>
                  </w:divsChild>
                </w:div>
                <w:div w:id="847259066">
                  <w:marLeft w:val="0"/>
                  <w:marRight w:val="0"/>
                  <w:marTop w:val="0"/>
                  <w:marBottom w:val="0"/>
                  <w:divBdr>
                    <w:top w:val="none" w:sz="0" w:space="0" w:color="auto"/>
                    <w:left w:val="none" w:sz="0" w:space="0" w:color="auto"/>
                    <w:bottom w:val="none" w:sz="0" w:space="0" w:color="auto"/>
                    <w:right w:val="none" w:sz="0" w:space="0" w:color="auto"/>
                  </w:divBdr>
                  <w:divsChild>
                    <w:div w:id="789470609">
                      <w:marLeft w:val="0"/>
                      <w:marRight w:val="0"/>
                      <w:marTop w:val="0"/>
                      <w:marBottom w:val="0"/>
                      <w:divBdr>
                        <w:top w:val="none" w:sz="0" w:space="0" w:color="auto"/>
                        <w:left w:val="none" w:sz="0" w:space="0" w:color="auto"/>
                        <w:bottom w:val="none" w:sz="0" w:space="0" w:color="auto"/>
                        <w:right w:val="none" w:sz="0" w:space="0" w:color="auto"/>
                      </w:divBdr>
                    </w:div>
                  </w:divsChild>
                </w:div>
                <w:div w:id="850072246">
                  <w:marLeft w:val="0"/>
                  <w:marRight w:val="0"/>
                  <w:marTop w:val="0"/>
                  <w:marBottom w:val="0"/>
                  <w:divBdr>
                    <w:top w:val="none" w:sz="0" w:space="0" w:color="auto"/>
                    <w:left w:val="none" w:sz="0" w:space="0" w:color="auto"/>
                    <w:bottom w:val="none" w:sz="0" w:space="0" w:color="auto"/>
                    <w:right w:val="none" w:sz="0" w:space="0" w:color="auto"/>
                  </w:divBdr>
                  <w:divsChild>
                    <w:div w:id="478306475">
                      <w:marLeft w:val="0"/>
                      <w:marRight w:val="0"/>
                      <w:marTop w:val="0"/>
                      <w:marBottom w:val="0"/>
                      <w:divBdr>
                        <w:top w:val="none" w:sz="0" w:space="0" w:color="auto"/>
                        <w:left w:val="none" w:sz="0" w:space="0" w:color="auto"/>
                        <w:bottom w:val="none" w:sz="0" w:space="0" w:color="auto"/>
                        <w:right w:val="none" w:sz="0" w:space="0" w:color="auto"/>
                      </w:divBdr>
                    </w:div>
                  </w:divsChild>
                </w:div>
                <w:div w:id="873888607">
                  <w:marLeft w:val="0"/>
                  <w:marRight w:val="0"/>
                  <w:marTop w:val="0"/>
                  <w:marBottom w:val="0"/>
                  <w:divBdr>
                    <w:top w:val="none" w:sz="0" w:space="0" w:color="auto"/>
                    <w:left w:val="none" w:sz="0" w:space="0" w:color="auto"/>
                    <w:bottom w:val="none" w:sz="0" w:space="0" w:color="auto"/>
                    <w:right w:val="none" w:sz="0" w:space="0" w:color="auto"/>
                  </w:divBdr>
                  <w:divsChild>
                    <w:div w:id="910308784">
                      <w:marLeft w:val="0"/>
                      <w:marRight w:val="0"/>
                      <w:marTop w:val="0"/>
                      <w:marBottom w:val="0"/>
                      <w:divBdr>
                        <w:top w:val="none" w:sz="0" w:space="0" w:color="auto"/>
                        <w:left w:val="none" w:sz="0" w:space="0" w:color="auto"/>
                        <w:bottom w:val="none" w:sz="0" w:space="0" w:color="auto"/>
                        <w:right w:val="none" w:sz="0" w:space="0" w:color="auto"/>
                      </w:divBdr>
                    </w:div>
                  </w:divsChild>
                </w:div>
                <w:div w:id="884751516">
                  <w:marLeft w:val="0"/>
                  <w:marRight w:val="0"/>
                  <w:marTop w:val="0"/>
                  <w:marBottom w:val="0"/>
                  <w:divBdr>
                    <w:top w:val="none" w:sz="0" w:space="0" w:color="auto"/>
                    <w:left w:val="none" w:sz="0" w:space="0" w:color="auto"/>
                    <w:bottom w:val="none" w:sz="0" w:space="0" w:color="auto"/>
                    <w:right w:val="none" w:sz="0" w:space="0" w:color="auto"/>
                  </w:divBdr>
                  <w:divsChild>
                    <w:div w:id="40634750">
                      <w:marLeft w:val="0"/>
                      <w:marRight w:val="0"/>
                      <w:marTop w:val="0"/>
                      <w:marBottom w:val="0"/>
                      <w:divBdr>
                        <w:top w:val="none" w:sz="0" w:space="0" w:color="auto"/>
                        <w:left w:val="none" w:sz="0" w:space="0" w:color="auto"/>
                        <w:bottom w:val="none" w:sz="0" w:space="0" w:color="auto"/>
                        <w:right w:val="none" w:sz="0" w:space="0" w:color="auto"/>
                      </w:divBdr>
                    </w:div>
                  </w:divsChild>
                </w:div>
                <w:div w:id="885603988">
                  <w:marLeft w:val="0"/>
                  <w:marRight w:val="0"/>
                  <w:marTop w:val="0"/>
                  <w:marBottom w:val="0"/>
                  <w:divBdr>
                    <w:top w:val="none" w:sz="0" w:space="0" w:color="auto"/>
                    <w:left w:val="none" w:sz="0" w:space="0" w:color="auto"/>
                    <w:bottom w:val="none" w:sz="0" w:space="0" w:color="auto"/>
                    <w:right w:val="none" w:sz="0" w:space="0" w:color="auto"/>
                  </w:divBdr>
                  <w:divsChild>
                    <w:div w:id="778066131">
                      <w:marLeft w:val="0"/>
                      <w:marRight w:val="0"/>
                      <w:marTop w:val="0"/>
                      <w:marBottom w:val="0"/>
                      <w:divBdr>
                        <w:top w:val="none" w:sz="0" w:space="0" w:color="auto"/>
                        <w:left w:val="none" w:sz="0" w:space="0" w:color="auto"/>
                        <w:bottom w:val="none" w:sz="0" w:space="0" w:color="auto"/>
                        <w:right w:val="none" w:sz="0" w:space="0" w:color="auto"/>
                      </w:divBdr>
                    </w:div>
                  </w:divsChild>
                </w:div>
                <w:div w:id="898250870">
                  <w:marLeft w:val="0"/>
                  <w:marRight w:val="0"/>
                  <w:marTop w:val="0"/>
                  <w:marBottom w:val="0"/>
                  <w:divBdr>
                    <w:top w:val="none" w:sz="0" w:space="0" w:color="auto"/>
                    <w:left w:val="none" w:sz="0" w:space="0" w:color="auto"/>
                    <w:bottom w:val="none" w:sz="0" w:space="0" w:color="auto"/>
                    <w:right w:val="none" w:sz="0" w:space="0" w:color="auto"/>
                  </w:divBdr>
                  <w:divsChild>
                    <w:div w:id="1337614711">
                      <w:marLeft w:val="0"/>
                      <w:marRight w:val="0"/>
                      <w:marTop w:val="0"/>
                      <w:marBottom w:val="0"/>
                      <w:divBdr>
                        <w:top w:val="none" w:sz="0" w:space="0" w:color="auto"/>
                        <w:left w:val="none" w:sz="0" w:space="0" w:color="auto"/>
                        <w:bottom w:val="none" w:sz="0" w:space="0" w:color="auto"/>
                        <w:right w:val="none" w:sz="0" w:space="0" w:color="auto"/>
                      </w:divBdr>
                    </w:div>
                  </w:divsChild>
                </w:div>
                <w:div w:id="899171987">
                  <w:marLeft w:val="0"/>
                  <w:marRight w:val="0"/>
                  <w:marTop w:val="0"/>
                  <w:marBottom w:val="0"/>
                  <w:divBdr>
                    <w:top w:val="none" w:sz="0" w:space="0" w:color="auto"/>
                    <w:left w:val="none" w:sz="0" w:space="0" w:color="auto"/>
                    <w:bottom w:val="none" w:sz="0" w:space="0" w:color="auto"/>
                    <w:right w:val="none" w:sz="0" w:space="0" w:color="auto"/>
                  </w:divBdr>
                  <w:divsChild>
                    <w:div w:id="1479762662">
                      <w:marLeft w:val="0"/>
                      <w:marRight w:val="0"/>
                      <w:marTop w:val="0"/>
                      <w:marBottom w:val="0"/>
                      <w:divBdr>
                        <w:top w:val="none" w:sz="0" w:space="0" w:color="auto"/>
                        <w:left w:val="none" w:sz="0" w:space="0" w:color="auto"/>
                        <w:bottom w:val="none" w:sz="0" w:space="0" w:color="auto"/>
                        <w:right w:val="none" w:sz="0" w:space="0" w:color="auto"/>
                      </w:divBdr>
                    </w:div>
                  </w:divsChild>
                </w:div>
                <w:div w:id="905719935">
                  <w:marLeft w:val="0"/>
                  <w:marRight w:val="0"/>
                  <w:marTop w:val="0"/>
                  <w:marBottom w:val="0"/>
                  <w:divBdr>
                    <w:top w:val="none" w:sz="0" w:space="0" w:color="auto"/>
                    <w:left w:val="none" w:sz="0" w:space="0" w:color="auto"/>
                    <w:bottom w:val="none" w:sz="0" w:space="0" w:color="auto"/>
                    <w:right w:val="none" w:sz="0" w:space="0" w:color="auto"/>
                  </w:divBdr>
                  <w:divsChild>
                    <w:div w:id="362440309">
                      <w:marLeft w:val="0"/>
                      <w:marRight w:val="0"/>
                      <w:marTop w:val="0"/>
                      <w:marBottom w:val="0"/>
                      <w:divBdr>
                        <w:top w:val="none" w:sz="0" w:space="0" w:color="auto"/>
                        <w:left w:val="none" w:sz="0" w:space="0" w:color="auto"/>
                        <w:bottom w:val="none" w:sz="0" w:space="0" w:color="auto"/>
                        <w:right w:val="none" w:sz="0" w:space="0" w:color="auto"/>
                      </w:divBdr>
                    </w:div>
                  </w:divsChild>
                </w:div>
                <w:div w:id="906843223">
                  <w:marLeft w:val="0"/>
                  <w:marRight w:val="0"/>
                  <w:marTop w:val="0"/>
                  <w:marBottom w:val="0"/>
                  <w:divBdr>
                    <w:top w:val="none" w:sz="0" w:space="0" w:color="auto"/>
                    <w:left w:val="none" w:sz="0" w:space="0" w:color="auto"/>
                    <w:bottom w:val="none" w:sz="0" w:space="0" w:color="auto"/>
                    <w:right w:val="none" w:sz="0" w:space="0" w:color="auto"/>
                  </w:divBdr>
                  <w:divsChild>
                    <w:div w:id="1553810665">
                      <w:marLeft w:val="0"/>
                      <w:marRight w:val="0"/>
                      <w:marTop w:val="0"/>
                      <w:marBottom w:val="0"/>
                      <w:divBdr>
                        <w:top w:val="none" w:sz="0" w:space="0" w:color="auto"/>
                        <w:left w:val="none" w:sz="0" w:space="0" w:color="auto"/>
                        <w:bottom w:val="none" w:sz="0" w:space="0" w:color="auto"/>
                        <w:right w:val="none" w:sz="0" w:space="0" w:color="auto"/>
                      </w:divBdr>
                    </w:div>
                  </w:divsChild>
                </w:div>
                <w:div w:id="922185383">
                  <w:marLeft w:val="0"/>
                  <w:marRight w:val="0"/>
                  <w:marTop w:val="0"/>
                  <w:marBottom w:val="0"/>
                  <w:divBdr>
                    <w:top w:val="none" w:sz="0" w:space="0" w:color="auto"/>
                    <w:left w:val="none" w:sz="0" w:space="0" w:color="auto"/>
                    <w:bottom w:val="none" w:sz="0" w:space="0" w:color="auto"/>
                    <w:right w:val="none" w:sz="0" w:space="0" w:color="auto"/>
                  </w:divBdr>
                  <w:divsChild>
                    <w:div w:id="361829142">
                      <w:marLeft w:val="0"/>
                      <w:marRight w:val="0"/>
                      <w:marTop w:val="0"/>
                      <w:marBottom w:val="0"/>
                      <w:divBdr>
                        <w:top w:val="none" w:sz="0" w:space="0" w:color="auto"/>
                        <w:left w:val="none" w:sz="0" w:space="0" w:color="auto"/>
                        <w:bottom w:val="none" w:sz="0" w:space="0" w:color="auto"/>
                        <w:right w:val="none" w:sz="0" w:space="0" w:color="auto"/>
                      </w:divBdr>
                    </w:div>
                  </w:divsChild>
                </w:div>
                <w:div w:id="928079323">
                  <w:marLeft w:val="0"/>
                  <w:marRight w:val="0"/>
                  <w:marTop w:val="0"/>
                  <w:marBottom w:val="0"/>
                  <w:divBdr>
                    <w:top w:val="none" w:sz="0" w:space="0" w:color="auto"/>
                    <w:left w:val="none" w:sz="0" w:space="0" w:color="auto"/>
                    <w:bottom w:val="none" w:sz="0" w:space="0" w:color="auto"/>
                    <w:right w:val="none" w:sz="0" w:space="0" w:color="auto"/>
                  </w:divBdr>
                  <w:divsChild>
                    <w:div w:id="1236090662">
                      <w:marLeft w:val="0"/>
                      <w:marRight w:val="0"/>
                      <w:marTop w:val="0"/>
                      <w:marBottom w:val="0"/>
                      <w:divBdr>
                        <w:top w:val="none" w:sz="0" w:space="0" w:color="auto"/>
                        <w:left w:val="none" w:sz="0" w:space="0" w:color="auto"/>
                        <w:bottom w:val="none" w:sz="0" w:space="0" w:color="auto"/>
                        <w:right w:val="none" w:sz="0" w:space="0" w:color="auto"/>
                      </w:divBdr>
                    </w:div>
                  </w:divsChild>
                </w:div>
                <w:div w:id="928345570">
                  <w:marLeft w:val="0"/>
                  <w:marRight w:val="0"/>
                  <w:marTop w:val="0"/>
                  <w:marBottom w:val="0"/>
                  <w:divBdr>
                    <w:top w:val="none" w:sz="0" w:space="0" w:color="auto"/>
                    <w:left w:val="none" w:sz="0" w:space="0" w:color="auto"/>
                    <w:bottom w:val="none" w:sz="0" w:space="0" w:color="auto"/>
                    <w:right w:val="none" w:sz="0" w:space="0" w:color="auto"/>
                  </w:divBdr>
                  <w:divsChild>
                    <w:div w:id="141505774">
                      <w:marLeft w:val="0"/>
                      <w:marRight w:val="0"/>
                      <w:marTop w:val="0"/>
                      <w:marBottom w:val="0"/>
                      <w:divBdr>
                        <w:top w:val="none" w:sz="0" w:space="0" w:color="auto"/>
                        <w:left w:val="none" w:sz="0" w:space="0" w:color="auto"/>
                        <w:bottom w:val="none" w:sz="0" w:space="0" w:color="auto"/>
                        <w:right w:val="none" w:sz="0" w:space="0" w:color="auto"/>
                      </w:divBdr>
                    </w:div>
                  </w:divsChild>
                </w:div>
                <w:div w:id="941835048">
                  <w:marLeft w:val="0"/>
                  <w:marRight w:val="0"/>
                  <w:marTop w:val="0"/>
                  <w:marBottom w:val="0"/>
                  <w:divBdr>
                    <w:top w:val="none" w:sz="0" w:space="0" w:color="auto"/>
                    <w:left w:val="none" w:sz="0" w:space="0" w:color="auto"/>
                    <w:bottom w:val="none" w:sz="0" w:space="0" w:color="auto"/>
                    <w:right w:val="none" w:sz="0" w:space="0" w:color="auto"/>
                  </w:divBdr>
                  <w:divsChild>
                    <w:div w:id="836574902">
                      <w:marLeft w:val="0"/>
                      <w:marRight w:val="0"/>
                      <w:marTop w:val="0"/>
                      <w:marBottom w:val="0"/>
                      <w:divBdr>
                        <w:top w:val="none" w:sz="0" w:space="0" w:color="auto"/>
                        <w:left w:val="none" w:sz="0" w:space="0" w:color="auto"/>
                        <w:bottom w:val="none" w:sz="0" w:space="0" w:color="auto"/>
                        <w:right w:val="none" w:sz="0" w:space="0" w:color="auto"/>
                      </w:divBdr>
                    </w:div>
                  </w:divsChild>
                </w:div>
                <w:div w:id="943851234">
                  <w:marLeft w:val="0"/>
                  <w:marRight w:val="0"/>
                  <w:marTop w:val="0"/>
                  <w:marBottom w:val="0"/>
                  <w:divBdr>
                    <w:top w:val="none" w:sz="0" w:space="0" w:color="auto"/>
                    <w:left w:val="none" w:sz="0" w:space="0" w:color="auto"/>
                    <w:bottom w:val="none" w:sz="0" w:space="0" w:color="auto"/>
                    <w:right w:val="none" w:sz="0" w:space="0" w:color="auto"/>
                  </w:divBdr>
                  <w:divsChild>
                    <w:div w:id="2133282239">
                      <w:marLeft w:val="0"/>
                      <w:marRight w:val="0"/>
                      <w:marTop w:val="0"/>
                      <w:marBottom w:val="0"/>
                      <w:divBdr>
                        <w:top w:val="none" w:sz="0" w:space="0" w:color="auto"/>
                        <w:left w:val="none" w:sz="0" w:space="0" w:color="auto"/>
                        <w:bottom w:val="none" w:sz="0" w:space="0" w:color="auto"/>
                        <w:right w:val="none" w:sz="0" w:space="0" w:color="auto"/>
                      </w:divBdr>
                    </w:div>
                  </w:divsChild>
                </w:div>
                <w:div w:id="965625077">
                  <w:marLeft w:val="0"/>
                  <w:marRight w:val="0"/>
                  <w:marTop w:val="0"/>
                  <w:marBottom w:val="0"/>
                  <w:divBdr>
                    <w:top w:val="none" w:sz="0" w:space="0" w:color="auto"/>
                    <w:left w:val="none" w:sz="0" w:space="0" w:color="auto"/>
                    <w:bottom w:val="none" w:sz="0" w:space="0" w:color="auto"/>
                    <w:right w:val="none" w:sz="0" w:space="0" w:color="auto"/>
                  </w:divBdr>
                  <w:divsChild>
                    <w:div w:id="128134949">
                      <w:marLeft w:val="0"/>
                      <w:marRight w:val="0"/>
                      <w:marTop w:val="0"/>
                      <w:marBottom w:val="0"/>
                      <w:divBdr>
                        <w:top w:val="none" w:sz="0" w:space="0" w:color="auto"/>
                        <w:left w:val="none" w:sz="0" w:space="0" w:color="auto"/>
                        <w:bottom w:val="none" w:sz="0" w:space="0" w:color="auto"/>
                        <w:right w:val="none" w:sz="0" w:space="0" w:color="auto"/>
                      </w:divBdr>
                    </w:div>
                  </w:divsChild>
                </w:div>
                <w:div w:id="1002508437">
                  <w:marLeft w:val="0"/>
                  <w:marRight w:val="0"/>
                  <w:marTop w:val="0"/>
                  <w:marBottom w:val="0"/>
                  <w:divBdr>
                    <w:top w:val="none" w:sz="0" w:space="0" w:color="auto"/>
                    <w:left w:val="none" w:sz="0" w:space="0" w:color="auto"/>
                    <w:bottom w:val="none" w:sz="0" w:space="0" w:color="auto"/>
                    <w:right w:val="none" w:sz="0" w:space="0" w:color="auto"/>
                  </w:divBdr>
                  <w:divsChild>
                    <w:div w:id="1445034391">
                      <w:marLeft w:val="0"/>
                      <w:marRight w:val="0"/>
                      <w:marTop w:val="0"/>
                      <w:marBottom w:val="0"/>
                      <w:divBdr>
                        <w:top w:val="none" w:sz="0" w:space="0" w:color="auto"/>
                        <w:left w:val="none" w:sz="0" w:space="0" w:color="auto"/>
                        <w:bottom w:val="none" w:sz="0" w:space="0" w:color="auto"/>
                        <w:right w:val="none" w:sz="0" w:space="0" w:color="auto"/>
                      </w:divBdr>
                    </w:div>
                  </w:divsChild>
                </w:div>
                <w:div w:id="1018699924">
                  <w:marLeft w:val="0"/>
                  <w:marRight w:val="0"/>
                  <w:marTop w:val="0"/>
                  <w:marBottom w:val="0"/>
                  <w:divBdr>
                    <w:top w:val="none" w:sz="0" w:space="0" w:color="auto"/>
                    <w:left w:val="none" w:sz="0" w:space="0" w:color="auto"/>
                    <w:bottom w:val="none" w:sz="0" w:space="0" w:color="auto"/>
                    <w:right w:val="none" w:sz="0" w:space="0" w:color="auto"/>
                  </w:divBdr>
                  <w:divsChild>
                    <w:div w:id="1573004309">
                      <w:marLeft w:val="0"/>
                      <w:marRight w:val="0"/>
                      <w:marTop w:val="0"/>
                      <w:marBottom w:val="0"/>
                      <w:divBdr>
                        <w:top w:val="none" w:sz="0" w:space="0" w:color="auto"/>
                        <w:left w:val="none" w:sz="0" w:space="0" w:color="auto"/>
                        <w:bottom w:val="none" w:sz="0" w:space="0" w:color="auto"/>
                        <w:right w:val="none" w:sz="0" w:space="0" w:color="auto"/>
                      </w:divBdr>
                    </w:div>
                  </w:divsChild>
                </w:div>
                <w:div w:id="1044451196">
                  <w:marLeft w:val="0"/>
                  <w:marRight w:val="0"/>
                  <w:marTop w:val="0"/>
                  <w:marBottom w:val="0"/>
                  <w:divBdr>
                    <w:top w:val="none" w:sz="0" w:space="0" w:color="auto"/>
                    <w:left w:val="none" w:sz="0" w:space="0" w:color="auto"/>
                    <w:bottom w:val="none" w:sz="0" w:space="0" w:color="auto"/>
                    <w:right w:val="none" w:sz="0" w:space="0" w:color="auto"/>
                  </w:divBdr>
                  <w:divsChild>
                    <w:div w:id="488131484">
                      <w:marLeft w:val="0"/>
                      <w:marRight w:val="0"/>
                      <w:marTop w:val="0"/>
                      <w:marBottom w:val="0"/>
                      <w:divBdr>
                        <w:top w:val="none" w:sz="0" w:space="0" w:color="auto"/>
                        <w:left w:val="none" w:sz="0" w:space="0" w:color="auto"/>
                        <w:bottom w:val="none" w:sz="0" w:space="0" w:color="auto"/>
                        <w:right w:val="none" w:sz="0" w:space="0" w:color="auto"/>
                      </w:divBdr>
                    </w:div>
                  </w:divsChild>
                </w:div>
                <w:div w:id="1052342944">
                  <w:marLeft w:val="0"/>
                  <w:marRight w:val="0"/>
                  <w:marTop w:val="0"/>
                  <w:marBottom w:val="0"/>
                  <w:divBdr>
                    <w:top w:val="none" w:sz="0" w:space="0" w:color="auto"/>
                    <w:left w:val="none" w:sz="0" w:space="0" w:color="auto"/>
                    <w:bottom w:val="none" w:sz="0" w:space="0" w:color="auto"/>
                    <w:right w:val="none" w:sz="0" w:space="0" w:color="auto"/>
                  </w:divBdr>
                  <w:divsChild>
                    <w:div w:id="429742201">
                      <w:marLeft w:val="0"/>
                      <w:marRight w:val="0"/>
                      <w:marTop w:val="0"/>
                      <w:marBottom w:val="0"/>
                      <w:divBdr>
                        <w:top w:val="none" w:sz="0" w:space="0" w:color="auto"/>
                        <w:left w:val="none" w:sz="0" w:space="0" w:color="auto"/>
                        <w:bottom w:val="none" w:sz="0" w:space="0" w:color="auto"/>
                        <w:right w:val="none" w:sz="0" w:space="0" w:color="auto"/>
                      </w:divBdr>
                    </w:div>
                  </w:divsChild>
                </w:div>
                <w:div w:id="1065955187">
                  <w:marLeft w:val="0"/>
                  <w:marRight w:val="0"/>
                  <w:marTop w:val="0"/>
                  <w:marBottom w:val="0"/>
                  <w:divBdr>
                    <w:top w:val="none" w:sz="0" w:space="0" w:color="auto"/>
                    <w:left w:val="none" w:sz="0" w:space="0" w:color="auto"/>
                    <w:bottom w:val="none" w:sz="0" w:space="0" w:color="auto"/>
                    <w:right w:val="none" w:sz="0" w:space="0" w:color="auto"/>
                  </w:divBdr>
                  <w:divsChild>
                    <w:div w:id="387611098">
                      <w:marLeft w:val="0"/>
                      <w:marRight w:val="0"/>
                      <w:marTop w:val="0"/>
                      <w:marBottom w:val="0"/>
                      <w:divBdr>
                        <w:top w:val="none" w:sz="0" w:space="0" w:color="auto"/>
                        <w:left w:val="none" w:sz="0" w:space="0" w:color="auto"/>
                        <w:bottom w:val="none" w:sz="0" w:space="0" w:color="auto"/>
                        <w:right w:val="none" w:sz="0" w:space="0" w:color="auto"/>
                      </w:divBdr>
                    </w:div>
                  </w:divsChild>
                </w:div>
                <w:div w:id="1067142302">
                  <w:marLeft w:val="0"/>
                  <w:marRight w:val="0"/>
                  <w:marTop w:val="0"/>
                  <w:marBottom w:val="0"/>
                  <w:divBdr>
                    <w:top w:val="none" w:sz="0" w:space="0" w:color="auto"/>
                    <w:left w:val="none" w:sz="0" w:space="0" w:color="auto"/>
                    <w:bottom w:val="none" w:sz="0" w:space="0" w:color="auto"/>
                    <w:right w:val="none" w:sz="0" w:space="0" w:color="auto"/>
                  </w:divBdr>
                  <w:divsChild>
                    <w:div w:id="2117096242">
                      <w:marLeft w:val="0"/>
                      <w:marRight w:val="0"/>
                      <w:marTop w:val="0"/>
                      <w:marBottom w:val="0"/>
                      <w:divBdr>
                        <w:top w:val="none" w:sz="0" w:space="0" w:color="auto"/>
                        <w:left w:val="none" w:sz="0" w:space="0" w:color="auto"/>
                        <w:bottom w:val="none" w:sz="0" w:space="0" w:color="auto"/>
                        <w:right w:val="none" w:sz="0" w:space="0" w:color="auto"/>
                      </w:divBdr>
                    </w:div>
                  </w:divsChild>
                </w:div>
                <w:div w:id="1079862068">
                  <w:marLeft w:val="0"/>
                  <w:marRight w:val="0"/>
                  <w:marTop w:val="0"/>
                  <w:marBottom w:val="0"/>
                  <w:divBdr>
                    <w:top w:val="none" w:sz="0" w:space="0" w:color="auto"/>
                    <w:left w:val="none" w:sz="0" w:space="0" w:color="auto"/>
                    <w:bottom w:val="none" w:sz="0" w:space="0" w:color="auto"/>
                    <w:right w:val="none" w:sz="0" w:space="0" w:color="auto"/>
                  </w:divBdr>
                  <w:divsChild>
                    <w:div w:id="1926380506">
                      <w:marLeft w:val="0"/>
                      <w:marRight w:val="0"/>
                      <w:marTop w:val="0"/>
                      <w:marBottom w:val="0"/>
                      <w:divBdr>
                        <w:top w:val="none" w:sz="0" w:space="0" w:color="auto"/>
                        <w:left w:val="none" w:sz="0" w:space="0" w:color="auto"/>
                        <w:bottom w:val="none" w:sz="0" w:space="0" w:color="auto"/>
                        <w:right w:val="none" w:sz="0" w:space="0" w:color="auto"/>
                      </w:divBdr>
                    </w:div>
                  </w:divsChild>
                </w:div>
                <w:div w:id="1084033604">
                  <w:marLeft w:val="0"/>
                  <w:marRight w:val="0"/>
                  <w:marTop w:val="0"/>
                  <w:marBottom w:val="0"/>
                  <w:divBdr>
                    <w:top w:val="none" w:sz="0" w:space="0" w:color="auto"/>
                    <w:left w:val="none" w:sz="0" w:space="0" w:color="auto"/>
                    <w:bottom w:val="none" w:sz="0" w:space="0" w:color="auto"/>
                    <w:right w:val="none" w:sz="0" w:space="0" w:color="auto"/>
                  </w:divBdr>
                  <w:divsChild>
                    <w:div w:id="1071152031">
                      <w:marLeft w:val="0"/>
                      <w:marRight w:val="0"/>
                      <w:marTop w:val="0"/>
                      <w:marBottom w:val="0"/>
                      <w:divBdr>
                        <w:top w:val="none" w:sz="0" w:space="0" w:color="auto"/>
                        <w:left w:val="none" w:sz="0" w:space="0" w:color="auto"/>
                        <w:bottom w:val="none" w:sz="0" w:space="0" w:color="auto"/>
                        <w:right w:val="none" w:sz="0" w:space="0" w:color="auto"/>
                      </w:divBdr>
                    </w:div>
                  </w:divsChild>
                </w:div>
                <w:div w:id="1093014025">
                  <w:marLeft w:val="0"/>
                  <w:marRight w:val="0"/>
                  <w:marTop w:val="0"/>
                  <w:marBottom w:val="0"/>
                  <w:divBdr>
                    <w:top w:val="none" w:sz="0" w:space="0" w:color="auto"/>
                    <w:left w:val="none" w:sz="0" w:space="0" w:color="auto"/>
                    <w:bottom w:val="none" w:sz="0" w:space="0" w:color="auto"/>
                    <w:right w:val="none" w:sz="0" w:space="0" w:color="auto"/>
                  </w:divBdr>
                  <w:divsChild>
                    <w:div w:id="1867476534">
                      <w:marLeft w:val="0"/>
                      <w:marRight w:val="0"/>
                      <w:marTop w:val="0"/>
                      <w:marBottom w:val="0"/>
                      <w:divBdr>
                        <w:top w:val="none" w:sz="0" w:space="0" w:color="auto"/>
                        <w:left w:val="none" w:sz="0" w:space="0" w:color="auto"/>
                        <w:bottom w:val="none" w:sz="0" w:space="0" w:color="auto"/>
                        <w:right w:val="none" w:sz="0" w:space="0" w:color="auto"/>
                      </w:divBdr>
                    </w:div>
                  </w:divsChild>
                </w:div>
                <w:div w:id="1099721886">
                  <w:marLeft w:val="0"/>
                  <w:marRight w:val="0"/>
                  <w:marTop w:val="0"/>
                  <w:marBottom w:val="0"/>
                  <w:divBdr>
                    <w:top w:val="none" w:sz="0" w:space="0" w:color="auto"/>
                    <w:left w:val="none" w:sz="0" w:space="0" w:color="auto"/>
                    <w:bottom w:val="none" w:sz="0" w:space="0" w:color="auto"/>
                    <w:right w:val="none" w:sz="0" w:space="0" w:color="auto"/>
                  </w:divBdr>
                  <w:divsChild>
                    <w:div w:id="1355376228">
                      <w:marLeft w:val="0"/>
                      <w:marRight w:val="0"/>
                      <w:marTop w:val="0"/>
                      <w:marBottom w:val="0"/>
                      <w:divBdr>
                        <w:top w:val="none" w:sz="0" w:space="0" w:color="auto"/>
                        <w:left w:val="none" w:sz="0" w:space="0" w:color="auto"/>
                        <w:bottom w:val="none" w:sz="0" w:space="0" w:color="auto"/>
                        <w:right w:val="none" w:sz="0" w:space="0" w:color="auto"/>
                      </w:divBdr>
                    </w:div>
                  </w:divsChild>
                </w:div>
                <w:div w:id="1102645513">
                  <w:marLeft w:val="0"/>
                  <w:marRight w:val="0"/>
                  <w:marTop w:val="0"/>
                  <w:marBottom w:val="0"/>
                  <w:divBdr>
                    <w:top w:val="none" w:sz="0" w:space="0" w:color="auto"/>
                    <w:left w:val="none" w:sz="0" w:space="0" w:color="auto"/>
                    <w:bottom w:val="none" w:sz="0" w:space="0" w:color="auto"/>
                    <w:right w:val="none" w:sz="0" w:space="0" w:color="auto"/>
                  </w:divBdr>
                  <w:divsChild>
                    <w:div w:id="1180970376">
                      <w:marLeft w:val="0"/>
                      <w:marRight w:val="0"/>
                      <w:marTop w:val="0"/>
                      <w:marBottom w:val="0"/>
                      <w:divBdr>
                        <w:top w:val="none" w:sz="0" w:space="0" w:color="auto"/>
                        <w:left w:val="none" w:sz="0" w:space="0" w:color="auto"/>
                        <w:bottom w:val="none" w:sz="0" w:space="0" w:color="auto"/>
                        <w:right w:val="none" w:sz="0" w:space="0" w:color="auto"/>
                      </w:divBdr>
                    </w:div>
                  </w:divsChild>
                </w:div>
                <w:div w:id="1103065808">
                  <w:marLeft w:val="0"/>
                  <w:marRight w:val="0"/>
                  <w:marTop w:val="0"/>
                  <w:marBottom w:val="0"/>
                  <w:divBdr>
                    <w:top w:val="none" w:sz="0" w:space="0" w:color="auto"/>
                    <w:left w:val="none" w:sz="0" w:space="0" w:color="auto"/>
                    <w:bottom w:val="none" w:sz="0" w:space="0" w:color="auto"/>
                    <w:right w:val="none" w:sz="0" w:space="0" w:color="auto"/>
                  </w:divBdr>
                  <w:divsChild>
                    <w:div w:id="1091271166">
                      <w:marLeft w:val="0"/>
                      <w:marRight w:val="0"/>
                      <w:marTop w:val="0"/>
                      <w:marBottom w:val="0"/>
                      <w:divBdr>
                        <w:top w:val="none" w:sz="0" w:space="0" w:color="auto"/>
                        <w:left w:val="none" w:sz="0" w:space="0" w:color="auto"/>
                        <w:bottom w:val="none" w:sz="0" w:space="0" w:color="auto"/>
                        <w:right w:val="none" w:sz="0" w:space="0" w:color="auto"/>
                      </w:divBdr>
                    </w:div>
                  </w:divsChild>
                </w:div>
                <w:div w:id="1103496501">
                  <w:marLeft w:val="0"/>
                  <w:marRight w:val="0"/>
                  <w:marTop w:val="0"/>
                  <w:marBottom w:val="0"/>
                  <w:divBdr>
                    <w:top w:val="none" w:sz="0" w:space="0" w:color="auto"/>
                    <w:left w:val="none" w:sz="0" w:space="0" w:color="auto"/>
                    <w:bottom w:val="none" w:sz="0" w:space="0" w:color="auto"/>
                    <w:right w:val="none" w:sz="0" w:space="0" w:color="auto"/>
                  </w:divBdr>
                  <w:divsChild>
                    <w:div w:id="1136067195">
                      <w:marLeft w:val="0"/>
                      <w:marRight w:val="0"/>
                      <w:marTop w:val="0"/>
                      <w:marBottom w:val="0"/>
                      <w:divBdr>
                        <w:top w:val="none" w:sz="0" w:space="0" w:color="auto"/>
                        <w:left w:val="none" w:sz="0" w:space="0" w:color="auto"/>
                        <w:bottom w:val="none" w:sz="0" w:space="0" w:color="auto"/>
                        <w:right w:val="none" w:sz="0" w:space="0" w:color="auto"/>
                      </w:divBdr>
                    </w:div>
                  </w:divsChild>
                </w:div>
                <w:div w:id="1134441827">
                  <w:marLeft w:val="0"/>
                  <w:marRight w:val="0"/>
                  <w:marTop w:val="0"/>
                  <w:marBottom w:val="0"/>
                  <w:divBdr>
                    <w:top w:val="none" w:sz="0" w:space="0" w:color="auto"/>
                    <w:left w:val="none" w:sz="0" w:space="0" w:color="auto"/>
                    <w:bottom w:val="none" w:sz="0" w:space="0" w:color="auto"/>
                    <w:right w:val="none" w:sz="0" w:space="0" w:color="auto"/>
                  </w:divBdr>
                  <w:divsChild>
                    <w:div w:id="814179100">
                      <w:marLeft w:val="0"/>
                      <w:marRight w:val="0"/>
                      <w:marTop w:val="0"/>
                      <w:marBottom w:val="0"/>
                      <w:divBdr>
                        <w:top w:val="none" w:sz="0" w:space="0" w:color="auto"/>
                        <w:left w:val="none" w:sz="0" w:space="0" w:color="auto"/>
                        <w:bottom w:val="none" w:sz="0" w:space="0" w:color="auto"/>
                        <w:right w:val="none" w:sz="0" w:space="0" w:color="auto"/>
                      </w:divBdr>
                    </w:div>
                  </w:divsChild>
                </w:div>
                <w:div w:id="1161309367">
                  <w:marLeft w:val="0"/>
                  <w:marRight w:val="0"/>
                  <w:marTop w:val="0"/>
                  <w:marBottom w:val="0"/>
                  <w:divBdr>
                    <w:top w:val="none" w:sz="0" w:space="0" w:color="auto"/>
                    <w:left w:val="none" w:sz="0" w:space="0" w:color="auto"/>
                    <w:bottom w:val="none" w:sz="0" w:space="0" w:color="auto"/>
                    <w:right w:val="none" w:sz="0" w:space="0" w:color="auto"/>
                  </w:divBdr>
                  <w:divsChild>
                    <w:div w:id="1200510060">
                      <w:marLeft w:val="0"/>
                      <w:marRight w:val="0"/>
                      <w:marTop w:val="0"/>
                      <w:marBottom w:val="0"/>
                      <w:divBdr>
                        <w:top w:val="none" w:sz="0" w:space="0" w:color="auto"/>
                        <w:left w:val="none" w:sz="0" w:space="0" w:color="auto"/>
                        <w:bottom w:val="none" w:sz="0" w:space="0" w:color="auto"/>
                        <w:right w:val="none" w:sz="0" w:space="0" w:color="auto"/>
                      </w:divBdr>
                    </w:div>
                  </w:divsChild>
                </w:div>
                <w:div w:id="1164929003">
                  <w:marLeft w:val="0"/>
                  <w:marRight w:val="0"/>
                  <w:marTop w:val="0"/>
                  <w:marBottom w:val="0"/>
                  <w:divBdr>
                    <w:top w:val="none" w:sz="0" w:space="0" w:color="auto"/>
                    <w:left w:val="none" w:sz="0" w:space="0" w:color="auto"/>
                    <w:bottom w:val="none" w:sz="0" w:space="0" w:color="auto"/>
                    <w:right w:val="none" w:sz="0" w:space="0" w:color="auto"/>
                  </w:divBdr>
                  <w:divsChild>
                    <w:div w:id="1235051055">
                      <w:marLeft w:val="0"/>
                      <w:marRight w:val="0"/>
                      <w:marTop w:val="0"/>
                      <w:marBottom w:val="0"/>
                      <w:divBdr>
                        <w:top w:val="none" w:sz="0" w:space="0" w:color="auto"/>
                        <w:left w:val="none" w:sz="0" w:space="0" w:color="auto"/>
                        <w:bottom w:val="none" w:sz="0" w:space="0" w:color="auto"/>
                        <w:right w:val="none" w:sz="0" w:space="0" w:color="auto"/>
                      </w:divBdr>
                    </w:div>
                  </w:divsChild>
                </w:div>
                <w:div w:id="1165634035">
                  <w:marLeft w:val="0"/>
                  <w:marRight w:val="0"/>
                  <w:marTop w:val="0"/>
                  <w:marBottom w:val="0"/>
                  <w:divBdr>
                    <w:top w:val="none" w:sz="0" w:space="0" w:color="auto"/>
                    <w:left w:val="none" w:sz="0" w:space="0" w:color="auto"/>
                    <w:bottom w:val="none" w:sz="0" w:space="0" w:color="auto"/>
                    <w:right w:val="none" w:sz="0" w:space="0" w:color="auto"/>
                  </w:divBdr>
                  <w:divsChild>
                    <w:div w:id="384063289">
                      <w:marLeft w:val="0"/>
                      <w:marRight w:val="0"/>
                      <w:marTop w:val="0"/>
                      <w:marBottom w:val="0"/>
                      <w:divBdr>
                        <w:top w:val="none" w:sz="0" w:space="0" w:color="auto"/>
                        <w:left w:val="none" w:sz="0" w:space="0" w:color="auto"/>
                        <w:bottom w:val="none" w:sz="0" w:space="0" w:color="auto"/>
                        <w:right w:val="none" w:sz="0" w:space="0" w:color="auto"/>
                      </w:divBdr>
                    </w:div>
                  </w:divsChild>
                </w:div>
                <w:div w:id="1166289889">
                  <w:marLeft w:val="0"/>
                  <w:marRight w:val="0"/>
                  <w:marTop w:val="0"/>
                  <w:marBottom w:val="0"/>
                  <w:divBdr>
                    <w:top w:val="none" w:sz="0" w:space="0" w:color="auto"/>
                    <w:left w:val="none" w:sz="0" w:space="0" w:color="auto"/>
                    <w:bottom w:val="none" w:sz="0" w:space="0" w:color="auto"/>
                    <w:right w:val="none" w:sz="0" w:space="0" w:color="auto"/>
                  </w:divBdr>
                  <w:divsChild>
                    <w:div w:id="1838111752">
                      <w:marLeft w:val="0"/>
                      <w:marRight w:val="0"/>
                      <w:marTop w:val="0"/>
                      <w:marBottom w:val="0"/>
                      <w:divBdr>
                        <w:top w:val="none" w:sz="0" w:space="0" w:color="auto"/>
                        <w:left w:val="none" w:sz="0" w:space="0" w:color="auto"/>
                        <w:bottom w:val="none" w:sz="0" w:space="0" w:color="auto"/>
                        <w:right w:val="none" w:sz="0" w:space="0" w:color="auto"/>
                      </w:divBdr>
                    </w:div>
                  </w:divsChild>
                </w:div>
                <w:div w:id="1181509828">
                  <w:marLeft w:val="0"/>
                  <w:marRight w:val="0"/>
                  <w:marTop w:val="0"/>
                  <w:marBottom w:val="0"/>
                  <w:divBdr>
                    <w:top w:val="none" w:sz="0" w:space="0" w:color="auto"/>
                    <w:left w:val="none" w:sz="0" w:space="0" w:color="auto"/>
                    <w:bottom w:val="none" w:sz="0" w:space="0" w:color="auto"/>
                    <w:right w:val="none" w:sz="0" w:space="0" w:color="auto"/>
                  </w:divBdr>
                  <w:divsChild>
                    <w:div w:id="469981385">
                      <w:marLeft w:val="0"/>
                      <w:marRight w:val="0"/>
                      <w:marTop w:val="0"/>
                      <w:marBottom w:val="0"/>
                      <w:divBdr>
                        <w:top w:val="none" w:sz="0" w:space="0" w:color="auto"/>
                        <w:left w:val="none" w:sz="0" w:space="0" w:color="auto"/>
                        <w:bottom w:val="none" w:sz="0" w:space="0" w:color="auto"/>
                        <w:right w:val="none" w:sz="0" w:space="0" w:color="auto"/>
                      </w:divBdr>
                    </w:div>
                  </w:divsChild>
                </w:div>
                <w:div w:id="1199589202">
                  <w:marLeft w:val="0"/>
                  <w:marRight w:val="0"/>
                  <w:marTop w:val="0"/>
                  <w:marBottom w:val="0"/>
                  <w:divBdr>
                    <w:top w:val="none" w:sz="0" w:space="0" w:color="auto"/>
                    <w:left w:val="none" w:sz="0" w:space="0" w:color="auto"/>
                    <w:bottom w:val="none" w:sz="0" w:space="0" w:color="auto"/>
                    <w:right w:val="none" w:sz="0" w:space="0" w:color="auto"/>
                  </w:divBdr>
                  <w:divsChild>
                    <w:div w:id="1137841098">
                      <w:marLeft w:val="0"/>
                      <w:marRight w:val="0"/>
                      <w:marTop w:val="0"/>
                      <w:marBottom w:val="0"/>
                      <w:divBdr>
                        <w:top w:val="none" w:sz="0" w:space="0" w:color="auto"/>
                        <w:left w:val="none" w:sz="0" w:space="0" w:color="auto"/>
                        <w:bottom w:val="none" w:sz="0" w:space="0" w:color="auto"/>
                        <w:right w:val="none" w:sz="0" w:space="0" w:color="auto"/>
                      </w:divBdr>
                    </w:div>
                  </w:divsChild>
                </w:div>
                <w:div w:id="1220945014">
                  <w:marLeft w:val="0"/>
                  <w:marRight w:val="0"/>
                  <w:marTop w:val="0"/>
                  <w:marBottom w:val="0"/>
                  <w:divBdr>
                    <w:top w:val="none" w:sz="0" w:space="0" w:color="auto"/>
                    <w:left w:val="none" w:sz="0" w:space="0" w:color="auto"/>
                    <w:bottom w:val="none" w:sz="0" w:space="0" w:color="auto"/>
                    <w:right w:val="none" w:sz="0" w:space="0" w:color="auto"/>
                  </w:divBdr>
                  <w:divsChild>
                    <w:div w:id="1496072742">
                      <w:marLeft w:val="0"/>
                      <w:marRight w:val="0"/>
                      <w:marTop w:val="0"/>
                      <w:marBottom w:val="0"/>
                      <w:divBdr>
                        <w:top w:val="none" w:sz="0" w:space="0" w:color="auto"/>
                        <w:left w:val="none" w:sz="0" w:space="0" w:color="auto"/>
                        <w:bottom w:val="none" w:sz="0" w:space="0" w:color="auto"/>
                        <w:right w:val="none" w:sz="0" w:space="0" w:color="auto"/>
                      </w:divBdr>
                    </w:div>
                  </w:divsChild>
                </w:div>
                <w:div w:id="1233810673">
                  <w:marLeft w:val="0"/>
                  <w:marRight w:val="0"/>
                  <w:marTop w:val="0"/>
                  <w:marBottom w:val="0"/>
                  <w:divBdr>
                    <w:top w:val="none" w:sz="0" w:space="0" w:color="auto"/>
                    <w:left w:val="none" w:sz="0" w:space="0" w:color="auto"/>
                    <w:bottom w:val="none" w:sz="0" w:space="0" w:color="auto"/>
                    <w:right w:val="none" w:sz="0" w:space="0" w:color="auto"/>
                  </w:divBdr>
                  <w:divsChild>
                    <w:div w:id="325060740">
                      <w:marLeft w:val="0"/>
                      <w:marRight w:val="0"/>
                      <w:marTop w:val="0"/>
                      <w:marBottom w:val="0"/>
                      <w:divBdr>
                        <w:top w:val="none" w:sz="0" w:space="0" w:color="auto"/>
                        <w:left w:val="none" w:sz="0" w:space="0" w:color="auto"/>
                        <w:bottom w:val="none" w:sz="0" w:space="0" w:color="auto"/>
                        <w:right w:val="none" w:sz="0" w:space="0" w:color="auto"/>
                      </w:divBdr>
                    </w:div>
                  </w:divsChild>
                </w:div>
                <w:div w:id="1254045269">
                  <w:marLeft w:val="0"/>
                  <w:marRight w:val="0"/>
                  <w:marTop w:val="0"/>
                  <w:marBottom w:val="0"/>
                  <w:divBdr>
                    <w:top w:val="none" w:sz="0" w:space="0" w:color="auto"/>
                    <w:left w:val="none" w:sz="0" w:space="0" w:color="auto"/>
                    <w:bottom w:val="none" w:sz="0" w:space="0" w:color="auto"/>
                    <w:right w:val="none" w:sz="0" w:space="0" w:color="auto"/>
                  </w:divBdr>
                  <w:divsChild>
                    <w:div w:id="1863282114">
                      <w:marLeft w:val="0"/>
                      <w:marRight w:val="0"/>
                      <w:marTop w:val="0"/>
                      <w:marBottom w:val="0"/>
                      <w:divBdr>
                        <w:top w:val="none" w:sz="0" w:space="0" w:color="auto"/>
                        <w:left w:val="none" w:sz="0" w:space="0" w:color="auto"/>
                        <w:bottom w:val="none" w:sz="0" w:space="0" w:color="auto"/>
                        <w:right w:val="none" w:sz="0" w:space="0" w:color="auto"/>
                      </w:divBdr>
                    </w:div>
                  </w:divsChild>
                </w:div>
                <w:div w:id="1267494802">
                  <w:marLeft w:val="0"/>
                  <w:marRight w:val="0"/>
                  <w:marTop w:val="0"/>
                  <w:marBottom w:val="0"/>
                  <w:divBdr>
                    <w:top w:val="none" w:sz="0" w:space="0" w:color="auto"/>
                    <w:left w:val="none" w:sz="0" w:space="0" w:color="auto"/>
                    <w:bottom w:val="none" w:sz="0" w:space="0" w:color="auto"/>
                    <w:right w:val="none" w:sz="0" w:space="0" w:color="auto"/>
                  </w:divBdr>
                  <w:divsChild>
                    <w:div w:id="995843447">
                      <w:marLeft w:val="0"/>
                      <w:marRight w:val="0"/>
                      <w:marTop w:val="0"/>
                      <w:marBottom w:val="0"/>
                      <w:divBdr>
                        <w:top w:val="none" w:sz="0" w:space="0" w:color="auto"/>
                        <w:left w:val="none" w:sz="0" w:space="0" w:color="auto"/>
                        <w:bottom w:val="none" w:sz="0" w:space="0" w:color="auto"/>
                        <w:right w:val="none" w:sz="0" w:space="0" w:color="auto"/>
                      </w:divBdr>
                    </w:div>
                  </w:divsChild>
                </w:div>
                <w:div w:id="1272781855">
                  <w:marLeft w:val="0"/>
                  <w:marRight w:val="0"/>
                  <w:marTop w:val="0"/>
                  <w:marBottom w:val="0"/>
                  <w:divBdr>
                    <w:top w:val="none" w:sz="0" w:space="0" w:color="auto"/>
                    <w:left w:val="none" w:sz="0" w:space="0" w:color="auto"/>
                    <w:bottom w:val="none" w:sz="0" w:space="0" w:color="auto"/>
                    <w:right w:val="none" w:sz="0" w:space="0" w:color="auto"/>
                  </w:divBdr>
                  <w:divsChild>
                    <w:div w:id="1392659019">
                      <w:marLeft w:val="0"/>
                      <w:marRight w:val="0"/>
                      <w:marTop w:val="0"/>
                      <w:marBottom w:val="0"/>
                      <w:divBdr>
                        <w:top w:val="none" w:sz="0" w:space="0" w:color="auto"/>
                        <w:left w:val="none" w:sz="0" w:space="0" w:color="auto"/>
                        <w:bottom w:val="none" w:sz="0" w:space="0" w:color="auto"/>
                        <w:right w:val="none" w:sz="0" w:space="0" w:color="auto"/>
                      </w:divBdr>
                    </w:div>
                  </w:divsChild>
                </w:div>
                <w:div w:id="1286541378">
                  <w:marLeft w:val="0"/>
                  <w:marRight w:val="0"/>
                  <w:marTop w:val="0"/>
                  <w:marBottom w:val="0"/>
                  <w:divBdr>
                    <w:top w:val="none" w:sz="0" w:space="0" w:color="auto"/>
                    <w:left w:val="none" w:sz="0" w:space="0" w:color="auto"/>
                    <w:bottom w:val="none" w:sz="0" w:space="0" w:color="auto"/>
                    <w:right w:val="none" w:sz="0" w:space="0" w:color="auto"/>
                  </w:divBdr>
                  <w:divsChild>
                    <w:div w:id="1979139012">
                      <w:marLeft w:val="0"/>
                      <w:marRight w:val="0"/>
                      <w:marTop w:val="0"/>
                      <w:marBottom w:val="0"/>
                      <w:divBdr>
                        <w:top w:val="none" w:sz="0" w:space="0" w:color="auto"/>
                        <w:left w:val="none" w:sz="0" w:space="0" w:color="auto"/>
                        <w:bottom w:val="none" w:sz="0" w:space="0" w:color="auto"/>
                        <w:right w:val="none" w:sz="0" w:space="0" w:color="auto"/>
                      </w:divBdr>
                    </w:div>
                  </w:divsChild>
                </w:div>
                <w:div w:id="1299608895">
                  <w:marLeft w:val="0"/>
                  <w:marRight w:val="0"/>
                  <w:marTop w:val="0"/>
                  <w:marBottom w:val="0"/>
                  <w:divBdr>
                    <w:top w:val="none" w:sz="0" w:space="0" w:color="auto"/>
                    <w:left w:val="none" w:sz="0" w:space="0" w:color="auto"/>
                    <w:bottom w:val="none" w:sz="0" w:space="0" w:color="auto"/>
                    <w:right w:val="none" w:sz="0" w:space="0" w:color="auto"/>
                  </w:divBdr>
                  <w:divsChild>
                    <w:div w:id="1126004052">
                      <w:marLeft w:val="0"/>
                      <w:marRight w:val="0"/>
                      <w:marTop w:val="0"/>
                      <w:marBottom w:val="0"/>
                      <w:divBdr>
                        <w:top w:val="none" w:sz="0" w:space="0" w:color="auto"/>
                        <w:left w:val="none" w:sz="0" w:space="0" w:color="auto"/>
                        <w:bottom w:val="none" w:sz="0" w:space="0" w:color="auto"/>
                        <w:right w:val="none" w:sz="0" w:space="0" w:color="auto"/>
                      </w:divBdr>
                    </w:div>
                  </w:divsChild>
                </w:div>
                <w:div w:id="1308318566">
                  <w:marLeft w:val="0"/>
                  <w:marRight w:val="0"/>
                  <w:marTop w:val="0"/>
                  <w:marBottom w:val="0"/>
                  <w:divBdr>
                    <w:top w:val="none" w:sz="0" w:space="0" w:color="auto"/>
                    <w:left w:val="none" w:sz="0" w:space="0" w:color="auto"/>
                    <w:bottom w:val="none" w:sz="0" w:space="0" w:color="auto"/>
                    <w:right w:val="none" w:sz="0" w:space="0" w:color="auto"/>
                  </w:divBdr>
                  <w:divsChild>
                    <w:div w:id="1429958085">
                      <w:marLeft w:val="0"/>
                      <w:marRight w:val="0"/>
                      <w:marTop w:val="0"/>
                      <w:marBottom w:val="0"/>
                      <w:divBdr>
                        <w:top w:val="none" w:sz="0" w:space="0" w:color="auto"/>
                        <w:left w:val="none" w:sz="0" w:space="0" w:color="auto"/>
                        <w:bottom w:val="none" w:sz="0" w:space="0" w:color="auto"/>
                        <w:right w:val="none" w:sz="0" w:space="0" w:color="auto"/>
                      </w:divBdr>
                    </w:div>
                  </w:divsChild>
                </w:div>
                <w:div w:id="1321882312">
                  <w:marLeft w:val="0"/>
                  <w:marRight w:val="0"/>
                  <w:marTop w:val="0"/>
                  <w:marBottom w:val="0"/>
                  <w:divBdr>
                    <w:top w:val="none" w:sz="0" w:space="0" w:color="auto"/>
                    <w:left w:val="none" w:sz="0" w:space="0" w:color="auto"/>
                    <w:bottom w:val="none" w:sz="0" w:space="0" w:color="auto"/>
                    <w:right w:val="none" w:sz="0" w:space="0" w:color="auto"/>
                  </w:divBdr>
                  <w:divsChild>
                    <w:div w:id="2034649782">
                      <w:marLeft w:val="0"/>
                      <w:marRight w:val="0"/>
                      <w:marTop w:val="0"/>
                      <w:marBottom w:val="0"/>
                      <w:divBdr>
                        <w:top w:val="none" w:sz="0" w:space="0" w:color="auto"/>
                        <w:left w:val="none" w:sz="0" w:space="0" w:color="auto"/>
                        <w:bottom w:val="none" w:sz="0" w:space="0" w:color="auto"/>
                        <w:right w:val="none" w:sz="0" w:space="0" w:color="auto"/>
                      </w:divBdr>
                    </w:div>
                  </w:divsChild>
                </w:div>
                <w:div w:id="1326277751">
                  <w:marLeft w:val="0"/>
                  <w:marRight w:val="0"/>
                  <w:marTop w:val="0"/>
                  <w:marBottom w:val="0"/>
                  <w:divBdr>
                    <w:top w:val="none" w:sz="0" w:space="0" w:color="auto"/>
                    <w:left w:val="none" w:sz="0" w:space="0" w:color="auto"/>
                    <w:bottom w:val="none" w:sz="0" w:space="0" w:color="auto"/>
                    <w:right w:val="none" w:sz="0" w:space="0" w:color="auto"/>
                  </w:divBdr>
                  <w:divsChild>
                    <w:div w:id="375205339">
                      <w:marLeft w:val="0"/>
                      <w:marRight w:val="0"/>
                      <w:marTop w:val="0"/>
                      <w:marBottom w:val="0"/>
                      <w:divBdr>
                        <w:top w:val="none" w:sz="0" w:space="0" w:color="auto"/>
                        <w:left w:val="none" w:sz="0" w:space="0" w:color="auto"/>
                        <w:bottom w:val="none" w:sz="0" w:space="0" w:color="auto"/>
                        <w:right w:val="none" w:sz="0" w:space="0" w:color="auto"/>
                      </w:divBdr>
                    </w:div>
                  </w:divsChild>
                </w:div>
                <w:div w:id="1335302473">
                  <w:marLeft w:val="0"/>
                  <w:marRight w:val="0"/>
                  <w:marTop w:val="0"/>
                  <w:marBottom w:val="0"/>
                  <w:divBdr>
                    <w:top w:val="none" w:sz="0" w:space="0" w:color="auto"/>
                    <w:left w:val="none" w:sz="0" w:space="0" w:color="auto"/>
                    <w:bottom w:val="none" w:sz="0" w:space="0" w:color="auto"/>
                    <w:right w:val="none" w:sz="0" w:space="0" w:color="auto"/>
                  </w:divBdr>
                  <w:divsChild>
                    <w:div w:id="1181436288">
                      <w:marLeft w:val="0"/>
                      <w:marRight w:val="0"/>
                      <w:marTop w:val="0"/>
                      <w:marBottom w:val="0"/>
                      <w:divBdr>
                        <w:top w:val="none" w:sz="0" w:space="0" w:color="auto"/>
                        <w:left w:val="none" w:sz="0" w:space="0" w:color="auto"/>
                        <w:bottom w:val="none" w:sz="0" w:space="0" w:color="auto"/>
                        <w:right w:val="none" w:sz="0" w:space="0" w:color="auto"/>
                      </w:divBdr>
                    </w:div>
                  </w:divsChild>
                </w:div>
                <w:div w:id="1338800610">
                  <w:marLeft w:val="0"/>
                  <w:marRight w:val="0"/>
                  <w:marTop w:val="0"/>
                  <w:marBottom w:val="0"/>
                  <w:divBdr>
                    <w:top w:val="none" w:sz="0" w:space="0" w:color="auto"/>
                    <w:left w:val="none" w:sz="0" w:space="0" w:color="auto"/>
                    <w:bottom w:val="none" w:sz="0" w:space="0" w:color="auto"/>
                    <w:right w:val="none" w:sz="0" w:space="0" w:color="auto"/>
                  </w:divBdr>
                  <w:divsChild>
                    <w:div w:id="1606304054">
                      <w:marLeft w:val="0"/>
                      <w:marRight w:val="0"/>
                      <w:marTop w:val="0"/>
                      <w:marBottom w:val="0"/>
                      <w:divBdr>
                        <w:top w:val="none" w:sz="0" w:space="0" w:color="auto"/>
                        <w:left w:val="none" w:sz="0" w:space="0" w:color="auto"/>
                        <w:bottom w:val="none" w:sz="0" w:space="0" w:color="auto"/>
                        <w:right w:val="none" w:sz="0" w:space="0" w:color="auto"/>
                      </w:divBdr>
                    </w:div>
                  </w:divsChild>
                </w:div>
                <w:div w:id="1361249188">
                  <w:marLeft w:val="0"/>
                  <w:marRight w:val="0"/>
                  <w:marTop w:val="0"/>
                  <w:marBottom w:val="0"/>
                  <w:divBdr>
                    <w:top w:val="none" w:sz="0" w:space="0" w:color="auto"/>
                    <w:left w:val="none" w:sz="0" w:space="0" w:color="auto"/>
                    <w:bottom w:val="none" w:sz="0" w:space="0" w:color="auto"/>
                    <w:right w:val="none" w:sz="0" w:space="0" w:color="auto"/>
                  </w:divBdr>
                  <w:divsChild>
                    <w:div w:id="323247743">
                      <w:marLeft w:val="0"/>
                      <w:marRight w:val="0"/>
                      <w:marTop w:val="0"/>
                      <w:marBottom w:val="0"/>
                      <w:divBdr>
                        <w:top w:val="none" w:sz="0" w:space="0" w:color="auto"/>
                        <w:left w:val="none" w:sz="0" w:space="0" w:color="auto"/>
                        <w:bottom w:val="none" w:sz="0" w:space="0" w:color="auto"/>
                        <w:right w:val="none" w:sz="0" w:space="0" w:color="auto"/>
                      </w:divBdr>
                    </w:div>
                  </w:divsChild>
                </w:div>
                <w:div w:id="1361396735">
                  <w:marLeft w:val="0"/>
                  <w:marRight w:val="0"/>
                  <w:marTop w:val="0"/>
                  <w:marBottom w:val="0"/>
                  <w:divBdr>
                    <w:top w:val="none" w:sz="0" w:space="0" w:color="auto"/>
                    <w:left w:val="none" w:sz="0" w:space="0" w:color="auto"/>
                    <w:bottom w:val="none" w:sz="0" w:space="0" w:color="auto"/>
                    <w:right w:val="none" w:sz="0" w:space="0" w:color="auto"/>
                  </w:divBdr>
                  <w:divsChild>
                    <w:div w:id="1619095882">
                      <w:marLeft w:val="0"/>
                      <w:marRight w:val="0"/>
                      <w:marTop w:val="0"/>
                      <w:marBottom w:val="0"/>
                      <w:divBdr>
                        <w:top w:val="none" w:sz="0" w:space="0" w:color="auto"/>
                        <w:left w:val="none" w:sz="0" w:space="0" w:color="auto"/>
                        <w:bottom w:val="none" w:sz="0" w:space="0" w:color="auto"/>
                        <w:right w:val="none" w:sz="0" w:space="0" w:color="auto"/>
                      </w:divBdr>
                    </w:div>
                  </w:divsChild>
                </w:div>
                <w:div w:id="1400011609">
                  <w:marLeft w:val="0"/>
                  <w:marRight w:val="0"/>
                  <w:marTop w:val="0"/>
                  <w:marBottom w:val="0"/>
                  <w:divBdr>
                    <w:top w:val="none" w:sz="0" w:space="0" w:color="auto"/>
                    <w:left w:val="none" w:sz="0" w:space="0" w:color="auto"/>
                    <w:bottom w:val="none" w:sz="0" w:space="0" w:color="auto"/>
                    <w:right w:val="none" w:sz="0" w:space="0" w:color="auto"/>
                  </w:divBdr>
                  <w:divsChild>
                    <w:div w:id="747112337">
                      <w:marLeft w:val="0"/>
                      <w:marRight w:val="0"/>
                      <w:marTop w:val="0"/>
                      <w:marBottom w:val="0"/>
                      <w:divBdr>
                        <w:top w:val="none" w:sz="0" w:space="0" w:color="auto"/>
                        <w:left w:val="none" w:sz="0" w:space="0" w:color="auto"/>
                        <w:bottom w:val="none" w:sz="0" w:space="0" w:color="auto"/>
                        <w:right w:val="none" w:sz="0" w:space="0" w:color="auto"/>
                      </w:divBdr>
                    </w:div>
                  </w:divsChild>
                </w:div>
                <w:div w:id="1407725304">
                  <w:marLeft w:val="0"/>
                  <w:marRight w:val="0"/>
                  <w:marTop w:val="0"/>
                  <w:marBottom w:val="0"/>
                  <w:divBdr>
                    <w:top w:val="none" w:sz="0" w:space="0" w:color="auto"/>
                    <w:left w:val="none" w:sz="0" w:space="0" w:color="auto"/>
                    <w:bottom w:val="none" w:sz="0" w:space="0" w:color="auto"/>
                    <w:right w:val="none" w:sz="0" w:space="0" w:color="auto"/>
                  </w:divBdr>
                  <w:divsChild>
                    <w:div w:id="1058406949">
                      <w:marLeft w:val="0"/>
                      <w:marRight w:val="0"/>
                      <w:marTop w:val="0"/>
                      <w:marBottom w:val="0"/>
                      <w:divBdr>
                        <w:top w:val="none" w:sz="0" w:space="0" w:color="auto"/>
                        <w:left w:val="none" w:sz="0" w:space="0" w:color="auto"/>
                        <w:bottom w:val="none" w:sz="0" w:space="0" w:color="auto"/>
                        <w:right w:val="none" w:sz="0" w:space="0" w:color="auto"/>
                      </w:divBdr>
                    </w:div>
                  </w:divsChild>
                </w:div>
                <w:div w:id="1411195869">
                  <w:marLeft w:val="0"/>
                  <w:marRight w:val="0"/>
                  <w:marTop w:val="0"/>
                  <w:marBottom w:val="0"/>
                  <w:divBdr>
                    <w:top w:val="none" w:sz="0" w:space="0" w:color="auto"/>
                    <w:left w:val="none" w:sz="0" w:space="0" w:color="auto"/>
                    <w:bottom w:val="none" w:sz="0" w:space="0" w:color="auto"/>
                    <w:right w:val="none" w:sz="0" w:space="0" w:color="auto"/>
                  </w:divBdr>
                  <w:divsChild>
                    <w:div w:id="1686319486">
                      <w:marLeft w:val="0"/>
                      <w:marRight w:val="0"/>
                      <w:marTop w:val="0"/>
                      <w:marBottom w:val="0"/>
                      <w:divBdr>
                        <w:top w:val="none" w:sz="0" w:space="0" w:color="auto"/>
                        <w:left w:val="none" w:sz="0" w:space="0" w:color="auto"/>
                        <w:bottom w:val="none" w:sz="0" w:space="0" w:color="auto"/>
                        <w:right w:val="none" w:sz="0" w:space="0" w:color="auto"/>
                      </w:divBdr>
                    </w:div>
                  </w:divsChild>
                </w:div>
                <w:div w:id="1416173427">
                  <w:marLeft w:val="0"/>
                  <w:marRight w:val="0"/>
                  <w:marTop w:val="0"/>
                  <w:marBottom w:val="0"/>
                  <w:divBdr>
                    <w:top w:val="none" w:sz="0" w:space="0" w:color="auto"/>
                    <w:left w:val="none" w:sz="0" w:space="0" w:color="auto"/>
                    <w:bottom w:val="none" w:sz="0" w:space="0" w:color="auto"/>
                    <w:right w:val="none" w:sz="0" w:space="0" w:color="auto"/>
                  </w:divBdr>
                  <w:divsChild>
                    <w:div w:id="1659916362">
                      <w:marLeft w:val="0"/>
                      <w:marRight w:val="0"/>
                      <w:marTop w:val="0"/>
                      <w:marBottom w:val="0"/>
                      <w:divBdr>
                        <w:top w:val="none" w:sz="0" w:space="0" w:color="auto"/>
                        <w:left w:val="none" w:sz="0" w:space="0" w:color="auto"/>
                        <w:bottom w:val="none" w:sz="0" w:space="0" w:color="auto"/>
                        <w:right w:val="none" w:sz="0" w:space="0" w:color="auto"/>
                      </w:divBdr>
                    </w:div>
                  </w:divsChild>
                </w:div>
                <w:div w:id="1454441600">
                  <w:marLeft w:val="0"/>
                  <w:marRight w:val="0"/>
                  <w:marTop w:val="0"/>
                  <w:marBottom w:val="0"/>
                  <w:divBdr>
                    <w:top w:val="none" w:sz="0" w:space="0" w:color="auto"/>
                    <w:left w:val="none" w:sz="0" w:space="0" w:color="auto"/>
                    <w:bottom w:val="none" w:sz="0" w:space="0" w:color="auto"/>
                    <w:right w:val="none" w:sz="0" w:space="0" w:color="auto"/>
                  </w:divBdr>
                  <w:divsChild>
                    <w:div w:id="205139747">
                      <w:marLeft w:val="0"/>
                      <w:marRight w:val="0"/>
                      <w:marTop w:val="0"/>
                      <w:marBottom w:val="0"/>
                      <w:divBdr>
                        <w:top w:val="none" w:sz="0" w:space="0" w:color="auto"/>
                        <w:left w:val="none" w:sz="0" w:space="0" w:color="auto"/>
                        <w:bottom w:val="none" w:sz="0" w:space="0" w:color="auto"/>
                        <w:right w:val="none" w:sz="0" w:space="0" w:color="auto"/>
                      </w:divBdr>
                    </w:div>
                  </w:divsChild>
                </w:div>
                <w:div w:id="1462111856">
                  <w:marLeft w:val="0"/>
                  <w:marRight w:val="0"/>
                  <w:marTop w:val="0"/>
                  <w:marBottom w:val="0"/>
                  <w:divBdr>
                    <w:top w:val="none" w:sz="0" w:space="0" w:color="auto"/>
                    <w:left w:val="none" w:sz="0" w:space="0" w:color="auto"/>
                    <w:bottom w:val="none" w:sz="0" w:space="0" w:color="auto"/>
                    <w:right w:val="none" w:sz="0" w:space="0" w:color="auto"/>
                  </w:divBdr>
                  <w:divsChild>
                    <w:div w:id="1487287165">
                      <w:marLeft w:val="0"/>
                      <w:marRight w:val="0"/>
                      <w:marTop w:val="0"/>
                      <w:marBottom w:val="0"/>
                      <w:divBdr>
                        <w:top w:val="none" w:sz="0" w:space="0" w:color="auto"/>
                        <w:left w:val="none" w:sz="0" w:space="0" w:color="auto"/>
                        <w:bottom w:val="none" w:sz="0" w:space="0" w:color="auto"/>
                        <w:right w:val="none" w:sz="0" w:space="0" w:color="auto"/>
                      </w:divBdr>
                    </w:div>
                  </w:divsChild>
                </w:div>
                <w:div w:id="1466122575">
                  <w:marLeft w:val="0"/>
                  <w:marRight w:val="0"/>
                  <w:marTop w:val="0"/>
                  <w:marBottom w:val="0"/>
                  <w:divBdr>
                    <w:top w:val="none" w:sz="0" w:space="0" w:color="auto"/>
                    <w:left w:val="none" w:sz="0" w:space="0" w:color="auto"/>
                    <w:bottom w:val="none" w:sz="0" w:space="0" w:color="auto"/>
                    <w:right w:val="none" w:sz="0" w:space="0" w:color="auto"/>
                  </w:divBdr>
                  <w:divsChild>
                    <w:div w:id="1855072932">
                      <w:marLeft w:val="0"/>
                      <w:marRight w:val="0"/>
                      <w:marTop w:val="0"/>
                      <w:marBottom w:val="0"/>
                      <w:divBdr>
                        <w:top w:val="none" w:sz="0" w:space="0" w:color="auto"/>
                        <w:left w:val="none" w:sz="0" w:space="0" w:color="auto"/>
                        <w:bottom w:val="none" w:sz="0" w:space="0" w:color="auto"/>
                        <w:right w:val="none" w:sz="0" w:space="0" w:color="auto"/>
                      </w:divBdr>
                    </w:div>
                  </w:divsChild>
                </w:div>
                <w:div w:id="1516916624">
                  <w:marLeft w:val="0"/>
                  <w:marRight w:val="0"/>
                  <w:marTop w:val="0"/>
                  <w:marBottom w:val="0"/>
                  <w:divBdr>
                    <w:top w:val="none" w:sz="0" w:space="0" w:color="auto"/>
                    <w:left w:val="none" w:sz="0" w:space="0" w:color="auto"/>
                    <w:bottom w:val="none" w:sz="0" w:space="0" w:color="auto"/>
                    <w:right w:val="none" w:sz="0" w:space="0" w:color="auto"/>
                  </w:divBdr>
                  <w:divsChild>
                    <w:div w:id="2098017346">
                      <w:marLeft w:val="0"/>
                      <w:marRight w:val="0"/>
                      <w:marTop w:val="0"/>
                      <w:marBottom w:val="0"/>
                      <w:divBdr>
                        <w:top w:val="none" w:sz="0" w:space="0" w:color="auto"/>
                        <w:left w:val="none" w:sz="0" w:space="0" w:color="auto"/>
                        <w:bottom w:val="none" w:sz="0" w:space="0" w:color="auto"/>
                        <w:right w:val="none" w:sz="0" w:space="0" w:color="auto"/>
                      </w:divBdr>
                    </w:div>
                  </w:divsChild>
                </w:div>
                <w:div w:id="1524318553">
                  <w:marLeft w:val="0"/>
                  <w:marRight w:val="0"/>
                  <w:marTop w:val="0"/>
                  <w:marBottom w:val="0"/>
                  <w:divBdr>
                    <w:top w:val="none" w:sz="0" w:space="0" w:color="auto"/>
                    <w:left w:val="none" w:sz="0" w:space="0" w:color="auto"/>
                    <w:bottom w:val="none" w:sz="0" w:space="0" w:color="auto"/>
                    <w:right w:val="none" w:sz="0" w:space="0" w:color="auto"/>
                  </w:divBdr>
                  <w:divsChild>
                    <w:div w:id="1876231227">
                      <w:marLeft w:val="0"/>
                      <w:marRight w:val="0"/>
                      <w:marTop w:val="0"/>
                      <w:marBottom w:val="0"/>
                      <w:divBdr>
                        <w:top w:val="none" w:sz="0" w:space="0" w:color="auto"/>
                        <w:left w:val="none" w:sz="0" w:space="0" w:color="auto"/>
                        <w:bottom w:val="none" w:sz="0" w:space="0" w:color="auto"/>
                        <w:right w:val="none" w:sz="0" w:space="0" w:color="auto"/>
                      </w:divBdr>
                    </w:div>
                  </w:divsChild>
                </w:div>
                <w:div w:id="1545025431">
                  <w:marLeft w:val="0"/>
                  <w:marRight w:val="0"/>
                  <w:marTop w:val="0"/>
                  <w:marBottom w:val="0"/>
                  <w:divBdr>
                    <w:top w:val="none" w:sz="0" w:space="0" w:color="auto"/>
                    <w:left w:val="none" w:sz="0" w:space="0" w:color="auto"/>
                    <w:bottom w:val="none" w:sz="0" w:space="0" w:color="auto"/>
                    <w:right w:val="none" w:sz="0" w:space="0" w:color="auto"/>
                  </w:divBdr>
                  <w:divsChild>
                    <w:div w:id="71203334">
                      <w:marLeft w:val="0"/>
                      <w:marRight w:val="0"/>
                      <w:marTop w:val="0"/>
                      <w:marBottom w:val="0"/>
                      <w:divBdr>
                        <w:top w:val="none" w:sz="0" w:space="0" w:color="auto"/>
                        <w:left w:val="none" w:sz="0" w:space="0" w:color="auto"/>
                        <w:bottom w:val="none" w:sz="0" w:space="0" w:color="auto"/>
                        <w:right w:val="none" w:sz="0" w:space="0" w:color="auto"/>
                      </w:divBdr>
                    </w:div>
                  </w:divsChild>
                </w:div>
                <w:div w:id="1555312841">
                  <w:marLeft w:val="0"/>
                  <w:marRight w:val="0"/>
                  <w:marTop w:val="0"/>
                  <w:marBottom w:val="0"/>
                  <w:divBdr>
                    <w:top w:val="none" w:sz="0" w:space="0" w:color="auto"/>
                    <w:left w:val="none" w:sz="0" w:space="0" w:color="auto"/>
                    <w:bottom w:val="none" w:sz="0" w:space="0" w:color="auto"/>
                    <w:right w:val="none" w:sz="0" w:space="0" w:color="auto"/>
                  </w:divBdr>
                  <w:divsChild>
                    <w:div w:id="1006596400">
                      <w:marLeft w:val="0"/>
                      <w:marRight w:val="0"/>
                      <w:marTop w:val="0"/>
                      <w:marBottom w:val="0"/>
                      <w:divBdr>
                        <w:top w:val="none" w:sz="0" w:space="0" w:color="auto"/>
                        <w:left w:val="none" w:sz="0" w:space="0" w:color="auto"/>
                        <w:bottom w:val="none" w:sz="0" w:space="0" w:color="auto"/>
                        <w:right w:val="none" w:sz="0" w:space="0" w:color="auto"/>
                      </w:divBdr>
                    </w:div>
                  </w:divsChild>
                </w:div>
                <w:div w:id="1558324427">
                  <w:marLeft w:val="0"/>
                  <w:marRight w:val="0"/>
                  <w:marTop w:val="0"/>
                  <w:marBottom w:val="0"/>
                  <w:divBdr>
                    <w:top w:val="none" w:sz="0" w:space="0" w:color="auto"/>
                    <w:left w:val="none" w:sz="0" w:space="0" w:color="auto"/>
                    <w:bottom w:val="none" w:sz="0" w:space="0" w:color="auto"/>
                    <w:right w:val="none" w:sz="0" w:space="0" w:color="auto"/>
                  </w:divBdr>
                  <w:divsChild>
                    <w:div w:id="1509827822">
                      <w:marLeft w:val="0"/>
                      <w:marRight w:val="0"/>
                      <w:marTop w:val="0"/>
                      <w:marBottom w:val="0"/>
                      <w:divBdr>
                        <w:top w:val="none" w:sz="0" w:space="0" w:color="auto"/>
                        <w:left w:val="none" w:sz="0" w:space="0" w:color="auto"/>
                        <w:bottom w:val="none" w:sz="0" w:space="0" w:color="auto"/>
                        <w:right w:val="none" w:sz="0" w:space="0" w:color="auto"/>
                      </w:divBdr>
                    </w:div>
                  </w:divsChild>
                </w:div>
                <w:div w:id="1579749187">
                  <w:marLeft w:val="0"/>
                  <w:marRight w:val="0"/>
                  <w:marTop w:val="0"/>
                  <w:marBottom w:val="0"/>
                  <w:divBdr>
                    <w:top w:val="none" w:sz="0" w:space="0" w:color="auto"/>
                    <w:left w:val="none" w:sz="0" w:space="0" w:color="auto"/>
                    <w:bottom w:val="none" w:sz="0" w:space="0" w:color="auto"/>
                    <w:right w:val="none" w:sz="0" w:space="0" w:color="auto"/>
                  </w:divBdr>
                  <w:divsChild>
                    <w:div w:id="1682008824">
                      <w:marLeft w:val="0"/>
                      <w:marRight w:val="0"/>
                      <w:marTop w:val="0"/>
                      <w:marBottom w:val="0"/>
                      <w:divBdr>
                        <w:top w:val="none" w:sz="0" w:space="0" w:color="auto"/>
                        <w:left w:val="none" w:sz="0" w:space="0" w:color="auto"/>
                        <w:bottom w:val="none" w:sz="0" w:space="0" w:color="auto"/>
                        <w:right w:val="none" w:sz="0" w:space="0" w:color="auto"/>
                      </w:divBdr>
                    </w:div>
                  </w:divsChild>
                </w:div>
                <w:div w:id="1585264326">
                  <w:marLeft w:val="0"/>
                  <w:marRight w:val="0"/>
                  <w:marTop w:val="0"/>
                  <w:marBottom w:val="0"/>
                  <w:divBdr>
                    <w:top w:val="none" w:sz="0" w:space="0" w:color="auto"/>
                    <w:left w:val="none" w:sz="0" w:space="0" w:color="auto"/>
                    <w:bottom w:val="none" w:sz="0" w:space="0" w:color="auto"/>
                    <w:right w:val="none" w:sz="0" w:space="0" w:color="auto"/>
                  </w:divBdr>
                  <w:divsChild>
                    <w:div w:id="1378243816">
                      <w:marLeft w:val="0"/>
                      <w:marRight w:val="0"/>
                      <w:marTop w:val="0"/>
                      <w:marBottom w:val="0"/>
                      <w:divBdr>
                        <w:top w:val="none" w:sz="0" w:space="0" w:color="auto"/>
                        <w:left w:val="none" w:sz="0" w:space="0" w:color="auto"/>
                        <w:bottom w:val="none" w:sz="0" w:space="0" w:color="auto"/>
                        <w:right w:val="none" w:sz="0" w:space="0" w:color="auto"/>
                      </w:divBdr>
                    </w:div>
                  </w:divsChild>
                </w:div>
                <w:div w:id="1594633066">
                  <w:marLeft w:val="0"/>
                  <w:marRight w:val="0"/>
                  <w:marTop w:val="0"/>
                  <w:marBottom w:val="0"/>
                  <w:divBdr>
                    <w:top w:val="none" w:sz="0" w:space="0" w:color="auto"/>
                    <w:left w:val="none" w:sz="0" w:space="0" w:color="auto"/>
                    <w:bottom w:val="none" w:sz="0" w:space="0" w:color="auto"/>
                    <w:right w:val="none" w:sz="0" w:space="0" w:color="auto"/>
                  </w:divBdr>
                  <w:divsChild>
                    <w:div w:id="985596557">
                      <w:marLeft w:val="0"/>
                      <w:marRight w:val="0"/>
                      <w:marTop w:val="0"/>
                      <w:marBottom w:val="0"/>
                      <w:divBdr>
                        <w:top w:val="none" w:sz="0" w:space="0" w:color="auto"/>
                        <w:left w:val="none" w:sz="0" w:space="0" w:color="auto"/>
                        <w:bottom w:val="none" w:sz="0" w:space="0" w:color="auto"/>
                        <w:right w:val="none" w:sz="0" w:space="0" w:color="auto"/>
                      </w:divBdr>
                    </w:div>
                  </w:divsChild>
                </w:div>
                <w:div w:id="1608347298">
                  <w:marLeft w:val="0"/>
                  <w:marRight w:val="0"/>
                  <w:marTop w:val="0"/>
                  <w:marBottom w:val="0"/>
                  <w:divBdr>
                    <w:top w:val="none" w:sz="0" w:space="0" w:color="auto"/>
                    <w:left w:val="none" w:sz="0" w:space="0" w:color="auto"/>
                    <w:bottom w:val="none" w:sz="0" w:space="0" w:color="auto"/>
                    <w:right w:val="none" w:sz="0" w:space="0" w:color="auto"/>
                  </w:divBdr>
                  <w:divsChild>
                    <w:div w:id="48769953">
                      <w:marLeft w:val="0"/>
                      <w:marRight w:val="0"/>
                      <w:marTop w:val="0"/>
                      <w:marBottom w:val="0"/>
                      <w:divBdr>
                        <w:top w:val="none" w:sz="0" w:space="0" w:color="auto"/>
                        <w:left w:val="none" w:sz="0" w:space="0" w:color="auto"/>
                        <w:bottom w:val="none" w:sz="0" w:space="0" w:color="auto"/>
                        <w:right w:val="none" w:sz="0" w:space="0" w:color="auto"/>
                      </w:divBdr>
                    </w:div>
                  </w:divsChild>
                </w:div>
                <w:div w:id="1612593010">
                  <w:marLeft w:val="0"/>
                  <w:marRight w:val="0"/>
                  <w:marTop w:val="0"/>
                  <w:marBottom w:val="0"/>
                  <w:divBdr>
                    <w:top w:val="none" w:sz="0" w:space="0" w:color="auto"/>
                    <w:left w:val="none" w:sz="0" w:space="0" w:color="auto"/>
                    <w:bottom w:val="none" w:sz="0" w:space="0" w:color="auto"/>
                    <w:right w:val="none" w:sz="0" w:space="0" w:color="auto"/>
                  </w:divBdr>
                  <w:divsChild>
                    <w:div w:id="1491173337">
                      <w:marLeft w:val="0"/>
                      <w:marRight w:val="0"/>
                      <w:marTop w:val="0"/>
                      <w:marBottom w:val="0"/>
                      <w:divBdr>
                        <w:top w:val="none" w:sz="0" w:space="0" w:color="auto"/>
                        <w:left w:val="none" w:sz="0" w:space="0" w:color="auto"/>
                        <w:bottom w:val="none" w:sz="0" w:space="0" w:color="auto"/>
                        <w:right w:val="none" w:sz="0" w:space="0" w:color="auto"/>
                      </w:divBdr>
                    </w:div>
                  </w:divsChild>
                </w:div>
                <w:div w:id="1615400626">
                  <w:marLeft w:val="0"/>
                  <w:marRight w:val="0"/>
                  <w:marTop w:val="0"/>
                  <w:marBottom w:val="0"/>
                  <w:divBdr>
                    <w:top w:val="none" w:sz="0" w:space="0" w:color="auto"/>
                    <w:left w:val="none" w:sz="0" w:space="0" w:color="auto"/>
                    <w:bottom w:val="none" w:sz="0" w:space="0" w:color="auto"/>
                    <w:right w:val="none" w:sz="0" w:space="0" w:color="auto"/>
                  </w:divBdr>
                  <w:divsChild>
                    <w:div w:id="1110853810">
                      <w:marLeft w:val="0"/>
                      <w:marRight w:val="0"/>
                      <w:marTop w:val="0"/>
                      <w:marBottom w:val="0"/>
                      <w:divBdr>
                        <w:top w:val="none" w:sz="0" w:space="0" w:color="auto"/>
                        <w:left w:val="none" w:sz="0" w:space="0" w:color="auto"/>
                        <w:bottom w:val="none" w:sz="0" w:space="0" w:color="auto"/>
                        <w:right w:val="none" w:sz="0" w:space="0" w:color="auto"/>
                      </w:divBdr>
                    </w:div>
                  </w:divsChild>
                </w:div>
                <w:div w:id="1616906538">
                  <w:marLeft w:val="0"/>
                  <w:marRight w:val="0"/>
                  <w:marTop w:val="0"/>
                  <w:marBottom w:val="0"/>
                  <w:divBdr>
                    <w:top w:val="none" w:sz="0" w:space="0" w:color="auto"/>
                    <w:left w:val="none" w:sz="0" w:space="0" w:color="auto"/>
                    <w:bottom w:val="none" w:sz="0" w:space="0" w:color="auto"/>
                    <w:right w:val="none" w:sz="0" w:space="0" w:color="auto"/>
                  </w:divBdr>
                  <w:divsChild>
                    <w:div w:id="1463691363">
                      <w:marLeft w:val="0"/>
                      <w:marRight w:val="0"/>
                      <w:marTop w:val="0"/>
                      <w:marBottom w:val="0"/>
                      <w:divBdr>
                        <w:top w:val="none" w:sz="0" w:space="0" w:color="auto"/>
                        <w:left w:val="none" w:sz="0" w:space="0" w:color="auto"/>
                        <w:bottom w:val="none" w:sz="0" w:space="0" w:color="auto"/>
                        <w:right w:val="none" w:sz="0" w:space="0" w:color="auto"/>
                      </w:divBdr>
                    </w:div>
                  </w:divsChild>
                </w:div>
                <w:div w:id="1627852694">
                  <w:marLeft w:val="0"/>
                  <w:marRight w:val="0"/>
                  <w:marTop w:val="0"/>
                  <w:marBottom w:val="0"/>
                  <w:divBdr>
                    <w:top w:val="none" w:sz="0" w:space="0" w:color="auto"/>
                    <w:left w:val="none" w:sz="0" w:space="0" w:color="auto"/>
                    <w:bottom w:val="none" w:sz="0" w:space="0" w:color="auto"/>
                    <w:right w:val="none" w:sz="0" w:space="0" w:color="auto"/>
                  </w:divBdr>
                  <w:divsChild>
                    <w:div w:id="1127233999">
                      <w:marLeft w:val="0"/>
                      <w:marRight w:val="0"/>
                      <w:marTop w:val="0"/>
                      <w:marBottom w:val="0"/>
                      <w:divBdr>
                        <w:top w:val="none" w:sz="0" w:space="0" w:color="auto"/>
                        <w:left w:val="none" w:sz="0" w:space="0" w:color="auto"/>
                        <w:bottom w:val="none" w:sz="0" w:space="0" w:color="auto"/>
                        <w:right w:val="none" w:sz="0" w:space="0" w:color="auto"/>
                      </w:divBdr>
                    </w:div>
                  </w:divsChild>
                </w:div>
                <w:div w:id="1661886117">
                  <w:marLeft w:val="0"/>
                  <w:marRight w:val="0"/>
                  <w:marTop w:val="0"/>
                  <w:marBottom w:val="0"/>
                  <w:divBdr>
                    <w:top w:val="none" w:sz="0" w:space="0" w:color="auto"/>
                    <w:left w:val="none" w:sz="0" w:space="0" w:color="auto"/>
                    <w:bottom w:val="none" w:sz="0" w:space="0" w:color="auto"/>
                    <w:right w:val="none" w:sz="0" w:space="0" w:color="auto"/>
                  </w:divBdr>
                  <w:divsChild>
                    <w:div w:id="1738934635">
                      <w:marLeft w:val="0"/>
                      <w:marRight w:val="0"/>
                      <w:marTop w:val="0"/>
                      <w:marBottom w:val="0"/>
                      <w:divBdr>
                        <w:top w:val="none" w:sz="0" w:space="0" w:color="auto"/>
                        <w:left w:val="none" w:sz="0" w:space="0" w:color="auto"/>
                        <w:bottom w:val="none" w:sz="0" w:space="0" w:color="auto"/>
                        <w:right w:val="none" w:sz="0" w:space="0" w:color="auto"/>
                      </w:divBdr>
                    </w:div>
                  </w:divsChild>
                </w:div>
                <w:div w:id="1668364384">
                  <w:marLeft w:val="0"/>
                  <w:marRight w:val="0"/>
                  <w:marTop w:val="0"/>
                  <w:marBottom w:val="0"/>
                  <w:divBdr>
                    <w:top w:val="none" w:sz="0" w:space="0" w:color="auto"/>
                    <w:left w:val="none" w:sz="0" w:space="0" w:color="auto"/>
                    <w:bottom w:val="none" w:sz="0" w:space="0" w:color="auto"/>
                    <w:right w:val="none" w:sz="0" w:space="0" w:color="auto"/>
                  </w:divBdr>
                  <w:divsChild>
                    <w:div w:id="749155407">
                      <w:marLeft w:val="0"/>
                      <w:marRight w:val="0"/>
                      <w:marTop w:val="0"/>
                      <w:marBottom w:val="0"/>
                      <w:divBdr>
                        <w:top w:val="none" w:sz="0" w:space="0" w:color="auto"/>
                        <w:left w:val="none" w:sz="0" w:space="0" w:color="auto"/>
                        <w:bottom w:val="none" w:sz="0" w:space="0" w:color="auto"/>
                        <w:right w:val="none" w:sz="0" w:space="0" w:color="auto"/>
                      </w:divBdr>
                    </w:div>
                  </w:divsChild>
                </w:div>
                <w:div w:id="1672903469">
                  <w:marLeft w:val="0"/>
                  <w:marRight w:val="0"/>
                  <w:marTop w:val="0"/>
                  <w:marBottom w:val="0"/>
                  <w:divBdr>
                    <w:top w:val="none" w:sz="0" w:space="0" w:color="auto"/>
                    <w:left w:val="none" w:sz="0" w:space="0" w:color="auto"/>
                    <w:bottom w:val="none" w:sz="0" w:space="0" w:color="auto"/>
                    <w:right w:val="none" w:sz="0" w:space="0" w:color="auto"/>
                  </w:divBdr>
                  <w:divsChild>
                    <w:div w:id="231939050">
                      <w:marLeft w:val="0"/>
                      <w:marRight w:val="0"/>
                      <w:marTop w:val="0"/>
                      <w:marBottom w:val="0"/>
                      <w:divBdr>
                        <w:top w:val="none" w:sz="0" w:space="0" w:color="auto"/>
                        <w:left w:val="none" w:sz="0" w:space="0" w:color="auto"/>
                        <w:bottom w:val="none" w:sz="0" w:space="0" w:color="auto"/>
                        <w:right w:val="none" w:sz="0" w:space="0" w:color="auto"/>
                      </w:divBdr>
                    </w:div>
                  </w:divsChild>
                </w:div>
                <w:div w:id="1678116482">
                  <w:marLeft w:val="0"/>
                  <w:marRight w:val="0"/>
                  <w:marTop w:val="0"/>
                  <w:marBottom w:val="0"/>
                  <w:divBdr>
                    <w:top w:val="none" w:sz="0" w:space="0" w:color="auto"/>
                    <w:left w:val="none" w:sz="0" w:space="0" w:color="auto"/>
                    <w:bottom w:val="none" w:sz="0" w:space="0" w:color="auto"/>
                    <w:right w:val="none" w:sz="0" w:space="0" w:color="auto"/>
                  </w:divBdr>
                  <w:divsChild>
                    <w:div w:id="1967202055">
                      <w:marLeft w:val="0"/>
                      <w:marRight w:val="0"/>
                      <w:marTop w:val="0"/>
                      <w:marBottom w:val="0"/>
                      <w:divBdr>
                        <w:top w:val="none" w:sz="0" w:space="0" w:color="auto"/>
                        <w:left w:val="none" w:sz="0" w:space="0" w:color="auto"/>
                        <w:bottom w:val="none" w:sz="0" w:space="0" w:color="auto"/>
                        <w:right w:val="none" w:sz="0" w:space="0" w:color="auto"/>
                      </w:divBdr>
                    </w:div>
                  </w:divsChild>
                </w:div>
                <w:div w:id="1679648637">
                  <w:marLeft w:val="0"/>
                  <w:marRight w:val="0"/>
                  <w:marTop w:val="0"/>
                  <w:marBottom w:val="0"/>
                  <w:divBdr>
                    <w:top w:val="none" w:sz="0" w:space="0" w:color="auto"/>
                    <w:left w:val="none" w:sz="0" w:space="0" w:color="auto"/>
                    <w:bottom w:val="none" w:sz="0" w:space="0" w:color="auto"/>
                    <w:right w:val="none" w:sz="0" w:space="0" w:color="auto"/>
                  </w:divBdr>
                  <w:divsChild>
                    <w:div w:id="102236499">
                      <w:marLeft w:val="0"/>
                      <w:marRight w:val="0"/>
                      <w:marTop w:val="0"/>
                      <w:marBottom w:val="0"/>
                      <w:divBdr>
                        <w:top w:val="none" w:sz="0" w:space="0" w:color="auto"/>
                        <w:left w:val="none" w:sz="0" w:space="0" w:color="auto"/>
                        <w:bottom w:val="none" w:sz="0" w:space="0" w:color="auto"/>
                        <w:right w:val="none" w:sz="0" w:space="0" w:color="auto"/>
                      </w:divBdr>
                    </w:div>
                  </w:divsChild>
                </w:div>
                <w:div w:id="1692804248">
                  <w:marLeft w:val="0"/>
                  <w:marRight w:val="0"/>
                  <w:marTop w:val="0"/>
                  <w:marBottom w:val="0"/>
                  <w:divBdr>
                    <w:top w:val="none" w:sz="0" w:space="0" w:color="auto"/>
                    <w:left w:val="none" w:sz="0" w:space="0" w:color="auto"/>
                    <w:bottom w:val="none" w:sz="0" w:space="0" w:color="auto"/>
                    <w:right w:val="none" w:sz="0" w:space="0" w:color="auto"/>
                  </w:divBdr>
                  <w:divsChild>
                    <w:div w:id="875313892">
                      <w:marLeft w:val="0"/>
                      <w:marRight w:val="0"/>
                      <w:marTop w:val="0"/>
                      <w:marBottom w:val="0"/>
                      <w:divBdr>
                        <w:top w:val="none" w:sz="0" w:space="0" w:color="auto"/>
                        <w:left w:val="none" w:sz="0" w:space="0" w:color="auto"/>
                        <w:bottom w:val="none" w:sz="0" w:space="0" w:color="auto"/>
                        <w:right w:val="none" w:sz="0" w:space="0" w:color="auto"/>
                      </w:divBdr>
                    </w:div>
                  </w:divsChild>
                </w:div>
                <w:div w:id="1708791936">
                  <w:marLeft w:val="0"/>
                  <w:marRight w:val="0"/>
                  <w:marTop w:val="0"/>
                  <w:marBottom w:val="0"/>
                  <w:divBdr>
                    <w:top w:val="none" w:sz="0" w:space="0" w:color="auto"/>
                    <w:left w:val="none" w:sz="0" w:space="0" w:color="auto"/>
                    <w:bottom w:val="none" w:sz="0" w:space="0" w:color="auto"/>
                    <w:right w:val="none" w:sz="0" w:space="0" w:color="auto"/>
                  </w:divBdr>
                  <w:divsChild>
                    <w:div w:id="1930188792">
                      <w:marLeft w:val="0"/>
                      <w:marRight w:val="0"/>
                      <w:marTop w:val="0"/>
                      <w:marBottom w:val="0"/>
                      <w:divBdr>
                        <w:top w:val="none" w:sz="0" w:space="0" w:color="auto"/>
                        <w:left w:val="none" w:sz="0" w:space="0" w:color="auto"/>
                        <w:bottom w:val="none" w:sz="0" w:space="0" w:color="auto"/>
                        <w:right w:val="none" w:sz="0" w:space="0" w:color="auto"/>
                      </w:divBdr>
                    </w:div>
                  </w:divsChild>
                </w:div>
                <w:div w:id="1720321344">
                  <w:marLeft w:val="0"/>
                  <w:marRight w:val="0"/>
                  <w:marTop w:val="0"/>
                  <w:marBottom w:val="0"/>
                  <w:divBdr>
                    <w:top w:val="none" w:sz="0" w:space="0" w:color="auto"/>
                    <w:left w:val="none" w:sz="0" w:space="0" w:color="auto"/>
                    <w:bottom w:val="none" w:sz="0" w:space="0" w:color="auto"/>
                    <w:right w:val="none" w:sz="0" w:space="0" w:color="auto"/>
                  </w:divBdr>
                  <w:divsChild>
                    <w:div w:id="1540969110">
                      <w:marLeft w:val="0"/>
                      <w:marRight w:val="0"/>
                      <w:marTop w:val="0"/>
                      <w:marBottom w:val="0"/>
                      <w:divBdr>
                        <w:top w:val="none" w:sz="0" w:space="0" w:color="auto"/>
                        <w:left w:val="none" w:sz="0" w:space="0" w:color="auto"/>
                        <w:bottom w:val="none" w:sz="0" w:space="0" w:color="auto"/>
                        <w:right w:val="none" w:sz="0" w:space="0" w:color="auto"/>
                      </w:divBdr>
                    </w:div>
                  </w:divsChild>
                </w:div>
                <w:div w:id="1724059232">
                  <w:marLeft w:val="0"/>
                  <w:marRight w:val="0"/>
                  <w:marTop w:val="0"/>
                  <w:marBottom w:val="0"/>
                  <w:divBdr>
                    <w:top w:val="none" w:sz="0" w:space="0" w:color="auto"/>
                    <w:left w:val="none" w:sz="0" w:space="0" w:color="auto"/>
                    <w:bottom w:val="none" w:sz="0" w:space="0" w:color="auto"/>
                    <w:right w:val="none" w:sz="0" w:space="0" w:color="auto"/>
                  </w:divBdr>
                  <w:divsChild>
                    <w:div w:id="910888713">
                      <w:marLeft w:val="0"/>
                      <w:marRight w:val="0"/>
                      <w:marTop w:val="0"/>
                      <w:marBottom w:val="0"/>
                      <w:divBdr>
                        <w:top w:val="none" w:sz="0" w:space="0" w:color="auto"/>
                        <w:left w:val="none" w:sz="0" w:space="0" w:color="auto"/>
                        <w:bottom w:val="none" w:sz="0" w:space="0" w:color="auto"/>
                        <w:right w:val="none" w:sz="0" w:space="0" w:color="auto"/>
                      </w:divBdr>
                    </w:div>
                  </w:divsChild>
                </w:div>
                <w:div w:id="1724864318">
                  <w:marLeft w:val="0"/>
                  <w:marRight w:val="0"/>
                  <w:marTop w:val="0"/>
                  <w:marBottom w:val="0"/>
                  <w:divBdr>
                    <w:top w:val="none" w:sz="0" w:space="0" w:color="auto"/>
                    <w:left w:val="none" w:sz="0" w:space="0" w:color="auto"/>
                    <w:bottom w:val="none" w:sz="0" w:space="0" w:color="auto"/>
                    <w:right w:val="none" w:sz="0" w:space="0" w:color="auto"/>
                  </w:divBdr>
                  <w:divsChild>
                    <w:div w:id="1554461225">
                      <w:marLeft w:val="0"/>
                      <w:marRight w:val="0"/>
                      <w:marTop w:val="0"/>
                      <w:marBottom w:val="0"/>
                      <w:divBdr>
                        <w:top w:val="none" w:sz="0" w:space="0" w:color="auto"/>
                        <w:left w:val="none" w:sz="0" w:space="0" w:color="auto"/>
                        <w:bottom w:val="none" w:sz="0" w:space="0" w:color="auto"/>
                        <w:right w:val="none" w:sz="0" w:space="0" w:color="auto"/>
                      </w:divBdr>
                    </w:div>
                  </w:divsChild>
                </w:div>
                <w:div w:id="1726179397">
                  <w:marLeft w:val="0"/>
                  <w:marRight w:val="0"/>
                  <w:marTop w:val="0"/>
                  <w:marBottom w:val="0"/>
                  <w:divBdr>
                    <w:top w:val="none" w:sz="0" w:space="0" w:color="auto"/>
                    <w:left w:val="none" w:sz="0" w:space="0" w:color="auto"/>
                    <w:bottom w:val="none" w:sz="0" w:space="0" w:color="auto"/>
                    <w:right w:val="none" w:sz="0" w:space="0" w:color="auto"/>
                  </w:divBdr>
                  <w:divsChild>
                    <w:div w:id="1342776131">
                      <w:marLeft w:val="0"/>
                      <w:marRight w:val="0"/>
                      <w:marTop w:val="0"/>
                      <w:marBottom w:val="0"/>
                      <w:divBdr>
                        <w:top w:val="none" w:sz="0" w:space="0" w:color="auto"/>
                        <w:left w:val="none" w:sz="0" w:space="0" w:color="auto"/>
                        <w:bottom w:val="none" w:sz="0" w:space="0" w:color="auto"/>
                        <w:right w:val="none" w:sz="0" w:space="0" w:color="auto"/>
                      </w:divBdr>
                    </w:div>
                  </w:divsChild>
                </w:div>
                <w:div w:id="1751080744">
                  <w:marLeft w:val="0"/>
                  <w:marRight w:val="0"/>
                  <w:marTop w:val="0"/>
                  <w:marBottom w:val="0"/>
                  <w:divBdr>
                    <w:top w:val="none" w:sz="0" w:space="0" w:color="auto"/>
                    <w:left w:val="none" w:sz="0" w:space="0" w:color="auto"/>
                    <w:bottom w:val="none" w:sz="0" w:space="0" w:color="auto"/>
                    <w:right w:val="none" w:sz="0" w:space="0" w:color="auto"/>
                  </w:divBdr>
                  <w:divsChild>
                    <w:div w:id="1435856916">
                      <w:marLeft w:val="0"/>
                      <w:marRight w:val="0"/>
                      <w:marTop w:val="0"/>
                      <w:marBottom w:val="0"/>
                      <w:divBdr>
                        <w:top w:val="none" w:sz="0" w:space="0" w:color="auto"/>
                        <w:left w:val="none" w:sz="0" w:space="0" w:color="auto"/>
                        <w:bottom w:val="none" w:sz="0" w:space="0" w:color="auto"/>
                        <w:right w:val="none" w:sz="0" w:space="0" w:color="auto"/>
                      </w:divBdr>
                    </w:div>
                  </w:divsChild>
                </w:div>
                <w:div w:id="1754352115">
                  <w:marLeft w:val="0"/>
                  <w:marRight w:val="0"/>
                  <w:marTop w:val="0"/>
                  <w:marBottom w:val="0"/>
                  <w:divBdr>
                    <w:top w:val="none" w:sz="0" w:space="0" w:color="auto"/>
                    <w:left w:val="none" w:sz="0" w:space="0" w:color="auto"/>
                    <w:bottom w:val="none" w:sz="0" w:space="0" w:color="auto"/>
                    <w:right w:val="none" w:sz="0" w:space="0" w:color="auto"/>
                  </w:divBdr>
                  <w:divsChild>
                    <w:div w:id="671101574">
                      <w:marLeft w:val="0"/>
                      <w:marRight w:val="0"/>
                      <w:marTop w:val="0"/>
                      <w:marBottom w:val="0"/>
                      <w:divBdr>
                        <w:top w:val="none" w:sz="0" w:space="0" w:color="auto"/>
                        <w:left w:val="none" w:sz="0" w:space="0" w:color="auto"/>
                        <w:bottom w:val="none" w:sz="0" w:space="0" w:color="auto"/>
                        <w:right w:val="none" w:sz="0" w:space="0" w:color="auto"/>
                      </w:divBdr>
                    </w:div>
                  </w:divsChild>
                </w:div>
                <w:div w:id="1782721675">
                  <w:marLeft w:val="0"/>
                  <w:marRight w:val="0"/>
                  <w:marTop w:val="0"/>
                  <w:marBottom w:val="0"/>
                  <w:divBdr>
                    <w:top w:val="none" w:sz="0" w:space="0" w:color="auto"/>
                    <w:left w:val="none" w:sz="0" w:space="0" w:color="auto"/>
                    <w:bottom w:val="none" w:sz="0" w:space="0" w:color="auto"/>
                    <w:right w:val="none" w:sz="0" w:space="0" w:color="auto"/>
                  </w:divBdr>
                  <w:divsChild>
                    <w:div w:id="151144923">
                      <w:marLeft w:val="0"/>
                      <w:marRight w:val="0"/>
                      <w:marTop w:val="0"/>
                      <w:marBottom w:val="0"/>
                      <w:divBdr>
                        <w:top w:val="none" w:sz="0" w:space="0" w:color="auto"/>
                        <w:left w:val="none" w:sz="0" w:space="0" w:color="auto"/>
                        <w:bottom w:val="none" w:sz="0" w:space="0" w:color="auto"/>
                        <w:right w:val="none" w:sz="0" w:space="0" w:color="auto"/>
                      </w:divBdr>
                    </w:div>
                  </w:divsChild>
                </w:div>
                <w:div w:id="1785615710">
                  <w:marLeft w:val="0"/>
                  <w:marRight w:val="0"/>
                  <w:marTop w:val="0"/>
                  <w:marBottom w:val="0"/>
                  <w:divBdr>
                    <w:top w:val="none" w:sz="0" w:space="0" w:color="auto"/>
                    <w:left w:val="none" w:sz="0" w:space="0" w:color="auto"/>
                    <w:bottom w:val="none" w:sz="0" w:space="0" w:color="auto"/>
                    <w:right w:val="none" w:sz="0" w:space="0" w:color="auto"/>
                  </w:divBdr>
                  <w:divsChild>
                    <w:div w:id="2135514064">
                      <w:marLeft w:val="0"/>
                      <w:marRight w:val="0"/>
                      <w:marTop w:val="0"/>
                      <w:marBottom w:val="0"/>
                      <w:divBdr>
                        <w:top w:val="none" w:sz="0" w:space="0" w:color="auto"/>
                        <w:left w:val="none" w:sz="0" w:space="0" w:color="auto"/>
                        <w:bottom w:val="none" w:sz="0" w:space="0" w:color="auto"/>
                        <w:right w:val="none" w:sz="0" w:space="0" w:color="auto"/>
                      </w:divBdr>
                    </w:div>
                  </w:divsChild>
                </w:div>
                <w:div w:id="1788771502">
                  <w:marLeft w:val="0"/>
                  <w:marRight w:val="0"/>
                  <w:marTop w:val="0"/>
                  <w:marBottom w:val="0"/>
                  <w:divBdr>
                    <w:top w:val="none" w:sz="0" w:space="0" w:color="auto"/>
                    <w:left w:val="none" w:sz="0" w:space="0" w:color="auto"/>
                    <w:bottom w:val="none" w:sz="0" w:space="0" w:color="auto"/>
                    <w:right w:val="none" w:sz="0" w:space="0" w:color="auto"/>
                  </w:divBdr>
                  <w:divsChild>
                    <w:div w:id="1629051066">
                      <w:marLeft w:val="0"/>
                      <w:marRight w:val="0"/>
                      <w:marTop w:val="0"/>
                      <w:marBottom w:val="0"/>
                      <w:divBdr>
                        <w:top w:val="none" w:sz="0" w:space="0" w:color="auto"/>
                        <w:left w:val="none" w:sz="0" w:space="0" w:color="auto"/>
                        <w:bottom w:val="none" w:sz="0" w:space="0" w:color="auto"/>
                        <w:right w:val="none" w:sz="0" w:space="0" w:color="auto"/>
                      </w:divBdr>
                    </w:div>
                  </w:divsChild>
                </w:div>
                <w:div w:id="1815560159">
                  <w:marLeft w:val="0"/>
                  <w:marRight w:val="0"/>
                  <w:marTop w:val="0"/>
                  <w:marBottom w:val="0"/>
                  <w:divBdr>
                    <w:top w:val="none" w:sz="0" w:space="0" w:color="auto"/>
                    <w:left w:val="none" w:sz="0" w:space="0" w:color="auto"/>
                    <w:bottom w:val="none" w:sz="0" w:space="0" w:color="auto"/>
                    <w:right w:val="none" w:sz="0" w:space="0" w:color="auto"/>
                  </w:divBdr>
                  <w:divsChild>
                    <w:div w:id="692418418">
                      <w:marLeft w:val="0"/>
                      <w:marRight w:val="0"/>
                      <w:marTop w:val="0"/>
                      <w:marBottom w:val="0"/>
                      <w:divBdr>
                        <w:top w:val="none" w:sz="0" w:space="0" w:color="auto"/>
                        <w:left w:val="none" w:sz="0" w:space="0" w:color="auto"/>
                        <w:bottom w:val="none" w:sz="0" w:space="0" w:color="auto"/>
                        <w:right w:val="none" w:sz="0" w:space="0" w:color="auto"/>
                      </w:divBdr>
                    </w:div>
                  </w:divsChild>
                </w:div>
                <w:div w:id="1815633872">
                  <w:marLeft w:val="0"/>
                  <w:marRight w:val="0"/>
                  <w:marTop w:val="0"/>
                  <w:marBottom w:val="0"/>
                  <w:divBdr>
                    <w:top w:val="none" w:sz="0" w:space="0" w:color="auto"/>
                    <w:left w:val="none" w:sz="0" w:space="0" w:color="auto"/>
                    <w:bottom w:val="none" w:sz="0" w:space="0" w:color="auto"/>
                    <w:right w:val="none" w:sz="0" w:space="0" w:color="auto"/>
                  </w:divBdr>
                  <w:divsChild>
                    <w:div w:id="663895060">
                      <w:marLeft w:val="0"/>
                      <w:marRight w:val="0"/>
                      <w:marTop w:val="0"/>
                      <w:marBottom w:val="0"/>
                      <w:divBdr>
                        <w:top w:val="none" w:sz="0" w:space="0" w:color="auto"/>
                        <w:left w:val="none" w:sz="0" w:space="0" w:color="auto"/>
                        <w:bottom w:val="none" w:sz="0" w:space="0" w:color="auto"/>
                        <w:right w:val="none" w:sz="0" w:space="0" w:color="auto"/>
                      </w:divBdr>
                    </w:div>
                  </w:divsChild>
                </w:div>
                <w:div w:id="1817643501">
                  <w:marLeft w:val="0"/>
                  <w:marRight w:val="0"/>
                  <w:marTop w:val="0"/>
                  <w:marBottom w:val="0"/>
                  <w:divBdr>
                    <w:top w:val="none" w:sz="0" w:space="0" w:color="auto"/>
                    <w:left w:val="none" w:sz="0" w:space="0" w:color="auto"/>
                    <w:bottom w:val="none" w:sz="0" w:space="0" w:color="auto"/>
                    <w:right w:val="none" w:sz="0" w:space="0" w:color="auto"/>
                  </w:divBdr>
                  <w:divsChild>
                    <w:div w:id="2081906881">
                      <w:marLeft w:val="0"/>
                      <w:marRight w:val="0"/>
                      <w:marTop w:val="0"/>
                      <w:marBottom w:val="0"/>
                      <w:divBdr>
                        <w:top w:val="none" w:sz="0" w:space="0" w:color="auto"/>
                        <w:left w:val="none" w:sz="0" w:space="0" w:color="auto"/>
                        <w:bottom w:val="none" w:sz="0" w:space="0" w:color="auto"/>
                        <w:right w:val="none" w:sz="0" w:space="0" w:color="auto"/>
                      </w:divBdr>
                    </w:div>
                  </w:divsChild>
                </w:div>
                <w:div w:id="1837375239">
                  <w:marLeft w:val="0"/>
                  <w:marRight w:val="0"/>
                  <w:marTop w:val="0"/>
                  <w:marBottom w:val="0"/>
                  <w:divBdr>
                    <w:top w:val="none" w:sz="0" w:space="0" w:color="auto"/>
                    <w:left w:val="none" w:sz="0" w:space="0" w:color="auto"/>
                    <w:bottom w:val="none" w:sz="0" w:space="0" w:color="auto"/>
                    <w:right w:val="none" w:sz="0" w:space="0" w:color="auto"/>
                  </w:divBdr>
                  <w:divsChild>
                    <w:div w:id="1870753022">
                      <w:marLeft w:val="0"/>
                      <w:marRight w:val="0"/>
                      <w:marTop w:val="0"/>
                      <w:marBottom w:val="0"/>
                      <w:divBdr>
                        <w:top w:val="none" w:sz="0" w:space="0" w:color="auto"/>
                        <w:left w:val="none" w:sz="0" w:space="0" w:color="auto"/>
                        <w:bottom w:val="none" w:sz="0" w:space="0" w:color="auto"/>
                        <w:right w:val="none" w:sz="0" w:space="0" w:color="auto"/>
                      </w:divBdr>
                    </w:div>
                  </w:divsChild>
                </w:div>
                <w:div w:id="1843544750">
                  <w:marLeft w:val="0"/>
                  <w:marRight w:val="0"/>
                  <w:marTop w:val="0"/>
                  <w:marBottom w:val="0"/>
                  <w:divBdr>
                    <w:top w:val="none" w:sz="0" w:space="0" w:color="auto"/>
                    <w:left w:val="none" w:sz="0" w:space="0" w:color="auto"/>
                    <w:bottom w:val="none" w:sz="0" w:space="0" w:color="auto"/>
                    <w:right w:val="none" w:sz="0" w:space="0" w:color="auto"/>
                  </w:divBdr>
                  <w:divsChild>
                    <w:div w:id="1346711171">
                      <w:marLeft w:val="0"/>
                      <w:marRight w:val="0"/>
                      <w:marTop w:val="0"/>
                      <w:marBottom w:val="0"/>
                      <w:divBdr>
                        <w:top w:val="none" w:sz="0" w:space="0" w:color="auto"/>
                        <w:left w:val="none" w:sz="0" w:space="0" w:color="auto"/>
                        <w:bottom w:val="none" w:sz="0" w:space="0" w:color="auto"/>
                        <w:right w:val="none" w:sz="0" w:space="0" w:color="auto"/>
                      </w:divBdr>
                    </w:div>
                  </w:divsChild>
                </w:div>
                <w:div w:id="1849828900">
                  <w:marLeft w:val="0"/>
                  <w:marRight w:val="0"/>
                  <w:marTop w:val="0"/>
                  <w:marBottom w:val="0"/>
                  <w:divBdr>
                    <w:top w:val="none" w:sz="0" w:space="0" w:color="auto"/>
                    <w:left w:val="none" w:sz="0" w:space="0" w:color="auto"/>
                    <w:bottom w:val="none" w:sz="0" w:space="0" w:color="auto"/>
                    <w:right w:val="none" w:sz="0" w:space="0" w:color="auto"/>
                  </w:divBdr>
                  <w:divsChild>
                    <w:div w:id="607353207">
                      <w:marLeft w:val="0"/>
                      <w:marRight w:val="0"/>
                      <w:marTop w:val="0"/>
                      <w:marBottom w:val="0"/>
                      <w:divBdr>
                        <w:top w:val="none" w:sz="0" w:space="0" w:color="auto"/>
                        <w:left w:val="none" w:sz="0" w:space="0" w:color="auto"/>
                        <w:bottom w:val="none" w:sz="0" w:space="0" w:color="auto"/>
                        <w:right w:val="none" w:sz="0" w:space="0" w:color="auto"/>
                      </w:divBdr>
                    </w:div>
                  </w:divsChild>
                </w:div>
                <w:div w:id="1874229716">
                  <w:marLeft w:val="0"/>
                  <w:marRight w:val="0"/>
                  <w:marTop w:val="0"/>
                  <w:marBottom w:val="0"/>
                  <w:divBdr>
                    <w:top w:val="none" w:sz="0" w:space="0" w:color="auto"/>
                    <w:left w:val="none" w:sz="0" w:space="0" w:color="auto"/>
                    <w:bottom w:val="none" w:sz="0" w:space="0" w:color="auto"/>
                    <w:right w:val="none" w:sz="0" w:space="0" w:color="auto"/>
                  </w:divBdr>
                  <w:divsChild>
                    <w:div w:id="1008752592">
                      <w:marLeft w:val="0"/>
                      <w:marRight w:val="0"/>
                      <w:marTop w:val="0"/>
                      <w:marBottom w:val="0"/>
                      <w:divBdr>
                        <w:top w:val="none" w:sz="0" w:space="0" w:color="auto"/>
                        <w:left w:val="none" w:sz="0" w:space="0" w:color="auto"/>
                        <w:bottom w:val="none" w:sz="0" w:space="0" w:color="auto"/>
                        <w:right w:val="none" w:sz="0" w:space="0" w:color="auto"/>
                      </w:divBdr>
                    </w:div>
                  </w:divsChild>
                </w:div>
                <w:div w:id="1890992337">
                  <w:marLeft w:val="0"/>
                  <w:marRight w:val="0"/>
                  <w:marTop w:val="0"/>
                  <w:marBottom w:val="0"/>
                  <w:divBdr>
                    <w:top w:val="none" w:sz="0" w:space="0" w:color="auto"/>
                    <w:left w:val="none" w:sz="0" w:space="0" w:color="auto"/>
                    <w:bottom w:val="none" w:sz="0" w:space="0" w:color="auto"/>
                    <w:right w:val="none" w:sz="0" w:space="0" w:color="auto"/>
                  </w:divBdr>
                  <w:divsChild>
                    <w:div w:id="562526783">
                      <w:marLeft w:val="0"/>
                      <w:marRight w:val="0"/>
                      <w:marTop w:val="0"/>
                      <w:marBottom w:val="0"/>
                      <w:divBdr>
                        <w:top w:val="none" w:sz="0" w:space="0" w:color="auto"/>
                        <w:left w:val="none" w:sz="0" w:space="0" w:color="auto"/>
                        <w:bottom w:val="none" w:sz="0" w:space="0" w:color="auto"/>
                        <w:right w:val="none" w:sz="0" w:space="0" w:color="auto"/>
                      </w:divBdr>
                    </w:div>
                  </w:divsChild>
                </w:div>
                <w:div w:id="1893878645">
                  <w:marLeft w:val="0"/>
                  <w:marRight w:val="0"/>
                  <w:marTop w:val="0"/>
                  <w:marBottom w:val="0"/>
                  <w:divBdr>
                    <w:top w:val="none" w:sz="0" w:space="0" w:color="auto"/>
                    <w:left w:val="none" w:sz="0" w:space="0" w:color="auto"/>
                    <w:bottom w:val="none" w:sz="0" w:space="0" w:color="auto"/>
                    <w:right w:val="none" w:sz="0" w:space="0" w:color="auto"/>
                  </w:divBdr>
                  <w:divsChild>
                    <w:div w:id="1953709253">
                      <w:marLeft w:val="0"/>
                      <w:marRight w:val="0"/>
                      <w:marTop w:val="0"/>
                      <w:marBottom w:val="0"/>
                      <w:divBdr>
                        <w:top w:val="none" w:sz="0" w:space="0" w:color="auto"/>
                        <w:left w:val="none" w:sz="0" w:space="0" w:color="auto"/>
                        <w:bottom w:val="none" w:sz="0" w:space="0" w:color="auto"/>
                        <w:right w:val="none" w:sz="0" w:space="0" w:color="auto"/>
                      </w:divBdr>
                    </w:div>
                  </w:divsChild>
                </w:div>
                <w:div w:id="1909880629">
                  <w:marLeft w:val="0"/>
                  <w:marRight w:val="0"/>
                  <w:marTop w:val="0"/>
                  <w:marBottom w:val="0"/>
                  <w:divBdr>
                    <w:top w:val="none" w:sz="0" w:space="0" w:color="auto"/>
                    <w:left w:val="none" w:sz="0" w:space="0" w:color="auto"/>
                    <w:bottom w:val="none" w:sz="0" w:space="0" w:color="auto"/>
                    <w:right w:val="none" w:sz="0" w:space="0" w:color="auto"/>
                  </w:divBdr>
                  <w:divsChild>
                    <w:div w:id="53892582">
                      <w:marLeft w:val="0"/>
                      <w:marRight w:val="0"/>
                      <w:marTop w:val="0"/>
                      <w:marBottom w:val="0"/>
                      <w:divBdr>
                        <w:top w:val="none" w:sz="0" w:space="0" w:color="auto"/>
                        <w:left w:val="none" w:sz="0" w:space="0" w:color="auto"/>
                        <w:bottom w:val="none" w:sz="0" w:space="0" w:color="auto"/>
                        <w:right w:val="none" w:sz="0" w:space="0" w:color="auto"/>
                      </w:divBdr>
                    </w:div>
                  </w:divsChild>
                </w:div>
                <w:div w:id="1909993508">
                  <w:marLeft w:val="0"/>
                  <w:marRight w:val="0"/>
                  <w:marTop w:val="0"/>
                  <w:marBottom w:val="0"/>
                  <w:divBdr>
                    <w:top w:val="none" w:sz="0" w:space="0" w:color="auto"/>
                    <w:left w:val="none" w:sz="0" w:space="0" w:color="auto"/>
                    <w:bottom w:val="none" w:sz="0" w:space="0" w:color="auto"/>
                    <w:right w:val="none" w:sz="0" w:space="0" w:color="auto"/>
                  </w:divBdr>
                  <w:divsChild>
                    <w:div w:id="1024595999">
                      <w:marLeft w:val="0"/>
                      <w:marRight w:val="0"/>
                      <w:marTop w:val="0"/>
                      <w:marBottom w:val="0"/>
                      <w:divBdr>
                        <w:top w:val="none" w:sz="0" w:space="0" w:color="auto"/>
                        <w:left w:val="none" w:sz="0" w:space="0" w:color="auto"/>
                        <w:bottom w:val="none" w:sz="0" w:space="0" w:color="auto"/>
                        <w:right w:val="none" w:sz="0" w:space="0" w:color="auto"/>
                      </w:divBdr>
                    </w:div>
                  </w:divsChild>
                </w:div>
                <w:div w:id="1910991933">
                  <w:marLeft w:val="0"/>
                  <w:marRight w:val="0"/>
                  <w:marTop w:val="0"/>
                  <w:marBottom w:val="0"/>
                  <w:divBdr>
                    <w:top w:val="none" w:sz="0" w:space="0" w:color="auto"/>
                    <w:left w:val="none" w:sz="0" w:space="0" w:color="auto"/>
                    <w:bottom w:val="none" w:sz="0" w:space="0" w:color="auto"/>
                    <w:right w:val="none" w:sz="0" w:space="0" w:color="auto"/>
                  </w:divBdr>
                  <w:divsChild>
                    <w:div w:id="2033721766">
                      <w:marLeft w:val="0"/>
                      <w:marRight w:val="0"/>
                      <w:marTop w:val="0"/>
                      <w:marBottom w:val="0"/>
                      <w:divBdr>
                        <w:top w:val="none" w:sz="0" w:space="0" w:color="auto"/>
                        <w:left w:val="none" w:sz="0" w:space="0" w:color="auto"/>
                        <w:bottom w:val="none" w:sz="0" w:space="0" w:color="auto"/>
                        <w:right w:val="none" w:sz="0" w:space="0" w:color="auto"/>
                      </w:divBdr>
                    </w:div>
                  </w:divsChild>
                </w:div>
                <w:div w:id="1916085611">
                  <w:marLeft w:val="0"/>
                  <w:marRight w:val="0"/>
                  <w:marTop w:val="0"/>
                  <w:marBottom w:val="0"/>
                  <w:divBdr>
                    <w:top w:val="none" w:sz="0" w:space="0" w:color="auto"/>
                    <w:left w:val="none" w:sz="0" w:space="0" w:color="auto"/>
                    <w:bottom w:val="none" w:sz="0" w:space="0" w:color="auto"/>
                    <w:right w:val="none" w:sz="0" w:space="0" w:color="auto"/>
                  </w:divBdr>
                  <w:divsChild>
                    <w:div w:id="677001109">
                      <w:marLeft w:val="0"/>
                      <w:marRight w:val="0"/>
                      <w:marTop w:val="0"/>
                      <w:marBottom w:val="0"/>
                      <w:divBdr>
                        <w:top w:val="none" w:sz="0" w:space="0" w:color="auto"/>
                        <w:left w:val="none" w:sz="0" w:space="0" w:color="auto"/>
                        <w:bottom w:val="none" w:sz="0" w:space="0" w:color="auto"/>
                        <w:right w:val="none" w:sz="0" w:space="0" w:color="auto"/>
                      </w:divBdr>
                    </w:div>
                  </w:divsChild>
                </w:div>
                <w:div w:id="1923443674">
                  <w:marLeft w:val="0"/>
                  <w:marRight w:val="0"/>
                  <w:marTop w:val="0"/>
                  <w:marBottom w:val="0"/>
                  <w:divBdr>
                    <w:top w:val="none" w:sz="0" w:space="0" w:color="auto"/>
                    <w:left w:val="none" w:sz="0" w:space="0" w:color="auto"/>
                    <w:bottom w:val="none" w:sz="0" w:space="0" w:color="auto"/>
                    <w:right w:val="none" w:sz="0" w:space="0" w:color="auto"/>
                  </w:divBdr>
                  <w:divsChild>
                    <w:div w:id="1964579645">
                      <w:marLeft w:val="0"/>
                      <w:marRight w:val="0"/>
                      <w:marTop w:val="0"/>
                      <w:marBottom w:val="0"/>
                      <w:divBdr>
                        <w:top w:val="none" w:sz="0" w:space="0" w:color="auto"/>
                        <w:left w:val="none" w:sz="0" w:space="0" w:color="auto"/>
                        <w:bottom w:val="none" w:sz="0" w:space="0" w:color="auto"/>
                        <w:right w:val="none" w:sz="0" w:space="0" w:color="auto"/>
                      </w:divBdr>
                    </w:div>
                  </w:divsChild>
                </w:div>
                <w:div w:id="1936278260">
                  <w:marLeft w:val="0"/>
                  <w:marRight w:val="0"/>
                  <w:marTop w:val="0"/>
                  <w:marBottom w:val="0"/>
                  <w:divBdr>
                    <w:top w:val="none" w:sz="0" w:space="0" w:color="auto"/>
                    <w:left w:val="none" w:sz="0" w:space="0" w:color="auto"/>
                    <w:bottom w:val="none" w:sz="0" w:space="0" w:color="auto"/>
                    <w:right w:val="none" w:sz="0" w:space="0" w:color="auto"/>
                  </w:divBdr>
                  <w:divsChild>
                    <w:div w:id="1817801542">
                      <w:marLeft w:val="0"/>
                      <w:marRight w:val="0"/>
                      <w:marTop w:val="0"/>
                      <w:marBottom w:val="0"/>
                      <w:divBdr>
                        <w:top w:val="none" w:sz="0" w:space="0" w:color="auto"/>
                        <w:left w:val="none" w:sz="0" w:space="0" w:color="auto"/>
                        <w:bottom w:val="none" w:sz="0" w:space="0" w:color="auto"/>
                        <w:right w:val="none" w:sz="0" w:space="0" w:color="auto"/>
                      </w:divBdr>
                    </w:div>
                  </w:divsChild>
                </w:div>
                <w:div w:id="1940676259">
                  <w:marLeft w:val="0"/>
                  <w:marRight w:val="0"/>
                  <w:marTop w:val="0"/>
                  <w:marBottom w:val="0"/>
                  <w:divBdr>
                    <w:top w:val="none" w:sz="0" w:space="0" w:color="auto"/>
                    <w:left w:val="none" w:sz="0" w:space="0" w:color="auto"/>
                    <w:bottom w:val="none" w:sz="0" w:space="0" w:color="auto"/>
                    <w:right w:val="none" w:sz="0" w:space="0" w:color="auto"/>
                  </w:divBdr>
                  <w:divsChild>
                    <w:div w:id="1836190617">
                      <w:marLeft w:val="0"/>
                      <w:marRight w:val="0"/>
                      <w:marTop w:val="0"/>
                      <w:marBottom w:val="0"/>
                      <w:divBdr>
                        <w:top w:val="none" w:sz="0" w:space="0" w:color="auto"/>
                        <w:left w:val="none" w:sz="0" w:space="0" w:color="auto"/>
                        <w:bottom w:val="none" w:sz="0" w:space="0" w:color="auto"/>
                        <w:right w:val="none" w:sz="0" w:space="0" w:color="auto"/>
                      </w:divBdr>
                    </w:div>
                  </w:divsChild>
                </w:div>
                <w:div w:id="1947228299">
                  <w:marLeft w:val="0"/>
                  <w:marRight w:val="0"/>
                  <w:marTop w:val="0"/>
                  <w:marBottom w:val="0"/>
                  <w:divBdr>
                    <w:top w:val="none" w:sz="0" w:space="0" w:color="auto"/>
                    <w:left w:val="none" w:sz="0" w:space="0" w:color="auto"/>
                    <w:bottom w:val="none" w:sz="0" w:space="0" w:color="auto"/>
                    <w:right w:val="none" w:sz="0" w:space="0" w:color="auto"/>
                  </w:divBdr>
                  <w:divsChild>
                    <w:div w:id="1846550433">
                      <w:marLeft w:val="0"/>
                      <w:marRight w:val="0"/>
                      <w:marTop w:val="0"/>
                      <w:marBottom w:val="0"/>
                      <w:divBdr>
                        <w:top w:val="none" w:sz="0" w:space="0" w:color="auto"/>
                        <w:left w:val="none" w:sz="0" w:space="0" w:color="auto"/>
                        <w:bottom w:val="none" w:sz="0" w:space="0" w:color="auto"/>
                        <w:right w:val="none" w:sz="0" w:space="0" w:color="auto"/>
                      </w:divBdr>
                    </w:div>
                  </w:divsChild>
                </w:div>
                <w:div w:id="1950627154">
                  <w:marLeft w:val="0"/>
                  <w:marRight w:val="0"/>
                  <w:marTop w:val="0"/>
                  <w:marBottom w:val="0"/>
                  <w:divBdr>
                    <w:top w:val="none" w:sz="0" w:space="0" w:color="auto"/>
                    <w:left w:val="none" w:sz="0" w:space="0" w:color="auto"/>
                    <w:bottom w:val="none" w:sz="0" w:space="0" w:color="auto"/>
                    <w:right w:val="none" w:sz="0" w:space="0" w:color="auto"/>
                  </w:divBdr>
                  <w:divsChild>
                    <w:div w:id="1571038013">
                      <w:marLeft w:val="0"/>
                      <w:marRight w:val="0"/>
                      <w:marTop w:val="0"/>
                      <w:marBottom w:val="0"/>
                      <w:divBdr>
                        <w:top w:val="none" w:sz="0" w:space="0" w:color="auto"/>
                        <w:left w:val="none" w:sz="0" w:space="0" w:color="auto"/>
                        <w:bottom w:val="none" w:sz="0" w:space="0" w:color="auto"/>
                        <w:right w:val="none" w:sz="0" w:space="0" w:color="auto"/>
                      </w:divBdr>
                    </w:div>
                  </w:divsChild>
                </w:div>
                <w:div w:id="1957444737">
                  <w:marLeft w:val="0"/>
                  <w:marRight w:val="0"/>
                  <w:marTop w:val="0"/>
                  <w:marBottom w:val="0"/>
                  <w:divBdr>
                    <w:top w:val="none" w:sz="0" w:space="0" w:color="auto"/>
                    <w:left w:val="none" w:sz="0" w:space="0" w:color="auto"/>
                    <w:bottom w:val="none" w:sz="0" w:space="0" w:color="auto"/>
                    <w:right w:val="none" w:sz="0" w:space="0" w:color="auto"/>
                  </w:divBdr>
                  <w:divsChild>
                    <w:div w:id="1436057308">
                      <w:marLeft w:val="0"/>
                      <w:marRight w:val="0"/>
                      <w:marTop w:val="0"/>
                      <w:marBottom w:val="0"/>
                      <w:divBdr>
                        <w:top w:val="none" w:sz="0" w:space="0" w:color="auto"/>
                        <w:left w:val="none" w:sz="0" w:space="0" w:color="auto"/>
                        <w:bottom w:val="none" w:sz="0" w:space="0" w:color="auto"/>
                        <w:right w:val="none" w:sz="0" w:space="0" w:color="auto"/>
                      </w:divBdr>
                    </w:div>
                  </w:divsChild>
                </w:div>
                <w:div w:id="1960841501">
                  <w:marLeft w:val="0"/>
                  <w:marRight w:val="0"/>
                  <w:marTop w:val="0"/>
                  <w:marBottom w:val="0"/>
                  <w:divBdr>
                    <w:top w:val="none" w:sz="0" w:space="0" w:color="auto"/>
                    <w:left w:val="none" w:sz="0" w:space="0" w:color="auto"/>
                    <w:bottom w:val="none" w:sz="0" w:space="0" w:color="auto"/>
                    <w:right w:val="none" w:sz="0" w:space="0" w:color="auto"/>
                  </w:divBdr>
                  <w:divsChild>
                    <w:div w:id="713625254">
                      <w:marLeft w:val="0"/>
                      <w:marRight w:val="0"/>
                      <w:marTop w:val="0"/>
                      <w:marBottom w:val="0"/>
                      <w:divBdr>
                        <w:top w:val="none" w:sz="0" w:space="0" w:color="auto"/>
                        <w:left w:val="none" w:sz="0" w:space="0" w:color="auto"/>
                        <w:bottom w:val="none" w:sz="0" w:space="0" w:color="auto"/>
                        <w:right w:val="none" w:sz="0" w:space="0" w:color="auto"/>
                      </w:divBdr>
                    </w:div>
                  </w:divsChild>
                </w:div>
                <w:div w:id="1961259291">
                  <w:marLeft w:val="0"/>
                  <w:marRight w:val="0"/>
                  <w:marTop w:val="0"/>
                  <w:marBottom w:val="0"/>
                  <w:divBdr>
                    <w:top w:val="none" w:sz="0" w:space="0" w:color="auto"/>
                    <w:left w:val="none" w:sz="0" w:space="0" w:color="auto"/>
                    <w:bottom w:val="none" w:sz="0" w:space="0" w:color="auto"/>
                    <w:right w:val="none" w:sz="0" w:space="0" w:color="auto"/>
                  </w:divBdr>
                  <w:divsChild>
                    <w:div w:id="1709840559">
                      <w:marLeft w:val="0"/>
                      <w:marRight w:val="0"/>
                      <w:marTop w:val="0"/>
                      <w:marBottom w:val="0"/>
                      <w:divBdr>
                        <w:top w:val="none" w:sz="0" w:space="0" w:color="auto"/>
                        <w:left w:val="none" w:sz="0" w:space="0" w:color="auto"/>
                        <w:bottom w:val="none" w:sz="0" w:space="0" w:color="auto"/>
                        <w:right w:val="none" w:sz="0" w:space="0" w:color="auto"/>
                      </w:divBdr>
                    </w:div>
                  </w:divsChild>
                </w:div>
                <w:div w:id="1961299441">
                  <w:marLeft w:val="0"/>
                  <w:marRight w:val="0"/>
                  <w:marTop w:val="0"/>
                  <w:marBottom w:val="0"/>
                  <w:divBdr>
                    <w:top w:val="none" w:sz="0" w:space="0" w:color="auto"/>
                    <w:left w:val="none" w:sz="0" w:space="0" w:color="auto"/>
                    <w:bottom w:val="none" w:sz="0" w:space="0" w:color="auto"/>
                    <w:right w:val="none" w:sz="0" w:space="0" w:color="auto"/>
                  </w:divBdr>
                  <w:divsChild>
                    <w:div w:id="42216457">
                      <w:marLeft w:val="0"/>
                      <w:marRight w:val="0"/>
                      <w:marTop w:val="0"/>
                      <w:marBottom w:val="0"/>
                      <w:divBdr>
                        <w:top w:val="none" w:sz="0" w:space="0" w:color="auto"/>
                        <w:left w:val="none" w:sz="0" w:space="0" w:color="auto"/>
                        <w:bottom w:val="none" w:sz="0" w:space="0" w:color="auto"/>
                        <w:right w:val="none" w:sz="0" w:space="0" w:color="auto"/>
                      </w:divBdr>
                    </w:div>
                  </w:divsChild>
                </w:div>
                <w:div w:id="1986205555">
                  <w:marLeft w:val="0"/>
                  <w:marRight w:val="0"/>
                  <w:marTop w:val="0"/>
                  <w:marBottom w:val="0"/>
                  <w:divBdr>
                    <w:top w:val="none" w:sz="0" w:space="0" w:color="auto"/>
                    <w:left w:val="none" w:sz="0" w:space="0" w:color="auto"/>
                    <w:bottom w:val="none" w:sz="0" w:space="0" w:color="auto"/>
                    <w:right w:val="none" w:sz="0" w:space="0" w:color="auto"/>
                  </w:divBdr>
                  <w:divsChild>
                    <w:div w:id="21247817">
                      <w:marLeft w:val="0"/>
                      <w:marRight w:val="0"/>
                      <w:marTop w:val="0"/>
                      <w:marBottom w:val="0"/>
                      <w:divBdr>
                        <w:top w:val="none" w:sz="0" w:space="0" w:color="auto"/>
                        <w:left w:val="none" w:sz="0" w:space="0" w:color="auto"/>
                        <w:bottom w:val="none" w:sz="0" w:space="0" w:color="auto"/>
                        <w:right w:val="none" w:sz="0" w:space="0" w:color="auto"/>
                      </w:divBdr>
                    </w:div>
                  </w:divsChild>
                </w:div>
                <w:div w:id="1986349774">
                  <w:marLeft w:val="0"/>
                  <w:marRight w:val="0"/>
                  <w:marTop w:val="0"/>
                  <w:marBottom w:val="0"/>
                  <w:divBdr>
                    <w:top w:val="none" w:sz="0" w:space="0" w:color="auto"/>
                    <w:left w:val="none" w:sz="0" w:space="0" w:color="auto"/>
                    <w:bottom w:val="none" w:sz="0" w:space="0" w:color="auto"/>
                    <w:right w:val="none" w:sz="0" w:space="0" w:color="auto"/>
                  </w:divBdr>
                  <w:divsChild>
                    <w:div w:id="1551111416">
                      <w:marLeft w:val="0"/>
                      <w:marRight w:val="0"/>
                      <w:marTop w:val="0"/>
                      <w:marBottom w:val="0"/>
                      <w:divBdr>
                        <w:top w:val="none" w:sz="0" w:space="0" w:color="auto"/>
                        <w:left w:val="none" w:sz="0" w:space="0" w:color="auto"/>
                        <w:bottom w:val="none" w:sz="0" w:space="0" w:color="auto"/>
                        <w:right w:val="none" w:sz="0" w:space="0" w:color="auto"/>
                      </w:divBdr>
                    </w:div>
                  </w:divsChild>
                </w:div>
                <w:div w:id="2009746556">
                  <w:marLeft w:val="0"/>
                  <w:marRight w:val="0"/>
                  <w:marTop w:val="0"/>
                  <w:marBottom w:val="0"/>
                  <w:divBdr>
                    <w:top w:val="none" w:sz="0" w:space="0" w:color="auto"/>
                    <w:left w:val="none" w:sz="0" w:space="0" w:color="auto"/>
                    <w:bottom w:val="none" w:sz="0" w:space="0" w:color="auto"/>
                    <w:right w:val="none" w:sz="0" w:space="0" w:color="auto"/>
                  </w:divBdr>
                  <w:divsChild>
                    <w:div w:id="134566017">
                      <w:marLeft w:val="0"/>
                      <w:marRight w:val="0"/>
                      <w:marTop w:val="0"/>
                      <w:marBottom w:val="0"/>
                      <w:divBdr>
                        <w:top w:val="none" w:sz="0" w:space="0" w:color="auto"/>
                        <w:left w:val="none" w:sz="0" w:space="0" w:color="auto"/>
                        <w:bottom w:val="none" w:sz="0" w:space="0" w:color="auto"/>
                        <w:right w:val="none" w:sz="0" w:space="0" w:color="auto"/>
                      </w:divBdr>
                    </w:div>
                  </w:divsChild>
                </w:div>
                <w:div w:id="2021079504">
                  <w:marLeft w:val="0"/>
                  <w:marRight w:val="0"/>
                  <w:marTop w:val="0"/>
                  <w:marBottom w:val="0"/>
                  <w:divBdr>
                    <w:top w:val="none" w:sz="0" w:space="0" w:color="auto"/>
                    <w:left w:val="none" w:sz="0" w:space="0" w:color="auto"/>
                    <w:bottom w:val="none" w:sz="0" w:space="0" w:color="auto"/>
                    <w:right w:val="none" w:sz="0" w:space="0" w:color="auto"/>
                  </w:divBdr>
                  <w:divsChild>
                    <w:div w:id="1224874269">
                      <w:marLeft w:val="0"/>
                      <w:marRight w:val="0"/>
                      <w:marTop w:val="0"/>
                      <w:marBottom w:val="0"/>
                      <w:divBdr>
                        <w:top w:val="none" w:sz="0" w:space="0" w:color="auto"/>
                        <w:left w:val="none" w:sz="0" w:space="0" w:color="auto"/>
                        <w:bottom w:val="none" w:sz="0" w:space="0" w:color="auto"/>
                        <w:right w:val="none" w:sz="0" w:space="0" w:color="auto"/>
                      </w:divBdr>
                    </w:div>
                  </w:divsChild>
                </w:div>
                <w:div w:id="2022974669">
                  <w:marLeft w:val="0"/>
                  <w:marRight w:val="0"/>
                  <w:marTop w:val="0"/>
                  <w:marBottom w:val="0"/>
                  <w:divBdr>
                    <w:top w:val="none" w:sz="0" w:space="0" w:color="auto"/>
                    <w:left w:val="none" w:sz="0" w:space="0" w:color="auto"/>
                    <w:bottom w:val="none" w:sz="0" w:space="0" w:color="auto"/>
                    <w:right w:val="none" w:sz="0" w:space="0" w:color="auto"/>
                  </w:divBdr>
                  <w:divsChild>
                    <w:div w:id="50004481">
                      <w:marLeft w:val="0"/>
                      <w:marRight w:val="0"/>
                      <w:marTop w:val="0"/>
                      <w:marBottom w:val="0"/>
                      <w:divBdr>
                        <w:top w:val="none" w:sz="0" w:space="0" w:color="auto"/>
                        <w:left w:val="none" w:sz="0" w:space="0" w:color="auto"/>
                        <w:bottom w:val="none" w:sz="0" w:space="0" w:color="auto"/>
                        <w:right w:val="none" w:sz="0" w:space="0" w:color="auto"/>
                      </w:divBdr>
                    </w:div>
                  </w:divsChild>
                </w:div>
                <w:div w:id="2043090393">
                  <w:marLeft w:val="0"/>
                  <w:marRight w:val="0"/>
                  <w:marTop w:val="0"/>
                  <w:marBottom w:val="0"/>
                  <w:divBdr>
                    <w:top w:val="none" w:sz="0" w:space="0" w:color="auto"/>
                    <w:left w:val="none" w:sz="0" w:space="0" w:color="auto"/>
                    <w:bottom w:val="none" w:sz="0" w:space="0" w:color="auto"/>
                    <w:right w:val="none" w:sz="0" w:space="0" w:color="auto"/>
                  </w:divBdr>
                  <w:divsChild>
                    <w:div w:id="421995666">
                      <w:marLeft w:val="0"/>
                      <w:marRight w:val="0"/>
                      <w:marTop w:val="0"/>
                      <w:marBottom w:val="0"/>
                      <w:divBdr>
                        <w:top w:val="none" w:sz="0" w:space="0" w:color="auto"/>
                        <w:left w:val="none" w:sz="0" w:space="0" w:color="auto"/>
                        <w:bottom w:val="none" w:sz="0" w:space="0" w:color="auto"/>
                        <w:right w:val="none" w:sz="0" w:space="0" w:color="auto"/>
                      </w:divBdr>
                    </w:div>
                  </w:divsChild>
                </w:div>
                <w:div w:id="2045136004">
                  <w:marLeft w:val="0"/>
                  <w:marRight w:val="0"/>
                  <w:marTop w:val="0"/>
                  <w:marBottom w:val="0"/>
                  <w:divBdr>
                    <w:top w:val="none" w:sz="0" w:space="0" w:color="auto"/>
                    <w:left w:val="none" w:sz="0" w:space="0" w:color="auto"/>
                    <w:bottom w:val="none" w:sz="0" w:space="0" w:color="auto"/>
                    <w:right w:val="none" w:sz="0" w:space="0" w:color="auto"/>
                  </w:divBdr>
                  <w:divsChild>
                    <w:div w:id="939292326">
                      <w:marLeft w:val="0"/>
                      <w:marRight w:val="0"/>
                      <w:marTop w:val="0"/>
                      <w:marBottom w:val="0"/>
                      <w:divBdr>
                        <w:top w:val="none" w:sz="0" w:space="0" w:color="auto"/>
                        <w:left w:val="none" w:sz="0" w:space="0" w:color="auto"/>
                        <w:bottom w:val="none" w:sz="0" w:space="0" w:color="auto"/>
                        <w:right w:val="none" w:sz="0" w:space="0" w:color="auto"/>
                      </w:divBdr>
                    </w:div>
                  </w:divsChild>
                </w:div>
                <w:div w:id="2048868526">
                  <w:marLeft w:val="0"/>
                  <w:marRight w:val="0"/>
                  <w:marTop w:val="0"/>
                  <w:marBottom w:val="0"/>
                  <w:divBdr>
                    <w:top w:val="none" w:sz="0" w:space="0" w:color="auto"/>
                    <w:left w:val="none" w:sz="0" w:space="0" w:color="auto"/>
                    <w:bottom w:val="none" w:sz="0" w:space="0" w:color="auto"/>
                    <w:right w:val="none" w:sz="0" w:space="0" w:color="auto"/>
                  </w:divBdr>
                  <w:divsChild>
                    <w:div w:id="320161620">
                      <w:marLeft w:val="0"/>
                      <w:marRight w:val="0"/>
                      <w:marTop w:val="0"/>
                      <w:marBottom w:val="0"/>
                      <w:divBdr>
                        <w:top w:val="none" w:sz="0" w:space="0" w:color="auto"/>
                        <w:left w:val="none" w:sz="0" w:space="0" w:color="auto"/>
                        <w:bottom w:val="none" w:sz="0" w:space="0" w:color="auto"/>
                        <w:right w:val="none" w:sz="0" w:space="0" w:color="auto"/>
                      </w:divBdr>
                    </w:div>
                  </w:divsChild>
                </w:div>
                <w:div w:id="2052606914">
                  <w:marLeft w:val="0"/>
                  <w:marRight w:val="0"/>
                  <w:marTop w:val="0"/>
                  <w:marBottom w:val="0"/>
                  <w:divBdr>
                    <w:top w:val="none" w:sz="0" w:space="0" w:color="auto"/>
                    <w:left w:val="none" w:sz="0" w:space="0" w:color="auto"/>
                    <w:bottom w:val="none" w:sz="0" w:space="0" w:color="auto"/>
                    <w:right w:val="none" w:sz="0" w:space="0" w:color="auto"/>
                  </w:divBdr>
                  <w:divsChild>
                    <w:div w:id="1082068459">
                      <w:marLeft w:val="0"/>
                      <w:marRight w:val="0"/>
                      <w:marTop w:val="0"/>
                      <w:marBottom w:val="0"/>
                      <w:divBdr>
                        <w:top w:val="none" w:sz="0" w:space="0" w:color="auto"/>
                        <w:left w:val="none" w:sz="0" w:space="0" w:color="auto"/>
                        <w:bottom w:val="none" w:sz="0" w:space="0" w:color="auto"/>
                        <w:right w:val="none" w:sz="0" w:space="0" w:color="auto"/>
                      </w:divBdr>
                    </w:div>
                  </w:divsChild>
                </w:div>
                <w:div w:id="2094080881">
                  <w:marLeft w:val="0"/>
                  <w:marRight w:val="0"/>
                  <w:marTop w:val="0"/>
                  <w:marBottom w:val="0"/>
                  <w:divBdr>
                    <w:top w:val="none" w:sz="0" w:space="0" w:color="auto"/>
                    <w:left w:val="none" w:sz="0" w:space="0" w:color="auto"/>
                    <w:bottom w:val="none" w:sz="0" w:space="0" w:color="auto"/>
                    <w:right w:val="none" w:sz="0" w:space="0" w:color="auto"/>
                  </w:divBdr>
                  <w:divsChild>
                    <w:div w:id="1513495360">
                      <w:marLeft w:val="0"/>
                      <w:marRight w:val="0"/>
                      <w:marTop w:val="0"/>
                      <w:marBottom w:val="0"/>
                      <w:divBdr>
                        <w:top w:val="none" w:sz="0" w:space="0" w:color="auto"/>
                        <w:left w:val="none" w:sz="0" w:space="0" w:color="auto"/>
                        <w:bottom w:val="none" w:sz="0" w:space="0" w:color="auto"/>
                        <w:right w:val="none" w:sz="0" w:space="0" w:color="auto"/>
                      </w:divBdr>
                    </w:div>
                  </w:divsChild>
                </w:div>
                <w:div w:id="2104841068">
                  <w:marLeft w:val="0"/>
                  <w:marRight w:val="0"/>
                  <w:marTop w:val="0"/>
                  <w:marBottom w:val="0"/>
                  <w:divBdr>
                    <w:top w:val="none" w:sz="0" w:space="0" w:color="auto"/>
                    <w:left w:val="none" w:sz="0" w:space="0" w:color="auto"/>
                    <w:bottom w:val="none" w:sz="0" w:space="0" w:color="auto"/>
                    <w:right w:val="none" w:sz="0" w:space="0" w:color="auto"/>
                  </w:divBdr>
                  <w:divsChild>
                    <w:div w:id="551774345">
                      <w:marLeft w:val="0"/>
                      <w:marRight w:val="0"/>
                      <w:marTop w:val="0"/>
                      <w:marBottom w:val="0"/>
                      <w:divBdr>
                        <w:top w:val="none" w:sz="0" w:space="0" w:color="auto"/>
                        <w:left w:val="none" w:sz="0" w:space="0" w:color="auto"/>
                        <w:bottom w:val="none" w:sz="0" w:space="0" w:color="auto"/>
                        <w:right w:val="none" w:sz="0" w:space="0" w:color="auto"/>
                      </w:divBdr>
                    </w:div>
                  </w:divsChild>
                </w:div>
                <w:div w:id="2107118014">
                  <w:marLeft w:val="0"/>
                  <w:marRight w:val="0"/>
                  <w:marTop w:val="0"/>
                  <w:marBottom w:val="0"/>
                  <w:divBdr>
                    <w:top w:val="none" w:sz="0" w:space="0" w:color="auto"/>
                    <w:left w:val="none" w:sz="0" w:space="0" w:color="auto"/>
                    <w:bottom w:val="none" w:sz="0" w:space="0" w:color="auto"/>
                    <w:right w:val="none" w:sz="0" w:space="0" w:color="auto"/>
                  </w:divBdr>
                  <w:divsChild>
                    <w:div w:id="608895113">
                      <w:marLeft w:val="0"/>
                      <w:marRight w:val="0"/>
                      <w:marTop w:val="0"/>
                      <w:marBottom w:val="0"/>
                      <w:divBdr>
                        <w:top w:val="none" w:sz="0" w:space="0" w:color="auto"/>
                        <w:left w:val="none" w:sz="0" w:space="0" w:color="auto"/>
                        <w:bottom w:val="none" w:sz="0" w:space="0" w:color="auto"/>
                        <w:right w:val="none" w:sz="0" w:space="0" w:color="auto"/>
                      </w:divBdr>
                    </w:div>
                  </w:divsChild>
                </w:div>
                <w:div w:id="2118867072">
                  <w:marLeft w:val="0"/>
                  <w:marRight w:val="0"/>
                  <w:marTop w:val="0"/>
                  <w:marBottom w:val="0"/>
                  <w:divBdr>
                    <w:top w:val="none" w:sz="0" w:space="0" w:color="auto"/>
                    <w:left w:val="none" w:sz="0" w:space="0" w:color="auto"/>
                    <w:bottom w:val="none" w:sz="0" w:space="0" w:color="auto"/>
                    <w:right w:val="none" w:sz="0" w:space="0" w:color="auto"/>
                  </w:divBdr>
                  <w:divsChild>
                    <w:div w:id="952443292">
                      <w:marLeft w:val="0"/>
                      <w:marRight w:val="0"/>
                      <w:marTop w:val="0"/>
                      <w:marBottom w:val="0"/>
                      <w:divBdr>
                        <w:top w:val="none" w:sz="0" w:space="0" w:color="auto"/>
                        <w:left w:val="none" w:sz="0" w:space="0" w:color="auto"/>
                        <w:bottom w:val="none" w:sz="0" w:space="0" w:color="auto"/>
                        <w:right w:val="none" w:sz="0" w:space="0" w:color="auto"/>
                      </w:divBdr>
                    </w:div>
                  </w:divsChild>
                </w:div>
                <w:div w:id="2120102079">
                  <w:marLeft w:val="0"/>
                  <w:marRight w:val="0"/>
                  <w:marTop w:val="0"/>
                  <w:marBottom w:val="0"/>
                  <w:divBdr>
                    <w:top w:val="none" w:sz="0" w:space="0" w:color="auto"/>
                    <w:left w:val="none" w:sz="0" w:space="0" w:color="auto"/>
                    <w:bottom w:val="none" w:sz="0" w:space="0" w:color="auto"/>
                    <w:right w:val="none" w:sz="0" w:space="0" w:color="auto"/>
                  </w:divBdr>
                  <w:divsChild>
                    <w:div w:id="148060821">
                      <w:marLeft w:val="0"/>
                      <w:marRight w:val="0"/>
                      <w:marTop w:val="0"/>
                      <w:marBottom w:val="0"/>
                      <w:divBdr>
                        <w:top w:val="none" w:sz="0" w:space="0" w:color="auto"/>
                        <w:left w:val="none" w:sz="0" w:space="0" w:color="auto"/>
                        <w:bottom w:val="none" w:sz="0" w:space="0" w:color="auto"/>
                        <w:right w:val="none" w:sz="0" w:space="0" w:color="auto"/>
                      </w:divBdr>
                    </w:div>
                  </w:divsChild>
                </w:div>
                <w:div w:id="2130663316">
                  <w:marLeft w:val="0"/>
                  <w:marRight w:val="0"/>
                  <w:marTop w:val="0"/>
                  <w:marBottom w:val="0"/>
                  <w:divBdr>
                    <w:top w:val="none" w:sz="0" w:space="0" w:color="auto"/>
                    <w:left w:val="none" w:sz="0" w:space="0" w:color="auto"/>
                    <w:bottom w:val="none" w:sz="0" w:space="0" w:color="auto"/>
                    <w:right w:val="none" w:sz="0" w:space="0" w:color="auto"/>
                  </w:divBdr>
                  <w:divsChild>
                    <w:div w:id="749035944">
                      <w:marLeft w:val="0"/>
                      <w:marRight w:val="0"/>
                      <w:marTop w:val="0"/>
                      <w:marBottom w:val="0"/>
                      <w:divBdr>
                        <w:top w:val="none" w:sz="0" w:space="0" w:color="auto"/>
                        <w:left w:val="none" w:sz="0" w:space="0" w:color="auto"/>
                        <w:bottom w:val="none" w:sz="0" w:space="0" w:color="auto"/>
                        <w:right w:val="none" w:sz="0" w:space="0" w:color="auto"/>
                      </w:divBdr>
                    </w:div>
                  </w:divsChild>
                </w:div>
                <w:div w:id="2137211778">
                  <w:marLeft w:val="0"/>
                  <w:marRight w:val="0"/>
                  <w:marTop w:val="0"/>
                  <w:marBottom w:val="0"/>
                  <w:divBdr>
                    <w:top w:val="none" w:sz="0" w:space="0" w:color="auto"/>
                    <w:left w:val="none" w:sz="0" w:space="0" w:color="auto"/>
                    <w:bottom w:val="none" w:sz="0" w:space="0" w:color="auto"/>
                    <w:right w:val="none" w:sz="0" w:space="0" w:color="auto"/>
                  </w:divBdr>
                  <w:divsChild>
                    <w:div w:id="850729429">
                      <w:marLeft w:val="0"/>
                      <w:marRight w:val="0"/>
                      <w:marTop w:val="0"/>
                      <w:marBottom w:val="0"/>
                      <w:divBdr>
                        <w:top w:val="none" w:sz="0" w:space="0" w:color="auto"/>
                        <w:left w:val="none" w:sz="0" w:space="0" w:color="auto"/>
                        <w:bottom w:val="none" w:sz="0" w:space="0" w:color="auto"/>
                        <w:right w:val="none" w:sz="0" w:space="0" w:color="auto"/>
                      </w:divBdr>
                    </w:div>
                  </w:divsChild>
                </w:div>
                <w:div w:id="2141337072">
                  <w:marLeft w:val="0"/>
                  <w:marRight w:val="0"/>
                  <w:marTop w:val="0"/>
                  <w:marBottom w:val="0"/>
                  <w:divBdr>
                    <w:top w:val="none" w:sz="0" w:space="0" w:color="auto"/>
                    <w:left w:val="none" w:sz="0" w:space="0" w:color="auto"/>
                    <w:bottom w:val="none" w:sz="0" w:space="0" w:color="auto"/>
                    <w:right w:val="none" w:sz="0" w:space="0" w:color="auto"/>
                  </w:divBdr>
                  <w:divsChild>
                    <w:div w:id="1868634527">
                      <w:marLeft w:val="0"/>
                      <w:marRight w:val="0"/>
                      <w:marTop w:val="0"/>
                      <w:marBottom w:val="0"/>
                      <w:divBdr>
                        <w:top w:val="none" w:sz="0" w:space="0" w:color="auto"/>
                        <w:left w:val="none" w:sz="0" w:space="0" w:color="auto"/>
                        <w:bottom w:val="none" w:sz="0" w:space="0" w:color="auto"/>
                        <w:right w:val="none" w:sz="0" w:space="0" w:color="auto"/>
                      </w:divBdr>
                    </w:div>
                  </w:divsChild>
                </w:div>
                <w:div w:id="2146652696">
                  <w:marLeft w:val="0"/>
                  <w:marRight w:val="0"/>
                  <w:marTop w:val="0"/>
                  <w:marBottom w:val="0"/>
                  <w:divBdr>
                    <w:top w:val="none" w:sz="0" w:space="0" w:color="auto"/>
                    <w:left w:val="none" w:sz="0" w:space="0" w:color="auto"/>
                    <w:bottom w:val="none" w:sz="0" w:space="0" w:color="auto"/>
                    <w:right w:val="none" w:sz="0" w:space="0" w:color="auto"/>
                  </w:divBdr>
                  <w:divsChild>
                    <w:div w:id="143401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217602">
          <w:marLeft w:val="0"/>
          <w:marRight w:val="0"/>
          <w:marTop w:val="0"/>
          <w:marBottom w:val="0"/>
          <w:divBdr>
            <w:top w:val="none" w:sz="0" w:space="0" w:color="auto"/>
            <w:left w:val="none" w:sz="0" w:space="0" w:color="auto"/>
            <w:bottom w:val="none" w:sz="0" w:space="0" w:color="auto"/>
            <w:right w:val="none" w:sz="0" w:space="0" w:color="auto"/>
          </w:divBdr>
        </w:div>
        <w:div w:id="1416710826">
          <w:marLeft w:val="0"/>
          <w:marRight w:val="0"/>
          <w:marTop w:val="0"/>
          <w:marBottom w:val="0"/>
          <w:divBdr>
            <w:top w:val="none" w:sz="0" w:space="0" w:color="auto"/>
            <w:left w:val="none" w:sz="0" w:space="0" w:color="auto"/>
            <w:bottom w:val="none" w:sz="0" w:space="0" w:color="auto"/>
            <w:right w:val="none" w:sz="0" w:space="0" w:color="auto"/>
          </w:divBdr>
          <w:divsChild>
            <w:div w:id="1677220936">
              <w:marLeft w:val="0"/>
              <w:marRight w:val="0"/>
              <w:marTop w:val="30"/>
              <w:marBottom w:val="30"/>
              <w:divBdr>
                <w:top w:val="none" w:sz="0" w:space="0" w:color="auto"/>
                <w:left w:val="none" w:sz="0" w:space="0" w:color="auto"/>
                <w:bottom w:val="none" w:sz="0" w:space="0" w:color="auto"/>
                <w:right w:val="none" w:sz="0" w:space="0" w:color="auto"/>
              </w:divBdr>
              <w:divsChild>
                <w:div w:id="1661672">
                  <w:marLeft w:val="0"/>
                  <w:marRight w:val="0"/>
                  <w:marTop w:val="0"/>
                  <w:marBottom w:val="0"/>
                  <w:divBdr>
                    <w:top w:val="none" w:sz="0" w:space="0" w:color="auto"/>
                    <w:left w:val="none" w:sz="0" w:space="0" w:color="auto"/>
                    <w:bottom w:val="none" w:sz="0" w:space="0" w:color="auto"/>
                    <w:right w:val="none" w:sz="0" w:space="0" w:color="auto"/>
                  </w:divBdr>
                  <w:divsChild>
                    <w:div w:id="1589728922">
                      <w:marLeft w:val="0"/>
                      <w:marRight w:val="0"/>
                      <w:marTop w:val="0"/>
                      <w:marBottom w:val="0"/>
                      <w:divBdr>
                        <w:top w:val="none" w:sz="0" w:space="0" w:color="auto"/>
                        <w:left w:val="none" w:sz="0" w:space="0" w:color="auto"/>
                        <w:bottom w:val="none" w:sz="0" w:space="0" w:color="auto"/>
                        <w:right w:val="none" w:sz="0" w:space="0" w:color="auto"/>
                      </w:divBdr>
                    </w:div>
                  </w:divsChild>
                </w:div>
                <w:div w:id="2634206">
                  <w:marLeft w:val="0"/>
                  <w:marRight w:val="0"/>
                  <w:marTop w:val="0"/>
                  <w:marBottom w:val="0"/>
                  <w:divBdr>
                    <w:top w:val="none" w:sz="0" w:space="0" w:color="auto"/>
                    <w:left w:val="none" w:sz="0" w:space="0" w:color="auto"/>
                    <w:bottom w:val="none" w:sz="0" w:space="0" w:color="auto"/>
                    <w:right w:val="none" w:sz="0" w:space="0" w:color="auto"/>
                  </w:divBdr>
                  <w:divsChild>
                    <w:div w:id="1541354703">
                      <w:marLeft w:val="0"/>
                      <w:marRight w:val="0"/>
                      <w:marTop w:val="0"/>
                      <w:marBottom w:val="0"/>
                      <w:divBdr>
                        <w:top w:val="none" w:sz="0" w:space="0" w:color="auto"/>
                        <w:left w:val="none" w:sz="0" w:space="0" w:color="auto"/>
                        <w:bottom w:val="none" w:sz="0" w:space="0" w:color="auto"/>
                        <w:right w:val="none" w:sz="0" w:space="0" w:color="auto"/>
                      </w:divBdr>
                    </w:div>
                  </w:divsChild>
                </w:div>
                <w:div w:id="5909096">
                  <w:marLeft w:val="0"/>
                  <w:marRight w:val="0"/>
                  <w:marTop w:val="0"/>
                  <w:marBottom w:val="0"/>
                  <w:divBdr>
                    <w:top w:val="none" w:sz="0" w:space="0" w:color="auto"/>
                    <w:left w:val="none" w:sz="0" w:space="0" w:color="auto"/>
                    <w:bottom w:val="none" w:sz="0" w:space="0" w:color="auto"/>
                    <w:right w:val="none" w:sz="0" w:space="0" w:color="auto"/>
                  </w:divBdr>
                  <w:divsChild>
                    <w:div w:id="1153789056">
                      <w:marLeft w:val="0"/>
                      <w:marRight w:val="0"/>
                      <w:marTop w:val="0"/>
                      <w:marBottom w:val="0"/>
                      <w:divBdr>
                        <w:top w:val="none" w:sz="0" w:space="0" w:color="auto"/>
                        <w:left w:val="none" w:sz="0" w:space="0" w:color="auto"/>
                        <w:bottom w:val="none" w:sz="0" w:space="0" w:color="auto"/>
                        <w:right w:val="none" w:sz="0" w:space="0" w:color="auto"/>
                      </w:divBdr>
                    </w:div>
                  </w:divsChild>
                </w:div>
                <w:div w:id="5913569">
                  <w:marLeft w:val="0"/>
                  <w:marRight w:val="0"/>
                  <w:marTop w:val="0"/>
                  <w:marBottom w:val="0"/>
                  <w:divBdr>
                    <w:top w:val="none" w:sz="0" w:space="0" w:color="auto"/>
                    <w:left w:val="none" w:sz="0" w:space="0" w:color="auto"/>
                    <w:bottom w:val="none" w:sz="0" w:space="0" w:color="auto"/>
                    <w:right w:val="none" w:sz="0" w:space="0" w:color="auto"/>
                  </w:divBdr>
                  <w:divsChild>
                    <w:div w:id="163016889">
                      <w:marLeft w:val="0"/>
                      <w:marRight w:val="0"/>
                      <w:marTop w:val="0"/>
                      <w:marBottom w:val="0"/>
                      <w:divBdr>
                        <w:top w:val="none" w:sz="0" w:space="0" w:color="auto"/>
                        <w:left w:val="none" w:sz="0" w:space="0" w:color="auto"/>
                        <w:bottom w:val="none" w:sz="0" w:space="0" w:color="auto"/>
                        <w:right w:val="none" w:sz="0" w:space="0" w:color="auto"/>
                      </w:divBdr>
                    </w:div>
                  </w:divsChild>
                </w:div>
                <w:div w:id="6637466">
                  <w:marLeft w:val="0"/>
                  <w:marRight w:val="0"/>
                  <w:marTop w:val="0"/>
                  <w:marBottom w:val="0"/>
                  <w:divBdr>
                    <w:top w:val="none" w:sz="0" w:space="0" w:color="auto"/>
                    <w:left w:val="none" w:sz="0" w:space="0" w:color="auto"/>
                    <w:bottom w:val="none" w:sz="0" w:space="0" w:color="auto"/>
                    <w:right w:val="none" w:sz="0" w:space="0" w:color="auto"/>
                  </w:divBdr>
                  <w:divsChild>
                    <w:div w:id="2010478914">
                      <w:marLeft w:val="0"/>
                      <w:marRight w:val="0"/>
                      <w:marTop w:val="0"/>
                      <w:marBottom w:val="0"/>
                      <w:divBdr>
                        <w:top w:val="none" w:sz="0" w:space="0" w:color="auto"/>
                        <w:left w:val="none" w:sz="0" w:space="0" w:color="auto"/>
                        <w:bottom w:val="none" w:sz="0" w:space="0" w:color="auto"/>
                        <w:right w:val="none" w:sz="0" w:space="0" w:color="auto"/>
                      </w:divBdr>
                    </w:div>
                  </w:divsChild>
                </w:div>
                <w:div w:id="7685730">
                  <w:marLeft w:val="0"/>
                  <w:marRight w:val="0"/>
                  <w:marTop w:val="0"/>
                  <w:marBottom w:val="0"/>
                  <w:divBdr>
                    <w:top w:val="none" w:sz="0" w:space="0" w:color="auto"/>
                    <w:left w:val="none" w:sz="0" w:space="0" w:color="auto"/>
                    <w:bottom w:val="none" w:sz="0" w:space="0" w:color="auto"/>
                    <w:right w:val="none" w:sz="0" w:space="0" w:color="auto"/>
                  </w:divBdr>
                  <w:divsChild>
                    <w:div w:id="681980341">
                      <w:marLeft w:val="0"/>
                      <w:marRight w:val="0"/>
                      <w:marTop w:val="0"/>
                      <w:marBottom w:val="0"/>
                      <w:divBdr>
                        <w:top w:val="none" w:sz="0" w:space="0" w:color="auto"/>
                        <w:left w:val="none" w:sz="0" w:space="0" w:color="auto"/>
                        <w:bottom w:val="none" w:sz="0" w:space="0" w:color="auto"/>
                        <w:right w:val="none" w:sz="0" w:space="0" w:color="auto"/>
                      </w:divBdr>
                    </w:div>
                  </w:divsChild>
                </w:div>
                <w:div w:id="8139434">
                  <w:marLeft w:val="0"/>
                  <w:marRight w:val="0"/>
                  <w:marTop w:val="0"/>
                  <w:marBottom w:val="0"/>
                  <w:divBdr>
                    <w:top w:val="none" w:sz="0" w:space="0" w:color="auto"/>
                    <w:left w:val="none" w:sz="0" w:space="0" w:color="auto"/>
                    <w:bottom w:val="none" w:sz="0" w:space="0" w:color="auto"/>
                    <w:right w:val="none" w:sz="0" w:space="0" w:color="auto"/>
                  </w:divBdr>
                  <w:divsChild>
                    <w:div w:id="790173387">
                      <w:marLeft w:val="0"/>
                      <w:marRight w:val="0"/>
                      <w:marTop w:val="0"/>
                      <w:marBottom w:val="0"/>
                      <w:divBdr>
                        <w:top w:val="none" w:sz="0" w:space="0" w:color="auto"/>
                        <w:left w:val="none" w:sz="0" w:space="0" w:color="auto"/>
                        <w:bottom w:val="none" w:sz="0" w:space="0" w:color="auto"/>
                        <w:right w:val="none" w:sz="0" w:space="0" w:color="auto"/>
                      </w:divBdr>
                    </w:div>
                  </w:divsChild>
                </w:div>
                <w:div w:id="11077813">
                  <w:marLeft w:val="0"/>
                  <w:marRight w:val="0"/>
                  <w:marTop w:val="0"/>
                  <w:marBottom w:val="0"/>
                  <w:divBdr>
                    <w:top w:val="none" w:sz="0" w:space="0" w:color="auto"/>
                    <w:left w:val="none" w:sz="0" w:space="0" w:color="auto"/>
                    <w:bottom w:val="none" w:sz="0" w:space="0" w:color="auto"/>
                    <w:right w:val="none" w:sz="0" w:space="0" w:color="auto"/>
                  </w:divBdr>
                  <w:divsChild>
                    <w:div w:id="405225356">
                      <w:marLeft w:val="0"/>
                      <w:marRight w:val="0"/>
                      <w:marTop w:val="0"/>
                      <w:marBottom w:val="0"/>
                      <w:divBdr>
                        <w:top w:val="none" w:sz="0" w:space="0" w:color="auto"/>
                        <w:left w:val="none" w:sz="0" w:space="0" w:color="auto"/>
                        <w:bottom w:val="none" w:sz="0" w:space="0" w:color="auto"/>
                        <w:right w:val="none" w:sz="0" w:space="0" w:color="auto"/>
                      </w:divBdr>
                    </w:div>
                  </w:divsChild>
                </w:div>
                <w:div w:id="11224690">
                  <w:marLeft w:val="0"/>
                  <w:marRight w:val="0"/>
                  <w:marTop w:val="0"/>
                  <w:marBottom w:val="0"/>
                  <w:divBdr>
                    <w:top w:val="none" w:sz="0" w:space="0" w:color="auto"/>
                    <w:left w:val="none" w:sz="0" w:space="0" w:color="auto"/>
                    <w:bottom w:val="none" w:sz="0" w:space="0" w:color="auto"/>
                    <w:right w:val="none" w:sz="0" w:space="0" w:color="auto"/>
                  </w:divBdr>
                  <w:divsChild>
                    <w:div w:id="1760516716">
                      <w:marLeft w:val="0"/>
                      <w:marRight w:val="0"/>
                      <w:marTop w:val="0"/>
                      <w:marBottom w:val="0"/>
                      <w:divBdr>
                        <w:top w:val="none" w:sz="0" w:space="0" w:color="auto"/>
                        <w:left w:val="none" w:sz="0" w:space="0" w:color="auto"/>
                        <w:bottom w:val="none" w:sz="0" w:space="0" w:color="auto"/>
                        <w:right w:val="none" w:sz="0" w:space="0" w:color="auto"/>
                      </w:divBdr>
                    </w:div>
                  </w:divsChild>
                </w:div>
                <w:div w:id="16002216">
                  <w:marLeft w:val="0"/>
                  <w:marRight w:val="0"/>
                  <w:marTop w:val="0"/>
                  <w:marBottom w:val="0"/>
                  <w:divBdr>
                    <w:top w:val="none" w:sz="0" w:space="0" w:color="auto"/>
                    <w:left w:val="none" w:sz="0" w:space="0" w:color="auto"/>
                    <w:bottom w:val="none" w:sz="0" w:space="0" w:color="auto"/>
                    <w:right w:val="none" w:sz="0" w:space="0" w:color="auto"/>
                  </w:divBdr>
                  <w:divsChild>
                    <w:div w:id="2025552848">
                      <w:marLeft w:val="0"/>
                      <w:marRight w:val="0"/>
                      <w:marTop w:val="0"/>
                      <w:marBottom w:val="0"/>
                      <w:divBdr>
                        <w:top w:val="none" w:sz="0" w:space="0" w:color="auto"/>
                        <w:left w:val="none" w:sz="0" w:space="0" w:color="auto"/>
                        <w:bottom w:val="none" w:sz="0" w:space="0" w:color="auto"/>
                        <w:right w:val="none" w:sz="0" w:space="0" w:color="auto"/>
                      </w:divBdr>
                    </w:div>
                  </w:divsChild>
                </w:div>
                <w:div w:id="18699722">
                  <w:marLeft w:val="0"/>
                  <w:marRight w:val="0"/>
                  <w:marTop w:val="0"/>
                  <w:marBottom w:val="0"/>
                  <w:divBdr>
                    <w:top w:val="none" w:sz="0" w:space="0" w:color="auto"/>
                    <w:left w:val="none" w:sz="0" w:space="0" w:color="auto"/>
                    <w:bottom w:val="none" w:sz="0" w:space="0" w:color="auto"/>
                    <w:right w:val="none" w:sz="0" w:space="0" w:color="auto"/>
                  </w:divBdr>
                  <w:divsChild>
                    <w:div w:id="1156989723">
                      <w:marLeft w:val="0"/>
                      <w:marRight w:val="0"/>
                      <w:marTop w:val="0"/>
                      <w:marBottom w:val="0"/>
                      <w:divBdr>
                        <w:top w:val="none" w:sz="0" w:space="0" w:color="auto"/>
                        <w:left w:val="none" w:sz="0" w:space="0" w:color="auto"/>
                        <w:bottom w:val="none" w:sz="0" w:space="0" w:color="auto"/>
                        <w:right w:val="none" w:sz="0" w:space="0" w:color="auto"/>
                      </w:divBdr>
                    </w:div>
                  </w:divsChild>
                </w:div>
                <w:div w:id="20523355">
                  <w:marLeft w:val="0"/>
                  <w:marRight w:val="0"/>
                  <w:marTop w:val="0"/>
                  <w:marBottom w:val="0"/>
                  <w:divBdr>
                    <w:top w:val="none" w:sz="0" w:space="0" w:color="auto"/>
                    <w:left w:val="none" w:sz="0" w:space="0" w:color="auto"/>
                    <w:bottom w:val="none" w:sz="0" w:space="0" w:color="auto"/>
                    <w:right w:val="none" w:sz="0" w:space="0" w:color="auto"/>
                  </w:divBdr>
                  <w:divsChild>
                    <w:div w:id="922682955">
                      <w:marLeft w:val="0"/>
                      <w:marRight w:val="0"/>
                      <w:marTop w:val="0"/>
                      <w:marBottom w:val="0"/>
                      <w:divBdr>
                        <w:top w:val="none" w:sz="0" w:space="0" w:color="auto"/>
                        <w:left w:val="none" w:sz="0" w:space="0" w:color="auto"/>
                        <w:bottom w:val="none" w:sz="0" w:space="0" w:color="auto"/>
                        <w:right w:val="none" w:sz="0" w:space="0" w:color="auto"/>
                      </w:divBdr>
                    </w:div>
                  </w:divsChild>
                </w:div>
                <w:div w:id="43917609">
                  <w:marLeft w:val="0"/>
                  <w:marRight w:val="0"/>
                  <w:marTop w:val="0"/>
                  <w:marBottom w:val="0"/>
                  <w:divBdr>
                    <w:top w:val="none" w:sz="0" w:space="0" w:color="auto"/>
                    <w:left w:val="none" w:sz="0" w:space="0" w:color="auto"/>
                    <w:bottom w:val="none" w:sz="0" w:space="0" w:color="auto"/>
                    <w:right w:val="none" w:sz="0" w:space="0" w:color="auto"/>
                  </w:divBdr>
                  <w:divsChild>
                    <w:div w:id="1590382104">
                      <w:marLeft w:val="0"/>
                      <w:marRight w:val="0"/>
                      <w:marTop w:val="0"/>
                      <w:marBottom w:val="0"/>
                      <w:divBdr>
                        <w:top w:val="none" w:sz="0" w:space="0" w:color="auto"/>
                        <w:left w:val="none" w:sz="0" w:space="0" w:color="auto"/>
                        <w:bottom w:val="none" w:sz="0" w:space="0" w:color="auto"/>
                        <w:right w:val="none" w:sz="0" w:space="0" w:color="auto"/>
                      </w:divBdr>
                    </w:div>
                  </w:divsChild>
                </w:div>
                <w:div w:id="46073183">
                  <w:marLeft w:val="0"/>
                  <w:marRight w:val="0"/>
                  <w:marTop w:val="0"/>
                  <w:marBottom w:val="0"/>
                  <w:divBdr>
                    <w:top w:val="none" w:sz="0" w:space="0" w:color="auto"/>
                    <w:left w:val="none" w:sz="0" w:space="0" w:color="auto"/>
                    <w:bottom w:val="none" w:sz="0" w:space="0" w:color="auto"/>
                    <w:right w:val="none" w:sz="0" w:space="0" w:color="auto"/>
                  </w:divBdr>
                  <w:divsChild>
                    <w:div w:id="531111084">
                      <w:marLeft w:val="0"/>
                      <w:marRight w:val="0"/>
                      <w:marTop w:val="0"/>
                      <w:marBottom w:val="0"/>
                      <w:divBdr>
                        <w:top w:val="none" w:sz="0" w:space="0" w:color="auto"/>
                        <w:left w:val="none" w:sz="0" w:space="0" w:color="auto"/>
                        <w:bottom w:val="none" w:sz="0" w:space="0" w:color="auto"/>
                        <w:right w:val="none" w:sz="0" w:space="0" w:color="auto"/>
                      </w:divBdr>
                    </w:div>
                  </w:divsChild>
                </w:div>
                <w:div w:id="50929497">
                  <w:marLeft w:val="0"/>
                  <w:marRight w:val="0"/>
                  <w:marTop w:val="0"/>
                  <w:marBottom w:val="0"/>
                  <w:divBdr>
                    <w:top w:val="none" w:sz="0" w:space="0" w:color="auto"/>
                    <w:left w:val="none" w:sz="0" w:space="0" w:color="auto"/>
                    <w:bottom w:val="none" w:sz="0" w:space="0" w:color="auto"/>
                    <w:right w:val="none" w:sz="0" w:space="0" w:color="auto"/>
                  </w:divBdr>
                  <w:divsChild>
                    <w:div w:id="776949942">
                      <w:marLeft w:val="0"/>
                      <w:marRight w:val="0"/>
                      <w:marTop w:val="0"/>
                      <w:marBottom w:val="0"/>
                      <w:divBdr>
                        <w:top w:val="none" w:sz="0" w:space="0" w:color="auto"/>
                        <w:left w:val="none" w:sz="0" w:space="0" w:color="auto"/>
                        <w:bottom w:val="none" w:sz="0" w:space="0" w:color="auto"/>
                        <w:right w:val="none" w:sz="0" w:space="0" w:color="auto"/>
                      </w:divBdr>
                    </w:div>
                  </w:divsChild>
                </w:div>
                <w:div w:id="57288919">
                  <w:marLeft w:val="0"/>
                  <w:marRight w:val="0"/>
                  <w:marTop w:val="0"/>
                  <w:marBottom w:val="0"/>
                  <w:divBdr>
                    <w:top w:val="none" w:sz="0" w:space="0" w:color="auto"/>
                    <w:left w:val="none" w:sz="0" w:space="0" w:color="auto"/>
                    <w:bottom w:val="none" w:sz="0" w:space="0" w:color="auto"/>
                    <w:right w:val="none" w:sz="0" w:space="0" w:color="auto"/>
                  </w:divBdr>
                  <w:divsChild>
                    <w:div w:id="892817460">
                      <w:marLeft w:val="0"/>
                      <w:marRight w:val="0"/>
                      <w:marTop w:val="0"/>
                      <w:marBottom w:val="0"/>
                      <w:divBdr>
                        <w:top w:val="none" w:sz="0" w:space="0" w:color="auto"/>
                        <w:left w:val="none" w:sz="0" w:space="0" w:color="auto"/>
                        <w:bottom w:val="none" w:sz="0" w:space="0" w:color="auto"/>
                        <w:right w:val="none" w:sz="0" w:space="0" w:color="auto"/>
                      </w:divBdr>
                    </w:div>
                  </w:divsChild>
                </w:div>
                <w:div w:id="63458955">
                  <w:marLeft w:val="0"/>
                  <w:marRight w:val="0"/>
                  <w:marTop w:val="0"/>
                  <w:marBottom w:val="0"/>
                  <w:divBdr>
                    <w:top w:val="none" w:sz="0" w:space="0" w:color="auto"/>
                    <w:left w:val="none" w:sz="0" w:space="0" w:color="auto"/>
                    <w:bottom w:val="none" w:sz="0" w:space="0" w:color="auto"/>
                    <w:right w:val="none" w:sz="0" w:space="0" w:color="auto"/>
                  </w:divBdr>
                  <w:divsChild>
                    <w:div w:id="1629360046">
                      <w:marLeft w:val="0"/>
                      <w:marRight w:val="0"/>
                      <w:marTop w:val="0"/>
                      <w:marBottom w:val="0"/>
                      <w:divBdr>
                        <w:top w:val="none" w:sz="0" w:space="0" w:color="auto"/>
                        <w:left w:val="none" w:sz="0" w:space="0" w:color="auto"/>
                        <w:bottom w:val="none" w:sz="0" w:space="0" w:color="auto"/>
                        <w:right w:val="none" w:sz="0" w:space="0" w:color="auto"/>
                      </w:divBdr>
                    </w:div>
                  </w:divsChild>
                </w:div>
                <w:div w:id="74937566">
                  <w:marLeft w:val="0"/>
                  <w:marRight w:val="0"/>
                  <w:marTop w:val="0"/>
                  <w:marBottom w:val="0"/>
                  <w:divBdr>
                    <w:top w:val="none" w:sz="0" w:space="0" w:color="auto"/>
                    <w:left w:val="none" w:sz="0" w:space="0" w:color="auto"/>
                    <w:bottom w:val="none" w:sz="0" w:space="0" w:color="auto"/>
                    <w:right w:val="none" w:sz="0" w:space="0" w:color="auto"/>
                  </w:divBdr>
                  <w:divsChild>
                    <w:div w:id="572817047">
                      <w:marLeft w:val="0"/>
                      <w:marRight w:val="0"/>
                      <w:marTop w:val="0"/>
                      <w:marBottom w:val="0"/>
                      <w:divBdr>
                        <w:top w:val="none" w:sz="0" w:space="0" w:color="auto"/>
                        <w:left w:val="none" w:sz="0" w:space="0" w:color="auto"/>
                        <w:bottom w:val="none" w:sz="0" w:space="0" w:color="auto"/>
                        <w:right w:val="none" w:sz="0" w:space="0" w:color="auto"/>
                      </w:divBdr>
                    </w:div>
                  </w:divsChild>
                </w:div>
                <w:div w:id="85536021">
                  <w:marLeft w:val="0"/>
                  <w:marRight w:val="0"/>
                  <w:marTop w:val="0"/>
                  <w:marBottom w:val="0"/>
                  <w:divBdr>
                    <w:top w:val="none" w:sz="0" w:space="0" w:color="auto"/>
                    <w:left w:val="none" w:sz="0" w:space="0" w:color="auto"/>
                    <w:bottom w:val="none" w:sz="0" w:space="0" w:color="auto"/>
                    <w:right w:val="none" w:sz="0" w:space="0" w:color="auto"/>
                  </w:divBdr>
                  <w:divsChild>
                    <w:div w:id="1585610314">
                      <w:marLeft w:val="0"/>
                      <w:marRight w:val="0"/>
                      <w:marTop w:val="0"/>
                      <w:marBottom w:val="0"/>
                      <w:divBdr>
                        <w:top w:val="none" w:sz="0" w:space="0" w:color="auto"/>
                        <w:left w:val="none" w:sz="0" w:space="0" w:color="auto"/>
                        <w:bottom w:val="none" w:sz="0" w:space="0" w:color="auto"/>
                        <w:right w:val="none" w:sz="0" w:space="0" w:color="auto"/>
                      </w:divBdr>
                    </w:div>
                  </w:divsChild>
                </w:div>
                <w:div w:id="104036567">
                  <w:marLeft w:val="0"/>
                  <w:marRight w:val="0"/>
                  <w:marTop w:val="0"/>
                  <w:marBottom w:val="0"/>
                  <w:divBdr>
                    <w:top w:val="none" w:sz="0" w:space="0" w:color="auto"/>
                    <w:left w:val="none" w:sz="0" w:space="0" w:color="auto"/>
                    <w:bottom w:val="none" w:sz="0" w:space="0" w:color="auto"/>
                    <w:right w:val="none" w:sz="0" w:space="0" w:color="auto"/>
                  </w:divBdr>
                  <w:divsChild>
                    <w:div w:id="1559828608">
                      <w:marLeft w:val="0"/>
                      <w:marRight w:val="0"/>
                      <w:marTop w:val="0"/>
                      <w:marBottom w:val="0"/>
                      <w:divBdr>
                        <w:top w:val="none" w:sz="0" w:space="0" w:color="auto"/>
                        <w:left w:val="none" w:sz="0" w:space="0" w:color="auto"/>
                        <w:bottom w:val="none" w:sz="0" w:space="0" w:color="auto"/>
                        <w:right w:val="none" w:sz="0" w:space="0" w:color="auto"/>
                      </w:divBdr>
                    </w:div>
                  </w:divsChild>
                </w:div>
                <w:div w:id="116066643">
                  <w:marLeft w:val="0"/>
                  <w:marRight w:val="0"/>
                  <w:marTop w:val="0"/>
                  <w:marBottom w:val="0"/>
                  <w:divBdr>
                    <w:top w:val="none" w:sz="0" w:space="0" w:color="auto"/>
                    <w:left w:val="none" w:sz="0" w:space="0" w:color="auto"/>
                    <w:bottom w:val="none" w:sz="0" w:space="0" w:color="auto"/>
                    <w:right w:val="none" w:sz="0" w:space="0" w:color="auto"/>
                  </w:divBdr>
                  <w:divsChild>
                    <w:div w:id="2051295778">
                      <w:marLeft w:val="0"/>
                      <w:marRight w:val="0"/>
                      <w:marTop w:val="0"/>
                      <w:marBottom w:val="0"/>
                      <w:divBdr>
                        <w:top w:val="none" w:sz="0" w:space="0" w:color="auto"/>
                        <w:left w:val="none" w:sz="0" w:space="0" w:color="auto"/>
                        <w:bottom w:val="none" w:sz="0" w:space="0" w:color="auto"/>
                        <w:right w:val="none" w:sz="0" w:space="0" w:color="auto"/>
                      </w:divBdr>
                    </w:div>
                  </w:divsChild>
                </w:div>
                <w:div w:id="135614161">
                  <w:marLeft w:val="0"/>
                  <w:marRight w:val="0"/>
                  <w:marTop w:val="0"/>
                  <w:marBottom w:val="0"/>
                  <w:divBdr>
                    <w:top w:val="none" w:sz="0" w:space="0" w:color="auto"/>
                    <w:left w:val="none" w:sz="0" w:space="0" w:color="auto"/>
                    <w:bottom w:val="none" w:sz="0" w:space="0" w:color="auto"/>
                    <w:right w:val="none" w:sz="0" w:space="0" w:color="auto"/>
                  </w:divBdr>
                  <w:divsChild>
                    <w:div w:id="999046115">
                      <w:marLeft w:val="0"/>
                      <w:marRight w:val="0"/>
                      <w:marTop w:val="0"/>
                      <w:marBottom w:val="0"/>
                      <w:divBdr>
                        <w:top w:val="none" w:sz="0" w:space="0" w:color="auto"/>
                        <w:left w:val="none" w:sz="0" w:space="0" w:color="auto"/>
                        <w:bottom w:val="none" w:sz="0" w:space="0" w:color="auto"/>
                        <w:right w:val="none" w:sz="0" w:space="0" w:color="auto"/>
                      </w:divBdr>
                    </w:div>
                  </w:divsChild>
                </w:div>
                <w:div w:id="144005759">
                  <w:marLeft w:val="0"/>
                  <w:marRight w:val="0"/>
                  <w:marTop w:val="0"/>
                  <w:marBottom w:val="0"/>
                  <w:divBdr>
                    <w:top w:val="none" w:sz="0" w:space="0" w:color="auto"/>
                    <w:left w:val="none" w:sz="0" w:space="0" w:color="auto"/>
                    <w:bottom w:val="none" w:sz="0" w:space="0" w:color="auto"/>
                    <w:right w:val="none" w:sz="0" w:space="0" w:color="auto"/>
                  </w:divBdr>
                  <w:divsChild>
                    <w:div w:id="2042975238">
                      <w:marLeft w:val="0"/>
                      <w:marRight w:val="0"/>
                      <w:marTop w:val="0"/>
                      <w:marBottom w:val="0"/>
                      <w:divBdr>
                        <w:top w:val="none" w:sz="0" w:space="0" w:color="auto"/>
                        <w:left w:val="none" w:sz="0" w:space="0" w:color="auto"/>
                        <w:bottom w:val="none" w:sz="0" w:space="0" w:color="auto"/>
                        <w:right w:val="none" w:sz="0" w:space="0" w:color="auto"/>
                      </w:divBdr>
                    </w:div>
                  </w:divsChild>
                </w:div>
                <w:div w:id="147287051">
                  <w:marLeft w:val="0"/>
                  <w:marRight w:val="0"/>
                  <w:marTop w:val="0"/>
                  <w:marBottom w:val="0"/>
                  <w:divBdr>
                    <w:top w:val="none" w:sz="0" w:space="0" w:color="auto"/>
                    <w:left w:val="none" w:sz="0" w:space="0" w:color="auto"/>
                    <w:bottom w:val="none" w:sz="0" w:space="0" w:color="auto"/>
                    <w:right w:val="none" w:sz="0" w:space="0" w:color="auto"/>
                  </w:divBdr>
                  <w:divsChild>
                    <w:div w:id="1024134805">
                      <w:marLeft w:val="0"/>
                      <w:marRight w:val="0"/>
                      <w:marTop w:val="0"/>
                      <w:marBottom w:val="0"/>
                      <w:divBdr>
                        <w:top w:val="none" w:sz="0" w:space="0" w:color="auto"/>
                        <w:left w:val="none" w:sz="0" w:space="0" w:color="auto"/>
                        <w:bottom w:val="none" w:sz="0" w:space="0" w:color="auto"/>
                        <w:right w:val="none" w:sz="0" w:space="0" w:color="auto"/>
                      </w:divBdr>
                    </w:div>
                  </w:divsChild>
                </w:div>
                <w:div w:id="148599396">
                  <w:marLeft w:val="0"/>
                  <w:marRight w:val="0"/>
                  <w:marTop w:val="0"/>
                  <w:marBottom w:val="0"/>
                  <w:divBdr>
                    <w:top w:val="none" w:sz="0" w:space="0" w:color="auto"/>
                    <w:left w:val="none" w:sz="0" w:space="0" w:color="auto"/>
                    <w:bottom w:val="none" w:sz="0" w:space="0" w:color="auto"/>
                    <w:right w:val="none" w:sz="0" w:space="0" w:color="auto"/>
                  </w:divBdr>
                  <w:divsChild>
                    <w:div w:id="1030183445">
                      <w:marLeft w:val="0"/>
                      <w:marRight w:val="0"/>
                      <w:marTop w:val="0"/>
                      <w:marBottom w:val="0"/>
                      <w:divBdr>
                        <w:top w:val="none" w:sz="0" w:space="0" w:color="auto"/>
                        <w:left w:val="none" w:sz="0" w:space="0" w:color="auto"/>
                        <w:bottom w:val="none" w:sz="0" w:space="0" w:color="auto"/>
                        <w:right w:val="none" w:sz="0" w:space="0" w:color="auto"/>
                      </w:divBdr>
                    </w:div>
                  </w:divsChild>
                </w:div>
                <w:div w:id="154303532">
                  <w:marLeft w:val="0"/>
                  <w:marRight w:val="0"/>
                  <w:marTop w:val="0"/>
                  <w:marBottom w:val="0"/>
                  <w:divBdr>
                    <w:top w:val="none" w:sz="0" w:space="0" w:color="auto"/>
                    <w:left w:val="none" w:sz="0" w:space="0" w:color="auto"/>
                    <w:bottom w:val="none" w:sz="0" w:space="0" w:color="auto"/>
                    <w:right w:val="none" w:sz="0" w:space="0" w:color="auto"/>
                  </w:divBdr>
                  <w:divsChild>
                    <w:div w:id="1647003880">
                      <w:marLeft w:val="0"/>
                      <w:marRight w:val="0"/>
                      <w:marTop w:val="0"/>
                      <w:marBottom w:val="0"/>
                      <w:divBdr>
                        <w:top w:val="none" w:sz="0" w:space="0" w:color="auto"/>
                        <w:left w:val="none" w:sz="0" w:space="0" w:color="auto"/>
                        <w:bottom w:val="none" w:sz="0" w:space="0" w:color="auto"/>
                        <w:right w:val="none" w:sz="0" w:space="0" w:color="auto"/>
                      </w:divBdr>
                    </w:div>
                  </w:divsChild>
                </w:div>
                <w:div w:id="164901698">
                  <w:marLeft w:val="0"/>
                  <w:marRight w:val="0"/>
                  <w:marTop w:val="0"/>
                  <w:marBottom w:val="0"/>
                  <w:divBdr>
                    <w:top w:val="none" w:sz="0" w:space="0" w:color="auto"/>
                    <w:left w:val="none" w:sz="0" w:space="0" w:color="auto"/>
                    <w:bottom w:val="none" w:sz="0" w:space="0" w:color="auto"/>
                    <w:right w:val="none" w:sz="0" w:space="0" w:color="auto"/>
                  </w:divBdr>
                  <w:divsChild>
                    <w:div w:id="927468361">
                      <w:marLeft w:val="0"/>
                      <w:marRight w:val="0"/>
                      <w:marTop w:val="0"/>
                      <w:marBottom w:val="0"/>
                      <w:divBdr>
                        <w:top w:val="none" w:sz="0" w:space="0" w:color="auto"/>
                        <w:left w:val="none" w:sz="0" w:space="0" w:color="auto"/>
                        <w:bottom w:val="none" w:sz="0" w:space="0" w:color="auto"/>
                        <w:right w:val="none" w:sz="0" w:space="0" w:color="auto"/>
                      </w:divBdr>
                    </w:div>
                  </w:divsChild>
                </w:div>
                <w:div w:id="171916847">
                  <w:marLeft w:val="0"/>
                  <w:marRight w:val="0"/>
                  <w:marTop w:val="0"/>
                  <w:marBottom w:val="0"/>
                  <w:divBdr>
                    <w:top w:val="none" w:sz="0" w:space="0" w:color="auto"/>
                    <w:left w:val="none" w:sz="0" w:space="0" w:color="auto"/>
                    <w:bottom w:val="none" w:sz="0" w:space="0" w:color="auto"/>
                    <w:right w:val="none" w:sz="0" w:space="0" w:color="auto"/>
                  </w:divBdr>
                  <w:divsChild>
                    <w:div w:id="319776538">
                      <w:marLeft w:val="0"/>
                      <w:marRight w:val="0"/>
                      <w:marTop w:val="0"/>
                      <w:marBottom w:val="0"/>
                      <w:divBdr>
                        <w:top w:val="none" w:sz="0" w:space="0" w:color="auto"/>
                        <w:left w:val="none" w:sz="0" w:space="0" w:color="auto"/>
                        <w:bottom w:val="none" w:sz="0" w:space="0" w:color="auto"/>
                        <w:right w:val="none" w:sz="0" w:space="0" w:color="auto"/>
                      </w:divBdr>
                    </w:div>
                  </w:divsChild>
                </w:div>
                <w:div w:id="207762888">
                  <w:marLeft w:val="0"/>
                  <w:marRight w:val="0"/>
                  <w:marTop w:val="0"/>
                  <w:marBottom w:val="0"/>
                  <w:divBdr>
                    <w:top w:val="none" w:sz="0" w:space="0" w:color="auto"/>
                    <w:left w:val="none" w:sz="0" w:space="0" w:color="auto"/>
                    <w:bottom w:val="none" w:sz="0" w:space="0" w:color="auto"/>
                    <w:right w:val="none" w:sz="0" w:space="0" w:color="auto"/>
                  </w:divBdr>
                  <w:divsChild>
                    <w:div w:id="1897348184">
                      <w:marLeft w:val="0"/>
                      <w:marRight w:val="0"/>
                      <w:marTop w:val="0"/>
                      <w:marBottom w:val="0"/>
                      <w:divBdr>
                        <w:top w:val="none" w:sz="0" w:space="0" w:color="auto"/>
                        <w:left w:val="none" w:sz="0" w:space="0" w:color="auto"/>
                        <w:bottom w:val="none" w:sz="0" w:space="0" w:color="auto"/>
                        <w:right w:val="none" w:sz="0" w:space="0" w:color="auto"/>
                      </w:divBdr>
                    </w:div>
                  </w:divsChild>
                </w:div>
                <w:div w:id="216549055">
                  <w:marLeft w:val="0"/>
                  <w:marRight w:val="0"/>
                  <w:marTop w:val="0"/>
                  <w:marBottom w:val="0"/>
                  <w:divBdr>
                    <w:top w:val="none" w:sz="0" w:space="0" w:color="auto"/>
                    <w:left w:val="none" w:sz="0" w:space="0" w:color="auto"/>
                    <w:bottom w:val="none" w:sz="0" w:space="0" w:color="auto"/>
                    <w:right w:val="none" w:sz="0" w:space="0" w:color="auto"/>
                  </w:divBdr>
                  <w:divsChild>
                    <w:div w:id="1287009477">
                      <w:marLeft w:val="0"/>
                      <w:marRight w:val="0"/>
                      <w:marTop w:val="0"/>
                      <w:marBottom w:val="0"/>
                      <w:divBdr>
                        <w:top w:val="none" w:sz="0" w:space="0" w:color="auto"/>
                        <w:left w:val="none" w:sz="0" w:space="0" w:color="auto"/>
                        <w:bottom w:val="none" w:sz="0" w:space="0" w:color="auto"/>
                        <w:right w:val="none" w:sz="0" w:space="0" w:color="auto"/>
                      </w:divBdr>
                    </w:div>
                  </w:divsChild>
                </w:div>
                <w:div w:id="218327891">
                  <w:marLeft w:val="0"/>
                  <w:marRight w:val="0"/>
                  <w:marTop w:val="0"/>
                  <w:marBottom w:val="0"/>
                  <w:divBdr>
                    <w:top w:val="none" w:sz="0" w:space="0" w:color="auto"/>
                    <w:left w:val="none" w:sz="0" w:space="0" w:color="auto"/>
                    <w:bottom w:val="none" w:sz="0" w:space="0" w:color="auto"/>
                    <w:right w:val="none" w:sz="0" w:space="0" w:color="auto"/>
                  </w:divBdr>
                  <w:divsChild>
                    <w:div w:id="1868063174">
                      <w:marLeft w:val="0"/>
                      <w:marRight w:val="0"/>
                      <w:marTop w:val="0"/>
                      <w:marBottom w:val="0"/>
                      <w:divBdr>
                        <w:top w:val="none" w:sz="0" w:space="0" w:color="auto"/>
                        <w:left w:val="none" w:sz="0" w:space="0" w:color="auto"/>
                        <w:bottom w:val="none" w:sz="0" w:space="0" w:color="auto"/>
                        <w:right w:val="none" w:sz="0" w:space="0" w:color="auto"/>
                      </w:divBdr>
                    </w:div>
                  </w:divsChild>
                </w:div>
                <w:div w:id="232935480">
                  <w:marLeft w:val="0"/>
                  <w:marRight w:val="0"/>
                  <w:marTop w:val="0"/>
                  <w:marBottom w:val="0"/>
                  <w:divBdr>
                    <w:top w:val="none" w:sz="0" w:space="0" w:color="auto"/>
                    <w:left w:val="none" w:sz="0" w:space="0" w:color="auto"/>
                    <w:bottom w:val="none" w:sz="0" w:space="0" w:color="auto"/>
                    <w:right w:val="none" w:sz="0" w:space="0" w:color="auto"/>
                  </w:divBdr>
                  <w:divsChild>
                    <w:div w:id="1818568106">
                      <w:marLeft w:val="0"/>
                      <w:marRight w:val="0"/>
                      <w:marTop w:val="0"/>
                      <w:marBottom w:val="0"/>
                      <w:divBdr>
                        <w:top w:val="none" w:sz="0" w:space="0" w:color="auto"/>
                        <w:left w:val="none" w:sz="0" w:space="0" w:color="auto"/>
                        <w:bottom w:val="none" w:sz="0" w:space="0" w:color="auto"/>
                        <w:right w:val="none" w:sz="0" w:space="0" w:color="auto"/>
                      </w:divBdr>
                    </w:div>
                  </w:divsChild>
                </w:div>
                <w:div w:id="249046842">
                  <w:marLeft w:val="0"/>
                  <w:marRight w:val="0"/>
                  <w:marTop w:val="0"/>
                  <w:marBottom w:val="0"/>
                  <w:divBdr>
                    <w:top w:val="none" w:sz="0" w:space="0" w:color="auto"/>
                    <w:left w:val="none" w:sz="0" w:space="0" w:color="auto"/>
                    <w:bottom w:val="none" w:sz="0" w:space="0" w:color="auto"/>
                    <w:right w:val="none" w:sz="0" w:space="0" w:color="auto"/>
                  </w:divBdr>
                  <w:divsChild>
                    <w:div w:id="646594038">
                      <w:marLeft w:val="0"/>
                      <w:marRight w:val="0"/>
                      <w:marTop w:val="0"/>
                      <w:marBottom w:val="0"/>
                      <w:divBdr>
                        <w:top w:val="none" w:sz="0" w:space="0" w:color="auto"/>
                        <w:left w:val="none" w:sz="0" w:space="0" w:color="auto"/>
                        <w:bottom w:val="none" w:sz="0" w:space="0" w:color="auto"/>
                        <w:right w:val="none" w:sz="0" w:space="0" w:color="auto"/>
                      </w:divBdr>
                    </w:div>
                  </w:divsChild>
                </w:div>
                <w:div w:id="253901157">
                  <w:marLeft w:val="0"/>
                  <w:marRight w:val="0"/>
                  <w:marTop w:val="0"/>
                  <w:marBottom w:val="0"/>
                  <w:divBdr>
                    <w:top w:val="none" w:sz="0" w:space="0" w:color="auto"/>
                    <w:left w:val="none" w:sz="0" w:space="0" w:color="auto"/>
                    <w:bottom w:val="none" w:sz="0" w:space="0" w:color="auto"/>
                    <w:right w:val="none" w:sz="0" w:space="0" w:color="auto"/>
                  </w:divBdr>
                  <w:divsChild>
                    <w:div w:id="872887797">
                      <w:marLeft w:val="0"/>
                      <w:marRight w:val="0"/>
                      <w:marTop w:val="0"/>
                      <w:marBottom w:val="0"/>
                      <w:divBdr>
                        <w:top w:val="none" w:sz="0" w:space="0" w:color="auto"/>
                        <w:left w:val="none" w:sz="0" w:space="0" w:color="auto"/>
                        <w:bottom w:val="none" w:sz="0" w:space="0" w:color="auto"/>
                        <w:right w:val="none" w:sz="0" w:space="0" w:color="auto"/>
                      </w:divBdr>
                    </w:div>
                  </w:divsChild>
                </w:div>
                <w:div w:id="261577078">
                  <w:marLeft w:val="0"/>
                  <w:marRight w:val="0"/>
                  <w:marTop w:val="0"/>
                  <w:marBottom w:val="0"/>
                  <w:divBdr>
                    <w:top w:val="none" w:sz="0" w:space="0" w:color="auto"/>
                    <w:left w:val="none" w:sz="0" w:space="0" w:color="auto"/>
                    <w:bottom w:val="none" w:sz="0" w:space="0" w:color="auto"/>
                    <w:right w:val="none" w:sz="0" w:space="0" w:color="auto"/>
                  </w:divBdr>
                  <w:divsChild>
                    <w:div w:id="1062022634">
                      <w:marLeft w:val="0"/>
                      <w:marRight w:val="0"/>
                      <w:marTop w:val="0"/>
                      <w:marBottom w:val="0"/>
                      <w:divBdr>
                        <w:top w:val="none" w:sz="0" w:space="0" w:color="auto"/>
                        <w:left w:val="none" w:sz="0" w:space="0" w:color="auto"/>
                        <w:bottom w:val="none" w:sz="0" w:space="0" w:color="auto"/>
                        <w:right w:val="none" w:sz="0" w:space="0" w:color="auto"/>
                      </w:divBdr>
                    </w:div>
                  </w:divsChild>
                </w:div>
                <w:div w:id="271861350">
                  <w:marLeft w:val="0"/>
                  <w:marRight w:val="0"/>
                  <w:marTop w:val="0"/>
                  <w:marBottom w:val="0"/>
                  <w:divBdr>
                    <w:top w:val="none" w:sz="0" w:space="0" w:color="auto"/>
                    <w:left w:val="none" w:sz="0" w:space="0" w:color="auto"/>
                    <w:bottom w:val="none" w:sz="0" w:space="0" w:color="auto"/>
                    <w:right w:val="none" w:sz="0" w:space="0" w:color="auto"/>
                  </w:divBdr>
                  <w:divsChild>
                    <w:div w:id="1546942039">
                      <w:marLeft w:val="0"/>
                      <w:marRight w:val="0"/>
                      <w:marTop w:val="0"/>
                      <w:marBottom w:val="0"/>
                      <w:divBdr>
                        <w:top w:val="none" w:sz="0" w:space="0" w:color="auto"/>
                        <w:left w:val="none" w:sz="0" w:space="0" w:color="auto"/>
                        <w:bottom w:val="none" w:sz="0" w:space="0" w:color="auto"/>
                        <w:right w:val="none" w:sz="0" w:space="0" w:color="auto"/>
                      </w:divBdr>
                    </w:div>
                  </w:divsChild>
                </w:div>
                <w:div w:id="273904684">
                  <w:marLeft w:val="0"/>
                  <w:marRight w:val="0"/>
                  <w:marTop w:val="0"/>
                  <w:marBottom w:val="0"/>
                  <w:divBdr>
                    <w:top w:val="none" w:sz="0" w:space="0" w:color="auto"/>
                    <w:left w:val="none" w:sz="0" w:space="0" w:color="auto"/>
                    <w:bottom w:val="none" w:sz="0" w:space="0" w:color="auto"/>
                    <w:right w:val="none" w:sz="0" w:space="0" w:color="auto"/>
                  </w:divBdr>
                  <w:divsChild>
                    <w:div w:id="2145853609">
                      <w:marLeft w:val="0"/>
                      <w:marRight w:val="0"/>
                      <w:marTop w:val="0"/>
                      <w:marBottom w:val="0"/>
                      <w:divBdr>
                        <w:top w:val="none" w:sz="0" w:space="0" w:color="auto"/>
                        <w:left w:val="none" w:sz="0" w:space="0" w:color="auto"/>
                        <w:bottom w:val="none" w:sz="0" w:space="0" w:color="auto"/>
                        <w:right w:val="none" w:sz="0" w:space="0" w:color="auto"/>
                      </w:divBdr>
                    </w:div>
                  </w:divsChild>
                </w:div>
                <w:div w:id="289629602">
                  <w:marLeft w:val="0"/>
                  <w:marRight w:val="0"/>
                  <w:marTop w:val="0"/>
                  <w:marBottom w:val="0"/>
                  <w:divBdr>
                    <w:top w:val="none" w:sz="0" w:space="0" w:color="auto"/>
                    <w:left w:val="none" w:sz="0" w:space="0" w:color="auto"/>
                    <w:bottom w:val="none" w:sz="0" w:space="0" w:color="auto"/>
                    <w:right w:val="none" w:sz="0" w:space="0" w:color="auto"/>
                  </w:divBdr>
                  <w:divsChild>
                    <w:div w:id="705835339">
                      <w:marLeft w:val="0"/>
                      <w:marRight w:val="0"/>
                      <w:marTop w:val="0"/>
                      <w:marBottom w:val="0"/>
                      <w:divBdr>
                        <w:top w:val="none" w:sz="0" w:space="0" w:color="auto"/>
                        <w:left w:val="none" w:sz="0" w:space="0" w:color="auto"/>
                        <w:bottom w:val="none" w:sz="0" w:space="0" w:color="auto"/>
                        <w:right w:val="none" w:sz="0" w:space="0" w:color="auto"/>
                      </w:divBdr>
                    </w:div>
                  </w:divsChild>
                </w:div>
                <w:div w:id="296496593">
                  <w:marLeft w:val="0"/>
                  <w:marRight w:val="0"/>
                  <w:marTop w:val="0"/>
                  <w:marBottom w:val="0"/>
                  <w:divBdr>
                    <w:top w:val="none" w:sz="0" w:space="0" w:color="auto"/>
                    <w:left w:val="none" w:sz="0" w:space="0" w:color="auto"/>
                    <w:bottom w:val="none" w:sz="0" w:space="0" w:color="auto"/>
                    <w:right w:val="none" w:sz="0" w:space="0" w:color="auto"/>
                  </w:divBdr>
                  <w:divsChild>
                    <w:div w:id="631709468">
                      <w:marLeft w:val="0"/>
                      <w:marRight w:val="0"/>
                      <w:marTop w:val="0"/>
                      <w:marBottom w:val="0"/>
                      <w:divBdr>
                        <w:top w:val="none" w:sz="0" w:space="0" w:color="auto"/>
                        <w:left w:val="none" w:sz="0" w:space="0" w:color="auto"/>
                        <w:bottom w:val="none" w:sz="0" w:space="0" w:color="auto"/>
                        <w:right w:val="none" w:sz="0" w:space="0" w:color="auto"/>
                      </w:divBdr>
                    </w:div>
                  </w:divsChild>
                </w:div>
                <w:div w:id="306784489">
                  <w:marLeft w:val="0"/>
                  <w:marRight w:val="0"/>
                  <w:marTop w:val="0"/>
                  <w:marBottom w:val="0"/>
                  <w:divBdr>
                    <w:top w:val="none" w:sz="0" w:space="0" w:color="auto"/>
                    <w:left w:val="none" w:sz="0" w:space="0" w:color="auto"/>
                    <w:bottom w:val="none" w:sz="0" w:space="0" w:color="auto"/>
                    <w:right w:val="none" w:sz="0" w:space="0" w:color="auto"/>
                  </w:divBdr>
                  <w:divsChild>
                    <w:div w:id="2101756262">
                      <w:marLeft w:val="0"/>
                      <w:marRight w:val="0"/>
                      <w:marTop w:val="0"/>
                      <w:marBottom w:val="0"/>
                      <w:divBdr>
                        <w:top w:val="none" w:sz="0" w:space="0" w:color="auto"/>
                        <w:left w:val="none" w:sz="0" w:space="0" w:color="auto"/>
                        <w:bottom w:val="none" w:sz="0" w:space="0" w:color="auto"/>
                        <w:right w:val="none" w:sz="0" w:space="0" w:color="auto"/>
                      </w:divBdr>
                    </w:div>
                  </w:divsChild>
                </w:div>
                <w:div w:id="306862742">
                  <w:marLeft w:val="0"/>
                  <w:marRight w:val="0"/>
                  <w:marTop w:val="0"/>
                  <w:marBottom w:val="0"/>
                  <w:divBdr>
                    <w:top w:val="none" w:sz="0" w:space="0" w:color="auto"/>
                    <w:left w:val="none" w:sz="0" w:space="0" w:color="auto"/>
                    <w:bottom w:val="none" w:sz="0" w:space="0" w:color="auto"/>
                    <w:right w:val="none" w:sz="0" w:space="0" w:color="auto"/>
                  </w:divBdr>
                  <w:divsChild>
                    <w:div w:id="1487282552">
                      <w:marLeft w:val="0"/>
                      <w:marRight w:val="0"/>
                      <w:marTop w:val="0"/>
                      <w:marBottom w:val="0"/>
                      <w:divBdr>
                        <w:top w:val="none" w:sz="0" w:space="0" w:color="auto"/>
                        <w:left w:val="none" w:sz="0" w:space="0" w:color="auto"/>
                        <w:bottom w:val="none" w:sz="0" w:space="0" w:color="auto"/>
                        <w:right w:val="none" w:sz="0" w:space="0" w:color="auto"/>
                      </w:divBdr>
                    </w:div>
                  </w:divsChild>
                </w:div>
                <w:div w:id="310869997">
                  <w:marLeft w:val="0"/>
                  <w:marRight w:val="0"/>
                  <w:marTop w:val="0"/>
                  <w:marBottom w:val="0"/>
                  <w:divBdr>
                    <w:top w:val="none" w:sz="0" w:space="0" w:color="auto"/>
                    <w:left w:val="none" w:sz="0" w:space="0" w:color="auto"/>
                    <w:bottom w:val="none" w:sz="0" w:space="0" w:color="auto"/>
                    <w:right w:val="none" w:sz="0" w:space="0" w:color="auto"/>
                  </w:divBdr>
                  <w:divsChild>
                    <w:div w:id="566114238">
                      <w:marLeft w:val="0"/>
                      <w:marRight w:val="0"/>
                      <w:marTop w:val="0"/>
                      <w:marBottom w:val="0"/>
                      <w:divBdr>
                        <w:top w:val="none" w:sz="0" w:space="0" w:color="auto"/>
                        <w:left w:val="none" w:sz="0" w:space="0" w:color="auto"/>
                        <w:bottom w:val="none" w:sz="0" w:space="0" w:color="auto"/>
                        <w:right w:val="none" w:sz="0" w:space="0" w:color="auto"/>
                      </w:divBdr>
                    </w:div>
                  </w:divsChild>
                </w:div>
                <w:div w:id="315232815">
                  <w:marLeft w:val="0"/>
                  <w:marRight w:val="0"/>
                  <w:marTop w:val="0"/>
                  <w:marBottom w:val="0"/>
                  <w:divBdr>
                    <w:top w:val="none" w:sz="0" w:space="0" w:color="auto"/>
                    <w:left w:val="none" w:sz="0" w:space="0" w:color="auto"/>
                    <w:bottom w:val="none" w:sz="0" w:space="0" w:color="auto"/>
                    <w:right w:val="none" w:sz="0" w:space="0" w:color="auto"/>
                  </w:divBdr>
                  <w:divsChild>
                    <w:div w:id="229729237">
                      <w:marLeft w:val="0"/>
                      <w:marRight w:val="0"/>
                      <w:marTop w:val="0"/>
                      <w:marBottom w:val="0"/>
                      <w:divBdr>
                        <w:top w:val="none" w:sz="0" w:space="0" w:color="auto"/>
                        <w:left w:val="none" w:sz="0" w:space="0" w:color="auto"/>
                        <w:bottom w:val="none" w:sz="0" w:space="0" w:color="auto"/>
                        <w:right w:val="none" w:sz="0" w:space="0" w:color="auto"/>
                      </w:divBdr>
                    </w:div>
                  </w:divsChild>
                </w:div>
                <w:div w:id="324363189">
                  <w:marLeft w:val="0"/>
                  <w:marRight w:val="0"/>
                  <w:marTop w:val="0"/>
                  <w:marBottom w:val="0"/>
                  <w:divBdr>
                    <w:top w:val="none" w:sz="0" w:space="0" w:color="auto"/>
                    <w:left w:val="none" w:sz="0" w:space="0" w:color="auto"/>
                    <w:bottom w:val="none" w:sz="0" w:space="0" w:color="auto"/>
                    <w:right w:val="none" w:sz="0" w:space="0" w:color="auto"/>
                  </w:divBdr>
                  <w:divsChild>
                    <w:div w:id="1811094610">
                      <w:marLeft w:val="0"/>
                      <w:marRight w:val="0"/>
                      <w:marTop w:val="0"/>
                      <w:marBottom w:val="0"/>
                      <w:divBdr>
                        <w:top w:val="none" w:sz="0" w:space="0" w:color="auto"/>
                        <w:left w:val="none" w:sz="0" w:space="0" w:color="auto"/>
                        <w:bottom w:val="none" w:sz="0" w:space="0" w:color="auto"/>
                        <w:right w:val="none" w:sz="0" w:space="0" w:color="auto"/>
                      </w:divBdr>
                    </w:div>
                  </w:divsChild>
                </w:div>
                <w:div w:id="348290465">
                  <w:marLeft w:val="0"/>
                  <w:marRight w:val="0"/>
                  <w:marTop w:val="0"/>
                  <w:marBottom w:val="0"/>
                  <w:divBdr>
                    <w:top w:val="none" w:sz="0" w:space="0" w:color="auto"/>
                    <w:left w:val="none" w:sz="0" w:space="0" w:color="auto"/>
                    <w:bottom w:val="none" w:sz="0" w:space="0" w:color="auto"/>
                    <w:right w:val="none" w:sz="0" w:space="0" w:color="auto"/>
                  </w:divBdr>
                  <w:divsChild>
                    <w:div w:id="1374692782">
                      <w:marLeft w:val="0"/>
                      <w:marRight w:val="0"/>
                      <w:marTop w:val="0"/>
                      <w:marBottom w:val="0"/>
                      <w:divBdr>
                        <w:top w:val="none" w:sz="0" w:space="0" w:color="auto"/>
                        <w:left w:val="none" w:sz="0" w:space="0" w:color="auto"/>
                        <w:bottom w:val="none" w:sz="0" w:space="0" w:color="auto"/>
                        <w:right w:val="none" w:sz="0" w:space="0" w:color="auto"/>
                      </w:divBdr>
                    </w:div>
                  </w:divsChild>
                </w:div>
                <w:div w:id="348487254">
                  <w:marLeft w:val="0"/>
                  <w:marRight w:val="0"/>
                  <w:marTop w:val="0"/>
                  <w:marBottom w:val="0"/>
                  <w:divBdr>
                    <w:top w:val="none" w:sz="0" w:space="0" w:color="auto"/>
                    <w:left w:val="none" w:sz="0" w:space="0" w:color="auto"/>
                    <w:bottom w:val="none" w:sz="0" w:space="0" w:color="auto"/>
                    <w:right w:val="none" w:sz="0" w:space="0" w:color="auto"/>
                  </w:divBdr>
                  <w:divsChild>
                    <w:div w:id="1678725520">
                      <w:marLeft w:val="0"/>
                      <w:marRight w:val="0"/>
                      <w:marTop w:val="0"/>
                      <w:marBottom w:val="0"/>
                      <w:divBdr>
                        <w:top w:val="none" w:sz="0" w:space="0" w:color="auto"/>
                        <w:left w:val="none" w:sz="0" w:space="0" w:color="auto"/>
                        <w:bottom w:val="none" w:sz="0" w:space="0" w:color="auto"/>
                        <w:right w:val="none" w:sz="0" w:space="0" w:color="auto"/>
                      </w:divBdr>
                    </w:div>
                  </w:divsChild>
                </w:div>
                <w:div w:id="362095306">
                  <w:marLeft w:val="0"/>
                  <w:marRight w:val="0"/>
                  <w:marTop w:val="0"/>
                  <w:marBottom w:val="0"/>
                  <w:divBdr>
                    <w:top w:val="none" w:sz="0" w:space="0" w:color="auto"/>
                    <w:left w:val="none" w:sz="0" w:space="0" w:color="auto"/>
                    <w:bottom w:val="none" w:sz="0" w:space="0" w:color="auto"/>
                    <w:right w:val="none" w:sz="0" w:space="0" w:color="auto"/>
                  </w:divBdr>
                  <w:divsChild>
                    <w:div w:id="1051000849">
                      <w:marLeft w:val="0"/>
                      <w:marRight w:val="0"/>
                      <w:marTop w:val="0"/>
                      <w:marBottom w:val="0"/>
                      <w:divBdr>
                        <w:top w:val="none" w:sz="0" w:space="0" w:color="auto"/>
                        <w:left w:val="none" w:sz="0" w:space="0" w:color="auto"/>
                        <w:bottom w:val="none" w:sz="0" w:space="0" w:color="auto"/>
                        <w:right w:val="none" w:sz="0" w:space="0" w:color="auto"/>
                      </w:divBdr>
                    </w:div>
                  </w:divsChild>
                </w:div>
                <w:div w:id="365764638">
                  <w:marLeft w:val="0"/>
                  <w:marRight w:val="0"/>
                  <w:marTop w:val="0"/>
                  <w:marBottom w:val="0"/>
                  <w:divBdr>
                    <w:top w:val="none" w:sz="0" w:space="0" w:color="auto"/>
                    <w:left w:val="none" w:sz="0" w:space="0" w:color="auto"/>
                    <w:bottom w:val="none" w:sz="0" w:space="0" w:color="auto"/>
                    <w:right w:val="none" w:sz="0" w:space="0" w:color="auto"/>
                  </w:divBdr>
                  <w:divsChild>
                    <w:div w:id="1900050514">
                      <w:marLeft w:val="0"/>
                      <w:marRight w:val="0"/>
                      <w:marTop w:val="0"/>
                      <w:marBottom w:val="0"/>
                      <w:divBdr>
                        <w:top w:val="none" w:sz="0" w:space="0" w:color="auto"/>
                        <w:left w:val="none" w:sz="0" w:space="0" w:color="auto"/>
                        <w:bottom w:val="none" w:sz="0" w:space="0" w:color="auto"/>
                        <w:right w:val="none" w:sz="0" w:space="0" w:color="auto"/>
                      </w:divBdr>
                    </w:div>
                  </w:divsChild>
                </w:div>
                <w:div w:id="376661734">
                  <w:marLeft w:val="0"/>
                  <w:marRight w:val="0"/>
                  <w:marTop w:val="0"/>
                  <w:marBottom w:val="0"/>
                  <w:divBdr>
                    <w:top w:val="none" w:sz="0" w:space="0" w:color="auto"/>
                    <w:left w:val="none" w:sz="0" w:space="0" w:color="auto"/>
                    <w:bottom w:val="none" w:sz="0" w:space="0" w:color="auto"/>
                    <w:right w:val="none" w:sz="0" w:space="0" w:color="auto"/>
                  </w:divBdr>
                  <w:divsChild>
                    <w:div w:id="1564869893">
                      <w:marLeft w:val="0"/>
                      <w:marRight w:val="0"/>
                      <w:marTop w:val="0"/>
                      <w:marBottom w:val="0"/>
                      <w:divBdr>
                        <w:top w:val="none" w:sz="0" w:space="0" w:color="auto"/>
                        <w:left w:val="none" w:sz="0" w:space="0" w:color="auto"/>
                        <w:bottom w:val="none" w:sz="0" w:space="0" w:color="auto"/>
                        <w:right w:val="none" w:sz="0" w:space="0" w:color="auto"/>
                      </w:divBdr>
                    </w:div>
                  </w:divsChild>
                </w:div>
                <w:div w:id="386607862">
                  <w:marLeft w:val="0"/>
                  <w:marRight w:val="0"/>
                  <w:marTop w:val="0"/>
                  <w:marBottom w:val="0"/>
                  <w:divBdr>
                    <w:top w:val="none" w:sz="0" w:space="0" w:color="auto"/>
                    <w:left w:val="none" w:sz="0" w:space="0" w:color="auto"/>
                    <w:bottom w:val="none" w:sz="0" w:space="0" w:color="auto"/>
                    <w:right w:val="none" w:sz="0" w:space="0" w:color="auto"/>
                  </w:divBdr>
                  <w:divsChild>
                    <w:div w:id="1126391328">
                      <w:marLeft w:val="0"/>
                      <w:marRight w:val="0"/>
                      <w:marTop w:val="0"/>
                      <w:marBottom w:val="0"/>
                      <w:divBdr>
                        <w:top w:val="none" w:sz="0" w:space="0" w:color="auto"/>
                        <w:left w:val="none" w:sz="0" w:space="0" w:color="auto"/>
                        <w:bottom w:val="none" w:sz="0" w:space="0" w:color="auto"/>
                        <w:right w:val="none" w:sz="0" w:space="0" w:color="auto"/>
                      </w:divBdr>
                    </w:div>
                  </w:divsChild>
                </w:div>
                <w:div w:id="400376204">
                  <w:marLeft w:val="0"/>
                  <w:marRight w:val="0"/>
                  <w:marTop w:val="0"/>
                  <w:marBottom w:val="0"/>
                  <w:divBdr>
                    <w:top w:val="none" w:sz="0" w:space="0" w:color="auto"/>
                    <w:left w:val="none" w:sz="0" w:space="0" w:color="auto"/>
                    <w:bottom w:val="none" w:sz="0" w:space="0" w:color="auto"/>
                    <w:right w:val="none" w:sz="0" w:space="0" w:color="auto"/>
                  </w:divBdr>
                  <w:divsChild>
                    <w:div w:id="1623998652">
                      <w:marLeft w:val="0"/>
                      <w:marRight w:val="0"/>
                      <w:marTop w:val="0"/>
                      <w:marBottom w:val="0"/>
                      <w:divBdr>
                        <w:top w:val="none" w:sz="0" w:space="0" w:color="auto"/>
                        <w:left w:val="none" w:sz="0" w:space="0" w:color="auto"/>
                        <w:bottom w:val="none" w:sz="0" w:space="0" w:color="auto"/>
                        <w:right w:val="none" w:sz="0" w:space="0" w:color="auto"/>
                      </w:divBdr>
                    </w:div>
                  </w:divsChild>
                </w:div>
                <w:div w:id="410739382">
                  <w:marLeft w:val="0"/>
                  <w:marRight w:val="0"/>
                  <w:marTop w:val="0"/>
                  <w:marBottom w:val="0"/>
                  <w:divBdr>
                    <w:top w:val="none" w:sz="0" w:space="0" w:color="auto"/>
                    <w:left w:val="none" w:sz="0" w:space="0" w:color="auto"/>
                    <w:bottom w:val="none" w:sz="0" w:space="0" w:color="auto"/>
                    <w:right w:val="none" w:sz="0" w:space="0" w:color="auto"/>
                  </w:divBdr>
                  <w:divsChild>
                    <w:div w:id="1650668485">
                      <w:marLeft w:val="0"/>
                      <w:marRight w:val="0"/>
                      <w:marTop w:val="0"/>
                      <w:marBottom w:val="0"/>
                      <w:divBdr>
                        <w:top w:val="none" w:sz="0" w:space="0" w:color="auto"/>
                        <w:left w:val="none" w:sz="0" w:space="0" w:color="auto"/>
                        <w:bottom w:val="none" w:sz="0" w:space="0" w:color="auto"/>
                        <w:right w:val="none" w:sz="0" w:space="0" w:color="auto"/>
                      </w:divBdr>
                    </w:div>
                  </w:divsChild>
                </w:div>
                <w:div w:id="411857397">
                  <w:marLeft w:val="0"/>
                  <w:marRight w:val="0"/>
                  <w:marTop w:val="0"/>
                  <w:marBottom w:val="0"/>
                  <w:divBdr>
                    <w:top w:val="none" w:sz="0" w:space="0" w:color="auto"/>
                    <w:left w:val="none" w:sz="0" w:space="0" w:color="auto"/>
                    <w:bottom w:val="none" w:sz="0" w:space="0" w:color="auto"/>
                    <w:right w:val="none" w:sz="0" w:space="0" w:color="auto"/>
                  </w:divBdr>
                  <w:divsChild>
                    <w:div w:id="211120727">
                      <w:marLeft w:val="0"/>
                      <w:marRight w:val="0"/>
                      <w:marTop w:val="0"/>
                      <w:marBottom w:val="0"/>
                      <w:divBdr>
                        <w:top w:val="none" w:sz="0" w:space="0" w:color="auto"/>
                        <w:left w:val="none" w:sz="0" w:space="0" w:color="auto"/>
                        <w:bottom w:val="none" w:sz="0" w:space="0" w:color="auto"/>
                        <w:right w:val="none" w:sz="0" w:space="0" w:color="auto"/>
                      </w:divBdr>
                    </w:div>
                  </w:divsChild>
                </w:div>
                <w:div w:id="415245619">
                  <w:marLeft w:val="0"/>
                  <w:marRight w:val="0"/>
                  <w:marTop w:val="0"/>
                  <w:marBottom w:val="0"/>
                  <w:divBdr>
                    <w:top w:val="none" w:sz="0" w:space="0" w:color="auto"/>
                    <w:left w:val="none" w:sz="0" w:space="0" w:color="auto"/>
                    <w:bottom w:val="none" w:sz="0" w:space="0" w:color="auto"/>
                    <w:right w:val="none" w:sz="0" w:space="0" w:color="auto"/>
                  </w:divBdr>
                  <w:divsChild>
                    <w:div w:id="965042180">
                      <w:marLeft w:val="0"/>
                      <w:marRight w:val="0"/>
                      <w:marTop w:val="0"/>
                      <w:marBottom w:val="0"/>
                      <w:divBdr>
                        <w:top w:val="none" w:sz="0" w:space="0" w:color="auto"/>
                        <w:left w:val="none" w:sz="0" w:space="0" w:color="auto"/>
                        <w:bottom w:val="none" w:sz="0" w:space="0" w:color="auto"/>
                        <w:right w:val="none" w:sz="0" w:space="0" w:color="auto"/>
                      </w:divBdr>
                    </w:div>
                  </w:divsChild>
                </w:div>
                <w:div w:id="424883011">
                  <w:marLeft w:val="0"/>
                  <w:marRight w:val="0"/>
                  <w:marTop w:val="0"/>
                  <w:marBottom w:val="0"/>
                  <w:divBdr>
                    <w:top w:val="none" w:sz="0" w:space="0" w:color="auto"/>
                    <w:left w:val="none" w:sz="0" w:space="0" w:color="auto"/>
                    <w:bottom w:val="none" w:sz="0" w:space="0" w:color="auto"/>
                    <w:right w:val="none" w:sz="0" w:space="0" w:color="auto"/>
                  </w:divBdr>
                  <w:divsChild>
                    <w:div w:id="2018270785">
                      <w:marLeft w:val="0"/>
                      <w:marRight w:val="0"/>
                      <w:marTop w:val="0"/>
                      <w:marBottom w:val="0"/>
                      <w:divBdr>
                        <w:top w:val="none" w:sz="0" w:space="0" w:color="auto"/>
                        <w:left w:val="none" w:sz="0" w:space="0" w:color="auto"/>
                        <w:bottom w:val="none" w:sz="0" w:space="0" w:color="auto"/>
                        <w:right w:val="none" w:sz="0" w:space="0" w:color="auto"/>
                      </w:divBdr>
                    </w:div>
                  </w:divsChild>
                </w:div>
                <w:div w:id="432480584">
                  <w:marLeft w:val="0"/>
                  <w:marRight w:val="0"/>
                  <w:marTop w:val="0"/>
                  <w:marBottom w:val="0"/>
                  <w:divBdr>
                    <w:top w:val="none" w:sz="0" w:space="0" w:color="auto"/>
                    <w:left w:val="none" w:sz="0" w:space="0" w:color="auto"/>
                    <w:bottom w:val="none" w:sz="0" w:space="0" w:color="auto"/>
                    <w:right w:val="none" w:sz="0" w:space="0" w:color="auto"/>
                  </w:divBdr>
                  <w:divsChild>
                    <w:div w:id="1966499628">
                      <w:marLeft w:val="0"/>
                      <w:marRight w:val="0"/>
                      <w:marTop w:val="0"/>
                      <w:marBottom w:val="0"/>
                      <w:divBdr>
                        <w:top w:val="none" w:sz="0" w:space="0" w:color="auto"/>
                        <w:left w:val="none" w:sz="0" w:space="0" w:color="auto"/>
                        <w:bottom w:val="none" w:sz="0" w:space="0" w:color="auto"/>
                        <w:right w:val="none" w:sz="0" w:space="0" w:color="auto"/>
                      </w:divBdr>
                    </w:div>
                  </w:divsChild>
                </w:div>
                <w:div w:id="446579496">
                  <w:marLeft w:val="0"/>
                  <w:marRight w:val="0"/>
                  <w:marTop w:val="0"/>
                  <w:marBottom w:val="0"/>
                  <w:divBdr>
                    <w:top w:val="none" w:sz="0" w:space="0" w:color="auto"/>
                    <w:left w:val="none" w:sz="0" w:space="0" w:color="auto"/>
                    <w:bottom w:val="none" w:sz="0" w:space="0" w:color="auto"/>
                    <w:right w:val="none" w:sz="0" w:space="0" w:color="auto"/>
                  </w:divBdr>
                  <w:divsChild>
                    <w:div w:id="1203402968">
                      <w:marLeft w:val="0"/>
                      <w:marRight w:val="0"/>
                      <w:marTop w:val="0"/>
                      <w:marBottom w:val="0"/>
                      <w:divBdr>
                        <w:top w:val="none" w:sz="0" w:space="0" w:color="auto"/>
                        <w:left w:val="none" w:sz="0" w:space="0" w:color="auto"/>
                        <w:bottom w:val="none" w:sz="0" w:space="0" w:color="auto"/>
                        <w:right w:val="none" w:sz="0" w:space="0" w:color="auto"/>
                      </w:divBdr>
                    </w:div>
                  </w:divsChild>
                </w:div>
                <w:div w:id="449394141">
                  <w:marLeft w:val="0"/>
                  <w:marRight w:val="0"/>
                  <w:marTop w:val="0"/>
                  <w:marBottom w:val="0"/>
                  <w:divBdr>
                    <w:top w:val="none" w:sz="0" w:space="0" w:color="auto"/>
                    <w:left w:val="none" w:sz="0" w:space="0" w:color="auto"/>
                    <w:bottom w:val="none" w:sz="0" w:space="0" w:color="auto"/>
                    <w:right w:val="none" w:sz="0" w:space="0" w:color="auto"/>
                  </w:divBdr>
                  <w:divsChild>
                    <w:div w:id="85270881">
                      <w:marLeft w:val="0"/>
                      <w:marRight w:val="0"/>
                      <w:marTop w:val="0"/>
                      <w:marBottom w:val="0"/>
                      <w:divBdr>
                        <w:top w:val="none" w:sz="0" w:space="0" w:color="auto"/>
                        <w:left w:val="none" w:sz="0" w:space="0" w:color="auto"/>
                        <w:bottom w:val="none" w:sz="0" w:space="0" w:color="auto"/>
                        <w:right w:val="none" w:sz="0" w:space="0" w:color="auto"/>
                      </w:divBdr>
                    </w:div>
                  </w:divsChild>
                </w:div>
                <w:div w:id="460928791">
                  <w:marLeft w:val="0"/>
                  <w:marRight w:val="0"/>
                  <w:marTop w:val="0"/>
                  <w:marBottom w:val="0"/>
                  <w:divBdr>
                    <w:top w:val="none" w:sz="0" w:space="0" w:color="auto"/>
                    <w:left w:val="none" w:sz="0" w:space="0" w:color="auto"/>
                    <w:bottom w:val="none" w:sz="0" w:space="0" w:color="auto"/>
                    <w:right w:val="none" w:sz="0" w:space="0" w:color="auto"/>
                  </w:divBdr>
                  <w:divsChild>
                    <w:div w:id="1014649806">
                      <w:marLeft w:val="0"/>
                      <w:marRight w:val="0"/>
                      <w:marTop w:val="0"/>
                      <w:marBottom w:val="0"/>
                      <w:divBdr>
                        <w:top w:val="none" w:sz="0" w:space="0" w:color="auto"/>
                        <w:left w:val="none" w:sz="0" w:space="0" w:color="auto"/>
                        <w:bottom w:val="none" w:sz="0" w:space="0" w:color="auto"/>
                        <w:right w:val="none" w:sz="0" w:space="0" w:color="auto"/>
                      </w:divBdr>
                    </w:div>
                  </w:divsChild>
                </w:div>
                <w:div w:id="472795170">
                  <w:marLeft w:val="0"/>
                  <w:marRight w:val="0"/>
                  <w:marTop w:val="0"/>
                  <w:marBottom w:val="0"/>
                  <w:divBdr>
                    <w:top w:val="none" w:sz="0" w:space="0" w:color="auto"/>
                    <w:left w:val="none" w:sz="0" w:space="0" w:color="auto"/>
                    <w:bottom w:val="none" w:sz="0" w:space="0" w:color="auto"/>
                    <w:right w:val="none" w:sz="0" w:space="0" w:color="auto"/>
                  </w:divBdr>
                  <w:divsChild>
                    <w:div w:id="2142067679">
                      <w:marLeft w:val="0"/>
                      <w:marRight w:val="0"/>
                      <w:marTop w:val="0"/>
                      <w:marBottom w:val="0"/>
                      <w:divBdr>
                        <w:top w:val="none" w:sz="0" w:space="0" w:color="auto"/>
                        <w:left w:val="none" w:sz="0" w:space="0" w:color="auto"/>
                        <w:bottom w:val="none" w:sz="0" w:space="0" w:color="auto"/>
                        <w:right w:val="none" w:sz="0" w:space="0" w:color="auto"/>
                      </w:divBdr>
                    </w:div>
                  </w:divsChild>
                </w:div>
                <w:div w:id="474028031">
                  <w:marLeft w:val="0"/>
                  <w:marRight w:val="0"/>
                  <w:marTop w:val="0"/>
                  <w:marBottom w:val="0"/>
                  <w:divBdr>
                    <w:top w:val="none" w:sz="0" w:space="0" w:color="auto"/>
                    <w:left w:val="none" w:sz="0" w:space="0" w:color="auto"/>
                    <w:bottom w:val="none" w:sz="0" w:space="0" w:color="auto"/>
                    <w:right w:val="none" w:sz="0" w:space="0" w:color="auto"/>
                  </w:divBdr>
                  <w:divsChild>
                    <w:div w:id="2065833757">
                      <w:marLeft w:val="0"/>
                      <w:marRight w:val="0"/>
                      <w:marTop w:val="0"/>
                      <w:marBottom w:val="0"/>
                      <w:divBdr>
                        <w:top w:val="none" w:sz="0" w:space="0" w:color="auto"/>
                        <w:left w:val="none" w:sz="0" w:space="0" w:color="auto"/>
                        <w:bottom w:val="none" w:sz="0" w:space="0" w:color="auto"/>
                        <w:right w:val="none" w:sz="0" w:space="0" w:color="auto"/>
                      </w:divBdr>
                    </w:div>
                  </w:divsChild>
                </w:div>
                <w:div w:id="482695472">
                  <w:marLeft w:val="0"/>
                  <w:marRight w:val="0"/>
                  <w:marTop w:val="0"/>
                  <w:marBottom w:val="0"/>
                  <w:divBdr>
                    <w:top w:val="none" w:sz="0" w:space="0" w:color="auto"/>
                    <w:left w:val="none" w:sz="0" w:space="0" w:color="auto"/>
                    <w:bottom w:val="none" w:sz="0" w:space="0" w:color="auto"/>
                    <w:right w:val="none" w:sz="0" w:space="0" w:color="auto"/>
                  </w:divBdr>
                  <w:divsChild>
                    <w:div w:id="1202749279">
                      <w:marLeft w:val="0"/>
                      <w:marRight w:val="0"/>
                      <w:marTop w:val="0"/>
                      <w:marBottom w:val="0"/>
                      <w:divBdr>
                        <w:top w:val="none" w:sz="0" w:space="0" w:color="auto"/>
                        <w:left w:val="none" w:sz="0" w:space="0" w:color="auto"/>
                        <w:bottom w:val="none" w:sz="0" w:space="0" w:color="auto"/>
                        <w:right w:val="none" w:sz="0" w:space="0" w:color="auto"/>
                      </w:divBdr>
                    </w:div>
                  </w:divsChild>
                </w:div>
                <w:div w:id="494809824">
                  <w:marLeft w:val="0"/>
                  <w:marRight w:val="0"/>
                  <w:marTop w:val="0"/>
                  <w:marBottom w:val="0"/>
                  <w:divBdr>
                    <w:top w:val="none" w:sz="0" w:space="0" w:color="auto"/>
                    <w:left w:val="none" w:sz="0" w:space="0" w:color="auto"/>
                    <w:bottom w:val="none" w:sz="0" w:space="0" w:color="auto"/>
                    <w:right w:val="none" w:sz="0" w:space="0" w:color="auto"/>
                  </w:divBdr>
                  <w:divsChild>
                    <w:div w:id="171653321">
                      <w:marLeft w:val="0"/>
                      <w:marRight w:val="0"/>
                      <w:marTop w:val="0"/>
                      <w:marBottom w:val="0"/>
                      <w:divBdr>
                        <w:top w:val="none" w:sz="0" w:space="0" w:color="auto"/>
                        <w:left w:val="none" w:sz="0" w:space="0" w:color="auto"/>
                        <w:bottom w:val="none" w:sz="0" w:space="0" w:color="auto"/>
                        <w:right w:val="none" w:sz="0" w:space="0" w:color="auto"/>
                      </w:divBdr>
                    </w:div>
                  </w:divsChild>
                </w:div>
                <w:div w:id="498471357">
                  <w:marLeft w:val="0"/>
                  <w:marRight w:val="0"/>
                  <w:marTop w:val="0"/>
                  <w:marBottom w:val="0"/>
                  <w:divBdr>
                    <w:top w:val="none" w:sz="0" w:space="0" w:color="auto"/>
                    <w:left w:val="none" w:sz="0" w:space="0" w:color="auto"/>
                    <w:bottom w:val="none" w:sz="0" w:space="0" w:color="auto"/>
                    <w:right w:val="none" w:sz="0" w:space="0" w:color="auto"/>
                  </w:divBdr>
                  <w:divsChild>
                    <w:div w:id="916329117">
                      <w:marLeft w:val="0"/>
                      <w:marRight w:val="0"/>
                      <w:marTop w:val="0"/>
                      <w:marBottom w:val="0"/>
                      <w:divBdr>
                        <w:top w:val="none" w:sz="0" w:space="0" w:color="auto"/>
                        <w:left w:val="none" w:sz="0" w:space="0" w:color="auto"/>
                        <w:bottom w:val="none" w:sz="0" w:space="0" w:color="auto"/>
                        <w:right w:val="none" w:sz="0" w:space="0" w:color="auto"/>
                      </w:divBdr>
                    </w:div>
                  </w:divsChild>
                </w:div>
                <w:div w:id="499858352">
                  <w:marLeft w:val="0"/>
                  <w:marRight w:val="0"/>
                  <w:marTop w:val="0"/>
                  <w:marBottom w:val="0"/>
                  <w:divBdr>
                    <w:top w:val="none" w:sz="0" w:space="0" w:color="auto"/>
                    <w:left w:val="none" w:sz="0" w:space="0" w:color="auto"/>
                    <w:bottom w:val="none" w:sz="0" w:space="0" w:color="auto"/>
                    <w:right w:val="none" w:sz="0" w:space="0" w:color="auto"/>
                  </w:divBdr>
                  <w:divsChild>
                    <w:div w:id="1601722575">
                      <w:marLeft w:val="0"/>
                      <w:marRight w:val="0"/>
                      <w:marTop w:val="0"/>
                      <w:marBottom w:val="0"/>
                      <w:divBdr>
                        <w:top w:val="none" w:sz="0" w:space="0" w:color="auto"/>
                        <w:left w:val="none" w:sz="0" w:space="0" w:color="auto"/>
                        <w:bottom w:val="none" w:sz="0" w:space="0" w:color="auto"/>
                        <w:right w:val="none" w:sz="0" w:space="0" w:color="auto"/>
                      </w:divBdr>
                    </w:div>
                  </w:divsChild>
                </w:div>
                <w:div w:id="506017399">
                  <w:marLeft w:val="0"/>
                  <w:marRight w:val="0"/>
                  <w:marTop w:val="0"/>
                  <w:marBottom w:val="0"/>
                  <w:divBdr>
                    <w:top w:val="none" w:sz="0" w:space="0" w:color="auto"/>
                    <w:left w:val="none" w:sz="0" w:space="0" w:color="auto"/>
                    <w:bottom w:val="none" w:sz="0" w:space="0" w:color="auto"/>
                    <w:right w:val="none" w:sz="0" w:space="0" w:color="auto"/>
                  </w:divBdr>
                  <w:divsChild>
                    <w:div w:id="615868834">
                      <w:marLeft w:val="0"/>
                      <w:marRight w:val="0"/>
                      <w:marTop w:val="0"/>
                      <w:marBottom w:val="0"/>
                      <w:divBdr>
                        <w:top w:val="none" w:sz="0" w:space="0" w:color="auto"/>
                        <w:left w:val="none" w:sz="0" w:space="0" w:color="auto"/>
                        <w:bottom w:val="none" w:sz="0" w:space="0" w:color="auto"/>
                        <w:right w:val="none" w:sz="0" w:space="0" w:color="auto"/>
                      </w:divBdr>
                    </w:div>
                  </w:divsChild>
                </w:div>
                <w:div w:id="526411728">
                  <w:marLeft w:val="0"/>
                  <w:marRight w:val="0"/>
                  <w:marTop w:val="0"/>
                  <w:marBottom w:val="0"/>
                  <w:divBdr>
                    <w:top w:val="none" w:sz="0" w:space="0" w:color="auto"/>
                    <w:left w:val="none" w:sz="0" w:space="0" w:color="auto"/>
                    <w:bottom w:val="none" w:sz="0" w:space="0" w:color="auto"/>
                    <w:right w:val="none" w:sz="0" w:space="0" w:color="auto"/>
                  </w:divBdr>
                  <w:divsChild>
                    <w:div w:id="2062363508">
                      <w:marLeft w:val="0"/>
                      <w:marRight w:val="0"/>
                      <w:marTop w:val="0"/>
                      <w:marBottom w:val="0"/>
                      <w:divBdr>
                        <w:top w:val="none" w:sz="0" w:space="0" w:color="auto"/>
                        <w:left w:val="none" w:sz="0" w:space="0" w:color="auto"/>
                        <w:bottom w:val="none" w:sz="0" w:space="0" w:color="auto"/>
                        <w:right w:val="none" w:sz="0" w:space="0" w:color="auto"/>
                      </w:divBdr>
                    </w:div>
                  </w:divsChild>
                </w:div>
                <w:div w:id="526723937">
                  <w:marLeft w:val="0"/>
                  <w:marRight w:val="0"/>
                  <w:marTop w:val="0"/>
                  <w:marBottom w:val="0"/>
                  <w:divBdr>
                    <w:top w:val="none" w:sz="0" w:space="0" w:color="auto"/>
                    <w:left w:val="none" w:sz="0" w:space="0" w:color="auto"/>
                    <w:bottom w:val="none" w:sz="0" w:space="0" w:color="auto"/>
                    <w:right w:val="none" w:sz="0" w:space="0" w:color="auto"/>
                  </w:divBdr>
                  <w:divsChild>
                    <w:div w:id="726029215">
                      <w:marLeft w:val="0"/>
                      <w:marRight w:val="0"/>
                      <w:marTop w:val="0"/>
                      <w:marBottom w:val="0"/>
                      <w:divBdr>
                        <w:top w:val="none" w:sz="0" w:space="0" w:color="auto"/>
                        <w:left w:val="none" w:sz="0" w:space="0" w:color="auto"/>
                        <w:bottom w:val="none" w:sz="0" w:space="0" w:color="auto"/>
                        <w:right w:val="none" w:sz="0" w:space="0" w:color="auto"/>
                      </w:divBdr>
                    </w:div>
                  </w:divsChild>
                </w:div>
                <w:div w:id="531891112">
                  <w:marLeft w:val="0"/>
                  <w:marRight w:val="0"/>
                  <w:marTop w:val="0"/>
                  <w:marBottom w:val="0"/>
                  <w:divBdr>
                    <w:top w:val="none" w:sz="0" w:space="0" w:color="auto"/>
                    <w:left w:val="none" w:sz="0" w:space="0" w:color="auto"/>
                    <w:bottom w:val="none" w:sz="0" w:space="0" w:color="auto"/>
                    <w:right w:val="none" w:sz="0" w:space="0" w:color="auto"/>
                  </w:divBdr>
                  <w:divsChild>
                    <w:div w:id="634330789">
                      <w:marLeft w:val="0"/>
                      <w:marRight w:val="0"/>
                      <w:marTop w:val="0"/>
                      <w:marBottom w:val="0"/>
                      <w:divBdr>
                        <w:top w:val="none" w:sz="0" w:space="0" w:color="auto"/>
                        <w:left w:val="none" w:sz="0" w:space="0" w:color="auto"/>
                        <w:bottom w:val="none" w:sz="0" w:space="0" w:color="auto"/>
                        <w:right w:val="none" w:sz="0" w:space="0" w:color="auto"/>
                      </w:divBdr>
                    </w:div>
                  </w:divsChild>
                </w:div>
                <w:div w:id="540440451">
                  <w:marLeft w:val="0"/>
                  <w:marRight w:val="0"/>
                  <w:marTop w:val="0"/>
                  <w:marBottom w:val="0"/>
                  <w:divBdr>
                    <w:top w:val="none" w:sz="0" w:space="0" w:color="auto"/>
                    <w:left w:val="none" w:sz="0" w:space="0" w:color="auto"/>
                    <w:bottom w:val="none" w:sz="0" w:space="0" w:color="auto"/>
                    <w:right w:val="none" w:sz="0" w:space="0" w:color="auto"/>
                  </w:divBdr>
                  <w:divsChild>
                    <w:div w:id="151723785">
                      <w:marLeft w:val="0"/>
                      <w:marRight w:val="0"/>
                      <w:marTop w:val="0"/>
                      <w:marBottom w:val="0"/>
                      <w:divBdr>
                        <w:top w:val="none" w:sz="0" w:space="0" w:color="auto"/>
                        <w:left w:val="none" w:sz="0" w:space="0" w:color="auto"/>
                        <w:bottom w:val="none" w:sz="0" w:space="0" w:color="auto"/>
                        <w:right w:val="none" w:sz="0" w:space="0" w:color="auto"/>
                      </w:divBdr>
                    </w:div>
                  </w:divsChild>
                </w:div>
                <w:div w:id="557673579">
                  <w:marLeft w:val="0"/>
                  <w:marRight w:val="0"/>
                  <w:marTop w:val="0"/>
                  <w:marBottom w:val="0"/>
                  <w:divBdr>
                    <w:top w:val="none" w:sz="0" w:space="0" w:color="auto"/>
                    <w:left w:val="none" w:sz="0" w:space="0" w:color="auto"/>
                    <w:bottom w:val="none" w:sz="0" w:space="0" w:color="auto"/>
                    <w:right w:val="none" w:sz="0" w:space="0" w:color="auto"/>
                  </w:divBdr>
                  <w:divsChild>
                    <w:div w:id="1954746210">
                      <w:marLeft w:val="0"/>
                      <w:marRight w:val="0"/>
                      <w:marTop w:val="0"/>
                      <w:marBottom w:val="0"/>
                      <w:divBdr>
                        <w:top w:val="none" w:sz="0" w:space="0" w:color="auto"/>
                        <w:left w:val="none" w:sz="0" w:space="0" w:color="auto"/>
                        <w:bottom w:val="none" w:sz="0" w:space="0" w:color="auto"/>
                        <w:right w:val="none" w:sz="0" w:space="0" w:color="auto"/>
                      </w:divBdr>
                    </w:div>
                  </w:divsChild>
                </w:div>
                <w:div w:id="563491391">
                  <w:marLeft w:val="0"/>
                  <w:marRight w:val="0"/>
                  <w:marTop w:val="0"/>
                  <w:marBottom w:val="0"/>
                  <w:divBdr>
                    <w:top w:val="none" w:sz="0" w:space="0" w:color="auto"/>
                    <w:left w:val="none" w:sz="0" w:space="0" w:color="auto"/>
                    <w:bottom w:val="none" w:sz="0" w:space="0" w:color="auto"/>
                    <w:right w:val="none" w:sz="0" w:space="0" w:color="auto"/>
                  </w:divBdr>
                  <w:divsChild>
                    <w:div w:id="1457678347">
                      <w:marLeft w:val="0"/>
                      <w:marRight w:val="0"/>
                      <w:marTop w:val="0"/>
                      <w:marBottom w:val="0"/>
                      <w:divBdr>
                        <w:top w:val="none" w:sz="0" w:space="0" w:color="auto"/>
                        <w:left w:val="none" w:sz="0" w:space="0" w:color="auto"/>
                        <w:bottom w:val="none" w:sz="0" w:space="0" w:color="auto"/>
                        <w:right w:val="none" w:sz="0" w:space="0" w:color="auto"/>
                      </w:divBdr>
                    </w:div>
                  </w:divsChild>
                </w:div>
                <w:div w:id="570386235">
                  <w:marLeft w:val="0"/>
                  <w:marRight w:val="0"/>
                  <w:marTop w:val="0"/>
                  <w:marBottom w:val="0"/>
                  <w:divBdr>
                    <w:top w:val="none" w:sz="0" w:space="0" w:color="auto"/>
                    <w:left w:val="none" w:sz="0" w:space="0" w:color="auto"/>
                    <w:bottom w:val="none" w:sz="0" w:space="0" w:color="auto"/>
                    <w:right w:val="none" w:sz="0" w:space="0" w:color="auto"/>
                  </w:divBdr>
                  <w:divsChild>
                    <w:div w:id="1654598643">
                      <w:marLeft w:val="0"/>
                      <w:marRight w:val="0"/>
                      <w:marTop w:val="0"/>
                      <w:marBottom w:val="0"/>
                      <w:divBdr>
                        <w:top w:val="none" w:sz="0" w:space="0" w:color="auto"/>
                        <w:left w:val="none" w:sz="0" w:space="0" w:color="auto"/>
                        <w:bottom w:val="none" w:sz="0" w:space="0" w:color="auto"/>
                        <w:right w:val="none" w:sz="0" w:space="0" w:color="auto"/>
                      </w:divBdr>
                    </w:div>
                  </w:divsChild>
                </w:div>
                <w:div w:id="582380353">
                  <w:marLeft w:val="0"/>
                  <w:marRight w:val="0"/>
                  <w:marTop w:val="0"/>
                  <w:marBottom w:val="0"/>
                  <w:divBdr>
                    <w:top w:val="none" w:sz="0" w:space="0" w:color="auto"/>
                    <w:left w:val="none" w:sz="0" w:space="0" w:color="auto"/>
                    <w:bottom w:val="none" w:sz="0" w:space="0" w:color="auto"/>
                    <w:right w:val="none" w:sz="0" w:space="0" w:color="auto"/>
                  </w:divBdr>
                  <w:divsChild>
                    <w:div w:id="1216087188">
                      <w:marLeft w:val="0"/>
                      <w:marRight w:val="0"/>
                      <w:marTop w:val="0"/>
                      <w:marBottom w:val="0"/>
                      <w:divBdr>
                        <w:top w:val="none" w:sz="0" w:space="0" w:color="auto"/>
                        <w:left w:val="none" w:sz="0" w:space="0" w:color="auto"/>
                        <w:bottom w:val="none" w:sz="0" w:space="0" w:color="auto"/>
                        <w:right w:val="none" w:sz="0" w:space="0" w:color="auto"/>
                      </w:divBdr>
                    </w:div>
                  </w:divsChild>
                </w:div>
                <w:div w:id="596249844">
                  <w:marLeft w:val="0"/>
                  <w:marRight w:val="0"/>
                  <w:marTop w:val="0"/>
                  <w:marBottom w:val="0"/>
                  <w:divBdr>
                    <w:top w:val="none" w:sz="0" w:space="0" w:color="auto"/>
                    <w:left w:val="none" w:sz="0" w:space="0" w:color="auto"/>
                    <w:bottom w:val="none" w:sz="0" w:space="0" w:color="auto"/>
                    <w:right w:val="none" w:sz="0" w:space="0" w:color="auto"/>
                  </w:divBdr>
                  <w:divsChild>
                    <w:div w:id="1099834985">
                      <w:marLeft w:val="0"/>
                      <w:marRight w:val="0"/>
                      <w:marTop w:val="0"/>
                      <w:marBottom w:val="0"/>
                      <w:divBdr>
                        <w:top w:val="none" w:sz="0" w:space="0" w:color="auto"/>
                        <w:left w:val="none" w:sz="0" w:space="0" w:color="auto"/>
                        <w:bottom w:val="none" w:sz="0" w:space="0" w:color="auto"/>
                        <w:right w:val="none" w:sz="0" w:space="0" w:color="auto"/>
                      </w:divBdr>
                    </w:div>
                  </w:divsChild>
                </w:div>
                <w:div w:id="610549100">
                  <w:marLeft w:val="0"/>
                  <w:marRight w:val="0"/>
                  <w:marTop w:val="0"/>
                  <w:marBottom w:val="0"/>
                  <w:divBdr>
                    <w:top w:val="none" w:sz="0" w:space="0" w:color="auto"/>
                    <w:left w:val="none" w:sz="0" w:space="0" w:color="auto"/>
                    <w:bottom w:val="none" w:sz="0" w:space="0" w:color="auto"/>
                    <w:right w:val="none" w:sz="0" w:space="0" w:color="auto"/>
                  </w:divBdr>
                  <w:divsChild>
                    <w:div w:id="509223823">
                      <w:marLeft w:val="0"/>
                      <w:marRight w:val="0"/>
                      <w:marTop w:val="0"/>
                      <w:marBottom w:val="0"/>
                      <w:divBdr>
                        <w:top w:val="none" w:sz="0" w:space="0" w:color="auto"/>
                        <w:left w:val="none" w:sz="0" w:space="0" w:color="auto"/>
                        <w:bottom w:val="none" w:sz="0" w:space="0" w:color="auto"/>
                        <w:right w:val="none" w:sz="0" w:space="0" w:color="auto"/>
                      </w:divBdr>
                    </w:div>
                  </w:divsChild>
                </w:div>
                <w:div w:id="618613597">
                  <w:marLeft w:val="0"/>
                  <w:marRight w:val="0"/>
                  <w:marTop w:val="0"/>
                  <w:marBottom w:val="0"/>
                  <w:divBdr>
                    <w:top w:val="none" w:sz="0" w:space="0" w:color="auto"/>
                    <w:left w:val="none" w:sz="0" w:space="0" w:color="auto"/>
                    <w:bottom w:val="none" w:sz="0" w:space="0" w:color="auto"/>
                    <w:right w:val="none" w:sz="0" w:space="0" w:color="auto"/>
                  </w:divBdr>
                  <w:divsChild>
                    <w:div w:id="1460759944">
                      <w:marLeft w:val="0"/>
                      <w:marRight w:val="0"/>
                      <w:marTop w:val="0"/>
                      <w:marBottom w:val="0"/>
                      <w:divBdr>
                        <w:top w:val="none" w:sz="0" w:space="0" w:color="auto"/>
                        <w:left w:val="none" w:sz="0" w:space="0" w:color="auto"/>
                        <w:bottom w:val="none" w:sz="0" w:space="0" w:color="auto"/>
                        <w:right w:val="none" w:sz="0" w:space="0" w:color="auto"/>
                      </w:divBdr>
                    </w:div>
                  </w:divsChild>
                </w:div>
                <w:div w:id="620574259">
                  <w:marLeft w:val="0"/>
                  <w:marRight w:val="0"/>
                  <w:marTop w:val="0"/>
                  <w:marBottom w:val="0"/>
                  <w:divBdr>
                    <w:top w:val="none" w:sz="0" w:space="0" w:color="auto"/>
                    <w:left w:val="none" w:sz="0" w:space="0" w:color="auto"/>
                    <w:bottom w:val="none" w:sz="0" w:space="0" w:color="auto"/>
                    <w:right w:val="none" w:sz="0" w:space="0" w:color="auto"/>
                  </w:divBdr>
                  <w:divsChild>
                    <w:div w:id="1644388109">
                      <w:marLeft w:val="0"/>
                      <w:marRight w:val="0"/>
                      <w:marTop w:val="0"/>
                      <w:marBottom w:val="0"/>
                      <w:divBdr>
                        <w:top w:val="none" w:sz="0" w:space="0" w:color="auto"/>
                        <w:left w:val="none" w:sz="0" w:space="0" w:color="auto"/>
                        <w:bottom w:val="none" w:sz="0" w:space="0" w:color="auto"/>
                        <w:right w:val="none" w:sz="0" w:space="0" w:color="auto"/>
                      </w:divBdr>
                    </w:div>
                  </w:divsChild>
                </w:div>
                <w:div w:id="623586348">
                  <w:marLeft w:val="0"/>
                  <w:marRight w:val="0"/>
                  <w:marTop w:val="0"/>
                  <w:marBottom w:val="0"/>
                  <w:divBdr>
                    <w:top w:val="none" w:sz="0" w:space="0" w:color="auto"/>
                    <w:left w:val="none" w:sz="0" w:space="0" w:color="auto"/>
                    <w:bottom w:val="none" w:sz="0" w:space="0" w:color="auto"/>
                    <w:right w:val="none" w:sz="0" w:space="0" w:color="auto"/>
                  </w:divBdr>
                  <w:divsChild>
                    <w:div w:id="329522866">
                      <w:marLeft w:val="0"/>
                      <w:marRight w:val="0"/>
                      <w:marTop w:val="0"/>
                      <w:marBottom w:val="0"/>
                      <w:divBdr>
                        <w:top w:val="none" w:sz="0" w:space="0" w:color="auto"/>
                        <w:left w:val="none" w:sz="0" w:space="0" w:color="auto"/>
                        <w:bottom w:val="none" w:sz="0" w:space="0" w:color="auto"/>
                        <w:right w:val="none" w:sz="0" w:space="0" w:color="auto"/>
                      </w:divBdr>
                    </w:div>
                  </w:divsChild>
                </w:div>
                <w:div w:id="625548856">
                  <w:marLeft w:val="0"/>
                  <w:marRight w:val="0"/>
                  <w:marTop w:val="0"/>
                  <w:marBottom w:val="0"/>
                  <w:divBdr>
                    <w:top w:val="none" w:sz="0" w:space="0" w:color="auto"/>
                    <w:left w:val="none" w:sz="0" w:space="0" w:color="auto"/>
                    <w:bottom w:val="none" w:sz="0" w:space="0" w:color="auto"/>
                    <w:right w:val="none" w:sz="0" w:space="0" w:color="auto"/>
                  </w:divBdr>
                  <w:divsChild>
                    <w:div w:id="1095443569">
                      <w:marLeft w:val="0"/>
                      <w:marRight w:val="0"/>
                      <w:marTop w:val="0"/>
                      <w:marBottom w:val="0"/>
                      <w:divBdr>
                        <w:top w:val="none" w:sz="0" w:space="0" w:color="auto"/>
                        <w:left w:val="none" w:sz="0" w:space="0" w:color="auto"/>
                        <w:bottom w:val="none" w:sz="0" w:space="0" w:color="auto"/>
                        <w:right w:val="none" w:sz="0" w:space="0" w:color="auto"/>
                      </w:divBdr>
                    </w:div>
                  </w:divsChild>
                </w:div>
                <w:div w:id="633874200">
                  <w:marLeft w:val="0"/>
                  <w:marRight w:val="0"/>
                  <w:marTop w:val="0"/>
                  <w:marBottom w:val="0"/>
                  <w:divBdr>
                    <w:top w:val="none" w:sz="0" w:space="0" w:color="auto"/>
                    <w:left w:val="none" w:sz="0" w:space="0" w:color="auto"/>
                    <w:bottom w:val="none" w:sz="0" w:space="0" w:color="auto"/>
                    <w:right w:val="none" w:sz="0" w:space="0" w:color="auto"/>
                  </w:divBdr>
                  <w:divsChild>
                    <w:div w:id="110974459">
                      <w:marLeft w:val="0"/>
                      <w:marRight w:val="0"/>
                      <w:marTop w:val="0"/>
                      <w:marBottom w:val="0"/>
                      <w:divBdr>
                        <w:top w:val="none" w:sz="0" w:space="0" w:color="auto"/>
                        <w:left w:val="none" w:sz="0" w:space="0" w:color="auto"/>
                        <w:bottom w:val="none" w:sz="0" w:space="0" w:color="auto"/>
                        <w:right w:val="none" w:sz="0" w:space="0" w:color="auto"/>
                      </w:divBdr>
                    </w:div>
                  </w:divsChild>
                </w:div>
                <w:div w:id="635645186">
                  <w:marLeft w:val="0"/>
                  <w:marRight w:val="0"/>
                  <w:marTop w:val="0"/>
                  <w:marBottom w:val="0"/>
                  <w:divBdr>
                    <w:top w:val="none" w:sz="0" w:space="0" w:color="auto"/>
                    <w:left w:val="none" w:sz="0" w:space="0" w:color="auto"/>
                    <w:bottom w:val="none" w:sz="0" w:space="0" w:color="auto"/>
                    <w:right w:val="none" w:sz="0" w:space="0" w:color="auto"/>
                  </w:divBdr>
                  <w:divsChild>
                    <w:div w:id="583804475">
                      <w:marLeft w:val="0"/>
                      <w:marRight w:val="0"/>
                      <w:marTop w:val="0"/>
                      <w:marBottom w:val="0"/>
                      <w:divBdr>
                        <w:top w:val="none" w:sz="0" w:space="0" w:color="auto"/>
                        <w:left w:val="none" w:sz="0" w:space="0" w:color="auto"/>
                        <w:bottom w:val="none" w:sz="0" w:space="0" w:color="auto"/>
                        <w:right w:val="none" w:sz="0" w:space="0" w:color="auto"/>
                      </w:divBdr>
                    </w:div>
                  </w:divsChild>
                </w:div>
                <w:div w:id="653333689">
                  <w:marLeft w:val="0"/>
                  <w:marRight w:val="0"/>
                  <w:marTop w:val="0"/>
                  <w:marBottom w:val="0"/>
                  <w:divBdr>
                    <w:top w:val="none" w:sz="0" w:space="0" w:color="auto"/>
                    <w:left w:val="none" w:sz="0" w:space="0" w:color="auto"/>
                    <w:bottom w:val="none" w:sz="0" w:space="0" w:color="auto"/>
                    <w:right w:val="none" w:sz="0" w:space="0" w:color="auto"/>
                  </w:divBdr>
                  <w:divsChild>
                    <w:div w:id="1310943143">
                      <w:marLeft w:val="0"/>
                      <w:marRight w:val="0"/>
                      <w:marTop w:val="0"/>
                      <w:marBottom w:val="0"/>
                      <w:divBdr>
                        <w:top w:val="none" w:sz="0" w:space="0" w:color="auto"/>
                        <w:left w:val="none" w:sz="0" w:space="0" w:color="auto"/>
                        <w:bottom w:val="none" w:sz="0" w:space="0" w:color="auto"/>
                        <w:right w:val="none" w:sz="0" w:space="0" w:color="auto"/>
                      </w:divBdr>
                    </w:div>
                  </w:divsChild>
                </w:div>
                <w:div w:id="670177668">
                  <w:marLeft w:val="0"/>
                  <w:marRight w:val="0"/>
                  <w:marTop w:val="0"/>
                  <w:marBottom w:val="0"/>
                  <w:divBdr>
                    <w:top w:val="none" w:sz="0" w:space="0" w:color="auto"/>
                    <w:left w:val="none" w:sz="0" w:space="0" w:color="auto"/>
                    <w:bottom w:val="none" w:sz="0" w:space="0" w:color="auto"/>
                    <w:right w:val="none" w:sz="0" w:space="0" w:color="auto"/>
                  </w:divBdr>
                  <w:divsChild>
                    <w:div w:id="2145735146">
                      <w:marLeft w:val="0"/>
                      <w:marRight w:val="0"/>
                      <w:marTop w:val="0"/>
                      <w:marBottom w:val="0"/>
                      <w:divBdr>
                        <w:top w:val="none" w:sz="0" w:space="0" w:color="auto"/>
                        <w:left w:val="none" w:sz="0" w:space="0" w:color="auto"/>
                        <w:bottom w:val="none" w:sz="0" w:space="0" w:color="auto"/>
                        <w:right w:val="none" w:sz="0" w:space="0" w:color="auto"/>
                      </w:divBdr>
                    </w:div>
                  </w:divsChild>
                </w:div>
                <w:div w:id="681201402">
                  <w:marLeft w:val="0"/>
                  <w:marRight w:val="0"/>
                  <w:marTop w:val="0"/>
                  <w:marBottom w:val="0"/>
                  <w:divBdr>
                    <w:top w:val="none" w:sz="0" w:space="0" w:color="auto"/>
                    <w:left w:val="none" w:sz="0" w:space="0" w:color="auto"/>
                    <w:bottom w:val="none" w:sz="0" w:space="0" w:color="auto"/>
                    <w:right w:val="none" w:sz="0" w:space="0" w:color="auto"/>
                  </w:divBdr>
                  <w:divsChild>
                    <w:div w:id="2001232897">
                      <w:marLeft w:val="0"/>
                      <w:marRight w:val="0"/>
                      <w:marTop w:val="0"/>
                      <w:marBottom w:val="0"/>
                      <w:divBdr>
                        <w:top w:val="none" w:sz="0" w:space="0" w:color="auto"/>
                        <w:left w:val="none" w:sz="0" w:space="0" w:color="auto"/>
                        <w:bottom w:val="none" w:sz="0" w:space="0" w:color="auto"/>
                        <w:right w:val="none" w:sz="0" w:space="0" w:color="auto"/>
                      </w:divBdr>
                    </w:div>
                  </w:divsChild>
                </w:div>
                <w:div w:id="686949143">
                  <w:marLeft w:val="0"/>
                  <w:marRight w:val="0"/>
                  <w:marTop w:val="0"/>
                  <w:marBottom w:val="0"/>
                  <w:divBdr>
                    <w:top w:val="none" w:sz="0" w:space="0" w:color="auto"/>
                    <w:left w:val="none" w:sz="0" w:space="0" w:color="auto"/>
                    <w:bottom w:val="none" w:sz="0" w:space="0" w:color="auto"/>
                    <w:right w:val="none" w:sz="0" w:space="0" w:color="auto"/>
                  </w:divBdr>
                  <w:divsChild>
                    <w:div w:id="1379817546">
                      <w:marLeft w:val="0"/>
                      <w:marRight w:val="0"/>
                      <w:marTop w:val="0"/>
                      <w:marBottom w:val="0"/>
                      <w:divBdr>
                        <w:top w:val="none" w:sz="0" w:space="0" w:color="auto"/>
                        <w:left w:val="none" w:sz="0" w:space="0" w:color="auto"/>
                        <w:bottom w:val="none" w:sz="0" w:space="0" w:color="auto"/>
                        <w:right w:val="none" w:sz="0" w:space="0" w:color="auto"/>
                      </w:divBdr>
                    </w:div>
                  </w:divsChild>
                </w:div>
                <w:div w:id="690645613">
                  <w:marLeft w:val="0"/>
                  <w:marRight w:val="0"/>
                  <w:marTop w:val="0"/>
                  <w:marBottom w:val="0"/>
                  <w:divBdr>
                    <w:top w:val="none" w:sz="0" w:space="0" w:color="auto"/>
                    <w:left w:val="none" w:sz="0" w:space="0" w:color="auto"/>
                    <w:bottom w:val="none" w:sz="0" w:space="0" w:color="auto"/>
                    <w:right w:val="none" w:sz="0" w:space="0" w:color="auto"/>
                  </w:divBdr>
                  <w:divsChild>
                    <w:div w:id="1284846406">
                      <w:marLeft w:val="0"/>
                      <w:marRight w:val="0"/>
                      <w:marTop w:val="0"/>
                      <w:marBottom w:val="0"/>
                      <w:divBdr>
                        <w:top w:val="none" w:sz="0" w:space="0" w:color="auto"/>
                        <w:left w:val="none" w:sz="0" w:space="0" w:color="auto"/>
                        <w:bottom w:val="none" w:sz="0" w:space="0" w:color="auto"/>
                        <w:right w:val="none" w:sz="0" w:space="0" w:color="auto"/>
                      </w:divBdr>
                    </w:div>
                  </w:divsChild>
                </w:div>
                <w:div w:id="694964406">
                  <w:marLeft w:val="0"/>
                  <w:marRight w:val="0"/>
                  <w:marTop w:val="0"/>
                  <w:marBottom w:val="0"/>
                  <w:divBdr>
                    <w:top w:val="none" w:sz="0" w:space="0" w:color="auto"/>
                    <w:left w:val="none" w:sz="0" w:space="0" w:color="auto"/>
                    <w:bottom w:val="none" w:sz="0" w:space="0" w:color="auto"/>
                    <w:right w:val="none" w:sz="0" w:space="0" w:color="auto"/>
                  </w:divBdr>
                  <w:divsChild>
                    <w:div w:id="1467697098">
                      <w:marLeft w:val="0"/>
                      <w:marRight w:val="0"/>
                      <w:marTop w:val="0"/>
                      <w:marBottom w:val="0"/>
                      <w:divBdr>
                        <w:top w:val="none" w:sz="0" w:space="0" w:color="auto"/>
                        <w:left w:val="none" w:sz="0" w:space="0" w:color="auto"/>
                        <w:bottom w:val="none" w:sz="0" w:space="0" w:color="auto"/>
                        <w:right w:val="none" w:sz="0" w:space="0" w:color="auto"/>
                      </w:divBdr>
                    </w:div>
                  </w:divsChild>
                </w:div>
                <w:div w:id="697241626">
                  <w:marLeft w:val="0"/>
                  <w:marRight w:val="0"/>
                  <w:marTop w:val="0"/>
                  <w:marBottom w:val="0"/>
                  <w:divBdr>
                    <w:top w:val="none" w:sz="0" w:space="0" w:color="auto"/>
                    <w:left w:val="none" w:sz="0" w:space="0" w:color="auto"/>
                    <w:bottom w:val="none" w:sz="0" w:space="0" w:color="auto"/>
                    <w:right w:val="none" w:sz="0" w:space="0" w:color="auto"/>
                  </w:divBdr>
                  <w:divsChild>
                    <w:div w:id="375474879">
                      <w:marLeft w:val="0"/>
                      <w:marRight w:val="0"/>
                      <w:marTop w:val="0"/>
                      <w:marBottom w:val="0"/>
                      <w:divBdr>
                        <w:top w:val="none" w:sz="0" w:space="0" w:color="auto"/>
                        <w:left w:val="none" w:sz="0" w:space="0" w:color="auto"/>
                        <w:bottom w:val="none" w:sz="0" w:space="0" w:color="auto"/>
                        <w:right w:val="none" w:sz="0" w:space="0" w:color="auto"/>
                      </w:divBdr>
                    </w:div>
                  </w:divsChild>
                </w:div>
                <w:div w:id="701976327">
                  <w:marLeft w:val="0"/>
                  <w:marRight w:val="0"/>
                  <w:marTop w:val="0"/>
                  <w:marBottom w:val="0"/>
                  <w:divBdr>
                    <w:top w:val="none" w:sz="0" w:space="0" w:color="auto"/>
                    <w:left w:val="none" w:sz="0" w:space="0" w:color="auto"/>
                    <w:bottom w:val="none" w:sz="0" w:space="0" w:color="auto"/>
                    <w:right w:val="none" w:sz="0" w:space="0" w:color="auto"/>
                  </w:divBdr>
                  <w:divsChild>
                    <w:div w:id="538472397">
                      <w:marLeft w:val="0"/>
                      <w:marRight w:val="0"/>
                      <w:marTop w:val="0"/>
                      <w:marBottom w:val="0"/>
                      <w:divBdr>
                        <w:top w:val="none" w:sz="0" w:space="0" w:color="auto"/>
                        <w:left w:val="none" w:sz="0" w:space="0" w:color="auto"/>
                        <w:bottom w:val="none" w:sz="0" w:space="0" w:color="auto"/>
                        <w:right w:val="none" w:sz="0" w:space="0" w:color="auto"/>
                      </w:divBdr>
                    </w:div>
                  </w:divsChild>
                </w:div>
                <w:div w:id="704715709">
                  <w:marLeft w:val="0"/>
                  <w:marRight w:val="0"/>
                  <w:marTop w:val="0"/>
                  <w:marBottom w:val="0"/>
                  <w:divBdr>
                    <w:top w:val="none" w:sz="0" w:space="0" w:color="auto"/>
                    <w:left w:val="none" w:sz="0" w:space="0" w:color="auto"/>
                    <w:bottom w:val="none" w:sz="0" w:space="0" w:color="auto"/>
                    <w:right w:val="none" w:sz="0" w:space="0" w:color="auto"/>
                  </w:divBdr>
                  <w:divsChild>
                    <w:div w:id="57287740">
                      <w:marLeft w:val="0"/>
                      <w:marRight w:val="0"/>
                      <w:marTop w:val="0"/>
                      <w:marBottom w:val="0"/>
                      <w:divBdr>
                        <w:top w:val="none" w:sz="0" w:space="0" w:color="auto"/>
                        <w:left w:val="none" w:sz="0" w:space="0" w:color="auto"/>
                        <w:bottom w:val="none" w:sz="0" w:space="0" w:color="auto"/>
                        <w:right w:val="none" w:sz="0" w:space="0" w:color="auto"/>
                      </w:divBdr>
                    </w:div>
                  </w:divsChild>
                </w:div>
                <w:div w:id="708647477">
                  <w:marLeft w:val="0"/>
                  <w:marRight w:val="0"/>
                  <w:marTop w:val="0"/>
                  <w:marBottom w:val="0"/>
                  <w:divBdr>
                    <w:top w:val="none" w:sz="0" w:space="0" w:color="auto"/>
                    <w:left w:val="none" w:sz="0" w:space="0" w:color="auto"/>
                    <w:bottom w:val="none" w:sz="0" w:space="0" w:color="auto"/>
                    <w:right w:val="none" w:sz="0" w:space="0" w:color="auto"/>
                  </w:divBdr>
                  <w:divsChild>
                    <w:div w:id="602611698">
                      <w:marLeft w:val="0"/>
                      <w:marRight w:val="0"/>
                      <w:marTop w:val="0"/>
                      <w:marBottom w:val="0"/>
                      <w:divBdr>
                        <w:top w:val="none" w:sz="0" w:space="0" w:color="auto"/>
                        <w:left w:val="none" w:sz="0" w:space="0" w:color="auto"/>
                        <w:bottom w:val="none" w:sz="0" w:space="0" w:color="auto"/>
                        <w:right w:val="none" w:sz="0" w:space="0" w:color="auto"/>
                      </w:divBdr>
                    </w:div>
                  </w:divsChild>
                </w:div>
                <w:div w:id="711423176">
                  <w:marLeft w:val="0"/>
                  <w:marRight w:val="0"/>
                  <w:marTop w:val="0"/>
                  <w:marBottom w:val="0"/>
                  <w:divBdr>
                    <w:top w:val="none" w:sz="0" w:space="0" w:color="auto"/>
                    <w:left w:val="none" w:sz="0" w:space="0" w:color="auto"/>
                    <w:bottom w:val="none" w:sz="0" w:space="0" w:color="auto"/>
                    <w:right w:val="none" w:sz="0" w:space="0" w:color="auto"/>
                  </w:divBdr>
                  <w:divsChild>
                    <w:div w:id="1122843490">
                      <w:marLeft w:val="0"/>
                      <w:marRight w:val="0"/>
                      <w:marTop w:val="0"/>
                      <w:marBottom w:val="0"/>
                      <w:divBdr>
                        <w:top w:val="none" w:sz="0" w:space="0" w:color="auto"/>
                        <w:left w:val="none" w:sz="0" w:space="0" w:color="auto"/>
                        <w:bottom w:val="none" w:sz="0" w:space="0" w:color="auto"/>
                        <w:right w:val="none" w:sz="0" w:space="0" w:color="auto"/>
                      </w:divBdr>
                    </w:div>
                  </w:divsChild>
                </w:div>
                <w:div w:id="752975467">
                  <w:marLeft w:val="0"/>
                  <w:marRight w:val="0"/>
                  <w:marTop w:val="0"/>
                  <w:marBottom w:val="0"/>
                  <w:divBdr>
                    <w:top w:val="none" w:sz="0" w:space="0" w:color="auto"/>
                    <w:left w:val="none" w:sz="0" w:space="0" w:color="auto"/>
                    <w:bottom w:val="none" w:sz="0" w:space="0" w:color="auto"/>
                    <w:right w:val="none" w:sz="0" w:space="0" w:color="auto"/>
                  </w:divBdr>
                  <w:divsChild>
                    <w:div w:id="1245535163">
                      <w:marLeft w:val="0"/>
                      <w:marRight w:val="0"/>
                      <w:marTop w:val="0"/>
                      <w:marBottom w:val="0"/>
                      <w:divBdr>
                        <w:top w:val="none" w:sz="0" w:space="0" w:color="auto"/>
                        <w:left w:val="none" w:sz="0" w:space="0" w:color="auto"/>
                        <w:bottom w:val="none" w:sz="0" w:space="0" w:color="auto"/>
                        <w:right w:val="none" w:sz="0" w:space="0" w:color="auto"/>
                      </w:divBdr>
                    </w:div>
                  </w:divsChild>
                </w:div>
                <w:div w:id="761953594">
                  <w:marLeft w:val="0"/>
                  <w:marRight w:val="0"/>
                  <w:marTop w:val="0"/>
                  <w:marBottom w:val="0"/>
                  <w:divBdr>
                    <w:top w:val="none" w:sz="0" w:space="0" w:color="auto"/>
                    <w:left w:val="none" w:sz="0" w:space="0" w:color="auto"/>
                    <w:bottom w:val="none" w:sz="0" w:space="0" w:color="auto"/>
                    <w:right w:val="none" w:sz="0" w:space="0" w:color="auto"/>
                  </w:divBdr>
                  <w:divsChild>
                    <w:div w:id="656496243">
                      <w:marLeft w:val="0"/>
                      <w:marRight w:val="0"/>
                      <w:marTop w:val="0"/>
                      <w:marBottom w:val="0"/>
                      <w:divBdr>
                        <w:top w:val="none" w:sz="0" w:space="0" w:color="auto"/>
                        <w:left w:val="none" w:sz="0" w:space="0" w:color="auto"/>
                        <w:bottom w:val="none" w:sz="0" w:space="0" w:color="auto"/>
                        <w:right w:val="none" w:sz="0" w:space="0" w:color="auto"/>
                      </w:divBdr>
                    </w:div>
                  </w:divsChild>
                </w:div>
                <w:div w:id="764347408">
                  <w:marLeft w:val="0"/>
                  <w:marRight w:val="0"/>
                  <w:marTop w:val="0"/>
                  <w:marBottom w:val="0"/>
                  <w:divBdr>
                    <w:top w:val="none" w:sz="0" w:space="0" w:color="auto"/>
                    <w:left w:val="none" w:sz="0" w:space="0" w:color="auto"/>
                    <w:bottom w:val="none" w:sz="0" w:space="0" w:color="auto"/>
                    <w:right w:val="none" w:sz="0" w:space="0" w:color="auto"/>
                  </w:divBdr>
                  <w:divsChild>
                    <w:div w:id="638654076">
                      <w:marLeft w:val="0"/>
                      <w:marRight w:val="0"/>
                      <w:marTop w:val="0"/>
                      <w:marBottom w:val="0"/>
                      <w:divBdr>
                        <w:top w:val="none" w:sz="0" w:space="0" w:color="auto"/>
                        <w:left w:val="none" w:sz="0" w:space="0" w:color="auto"/>
                        <w:bottom w:val="none" w:sz="0" w:space="0" w:color="auto"/>
                        <w:right w:val="none" w:sz="0" w:space="0" w:color="auto"/>
                      </w:divBdr>
                    </w:div>
                  </w:divsChild>
                </w:div>
                <w:div w:id="765230084">
                  <w:marLeft w:val="0"/>
                  <w:marRight w:val="0"/>
                  <w:marTop w:val="0"/>
                  <w:marBottom w:val="0"/>
                  <w:divBdr>
                    <w:top w:val="none" w:sz="0" w:space="0" w:color="auto"/>
                    <w:left w:val="none" w:sz="0" w:space="0" w:color="auto"/>
                    <w:bottom w:val="none" w:sz="0" w:space="0" w:color="auto"/>
                    <w:right w:val="none" w:sz="0" w:space="0" w:color="auto"/>
                  </w:divBdr>
                  <w:divsChild>
                    <w:div w:id="28578411">
                      <w:marLeft w:val="0"/>
                      <w:marRight w:val="0"/>
                      <w:marTop w:val="0"/>
                      <w:marBottom w:val="0"/>
                      <w:divBdr>
                        <w:top w:val="none" w:sz="0" w:space="0" w:color="auto"/>
                        <w:left w:val="none" w:sz="0" w:space="0" w:color="auto"/>
                        <w:bottom w:val="none" w:sz="0" w:space="0" w:color="auto"/>
                        <w:right w:val="none" w:sz="0" w:space="0" w:color="auto"/>
                      </w:divBdr>
                    </w:div>
                  </w:divsChild>
                </w:div>
                <w:div w:id="773671876">
                  <w:marLeft w:val="0"/>
                  <w:marRight w:val="0"/>
                  <w:marTop w:val="0"/>
                  <w:marBottom w:val="0"/>
                  <w:divBdr>
                    <w:top w:val="none" w:sz="0" w:space="0" w:color="auto"/>
                    <w:left w:val="none" w:sz="0" w:space="0" w:color="auto"/>
                    <w:bottom w:val="none" w:sz="0" w:space="0" w:color="auto"/>
                    <w:right w:val="none" w:sz="0" w:space="0" w:color="auto"/>
                  </w:divBdr>
                  <w:divsChild>
                    <w:div w:id="1198422466">
                      <w:marLeft w:val="0"/>
                      <w:marRight w:val="0"/>
                      <w:marTop w:val="0"/>
                      <w:marBottom w:val="0"/>
                      <w:divBdr>
                        <w:top w:val="none" w:sz="0" w:space="0" w:color="auto"/>
                        <w:left w:val="none" w:sz="0" w:space="0" w:color="auto"/>
                        <w:bottom w:val="none" w:sz="0" w:space="0" w:color="auto"/>
                        <w:right w:val="none" w:sz="0" w:space="0" w:color="auto"/>
                      </w:divBdr>
                    </w:div>
                  </w:divsChild>
                </w:div>
                <w:div w:id="778597732">
                  <w:marLeft w:val="0"/>
                  <w:marRight w:val="0"/>
                  <w:marTop w:val="0"/>
                  <w:marBottom w:val="0"/>
                  <w:divBdr>
                    <w:top w:val="none" w:sz="0" w:space="0" w:color="auto"/>
                    <w:left w:val="none" w:sz="0" w:space="0" w:color="auto"/>
                    <w:bottom w:val="none" w:sz="0" w:space="0" w:color="auto"/>
                    <w:right w:val="none" w:sz="0" w:space="0" w:color="auto"/>
                  </w:divBdr>
                  <w:divsChild>
                    <w:div w:id="996955830">
                      <w:marLeft w:val="0"/>
                      <w:marRight w:val="0"/>
                      <w:marTop w:val="0"/>
                      <w:marBottom w:val="0"/>
                      <w:divBdr>
                        <w:top w:val="none" w:sz="0" w:space="0" w:color="auto"/>
                        <w:left w:val="none" w:sz="0" w:space="0" w:color="auto"/>
                        <w:bottom w:val="none" w:sz="0" w:space="0" w:color="auto"/>
                        <w:right w:val="none" w:sz="0" w:space="0" w:color="auto"/>
                      </w:divBdr>
                    </w:div>
                  </w:divsChild>
                </w:div>
                <w:div w:id="779958065">
                  <w:marLeft w:val="0"/>
                  <w:marRight w:val="0"/>
                  <w:marTop w:val="0"/>
                  <w:marBottom w:val="0"/>
                  <w:divBdr>
                    <w:top w:val="none" w:sz="0" w:space="0" w:color="auto"/>
                    <w:left w:val="none" w:sz="0" w:space="0" w:color="auto"/>
                    <w:bottom w:val="none" w:sz="0" w:space="0" w:color="auto"/>
                    <w:right w:val="none" w:sz="0" w:space="0" w:color="auto"/>
                  </w:divBdr>
                  <w:divsChild>
                    <w:div w:id="640110612">
                      <w:marLeft w:val="0"/>
                      <w:marRight w:val="0"/>
                      <w:marTop w:val="0"/>
                      <w:marBottom w:val="0"/>
                      <w:divBdr>
                        <w:top w:val="none" w:sz="0" w:space="0" w:color="auto"/>
                        <w:left w:val="none" w:sz="0" w:space="0" w:color="auto"/>
                        <w:bottom w:val="none" w:sz="0" w:space="0" w:color="auto"/>
                        <w:right w:val="none" w:sz="0" w:space="0" w:color="auto"/>
                      </w:divBdr>
                    </w:div>
                  </w:divsChild>
                </w:div>
                <w:div w:id="786629332">
                  <w:marLeft w:val="0"/>
                  <w:marRight w:val="0"/>
                  <w:marTop w:val="0"/>
                  <w:marBottom w:val="0"/>
                  <w:divBdr>
                    <w:top w:val="none" w:sz="0" w:space="0" w:color="auto"/>
                    <w:left w:val="none" w:sz="0" w:space="0" w:color="auto"/>
                    <w:bottom w:val="none" w:sz="0" w:space="0" w:color="auto"/>
                    <w:right w:val="none" w:sz="0" w:space="0" w:color="auto"/>
                  </w:divBdr>
                  <w:divsChild>
                    <w:div w:id="264928489">
                      <w:marLeft w:val="0"/>
                      <w:marRight w:val="0"/>
                      <w:marTop w:val="0"/>
                      <w:marBottom w:val="0"/>
                      <w:divBdr>
                        <w:top w:val="none" w:sz="0" w:space="0" w:color="auto"/>
                        <w:left w:val="none" w:sz="0" w:space="0" w:color="auto"/>
                        <w:bottom w:val="none" w:sz="0" w:space="0" w:color="auto"/>
                        <w:right w:val="none" w:sz="0" w:space="0" w:color="auto"/>
                      </w:divBdr>
                    </w:div>
                  </w:divsChild>
                </w:div>
                <w:div w:id="788862473">
                  <w:marLeft w:val="0"/>
                  <w:marRight w:val="0"/>
                  <w:marTop w:val="0"/>
                  <w:marBottom w:val="0"/>
                  <w:divBdr>
                    <w:top w:val="none" w:sz="0" w:space="0" w:color="auto"/>
                    <w:left w:val="none" w:sz="0" w:space="0" w:color="auto"/>
                    <w:bottom w:val="none" w:sz="0" w:space="0" w:color="auto"/>
                    <w:right w:val="none" w:sz="0" w:space="0" w:color="auto"/>
                  </w:divBdr>
                  <w:divsChild>
                    <w:div w:id="1083185825">
                      <w:marLeft w:val="0"/>
                      <w:marRight w:val="0"/>
                      <w:marTop w:val="0"/>
                      <w:marBottom w:val="0"/>
                      <w:divBdr>
                        <w:top w:val="none" w:sz="0" w:space="0" w:color="auto"/>
                        <w:left w:val="none" w:sz="0" w:space="0" w:color="auto"/>
                        <w:bottom w:val="none" w:sz="0" w:space="0" w:color="auto"/>
                        <w:right w:val="none" w:sz="0" w:space="0" w:color="auto"/>
                      </w:divBdr>
                    </w:div>
                  </w:divsChild>
                </w:div>
                <w:div w:id="795105064">
                  <w:marLeft w:val="0"/>
                  <w:marRight w:val="0"/>
                  <w:marTop w:val="0"/>
                  <w:marBottom w:val="0"/>
                  <w:divBdr>
                    <w:top w:val="none" w:sz="0" w:space="0" w:color="auto"/>
                    <w:left w:val="none" w:sz="0" w:space="0" w:color="auto"/>
                    <w:bottom w:val="none" w:sz="0" w:space="0" w:color="auto"/>
                    <w:right w:val="none" w:sz="0" w:space="0" w:color="auto"/>
                  </w:divBdr>
                  <w:divsChild>
                    <w:div w:id="480847045">
                      <w:marLeft w:val="0"/>
                      <w:marRight w:val="0"/>
                      <w:marTop w:val="0"/>
                      <w:marBottom w:val="0"/>
                      <w:divBdr>
                        <w:top w:val="none" w:sz="0" w:space="0" w:color="auto"/>
                        <w:left w:val="none" w:sz="0" w:space="0" w:color="auto"/>
                        <w:bottom w:val="none" w:sz="0" w:space="0" w:color="auto"/>
                        <w:right w:val="none" w:sz="0" w:space="0" w:color="auto"/>
                      </w:divBdr>
                    </w:div>
                  </w:divsChild>
                </w:div>
                <w:div w:id="806625801">
                  <w:marLeft w:val="0"/>
                  <w:marRight w:val="0"/>
                  <w:marTop w:val="0"/>
                  <w:marBottom w:val="0"/>
                  <w:divBdr>
                    <w:top w:val="none" w:sz="0" w:space="0" w:color="auto"/>
                    <w:left w:val="none" w:sz="0" w:space="0" w:color="auto"/>
                    <w:bottom w:val="none" w:sz="0" w:space="0" w:color="auto"/>
                    <w:right w:val="none" w:sz="0" w:space="0" w:color="auto"/>
                  </w:divBdr>
                  <w:divsChild>
                    <w:div w:id="243497984">
                      <w:marLeft w:val="0"/>
                      <w:marRight w:val="0"/>
                      <w:marTop w:val="0"/>
                      <w:marBottom w:val="0"/>
                      <w:divBdr>
                        <w:top w:val="none" w:sz="0" w:space="0" w:color="auto"/>
                        <w:left w:val="none" w:sz="0" w:space="0" w:color="auto"/>
                        <w:bottom w:val="none" w:sz="0" w:space="0" w:color="auto"/>
                        <w:right w:val="none" w:sz="0" w:space="0" w:color="auto"/>
                      </w:divBdr>
                    </w:div>
                  </w:divsChild>
                </w:div>
                <w:div w:id="834759846">
                  <w:marLeft w:val="0"/>
                  <w:marRight w:val="0"/>
                  <w:marTop w:val="0"/>
                  <w:marBottom w:val="0"/>
                  <w:divBdr>
                    <w:top w:val="none" w:sz="0" w:space="0" w:color="auto"/>
                    <w:left w:val="none" w:sz="0" w:space="0" w:color="auto"/>
                    <w:bottom w:val="none" w:sz="0" w:space="0" w:color="auto"/>
                    <w:right w:val="none" w:sz="0" w:space="0" w:color="auto"/>
                  </w:divBdr>
                  <w:divsChild>
                    <w:div w:id="1657682896">
                      <w:marLeft w:val="0"/>
                      <w:marRight w:val="0"/>
                      <w:marTop w:val="0"/>
                      <w:marBottom w:val="0"/>
                      <w:divBdr>
                        <w:top w:val="none" w:sz="0" w:space="0" w:color="auto"/>
                        <w:left w:val="none" w:sz="0" w:space="0" w:color="auto"/>
                        <w:bottom w:val="none" w:sz="0" w:space="0" w:color="auto"/>
                        <w:right w:val="none" w:sz="0" w:space="0" w:color="auto"/>
                      </w:divBdr>
                    </w:div>
                  </w:divsChild>
                </w:div>
                <w:div w:id="839781691">
                  <w:marLeft w:val="0"/>
                  <w:marRight w:val="0"/>
                  <w:marTop w:val="0"/>
                  <w:marBottom w:val="0"/>
                  <w:divBdr>
                    <w:top w:val="none" w:sz="0" w:space="0" w:color="auto"/>
                    <w:left w:val="none" w:sz="0" w:space="0" w:color="auto"/>
                    <w:bottom w:val="none" w:sz="0" w:space="0" w:color="auto"/>
                    <w:right w:val="none" w:sz="0" w:space="0" w:color="auto"/>
                  </w:divBdr>
                  <w:divsChild>
                    <w:div w:id="1192497481">
                      <w:marLeft w:val="0"/>
                      <w:marRight w:val="0"/>
                      <w:marTop w:val="0"/>
                      <w:marBottom w:val="0"/>
                      <w:divBdr>
                        <w:top w:val="none" w:sz="0" w:space="0" w:color="auto"/>
                        <w:left w:val="none" w:sz="0" w:space="0" w:color="auto"/>
                        <w:bottom w:val="none" w:sz="0" w:space="0" w:color="auto"/>
                        <w:right w:val="none" w:sz="0" w:space="0" w:color="auto"/>
                      </w:divBdr>
                    </w:div>
                  </w:divsChild>
                </w:div>
                <w:div w:id="845094985">
                  <w:marLeft w:val="0"/>
                  <w:marRight w:val="0"/>
                  <w:marTop w:val="0"/>
                  <w:marBottom w:val="0"/>
                  <w:divBdr>
                    <w:top w:val="none" w:sz="0" w:space="0" w:color="auto"/>
                    <w:left w:val="none" w:sz="0" w:space="0" w:color="auto"/>
                    <w:bottom w:val="none" w:sz="0" w:space="0" w:color="auto"/>
                    <w:right w:val="none" w:sz="0" w:space="0" w:color="auto"/>
                  </w:divBdr>
                  <w:divsChild>
                    <w:div w:id="1376812933">
                      <w:marLeft w:val="0"/>
                      <w:marRight w:val="0"/>
                      <w:marTop w:val="0"/>
                      <w:marBottom w:val="0"/>
                      <w:divBdr>
                        <w:top w:val="none" w:sz="0" w:space="0" w:color="auto"/>
                        <w:left w:val="none" w:sz="0" w:space="0" w:color="auto"/>
                        <w:bottom w:val="none" w:sz="0" w:space="0" w:color="auto"/>
                        <w:right w:val="none" w:sz="0" w:space="0" w:color="auto"/>
                      </w:divBdr>
                    </w:div>
                  </w:divsChild>
                </w:div>
                <w:div w:id="852114101">
                  <w:marLeft w:val="0"/>
                  <w:marRight w:val="0"/>
                  <w:marTop w:val="0"/>
                  <w:marBottom w:val="0"/>
                  <w:divBdr>
                    <w:top w:val="none" w:sz="0" w:space="0" w:color="auto"/>
                    <w:left w:val="none" w:sz="0" w:space="0" w:color="auto"/>
                    <w:bottom w:val="none" w:sz="0" w:space="0" w:color="auto"/>
                    <w:right w:val="none" w:sz="0" w:space="0" w:color="auto"/>
                  </w:divBdr>
                  <w:divsChild>
                    <w:div w:id="588579494">
                      <w:marLeft w:val="0"/>
                      <w:marRight w:val="0"/>
                      <w:marTop w:val="0"/>
                      <w:marBottom w:val="0"/>
                      <w:divBdr>
                        <w:top w:val="none" w:sz="0" w:space="0" w:color="auto"/>
                        <w:left w:val="none" w:sz="0" w:space="0" w:color="auto"/>
                        <w:bottom w:val="none" w:sz="0" w:space="0" w:color="auto"/>
                        <w:right w:val="none" w:sz="0" w:space="0" w:color="auto"/>
                      </w:divBdr>
                    </w:div>
                  </w:divsChild>
                </w:div>
                <w:div w:id="855920612">
                  <w:marLeft w:val="0"/>
                  <w:marRight w:val="0"/>
                  <w:marTop w:val="0"/>
                  <w:marBottom w:val="0"/>
                  <w:divBdr>
                    <w:top w:val="none" w:sz="0" w:space="0" w:color="auto"/>
                    <w:left w:val="none" w:sz="0" w:space="0" w:color="auto"/>
                    <w:bottom w:val="none" w:sz="0" w:space="0" w:color="auto"/>
                    <w:right w:val="none" w:sz="0" w:space="0" w:color="auto"/>
                  </w:divBdr>
                  <w:divsChild>
                    <w:div w:id="824973989">
                      <w:marLeft w:val="0"/>
                      <w:marRight w:val="0"/>
                      <w:marTop w:val="0"/>
                      <w:marBottom w:val="0"/>
                      <w:divBdr>
                        <w:top w:val="none" w:sz="0" w:space="0" w:color="auto"/>
                        <w:left w:val="none" w:sz="0" w:space="0" w:color="auto"/>
                        <w:bottom w:val="none" w:sz="0" w:space="0" w:color="auto"/>
                        <w:right w:val="none" w:sz="0" w:space="0" w:color="auto"/>
                      </w:divBdr>
                    </w:div>
                  </w:divsChild>
                </w:div>
                <w:div w:id="856770926">
                  <w:marLeft w:val="0"/>
                  <w:marRight w:val="0"/>
                  <w:marTop w:val="0"/>
                  <w:marBottom w:val="0"/>
                  <w:divBdr>
                    <w:top w:val="none" w:sz="0" w:space="0" w:color="auto"/>
                    <w:left w:val="none" w:sz="0" w:space="0" w:color="auto"/>
                    <w:bottom w:val="none" w:sz="0" w:space="0" w:color="auto"/>
                    <w:right w:val="none" w:sz="0" w:space="0" w:color="auto"/>
                  </w:divBdr>
                  <w:divsChild>
                    <w:div w:id="219286700">
                      <w:marLeft w:val="0"/>
                      <w:marRight w:val="0"/>
                      <w:marTop w:val="0"/>
                      <w:marBottom w:val="0"/>
                      <w:divBdr>
                        <w:top w:val="none" w:sz="0" w:space="0" w:color="auto"/>
                        <w:left w:val="none" w:sz="0" w:space="0" w:color="auto"/>
                        <w:bottom w:val="none" w:sz="0" w:space="0" w:color="auto"/>
                        <w:right w:val="none" w:sz="0" w:space="0" w:color="auto"/>
                      </w:divBdr>
                    </w:div>
                  </w:divsChild>
                </w:div>
                <w:div w:id="869495077">
                  <w:marLeft w:val="0"/>
                  <w:marRight w:val="0"/>
                  <w:marTop w:val="0"/>
                  <w:marBottom w:val="0"/>
                  <w:divBdr>
                    <w:top w:val="none" w:sz="0" w:space="0" w:color="auto"/>
                    <w:left w:val="none" w:sz="0" w:space="0" w:color="auto"/>
                    <w:bottom w:val="none" w:sz="0" w:space="0" w:color="auto"/>
                    <w:right w:val="none" w:sz="0" w:space="0" w:color="auto"/>
                  </w:divBdr>
                  <w:divsChild>
                    <w:div w:id="559823620">
                      <w:marLeft w:val="0"/>
                      <w:marRight w:val="0"/>
                      <w:marTop w:val="0"/>
                      <w:marBottom w:val="0"/>
                      <w:divBdr>
                        <w:top w:val="none" w:sz="0" w:space="0" w:color="auto"/>
                        <w:left w:val="none" w:sz="0" w:space="0" w:color="auto"/>
                        <w:bottom w:val="none" w:sz="0" w:space="0" w:color="auto"/>
                        <w:right w:val="none" w:sz="0" w:space="0" w:color="auto"/>
                      </w:divBdr>
                    </w:div>
                  </w:divsChild>
                </w:div>
                <w:div w:id="878052347">
                  <w:marLeft w:val="0"/>
                  <w:marRight w:val="0"/>
                  <w:marTop w:val="0"/>
                  <w:marBottom w:val="0"/>
                  <w:divBdr>
                    <w:top w:val="none" w:sz="0" w:space="0" w:color="auto"/>
                    <w:left w:val="none" w:sz="0" w:space="0" w:color="auto"/>
                    <w:bottom w:val="none" w:sz="0" w:space="0" w:color="auto"/>
                    <w:right w:val="none" w:sz="0" w:space="0" w:color="auto"/>
                  </w:divBdr>
                  <w:divsChild>
                    <w:div w:id="10568617">
                      <w:marLeft w:val="0"/>
                      <w:marRight w:val="0"/>
                      <w:marTop w:val="0"/>
                      <w:marBottom w:val="0"/>
                      <w:divBdr>
                        <w:top w:val="none" w:sz="0" w:space="0" w:color="auto"/>
                        <w:left w:val="none" w:sz="0" w:space="0" w:color="auto"/>
                        <w:bottom w:val="none" w:sz="0" w:space="0" w:color="auto"/>
                        <w:right w:val="none" w:sz="0" w:space="0" w:color="auto"/>
                      </w:divBdr>
                    </w:div>
                  </w:divsChild>
                </w:div>
                <w:div w:id="882714284">
                  <w:marLeft w:val="0"/>
                  <w:marRight w:val="0"/>
                  <w:marTop w:val="0"/>
                  <w:marBottom w:val="0"/>
                  <w:divBdr>
                    <w:top w:val="none" w:sz="0" w:space="0" w:color="auto"/>
                    <w:left w:val="none" w:sz="0" w:space="0" w:color="auto"/>
                    <w:bottom w:val="none" w:sz="0" w:space="0" w:color="auto"/>
                    <w:right w:val="none" w:sz="0" w:space="0" w:color="auto"/>
                  </w:divBdr>
                  <w:divsChild>
                    <w:div w:id="1173299731">
                      <w:marLeft w:val="0"/>
                      <w:marRight w:val="0"/>
                      <w:marTop w:val="0"/>
                      <w:marBottom w:val="0"/>
                      <w:divBdr>
                        <w:top w:val="none" w:sz="0" w:space="0" w:color="auto"/>
                        <w:left w:val="none" w:sz="0" w:space="0" w:color="auto"/>
                        <w:bottom w:val="none" w:sz="0" w:space="0" w:color="auto"/>
                        <w:right w:val="none" w:sz="0" w:space="0" w:color="auto"/>
                      </w:divBdr>
                    </w:div>
                  </w:divsChild>
                </w:div>
                <w:div w:id="884027861">
                  <w:marLeft w:val="0"/>
                  <w:marRight w:val="0"/>
                  <w:marTop w:val="0"/>
                  <w:marBottom w:val="0"/>
                  <w:divBdr>
                    <w:top w:val="none" w:sz="0" w:space="0" w:color="auto"/>
                    <w:left w:val="none" w:sz="0" w:space="0" w:color="auto"/>
                    <w:bottom w:val="none" w:sz="0" w:space="0" w:color="auto"/>
                    <w:right w:val="none" w:sz="0" w:space="0" w:color="auto"/>
                  </w:divBdr>
                  <w:divsChild>
                    <w:div w:id="946548637">
                      <w:marLeft w:val="0"/>
                      <w:marRight w:val="0"/>
                      <w:marTop w:val="0"/>
                      <w:marBottom w:val="0"/>
                      <w:divBdr>
                        <w:top w:val="none" w:sz="0" w:space="0" w:color="auto"/>
                        <w:left w:val="none" w:sz="0" w:space="0" w:color="auto"/>
                        <w:bottom w:val="none" w:sz="0" w:space="0" w:color="auto"/>
                        <w:right w:val="none" w:sz="0" w:space="0" w:color="auto"/>
                      </w:divBdr>
                    </w:div>
                  </w:divsChild>
                </w:div>
                <w:div w:id="903295615">
                  <w:marLeft w:val="0"/>
                  <w:marRight w:val="0"/>
                  <w:marTop w:val="0"/>
                  <w:marBottom w:val="0"/>
                  <w:divBdr>
                    <w:top w:val="none" w:sz="0" w:space="0" w:color="auto"/>
                    <w:left w:val="none" w:sz="0" w:space="0" w:color="auto"/>
                    <w:bottom w:val="none" w:sz="0" w:space="0" w:color="auto"/>
                    <w:right w:val="none" w:sz="0" w:space="0" w:color="auto"/>
                  </w:divBdr>
                  <w:divsChild>
                    <w:div w:id="39206904">
                      <w:marLeft w:val="0"/>
                      <w:marRight w:val="0"/>
                      <w:marTop w:val="0"/>
                      <w:marBottom w:val="0"/>
                      <w:divBdr>
                        <w:top w:val="none" w:sz="0" w:space="0" w:color="auto"/>
                        <w:left w:val="none" w:sz="0" w:space="0" w:color="auto"/>
                        <w:bottom w:val="none" w:sz="0" w:space="0" w:color="auto"/>
                        <w:right w:val="none" w:sz="0" w:space="0" w:color="auto"/>
                      </w:divBdr>
                    </w:div>
                  </w:divsChild>
                </w:div>
                <w:div w:id="904218272">
                  <w:marLeft w:val="0"/>
                  <w:marRight w:val="0"/>
                  <w:marTop w:val="0"/>
                  <w:marBottom w:val="0"/>
                  <w:divBdr>
                    <w:top w:val="none" w:sz="0" w:space="0" w:color="auto"/>
                    <w:left w:val="none" w:sz="0" w:space="0" w:color="auto"/>
                    <w:bottom w:val="none" w:sz="0" w:space="0" w:color="auto"/>
                    <w:right w:val="none" w:sz="0" w:space="0" w:color="auto"/>
                  </w:divBdr>
                  <w:divsChild>
                    <w:div w:id="1966614665">
                      <w:marLeft w:val="0"/>
                      <w:marRight w:val="0"/>
                      <w:marTop w:val="0"/>
                      <w:marBottom w:val="0"/>
                      <w:divBdr>
                        <w:top w:val="none" w:sz="0" w:space="0" w:color="auto"/>
                        <w:left w:val="none" w:sz="0" w:space="0" w:color="auto"/>
                        <w:bottom w:val="none" w:sz="0" w:space="0" w:color="auto"/>
                        <w:right w:val="none" w:sz="0" w:space="0" w:color="auto"/>
                      </w:divBdr>
                    </w:div>
                  </w:divsChild>
                </w:div>
                <w:div w:id="915435230">
                  <w:marLeft w:val="0"/>
                  <w:marRight w:val="0"/>
                  <w:marTop w:val="0"/>
                  <w:marBottom w:val="0"/>
                  <w:divBdr>
                    <w:top w:val="none" w:sz="0" w:space="0" w:color="auto"/>
                    <w:left w:val="none" w:sz="0" w:space="0" w:color="auto"/>
                    <w:bottom w:val="none" w:sz="0" w:space="0" w:color="auto"/>
                    <w:right w:val="none" w:sz="0" w:space="0" w:color="auto"/>
                  </w:divBdr>
                  <w:divsChild>
                    <w:div w:id="831871394">
                      <w:marLeft w:val="0"/>
                      <w:marRight w:val="0"/>
                      <w:marTop w:val="0"/>
                      <w:marBottom w:val="0"/>
                      <w:divBdr>
                        <w:top w:val="none" w:sz="0" w:space="0" w:color="auto"/>
                        <w:left w:val="none" w:sz="0" w:space="0" w:color="auto"/>
                        <w:bottom w:val="none" w:sz="0" w:space="0" w:color="auto"/>
                        <w:right w:val="none" w:sz="0" w:space="0" w:color="auto"/>
                      </w:divBdr>
                    </w:div>
                  </w:divsChild>
                </w:div>
                <w:div w:id="915626796">
                  <w:marLeft w:val="0"/>
                  <w:marRight w:val="0"/>
                  <w:marTop w:val="0"/>
                  <w:marBottom w:val="0"/>
                  <w:divBdr>
                    <w:top w:val="none" w:sz="0" w:space="0" w:color="auto"/>
                    <w:left w:val="none" w:sz="0" w:space="0" w:color="auto"/>
                    <w:bottom w:val="none" w:sz="0" w:space="0" w:color="auto"/>
                    <w:right w:val="none" w:sz="0" w:space="0" w:color="auto"/>
                  </w:divBdr>
                  <w:divsChild>
                    <w:div w:id="1333138982">
                      <w:marLeft w:val="0"/>
                      <w:marRight w:val="0"/>
                      <w:marTop w:val="0"/>
                      <w:marBottom w:val="0"/>
                      <w:divBdr>
                        <w:top w:val="none" w:sz="0" w:space="0" w:color="auto"/>
                        <w:left w:val="none" w:sz="0" w:space="0" w:color="auto"/>
                        <w:bottom w:val="none" w:sz="0" w:space="0" w:color="auto"/>
                        <w:right w:val="none" w:sz="0" w:space="0" w:color="auto"/>
                      </w:divBdr>
                    </w:div>
                  </w:divsChild>
                </w:div>
                <w:div w:id="926572350">
                  <w:marLeft w:val="0"/>
                  <w:marRight w:val="0"/>
                  <w:marTop w:val="0"/>
                  <w:marBottom w:val="0"/>
                  <w:divBdr>
                    <w:top w:val="none" w:sz="0" w:space="0" w:color="auto"/>
                    <w:left w:val="none" w:sz="0" w:space="0" w:color="auto"/>
                    <w:bottom w:val="none" w:sz="0" w:space="0" w:color="auto"/>
                    <w:right w:val="none" w:sz="0" w:space="0" w:color="auto"/>
                  </w:divBdr>
                  <w:divsChild>
                    <w:div w:id="809981606">
                      <w:marLeft w:val="0"/>
                      <w:marRight w:val="0"/>
                      <w:marTop w:val="0"/>
                      <w:marBottom w:val="0"/>
                      <w:divBdr>
                        <w:top w:val="none" w:sz="0" w:space="0" w:color="auto"/>
                        <w:left w:val="none" w:sz="0" w:space="0" w:color="auto"/>
                        <w:bottom w:val="none" w:sz="0" w:space="0" w:color="auto"/>
                        <w:right w:val="none" w:sz="0" w:space="0" w:color="auto"/>
                      </w:divBdr>
                    </w:div>
                  </w:divsChild>
                </w:div>
                <w:div w:id="933172761">
                  <w:marLeft w:val="0"/>
                  <w:marRight w:val="0"/>
                  <w:marTop w:val="0"/>
                  <w:marBottom w:val="0"/>
                  <w:divBdr>
                    <w:top w:val="none" w:sz="0" w:space="0" w:color="auto"/>
                    <w:left w:val="none" w:sz="0" w:space="0" w:color="auto"/>
                    <w:bottom w:val="none" w:sz="0" w:space="0" w:color="auto"/>
                    <w:right w:val="none" w:sz="0" w:space="0" w:color="auto"/>
                  </w:divBdr>
                  <w:divsChild>
                    <w:div w:id="1409426980">
                      <w:marLeft w:val="0"/>
                      <w:marRight w:val="0"/>
                      <w:marTop w:val="0"/>
                      <w:marBottom w:val="0"/>
                      <w:divBdr>
                        <w:top w:val="none" w:sz="0" w:space="0" w:color="auto"/>
                        <w:left w:val="none" w:sz="0" w:space="0" w:color="auto"/>
                        <w:bottom w:val="none" w:sz="0" w:space="0" w:color="auto"/>
                        <w:right w:val="none" w:sz="0" w:space="0" w:color="auto"/>
                      </w:divBdr>
                    </w:div>
                  </w:divsChild>
                </w:div>
                <w:div w:id="939141501">
                  <w:marLeft w:val="0"/>
                  <w:marRight w:val="0"/>
                  <w:marTop w:val="0"/>
                  <w:marBottom w:val="0"/>
                  <w:divBdr>
                    <w:top w:val="none" w:sz="0" w:space="0" w:color="auto"/>
                    <w:left w:val="none" w:sz="0" w:space="0" w:color="auto"/>
                    <w:bottom w:val="none" w:sz="0" w:space="0" w:color="auto"/>
                    <w:right w:val="none" w:sz="0" w:space="0" w:color="auto"/>
                  </w:divBdr>
                  <w:divsChild>
                    <w:div w:id="2000500207">
                      <w:marLeft w:val="0"/>
                      <w:marRight w:val="0"/>
                      <w:marTop w:val="0"/>
                      <w:marBottom w:val="0"/>
                      <w:divBdr>
                        <w:top w:val="none" w:sz="0" w:space="0" w:color="auto"/>
                        <w:left w:val="none" w:sz="0" w:space="0" w:color="auto"/>
                        <w:bottom w:val="none" w:sz="0" w:space="0" w:color="auto"/>
                        <w:right w:val="none" w:sz="0" w:space="0" w:color="auto"/>
                      </w:divBdr>
                    </w:div>
                  </w:divsChild>
                </w:div>
                <w:div w:id="940063939">
                  <w:marLeft w:val="0"/>
                  <w:marRight w:val="0"/>
                  <w:marTop w:val="0"/>
                  <w:marBottom w:val="0"/>
                  <w:divBdr>
                    <w:top w:val="none" w:sz="0" w:space="0" w:color="auto"/>
                    <w:left w:val="none" w:sz="0" w:space="0" w:color="auto"/>
                    <w:bottom w:val="none" w:sz="0" w:space="0" w:color="auto"/>
                    <w:right w:val="none" w:sz="0" w:space="0" w:color="auto"/>
                  </w:divBdr>
                  <w:divsChild>
                    <w:div w:id="1508060254">
                      <w:marLeft w:val="0"/>
                      <w:marRight w:val="0"/>
                      <w:marTop w:val="0"/>
                      <w:marBottom w:val="0"/>
                      <w:divBdr>
                        <w:top w:val="none" w:sz="0" w:space="0" w:color="auto"/>
                        <w:left w:val="none" w:sz="0" w:space="0" w:color="auto"/>
                        <w:bottom w:val="none" w:sz="0" w:space="0" w:color="auto"/>
                        <w:right w:val="none" w:sz="0" w:space="0" w:color="auto"/>
                      </w:divBdr>
                    </w:div>
                  </w:divsChild>
                </w:div>
                <w:div w:id="946157764">
                  <w:marLeft w:val="0"/>
                  <w:marRight w:val="0"/>
                  <w:marTop w:val="0"/>
                  <w:marBottom w:val="0"/>
                  <w:divBdr>
                    <w:top w:val="none" w:sz="0" w:space="0" w:color="auto"/>
                    <w:left w:val="none" w:sz="0" w:space="0" w:color="auto"/>
                    <w:bottom w:val="none" w:sz="0" w:space="0" w:color="auto"/>
                    <w:right w:val="none" w:sz="0" w:space="0" w:color="auto"/>
                  </w:divBdr>
                  <w:divsChild>
                    <w:div w:id="1833329232">
                      <w:marLeft w:val="0"/>
                      <w:marRight w:val="0"/>
                      <w:marTop w:val="0"/>
                      <w:marBottom w:val="0"/>
                      <w:divBdr>
                        <w:top w:val="none" w:sz="0" w:space="0" w:color="auto"/>
                        <w:left w:val="none" w:sz="0" w:space="0" w:color="auto"/>
                        <w:bottom w:val="none" w:sz="0" w:space="0" w:color="auto"/>
                        <w:right w:val="none" w:sz="0" w:space="0" w:color="auto"/>
                      </w:divBdr>
                    </w:div>
                  </w:divsChild>
                </w:div>
                <w:div w:id="955676765">
                  <w:marLeft w:val="0"/>
                  <w:marRight w:val="0"/>
                  <w:marTop w:val="0"/>
                  <w:marBottom w:val="0"/>
                  <w:divBdr>
                    <w:top w:val="none" w:sz="0" w:space="0" w:color="auto"/>
                    <w:left w:val="none" w:sz="0" w:space="0" w:color="auto"/>
                    <w:bottom w:val="none" w:sz="0" w:space="0" w:color="auto"/>
                    <w:right w:val="none" w:sz="0" w:space="0" w:color="auto"/>
                  </w:divBdr>
                  <w:divsChild>
                    <w:div w:id="589778280">
                      <w:marLeft w:val="0"/>
                      <w:marRight w:val="0"/>
                      <w:marTop w:val="0"/>
                      <w:marBottom w:val="0"/>
                      <w:divBdr>
                        <w:top w:val="none" w:sz="0" w:space="0" w:color="auto"/>
                        <w:left w:val="none" w:sz="0" w:space="0" w:color="auto"/>
                        <w:bottom w:val="none" w:sz="0" w:space="0" w:color="auto"/>
                        <w:right w:val="none" w:sz="0" w:space="0" w:color="auto"/>
                      </w:divBdr>
                    </w:div>
                  </w:divsChild>
                </w:div>
                <w:div w:id="975990601">
                  <w:marLeft w:val="0"/>
                  <w:marRight w:val="0"/>
                  <w:marTop w:val="0"/>
                  <w:marBottom w:val="0"/>
                  <w:divBdr>
                    <w:top w:val="none" w:sz="0" w:space="0" w:color="auto"/>
                    <w:left w:val="none" w:sz="0" w:space="0" w:color="auto"/>
                    <w:bottom w:val="none" w:sz="0" w:space="0" w:color="auto"/>
                    <w:right w:val="none" w:sz="0" w:space="0" w:color="auto"/>
                  </w:divBdr>
                  <w:divsChild>
                    <w:div w:id="2086220702">
                      <w:marLeft w:val="0"/>
                      <w:marRight w:val="0"/>
                      <w:marTop w:val="0"/>
                      <w:marBottom w:val="0"/>
                      <w:divBdr>
                        <w:top w:val="none" w:sz="0" w:space="0" w:color="auto"/>
                        <w:left w:val="none" w:sz="0" w:space="0" w:color="auto"/>
                        <w:bottom w:val="none" w:sz="0" w:space="0" w:color="auto"/>
                        <w:right w:val="none" w:sz="0" w:space="0" w:color="auto"/>
                      </w:divBdr>
                    </w:div>
                  </w:divsChild>
                </w:div>
                <w:div w:id="981538524">
                  <w:marLeft w:val="0"/>
                  <w:marRight w:val="0"/>
                  <w:marTop w:val="0"/>
                  <w:marBottom w:val="0"/>
                  <w:divBdr>
                    <w:top w:val="none" w:sz="0" w:space="0" w:color="auto"/>
                    <w:left w:val="none" w:sz="0" w:space="0" w:color="auto"/>
                    <w:bottom w:val="none" w:sz="0" w:space="0" w:color="auto"/>
                    <w:right w:val="none" w:sz="0" w:space="0" w:color="auto"/>
                  </w:divBdr>
                  <w:divsChild>
                    <w:div w:id="991787745">
                      <w:marLeft w:val="0"/>
                      <w:marRight w:val="0"/>
                      <w:marTop w:val="0"/>
                      <w:marBottom w:val="0"/>
                      <w:divBdr>
                        <w:top w:val="none" w:sz="0" w:space="0" w:color="auto"/>
                        <w:left w:val="none" w:sz="0" w:space="0" w:color="auto"/>
                        <w:bottom w:val="none" w:sz="0" w:space="0" w:color="auto"/>
                        <w:right w:val="none" w:sz="0" w:space="0" w:color="auto"/>
                      </w:divBdr>
                    </w:div>
                  </w:divsChild>
                </w:div>
                <w:div w:id="982464384">
                  <w:marLeft w:val="0"/>
                  <w:marRight w:val="0"/>
                  <w:marTop w:val="0"/>
                  <w:marBottom w:val="0"/>
                  <w:divBdr>
                    <w:top w:val="none" w:sz="0" w:space="0" w:color="auto"/>
                    <w:left w:val="none" w:sz="0" w:space="0" w:color="auto"/>
                    <w:bottom w:val="none" w:sz="0" w:space="0" w:color="auto"/>
                    <w:right w:val="none" w:sz="0" w:space="0" w:color="auto"/>
                  </w:divBdr>
                  <w:divsChild>
                    <w:div w:id="1259366669">
                      <w:marLeft w:val="0"/>
                      <w:marRight w:val="0"/>
                      <w:marTop w:val="0"/>
                      <w:marBottom w:val="0"/>
                      <w:divBdr>
                        <w:top w:val="none" w:sz="0" w:space="0" w:color="auto"/>
                        <w:left w:val="none" w:sz="0" w:space="0" w:color="auto"/>
                        <w:bottom w:val="none" w:sz="0" w:space="0" w:color="auto"/>
                        <w:right w:val="none" w:sz="0" w:space="0" w:color="auto"/>
                      </w:divBdr>
                    </w:div>
                  </w:divsChild>
                </w:div>
                <w:div w:id="984315945">
                  <w:marLeft w:val="0"/>
                  <w:marRight w:val="0"/>
                  <w:marTop w:val="0"/>
                  <w:marBottom w:val="0"/>
                  <w:divBdr>
                    <w:top w:val="none" w:sz="0" w:space="0" w:color="auto"/>
                    <w:left w:val="none" w:sz="0" w:space="0" w:color="auto"/>
                    <w:bottom w:val="none" w:sz="0" w:space="0" w:color="auto"/>
                    <w:right w:val="none" w:sz="0" w:space="0" w:color="auto"/>
                  </w:divBdr>
                  <w:divsChild>
                    <w:div w:id="1910113615">
                      <w:marLeft w:val="0"/>
                      <w:marRight w:val="0"/>
                      <w:marTop w:val="0"/>
                      <w:marBottom w:val="0"/>
                      <w:divBdr>
                        <w:top w:val="none" w:sz="0" w:space="0" w:color="auto"/>
                        <w:left w:val="none" w:sz="0" w:space="0" w:color="auto"/>
                        <w:bottom w:val="none" w:sz="0" w:space="0" w:color="auto"/>
                        <w:right w:val="none" w:sz="0" w:space="0" w:color="auto"/>
                      </w:divBdr>
                    </w:div>
                  </w:divsChild>
                </w:div>
                <w:div w:id="1000354454">
                  <w:marLeft w:val="0"/>
                  <w:marRight w:val="0"/>
                  <w:marTop w:val="0"/>
                  <w:marBottom w:val="0"/>
                  <w:divBdr>
                    <w:top w:val="none" w:sz="0" w:space="0" w:color="auto"/>
                    <w:left w:val="none" w:sz="0" w:space="0" w:color="auto"/>
                    <w:bottom w:val="none" w:sz="0" w:space="0" w:color="auto"/>
                    <w:right w:val="none" w:sz="0" w:space="0" w:color="auto"/>
                  </w:divBdr>
                  <w:divsChild>
                    <w:div w:id="2001421148">
                      <w:marLeft w:val="0"/>
                      <w:marRight w:val="0"/>
                      <w:marTop w:val="0"/>
                      <w:marBottom w:val="0"/>
                      <w:divBdr>
                        <w:top w:val="none" w:sz="0" w:space="0" w:color="auto"/>
                        <w:left w:val="none" w:sz="0" w:space="0" w:color="auto"/>
                        <w:bottom w:val="none" w:sz="0" w:space="0" w:color="auto"/>
                        <w:right w:val="none" w:sz="0" w:space="0" w:color="auto"/>
                      </w:divBdr>
                    </w:div>
                  </w:divsChild>
                </w:div>
                <w:div w:id="1014652975">
                  <w:marLeft w:val="0"/>
                  <w:marRight w:val="0"/>
                  <w:marTop w:val="0"/>
                  <w:marBottom w:val="0"/>
                  <w:divBdr>
                    <w:top w:val="none" w:sz="0" w:space="0" w:color="auto"/>
                    <w:left w:val="none" w:sz="0" w:space="0" w:color="auto"/>
                    <w:bottom w:val="none" w:sz="0" w:space="0" w:color="auto"/>
                    <w:right w:val="none" w:sz="0" w:space="0" w:color="auto"/>
                  </w:divBdr>
                  <w:divsChild>
                    <w:div w:id="1470826908">
                      <w:marLeft w:val="0"/>
                      <w:marRight w:val="0"/>
                      <w:marTop w:val="0"/>
                      <w:marBottom w:val="0"/>
                      <w:divBdr>
                        <w:top w:val="none" w:sz="0" w:space="0" w:color="auto"/>
                        <w:left w:val="none" w:sz="0" w:space="0" w:color="auto"/>
                        <w:bottom w:val="none" w:sz="0" w:space="0" w:color="auto"/>
                        <w:right w:val="none" w:sz="0" w:space="0" w:color="auto"/>
                      </w:divBdr>
                    </w:div>
                  </w:divsChild>
                </w:div>
                <w:div w:id="1024984136">
                  <w:marLeft w:val="0"/>
                  <w:marRight w:val="0"/>
                  <w:marTop w:val="0"/>
                  <w:marBottom w:val="0"/>
                  <w:divBdr>
                    <w:top w:val="none" w:sz="0" w:space="0" w:color="auto"/>
                    <w:left w:val="none" w:sz="0" w:space="0" w:color="auto"/>
                    <w:bottom w:val="none" w:sz="0" w:space="0" w:color="auto"/>
                    <w:right w:val="none" w:sz="0" w:space="0" w:color="auto"/>
                  </w:divBdr>
                  <w:divsChild>
                    <w:div w:id="2061055361">
                      <w:marLeft w:val="0"/>
                      <w:marRight w:val="0"/>
                      <w:marTop w:val="0"/>
                      <w:marBottom w:val="0"/>
                      <w:divBdr>
                        <w:top w:val="none" w:sz="0" w:space="0" w:color="auto"/>
                        <w:left w:val="none" w:sz="0" w:space="0" w:color="auto"/>
                        <w:bottom w:val="none" w:sz="0" w:space="0" w:color="auto"/>
                        <w:right w:val="none" w:sz="0" w:space="0" w:color="auto"/>
                      </w:divBdr>
                    </w:div>
                  </w:divsChild>
                </w:div>
                <w:div w:id="1026323922">
                  <w:marLeft w:val="0"/>
                  <w:marRight w:val="0"/>
                  <w:marTop w:val="0"/>
                  <w:marBottom w:val="0"/>
                  <w:divBdr>
                    <w:top w:val="none" w:sz="0" w:space="0" w:color="auto"/>
                    <w:left w:val="none" w:sz="0" w:space="0" w:color="auto"/>
                    <w:bottom w:val="none" w:sz="0" w:space="0" w:color="auto"/>
                    <w:right w:val="none" w:sz="0" w:space="0" w:color="auto"/>
                  </w:divBdr>
                  <w:divsChild>
                    <w:div w:id="1200899532">
                      <w:marLeft w:val="0"/>
                      <w:marRight w:val="0"/>
                      <w:marTop w:val="0"/>
                      <w:marBottom w:val="0"/>
                      <w:divBdr>
                        <w:top w:val="none" w:sz="0" w:space="0" w:color="auto"/>
                        <w:left w:val="none" w:sz="0" w:space="0" w:color="auto"/>
                        <w:bottom w:val="none" w:sz="0" w:space="0" w:color="auto"/>
                        <w:right w:val="none" w:sz="0" w:space="0" w:color="auto"/>
                      </w:divBdr>
                    </w:div>
                  </w:divsChild>
                </w:div>
                <w:div w:id="1043865203">
                  <w:marLeft w:val="0"/>
                  <w:marRight w:val="0"/>
                  <w:marTop w:val="0"/>
                  <w:marBottom w:val="0"/>
                  <w:divBdr>
                    <w:top w:val="none" w:sz="0" w:space="0" w:color="auto"/>
                    <w:left w:val="none" w:sz="0" w:space="0" w:color="auto"/>
                    <w:bottom w:val="none" w:sz="0" w:space="0" w:color="auto"/>
                    <w:right w:val="none" w:sz="0" w:space="0" w:color="auto"/>
                  </w:divBdr>
                  <w:divsChild>
                    <w:div w:id="1926841857">
                      <w:marLeft w:val="0"/>
                      <w:marRight w:val="0"/>
                      <w:marTop w:val="0"/>
                      <w:marBottom w:val="0"/>
                      <w:divBdr>
                        <w:top w:val="none" w:sz="0" w:space="0" w:color="auto"/>
                        <w:left w:val="none" w:sz="0" w:space="0" w:color="auto"/>
                        <w:bottom w:val="none" w:sz="0" w:space="0" w:color="auto"/>
                        <w:right w:val="none" w:sz="0" w:space="0" w:color="auto"/>
                      </w:divBdr>
                    </w:div>
                  </w:divsChild>
                </w:div>
                <w:div w:id="1100568068">
                  <w:marLeft w:val="0"/>
                  <w:marRight w:val="0"/>
                  <w:marTop w:val="0"/>
                  <w:marBottom w:val="0"/>
                  <w:divBdr>
                    <w:top w:val="none" w:sz="0" w:space="0" w:color="auto"/>
                    <w:left w:val="none" w:sz="0" w:space="0" w:color="auto"/>
                    <w:bottom w:val="none" w:sz="0" w:space="0" w:color="auto"/>
                    <w:right w:val="none" w:sz="0" w:space="0" w:color="auto"/>
                  </w:divBdr>
                  <w:divsChild>
                    <w:div w:id="1396322546">
                      <w:marLeft w:val="0"/>
                      <w:marRight w:val="0"/>
                      <w:marTop w:val="0"/>
                      <w:marBottom w:val="0"/>
                      <w:divBdr>
                        <w:top w:val="none" w:sz="0" w:space="0" w:color="auto"/>
                        <w:left w:val="none" w:sz="0" w:space="0" w:color="auto"/>
                        <w:bottom w:val="none" w:sz="0" w:space="0" w:color="auto"/>
                        <w:right w:val="none" w:sz="0" w:space="0" w:color="auto"/>
                      </w:divBdr>
                    </w:div>
                  </w:divsChild>
                </w:div>
                <w:div w:id="1113550997">
                  <w:marLeft w:val="0"/>
                  <w:marRight w:val="0"/>
                  <w:marTop w:val="0"/>
                  <w:marBottom w:val="0"/>
                  <w:divBdr>
                    <w:top w:val="none" w:sz="0" w:space="0" w:color="auto"/>
                    <w:left w:val="none" w:sz="0" w:space="0" w:color="auto"/>
                    <w:bottom w:val="none" w:sz="0" w:space="0" w:color="auto"/>
                    <w:right w:val="none" w:sz="0" w:space="0" w:color="auto"/>
                  </w:divBdr>
                  <w:divsChild>
                    <w:div w:id="1279288615">
                      <w:marLeft w:val="0"/>
                      <w:marRight w:val="0"/>
                      <w:marTop w:val="0"/>
                      <w:marBottom w:val="0"/>
                      <w:divBdr>
                        <w:top w:val="none" w:sz="0" w:space="0" w:color="auto"/>
                        <w:left w:val="none" w:sz="0" w:space="0" w:color="auto"/>
                        <w:bottom w:val="none" w:sz="0" w:space="0" w:color="auto"/>
                        <w:right w:val="none" w:sz="0" w:space="0" w:color="auto"/>
                      </w:divBdr>
                    </w:div>
                  </w:divsChild>
                </w:div>
                <w:div w:id="1130057187">
                  <w:marLeft w:val="0"/>
                  <w:marRight w:val="0"/>
                  <w:marTop w:val="0"/>
                  <w:marBottom w:val="0"/>
                  <w:divBdr>
                    <w:top w:val="none" w:sz="0" w:space="0" w:color="auto"/>
                    <w:left w:val="none" w:sz="0" w:space="0" w:color="auto"/>
                    <w:bottom w:val="none" w:sz="0" w:space="0" w:color="auto"/>
                    <w:right w:val="none" w:sz="0" w:space="0" w:color="auto"/>
                  </w:divBdr>
                  <w:divsChild>
                    <w:div w:id="1908300104">
                      <w:marLeft w:val="0"/>
                      <w:marRight w:val="0"/>
                      <w:marTop w:val="0"/>
                      <w:marBottom w:val="0"/>
                      <w:divBdr>
                        <w:top w:val="none" w:sz="0" w:space="0" w:color="auto"/>
                        <w:left w:val="none" w:sz="0" w:space="0" w:color="auto"/>
                        <w:bottom w:val="none" w:sz="0" w:space="0" w:color="auto"/>
                        <w:right w:val="none" w:sz="0" w:space="0" w:color="auto"/>
                      </w:divBdr>
                    </w:div>
                  </w:divsChild>
                </w:div>
                <w:div w:id="1136685455">
                  <w:marLeft w:val="0"/>
                  <w:marRight w:val="0"/>
                  <w:marTop w:val="0"/>
                  <w:marBottom w:val="0"/>
                  <w:divBdr>
                    <w:top w:val="none" w:sz="0" w:space="0" w:color="auto"/>
                    <w:left w:val="none" w:sz="0" w:space="0" w:color="auto"/>
                    <w:bottom w:val="none" w:sz="0" w:space="0" w:color="auto"/>
                    <w:right w:val="none" w:sz="0" w:space="0" w:color="auto"/>
                  </w:divBdr>
                  <w:divsChild>
                    <w:div w:id="1359620844">
                      <w:marLeft w:val="0"/>
                      <w:marRight w:val="0"/>
                      <w:marTop w:val="0"/>
                      <w:marBottom w:val="0"/>
                      <w:divBdr>
                        <w:top w:val="none" w:sz="0" w:space="0" w:color="auto"/>
                        <w:left w:val="none" w:sz="0" w:space="0" w:color="auto"/>
                        <w:bottom w:val="none" w:sz="0" w:space="0" w:color="auto"/>
                        <w:right w:val="none" w:sz="0" w:space="0" w:color="auto"/>
                      </w:divBdr>
                    </w:div>
                  </w:divsChild>
                </w:div>
                <w:div w:id="1155562341">
                  <w:marLeft w:val="0"/>
                  <w:marRight w:val="0"/>
                  <w:marTop w:val="0"/>
                  <w:marBottom w:val="0"/>
                  <w:divBdr>
                    <w:top w:val="none" w:sz="0" w:space="0" w:color="auto"/>
                    <w:left w:val="none" w:sz="0" w:space="0" w:color="auto"/>
                    <w:bottom w:val="none" w:sz="0" w:space="0" w:color="auto"/>
                    <w:right w:val="none" w:sz="0" w:space="0" w:color="auto"/>
                  </w:divBdr>
                  <w:divsChild>
                    <w:div w:id="2090151144">
                      <w:marLeft w:val="0"/>
                      <w:marRight w:val="0"/>
                      <w:marTop w:val="0"/>
                      <w:marBottom w:val="0"/>
                      <w:divBdr>
                        <w:top w:val="none" w:sz="0" w:space="0" w:color="auto"/>
                        <w:left w:val="none" w:sz="0" w:space="0" w:color="auto"/>
                        <w:bottom w:val="none" w:sz="0" w:space="0" w:color="auto"/>
                        <w:right w:val="none" w:sz="0" w:space="0" w:color="auto"/>
                      </w:divBdr>
                    </w:div>
                  </w:divsChild>
                </w:div>
                <w:div w:id="1156843403">
                  <w:marLeft w:val="0"/>
                  <w:marRight w:val="0"/>
                  <w:marTop w:val="0"/>
                  <w:marBottom w:val="0"/>
                  <w:divBdr>
                    <w:top w:val="none" w:sz="0" w:space="0" w:color="auto"/>
                    <w:left w:val="none" w:sz="0" w:space="0" w:color="auto"/>
                    <w:bottom w:val="none" w:sz="0" w:space="0" w:color="auto"/>
                    <w:right w:val="none" w:sz="0" w:space="0" w:color="auto"/>
                  </w:divBdr>
                  <w:divsChild>
                    <w:div w:id="174534674">
                      <w:marLeft w:val="0"/>
                      <w:marRight w:val="0"/>
                      <w:marTop w:val="0"/>
                      <w:marBottom w:val="0"/>
                      <w:divBdr>
                        <w:top w:val="none" w:sz="0" w:space="0" w:color="auto"/>
                        <w:left w:val="none" w:sz="0" w:space="0" w:color="auto"/>
                        <w:bottom w:val="none" w:sz="0" w:space="0" w:color="auto"/>
                        <w:right w:val="none" w:sz="0" w:space="0" w:color="auto"/>
                      </w:divBdr>
                    </w:div>
                  </w:divsChild>
                </w:div>
                <w:div w:id="1195536040">
                  <w:marLeft w:val="0"/>
                  <w:marRight w:val="0"/>
                  <w:marTop w:val="0"/>
                  <w:marBottom w:val="0"/>
                  <w:divBdr>
                    <w:top w:val="none" w:sz="0" w:space="0" w:color="auto"/>
                    <w:left w:val="none" w:sz="0" w:space="0" w:color="auto"/>
                    <w:bottom w:val="none" w:sz="0" w:space="0" w:color="auto"/>
                    <w:right w:val="none" w:sz="0" w:space="0" w:color="auto"/>
                  </w:divBdr>
                  <w:divsChild>
                    <w:div w:id="2093042952">
                      <w:marLeft w:val="0"/>
                      <w:marRight w:val="0"/>
                      <w:marTop w:val="0"/>
                      <w:marBottom w:val="0"/>
                      <w:divBdr>
                        <w:top w:val="none" w:sz="0" w:space="0" w:color="auto"/>
                        <w:left w:val="none" w:sz="0" w:space="0" w:color="auto"/>
                        <w:bottom w:val="none" w:sz="0" w:space="0" w:color="auto"/>
                        <w:right w:val="none" w:sz="0" w:space="0" w:color="auto"/>
                      </w:divBdr>
                    </w:div>
                  </w:divsChild>
                </w:div>
                <w:div w:id="1200246274">
                  <w:marLeft w:val="0"/>
                  <w:marRight w:val="0"/>
                  <w:marTop w:val="0"/>
                  <w:marBottom w:val="0"/>
                  <w:divBdr>
                    <w:top w:val="none" w:sz="0" w:space="0" w:color="auto"/>
                    <w:left w:val="none" w:sz="0" w:space="0" w:color="auto"/>
                    <w:bottom w:val="none" w:sz="0" w:space="0" w:color="auto"/>
                    <w:right w:val="none" w:sz="0" w:space="0" w:color="auto"/>
                  </w:divBdr>
                  <w:divsChild>
                    <w:div w:id="151262912">
                      <w:marLeft w:val="0"/>
                      <w:marRight w:val="0"/>
                      <w:marTop w:val="0"/>
                      <w:marBottom w:val="0"/>
                      <w:divBdr>
                        <w:top w:val="none" w:sz="0" w:space="0" w:color="auto"/>
                        <w:left w:val="none" w:sz="0" w:space="0" w:color="auto"/>
                        <w:bottom w:val="none" w:sz="0" w:space="0" w:color="auto"/>
                        <w:right w:val="none" w:sz="0" w:space="0" w:color="auto"/>
                      </w:divBdr>
                    </w:div>
                  </w:divsChild>
                </w:div>
                <w:div w:id="1203785798">
                  <w:marLeft w:val="0"/>
                  <w:marRight w:val="0"/>
                  <w:marTop w:val="0"/>
                  <w:marBottom w:val="0"/>
                  <w:divBdr>
                    <w:top w:val="none" w:sz="0" w:space="0" w:color="auto"/>
                    <w:left w:val="none" w:sz="0" w:space="0" w:color="auto"/>
                    <w:bottom w:val="none" w:sz="0" w:space="0" w:color="auto"/>
                    <w:right w:val="none" w:sz="0" w:space="0" w:color="auto"/>
                  </w:divBdr>
                  <w:divsChild>
                    <w:div w:id="1107165342">
                      <w:marLeft w:val="0"/>
                      <w:marRight w:val="0"/>
                      <w:marTop w:val="0"/>
                      <w:marBottom w:val="0"/>
                      <w:divBdr>
                        <w:top w:val="none" w:sz="0" w:space="0" w:color="auto"/>
                        <w:left w:val="none" w:sz="0" w:space="0" w:color="auto"/>
                        <w:bottom w:val="none" w:sz="0" w:space="0" w:color="auto"/>
                        <w:right w:val="none" w:sz="0" w:space="0" w:color="auto"/>
                      </w:divBdr>
                    </w:div>
                  </w:divsChild>
                </w:div>
                <w:div w:id="1203904023">
                  <w:marLeft w:val="0"/>
                  <w:marRight w:val="0"/>
                  <w:marTop w:val="0"/>
                  <w:marBottom w:val="0"/>
                  <w:divBdr>
                    <w:top w:val="none" w:sz="0" w:space="0" w:color="auto"/>
                    <w:left w:val="none" w:sz="0" w:space="0" w:color="auto"/>
                    <w:bottom w:val="none" w:sz="0" w:space="0" w:color="auto"/>
                    <w:right w:val="none" w:sz="0" w:space="0" w:color="auto"/>
                  </w:divBdr>
                  <w:divsChild>
                    <w:div w:id="990401123">
                      <w:marLeft w:val="0"/>
                      <w:marRight w:val="0"/>
                      <w:marTop w:val="0"/>
                      <w:marBottom w:val="0"/>
                      <w:divBdr>
                        <w:top w:val="none" w:sz="0" w:space="0" w:color="auto"/>
                        <w:left w:val="none" w:sz="0" w:space="0" w:color="auto"/>
                        <w:bottom w:val="none" w:sz="0" w:space="0" w:color="auto"/>
                        <w:right w:val="none" w:sz="0" w:space="0" w:color="auto"/>
                      </w:divBdr>
                    </w:div>
                  </w:divsChild>
                </w:div>
                <w:div w:id="1209416362">
                  <w:marLeft w:val="0"/>
                  <w:marRight w:val="0"/>
                  <w:marTop w:val="0"/>
                  <w:marBottom w:val="0"/>
                  <w:divBdr>
                    <w:top w:val="none" w:sz="0" w:space="0" w:color="auto"/>
                    <w:left w:val="none" w:sz="0" w:space="0" w:color="auto"/>
                    <w:bottom w:val="none" w:sz="0" w:space="0" w:color="auto"/>
                    <w:right w:val="none" w:sz="0" w:space="0" w:color="auto"/>
                  </w:divBdr>
                  <w:divsChild>
                    <w:div w:id="113181097">
                      <w:marLeft w:val="0"/>
                      <w:marRight w:val="0"/>
                      <w:marTop w:val="0"/>
                      <w:marBottom w:val="0"/>
                      <w:divBdr>
                        <w:top w:val="none" w:sz="0" w:space="0" w:color="auto"/>
                        <w:left w:val="none" w:sz="0" w:space="0" w:color="auto"/>
                        <w:bottom w:val="none" w:sz="0" w:space="0" w:color="auto"/>
                        <w:right w:val="none" w:sz="0" w:space="0" w:color="auto"/>
                      </w:divBdr>
                    </w:div>
                  </w:divsChild>
                </w:div>
                <w:div w:id="1251426315">
                  <w:marLeft w:val="0"/>
                  <w:marRight w:val="0"/>
                  <w:marTop w:val="0"/>
                  <w:marBottom w:val="0"/>
                  <w:divBdr>
                    <w:top w:val="none" w:sz="0" w:space="0" w:color="auto"/>
                    <w:left w:val="none" w:sz="0" w:space="0" w:color="auto"/>
                    <w:bottom w:val="none" w:sz="0" w:space="0" w:color="auto"/>
                    <w:right w:val="none" w:sz="0" w:space="0" w:color="auto"/>
                  </w:divBdr>
                  <w:divsChild>
                    <w:div w:id="595945187">
                      <w:marLeft w:val="0"/>
                      <w:marRight w:val="0"/>
                      <w:marTop w:val="0"/>
                      <w:marBottom w:val="0"/>
                      <w:divBdr>
                        <w:top w:val="none" w:sz="0" w:space="0" w:color="auto"/>
                        <w:left w:val="none" w:sz="0" w:space="0" w:color="auto"/>
                        <w:bottom w:val="none" w:sz="0" w:space="0" w:color="auto"/>
                        <w:right w:val="none" w:sz="0" w:space="0" w:color="auto"/>
                      </w:divBdr>
                    </w:div>
                  </w:divsChild>
                </w:div>
                <w:div w:id="1260486502">
                  <w:marLeft w:val="0"/>
                  <w:marRight w:val="0"/>
                  <w:marTop w:val="0"/>
                  <w:marBottom w:val="0"/>
                  <w:divBdr>
                    <w:top w:val="none" w:sz="0" w:space="0" w:color="auto"/>
                    <w:left w:val="none" w:sz="0" w:space="0" w:color="auto"/>
                    <w:bottom w:val="none" w:sz="0" w:space="0" w:color="auto"/>
                    <w:right w:val="none" w:sz="0" w:space="0" w:color="auto"/>
                  </w:divBdr>
                  <w:divsChild>
                    <w:div w:id="1651981051">
                      <w:marLeft w:val="0"/>
                      <w:marRight w:val="0"/>
                      <w:marTop w:val="0"/>
                      <w:marBottom w:val="0"/>
                      <w:divBdr>
                        <w:top w:val="none" w:sz="0" w:space="0" w:color="auto"/>
                        <w:left w:val="none" w:sz="0" w:space="0" w:color="auto"/>
                        <w:bottom w:val="none" w:sz="0" w:space="0" w:color="auto"/>
                        <w:right w:val="none" w:sz="0" w:space="0" w:color="auto"/>
                      </w:divBdr>
                    </w:div>
                  </w:divsChild>
                </w:div>
                <w:div w:id="1279138586">
                  <w:marLeft w:val="0"/>
                  <w:marRight w:val="0"/>
                  <w:marTop w:val="0"/>
                  <w:marBottom w:val="0"/>
                  <w:divBdr>
                    <w:top w:val="none" w:sz="0" w:space="0" w:color="auto"/>
                    <w:left w:val="none" w:sz="0" w:space="0" w:color="auto"/>
                    <w:bottom w:val="none" w:sz="0" w:space="0" w:color="auto"/>
                    <w:right w:val="none" w:sz="0" w:space="0" w:color="auto"/>
                  </w:divBdr>
                  <w:divsChild>
                    <w:div w:id="356271751">
                      <w:marLeft w:val="0"/>
                      <w:marRight w:val="0"/>
                      <w:marTop w:val="0"/>
                      <w:marBottom w:val="0"/>
                      <w:divBdr>
                        <w:top w:val="none" w:sz="0" w:space="0" w:color="auto"/>
                        <w:left w:val="none" w:sz="0" w:space="0" w:color="auto"/>
                        <w:bottom w:val="none" w:sz="0" w:space="0" w:color="auto"/>
                        <w:right w:val="none" w:sz="0" w:space="0" w:color="auto"/>
                      </w:divBdr>
                    </w:div>
                  </w:divsChild>
                </w:div>
                <w:div w:id="1283879627">
                  <w:marLeft w:val="0"/>
                  <w:marRight w:val="0"/>
                  <w:marTop w:val="0"/>
                  <w:marBottom w:val="0"/>
                  <w:divBdr>
                    <w:top w:val="none" w:sz="0" w:space="0" w:color="auto"/>
                    <w:left w:val="none" w:sz="0" w:space="0" w:color="auto"/>
                    <w:bottom w:val="none" w:sz="0" w:space="0" w:color="auto"/>
                    <w:right w:val="none" w:sz="0" w:space="0" w:color="auto"/>
                  </w:divBdr>
                  <w:divsChild>
                    <w:div w:id="36584511">
                      <w:marLeft w:val="0"/>
                      <w:marRight w:val="0"/>
                      <w:marTop w:val="0"/>
                      <w:marBottom w:val="0"/>
                      <w:divBdr>
                        <w:top w:val="none" w:sz="0" w:space="0" w:color="auto"/>
                        <w:left w:val="none" w:sz="0" w:space="0" w:color="auto"/>
                        <w:bottom w:val="none" w:sz="0" w:space="0" w:color="auto"/>
                        <w:right w:val="none" w:sz="0" w:space="0" w:color="auto"/>
                      </w:divBdr>
                    </w:div>
                  </w:divsChild>
                </w:div>
                <w:div w:id="1291084667">
                  <w:marLeft w:val="0"/>
                  <w:marRight w:val="0"/>
                  <w:marTop w:val="0"/>
                  <w:marBottom w:val="0"/>
                  <w:divBdr>
                    <w:top w:val="none" w:sz="0" w:space="0" w:color="auto"/>
                    <w:left w:val="none" w:sz="0" w:space="0" w:color="auto"/>
                    <w:bottom w:val="none" w:sz="0" w:space="0" w:color="auto"/>
                    <w:right w:val="none" w:sz="0" w:space="0" w:color="auto"/>
                  </w:divBdr>
                  <w:divsChild>
                    <w:div w:id="1330407446">
                      <w:marLeft w:val="0"/>
                      <w:marRight w:val="0"/>
                      <w:marTop w:val="0"/>
                      <w:marBottom w:val="0"/>
                      <w:divBdr>
                        <w:top w:val="none" w:sz="0" w:space="0" w:color="auto"/>
                        <w:left w:val="none" w:sz="0" w:space="0" w:color="auto"/>
                        <w:bottom w:val="none" w:sz="0" w:space="0" w:color="auto"/>
                        <w:right w:val="none" w:sz="0" w:space="0" w:color="auto"/>
                      </w:divBdr>
                    </w:div>
                  </w:divsChild>
                </w:div>
                <w:div w:id="1322806069">
                  <w:marLeft w:val="0"/>
                  <w:marRight w:val="0"/>
                  <w:marTop w:val="0"/>
                  <w:marBottom w:val="0"/>
                  <w:divBdr>
                    <w:top w:val="none" w:sz="0" w:space="0" w:color="auto"/>
                    <w:left w:val="none" w:sz="0" w:space="0" w:color="auto"/>
                    <w:bottom w:val="none" w:sz="0" w:space="0" w:color="auto"/>
                    <w:right w:val="none" w:sz="0" w:space="0" w:color="auto"/>
                  </w:divBdr>
                  <w:divsChild>
                    <w:div w:id="1303391974">
                      <w:marLeft w:val="0"/>
                      <w:marRight w:val="0"/>
                      <w:marTop w:val="0"/>
                      <w:marBottom w:val="0"/>
                      <w:divBdr>
                        <w:top w:val="none" w:sz="0" w:space="0" w:color="auto"/>
                        <w:left w:val="none" w:sz="0" w:space="0" w:color="auto"/>
                        <w:bottom w:val="none" w:sz="0" w:space="0" w:color="auto"/>
                        <w:right w:val="none" w:sz="0" w:space="0" w:color="auto"/>
                      </w:divBdr>
                    </w:div>
                  </w:divsChild>
                </w:div>
                <w:div w:id="1346711244">
                  <w:marLeft w:val="0"/>
                  <w:marRight w:val="0"/>
                  <w:marTop w:val="0"/>
                  <w:marBottom w:val="0"/>
                  <w:divBdr>
                    <w:top w:val="none" w:sz="0" w:space="0" w:color="auto"/>
                    <w:left w:val="none" w:sz="0" w:space="0" w:color="auto"/>
                    <w:bottom w:val="none" w:sz="0" w:space="0" w:color="auto"/>
                    <w:right w:val="none" w:sz="0" w:space="0" w:color="auto"/>
                  </w:divBdr>
                  <w:divsChild>
                    <w:div w:id="931086229">
                      <w:marLeft w:val="0"/>
                      <w:marRight w:val="0"/>
                      <w:marTop w:val="0"/>
                      <w:marBottom w:val="0"/>
                      <w:divBdr>
                        <w:top w:val="none" w:sz="0" w:space="0" w:color="auto"/>
                        <w:left w:val="none" w:sz="0" w:space="0" w:color="auto"/>
                        <w:bottom w:val="none" w:sz="0" w:space="0" w:color="auto"/>
                        <w:right w:val="none" w:sz="0" w:space="0" w:color="auto"/>
                      </w:divBdr>
                    </w:div>
                  </w:divsChild>
                </w:div>
                <w:div w:id="1374385531">
                  <w:marLeft w:val="0"/>
                  <w:marRight w:val="0"/>
                  <w:marTop w:val="0"/>
                  <w:marBottom w:val="0"/>
                  <w:divBdr>
                    <w:top w:val="none" w:sz="0" w:space="0" w:color="auto"/>
                    <w:left w:val="none" w:sz="0" w:space="0" w:color="auto"/>
                    <w:bottom w:val="none" w:sz="0" w:space="0" w:color="auto"/>
                    <w:right w:val="none" w:sz="0" w:space="0" w:color="auto"/>
                  </w:divBdr>
                  <w:divsChild>
                    <w:div w:id="1328091800">
                      <w:marLeft w:val="0"/>
                      <w:marRight w:val="0"/>
                      <w:marTop w:val="0"/>
                      <w:marBottom w:val="0"/>
                      <w:divBdr>
                        <w:top w:val="none" w:sz="0" w:space="0" w:color="auto"/>
                        <w:left w:val="none" w:sz="0" w:space="0" w:color="auto"/>
                        <w:bottom w:val="none" w:sz="0" w:space="0" w:color="auto"/>
                        <w:right w:val="none" w:sz="0" w:space="0" w:color="auto"/>
                      </w:divBdr>
                    </w:div>
                  </w:divsChild>
                </w:div>
                <w:div w:id="1380400955">
                  <w:marLeft w:val="0"/>
                  <w:marRight w:val="0"/>
                  <w:marTop w:val="0"/>
                  <w:marBottom w:val="0"/>
                  <w:divBdr>
                    <w:top w:val="none" w:sz="0" w:space="0" w:color="auto"/>
                    <w:left w:val="none" w:sz="0" w:space="0" w:color="auto"/>
                    <w:bottom w:val="none" w:sz="0" w:space="0" w:color="auto"/>
                    <w:right w:val="none" w:sz="0" w:space="0" w:color="auto"/>
                  </w:divBdr>
                  <w:divsChild>
                    <w:div w:id="1536045852">
                      <w:marLeft w:val="0"/>
                      <w:marRight w:val="0"/>
                      <w:marTop w:val="0"/>
                      <w:marBottom w:val="0"/>
                      <w:divBdr>
                        <w:top w:val="none" w:sz="0" w:space="0" w:color="auto"/>
                        <w:left w:val="none" w:sz="0" w:space="0" w:color="auto"/>
                        <w:bottom w:val="none" w:sz="0" w:space="0" w:color="auto"/>
                        <w:right w:val="none" w:sz="0" w:space="0" w:color="auto"/>
                      </w:divBdr>
                    </w:div>
                  </w:divsChild>
                </w:div>
                <w:div w:id="1382485164">
                  <w:marLeft w:val="0"/>
                  <w:marRight w:val="0"/>
                  <w:marTop w:val="0"/>
                  <w:marBottom w:val="0"/>
                  <w:divBdr>
                    <w:top w:val="none" w:sz="0" w:space="0" w:color="auto"/>
                    <w:left w:val="none" w:sz="0" w:space="0" w:color="auto"/>
                    <w:bottom w:val="none" w:sz="0" w:space="0" w:color="auto"/>
                    <w:right w:val="none" w:sz="0" w:space="0" w:color="auto"/>
                  </w:divBdr>
                  <w:divsChild>
                    <w:div w:id="1040974023">
                      <w:marLeft w:val="0"/>
                      <w:marRight w:val="0"/>
                      <w:marTop w:val="0"/>
                      <w:marBottom w:val="0"/>
                      <w:divBdr>
                        <w:top w:val="none" w:sz="0" w:space="0" w:color="auto"/>
                        <w:left w:val="none" w:sz="0" w:space="0" w:color="auto"/>
                        <w:bottom w:val="none" w:sz="0" w:space="0" w:color="auto"/>
                        <w:right w:val="none" w:sz="0" w:space="0" w:color="auto"/>
                      </w:divBdr>
                    </w:div>
                  </w:divsChild>
                </w:div>
                <w:div w:id="1392777786">
                  <w:marLeft w:val="0"/>
                  <w:marRight w:val="0"/>
                  <w:marTop w:val="0"/>
                  <w:marBottom w:val="0"/>
                  <w:divBdr>
                    <w:top w:val="none" w:sz="0" w:space="0" w:color="auto"/>
                    <w:left w:val="none" w:sz="0" w:space="0" w:color="auto"/>
                    <w:bottom w:val="none" w:sz="0" w:space="0" w:color="auto"/>
                    <w:right w:val="none" w:sz="0" w:space="0" w:color="auto"/>
                  </w:divBdr>
                  <w:divsChild>
                    <w:div w:id="1574049359">
                      <w:marLeft w:val="0"/>
                      <w:marRight w:val="0"/>
                      <w:marTop w:val="0"/>
                      <w:marBottom w:val="0"/>
                      <w:divBdr>
                        <w:top w:val="none" w:sz="0" w:space="0" w:color="auto"/>
                        <w:left w:val="none" w:sz="0" w:space="0" w:color="auto"/>
                        <w:bottom w:val="none" w:sz="0" w:space="0" w:color="auto"/>
                        <w:right w:val="none" w:sz="0" w:space="0" w:color="auto"/>
                      </w:divBdr>
                    </w:div>
                  </w:divsChild>
                </w:div>
                <w:div w:id="1407536515">
                  <w:marLeft w:val="0"/>
                  <w:marRight w:val="0"/>
                  <w:marTop w:val="0"/>
                  <w:marBottom w:val="0"/>
                  <w:divBdr>
                    <w:top w:val="none" w:sz="0" w:space="0" w:color="auto"/>
                    <w:left w:val="none" w:sz="0" w:space="0" w:color="auto"/>
                    <w:bottom w:val="none" w:sz="0" w:space="0" w:color="auto"/>
                    <w:right w:val="none" w:sz="0" w:space="0" w:color="auto"/>
                  </w:divBdr>
                  <w:divsChild>
                    <w:div w:id="781997051">
                      <w:marLeft w:val="0"/>
                      <w:marRight w:val="0"/>
                      <w:marTop w:val="0"/>
                      <w:marBottom w:val="0"/>
                      <w:divBdr>
                        <w:top w:val="none" w:sz="0" w:space="0" w:color="auto"/>
                        <w:left w:val="none" w:sz="0" w:space="0" w:color="auto"/>
                        <w:bottom w:val="none" w:sz="0" w:space="0" w:color="auto"/>
                        <w:right w:val="none" w:sz="0" w:space="0" w:color="auto"/>
                      </w:divBdr>
                    </w:div>
                  </w:divsChild>
                </w:div>
                <w:div w:id="1426148093">
                  <w:marLeft w:val="0"/>
                  <w:marRight w:val="0"/>
                  <w:marTop w:val="0"/>
                  <w:marBottom w:val="0"/>
                  <w:divBdr>
                    <w:top w:val="none" w:sz="0" w:space="0" w:color="auto"/>
                    <w:left w:val="none" w:sz="0" w:space="0" w:color="auto"/>
                    <w:bottom w:val="none" w:sz="0" w:space="0" w:color="auto"/>
                    <w:right w:val="none" w:sz="0" w:space="0" w:color="auto"/>
                  </w:divBdr>
                  <w:divsChild>
                    <w:div w:id="470025705">
                      <w:marLeft w:val="0"/>
                      <w:marRight w:val="0"/>
                      <w:marTop w:val="0"/>
                      <w:marBottom w:val="0"/>
                      <w:divBdr>
                        <w:top w:val="none" w:sz="0" w:space="0" w:color="auto"/>
                        <w:left w:val="none" w:sz="0" w:space="0" w:color="auto"/>
                        <w:bottom w:val="none" w:sz="0" w:space="0" w:color="auto"/>
                        <w:right w:val="none" w:sz="0" w:space="0" w:color="auto"/>
                      </w:divBdr>
                    </w:div>
                  </w:divsChild>
                </w:div>
                <w:div w:id="1429471867">
                  <w:marLeft w:val="0"/>
                  <w:marRight w:val="0"/>
                  <w:marTop w:val="0"/>
                  <w:marBottom w:val="0"/>
                  <w:divBdr>
                    <w:top w:val="none" w:sz="0" w:space="0" w:color="auto"/>
                    <w:left w:val="none" w:sz="0" w:space="0" w:color="auto"/>
                    <w:bottom w:val="none" w:sz="0" w:space="0" w:color="auto"/>
                    <w:right w:val="none" w:sz="0" w:space="0" w:color="auto"/>
                  </w:divBdr>
                  <w:divsChild>
                    <w:div w:id="340547339">
                      <w:marLeft w:val="0"/>
                      <w:marRight w:val="0"/>
                      <w:marTop w:val="0"/>
                      <w:marBottom w:val="0"/>
                      <w:divBdr>
                        <w:top w:val="none" w:sz="0" w:space="0" w:color="auto"/>
                        <w:left w:val="none" w:sz="0" w:space="0" w:color="auto"/>
                        <w:bottom w:val="none" w:sz="0" w:space="0" w:color="auto"/>
                        <w:right w:val="none" w:sz="0" w:space="0" w:color="auto"/>
                      </w:divBdr>
                    </w:div>
                  </w:divsChild>
                </w:div>
                <w:div w:id="1435200602">
                  <w:marLeft w:val="0"/>
                  <w:marRight w:val="0"/>
                  <w:marTop w:val="0"/>
                  <w:marBottom w:val="0"/>
                  <w:divBdr>
                    <w:top w:val="none" w:sz="0" w:space="0" w:color="auto"/>
                    <w:left w:val="none" w:sz="0" w:space="0" w:color="auto"/>
                    <w:bottom w:val="none" w:sz="0" w:space="0" w:color="auto"/>
                    <w:right w:val="none" w:sz="0" w:space="0" w:color="auto"/>
                  </w:divBdr>
                  <w:divsChild>
                    <w:div w:id="1027947613">
                      <w:marLeft w:val="0"/>
                      <w:marRight w:val="0"/>
                      <w:marTop w:val="0"/>
                      <w:marBottom w:val="0"/>
                      <w:divBdr>
                        <w:top w:val="none" w:sz="0" w:space="0" w:color="auto"/>
                        <w:left w:val="none" w:sz="0" w:space="0" w:color="auto"/>
                        <w:bottom w:val="none" w:sz="0" w:space="0" w:color="auto"/>
                        <w:right w:val="none" w:sz="0" w:space="0" w:color="auto"/>
                      </w:divBdr>
                    </w:div>
                  </w:divsChild>
                </w:div>
                <w:div w:id="1440175659">
                  <w:marLeft w:val="0"/>
                  <w:marRight w:val="0"/>
                  <w:marTop w:val="0"/>
                  <w:marBottom w:val="0"/>
                  <w:divBdr>
                    <w:top w:val="none" w:sz="0" w:space="0" w:color="auto"/>
                    <w:left w:val="none" w:sz="0" w:space="0" w:color="auto"/>
                    <w:bottom w:val="none" w:sz="0" w:space="0" w:color="auto"/>
                    <w:right w:val="none" w:sz="0" w:space="0" w:color="auto"/>
                  </w:divBdr>
                  <w:divsChild>
                    <w:div w:id="1422989703">
                      <w:marLeft w:val="0"/>
                      <w:marRight w:val="0"/>
                      <w:marTop w:val="0"/>
                      <w:marBottom w:val="0"/>
                      <w:divBdr>
                        <w:top w:val="none" w:sz="0" w:space="0" w:color="auto"/>
                        <w:left w:val="none" w:sz="0" w:space="0" w:color="auto"/>
                        <w:bottom w:val="none" w:sz="0" w:space="0" w:color="auto"/>
                        <w:right w:val="none" w:sz="0" w:space="0" w:color="auto"/>
                      </w:divBdr>
                    </w:div>
                  </w:divsChild>
                </w:div>
                <w:div w:id="1443568647">
                  <w:marLeft w:val="0"/>
                  <w:marRight w:val="0"/>
                  <w:marTop w:val="0"/>
                  <w:marBottom w:val="0"/>
                  <w:divBdr>
                    <w:top w:val="none" w:sz="0" w:space="0" w:color="auto"/>
                    <w:left w:val="none" w:sz="0" w:space="0" w:color="auto"/>
                    <w:bottom w:val="none" w:sz="0" w:space="0" w:color="auto"/>
                    <w:right w:val="none" w:sz="0" w:space="0" w:color="auto"/>
                  </w:divBdr>
                  <w:divsChild>
                    <w:div w:id="607472727">
                      <w:marLeft w:val="0"/>
                      <w:marRight w:val="0"/>
                      <w:marTop w:val="0"/>
                      <w:marBottom w:val="0"/>
                      <w:divBdr>
                        <w:top w:val="none" w:sz="0" w:space="0" w:color="auto"/>
                        <w:left w:val="none" w:sz="0" w:space="0" w:color="auto"/>
                        <w:bottom w:val="none" w:sz="0" w:space="0" w:color="auto"/>
                        <w:right w:val="none" w:sz="0" w:space="0" w:color="auto"/>
                      </w:divBdr>
                    </w:div>
                  </w:divsChild>
                </w:div>
                <w:div w:id="1446122422">
                  <w:marLeft w:val="0"/>
                  <w:marRight w:val="0"/>
                  <w:marTop w:val="0"/>
                  <w:marBottom w:val="0"/>
                  <w:divBdr>
                    <w:top w:val="none" w:sz="0" w:space="0" w:color="auto"/>
                    <w:left w:val="none" w:sz="0" w:space="0" w:color="auto"/>
                    <w:bottom w:val="none" w:sz="0" w:space="0" w:color="auto"/>
                    <w:right w:val="none" w:sz="0" w:space="0" w:color="auto"/>
                  </w:divBdr>
                  <w:divsChild>
                    <w:div w:id="1592469359">
                      <w:marLeft w:val="0"/>
                      <w:marRight w:val="0"/>
                      <w:marTop w:val="0"/>
                      <w:marBottom w:val="0"/>
                      <w:divBdr>
                        <w:top w:val="none" w:sz="0" w:space="0" w:color="auto"/>
                        <w:left w:val="none" w:sz="0" w:space="0" w:color="auto"/>
                        <w:bottom w:val="none" w:sz="0" w:space="0" w:color="auto"/>
                        <w:right w:val="none" w:sz="0" w:space="0" w:color="auto"/>
                      </w:divBdr>
                    </w:div>
                  </w:divsChild>
                </w:div>
                <w:div w:id="1447235617">
                  <w:marLeft w:val="0"/>
                  <w:marRight w:val="0"/>
                  <w:marTop w:val="0"/>
                  <w:marBottom w:val="0"/>
                  <w:divBdr>
                    <w:top w:val="none" w:sz="0" w:space="0" w:color="auto"/>
                    <w:left w:val="none" w:sz="0" w:space="0" w:color="auto"/>
                    <w:bottom w:val="none" w:sz="0" w:space="0" w:color="auto"/>
                    <w:right w:val="none" w:sz="0" w:space="0" w:color="auto"/>
                  </w:divBdr>
                  <w:divsChild>
                    <w:div w:id="187331985">
                      <w:marLeft w:val="0"/>
                      <w:marRight w:val="0"/>
                      <w:marTop w:val="0"/>
                      <w:marBottom w:val="0"/>
                      <w:divBdr>
                        <w:top w:val="none" w:sz="0" w:space="0" w:color="auto"/>
                        <w:left w:val="none" w:sz="0" w:space="0" w:color="auto"/>
                        <w:bottom w:val="none" w:sz="0" w:space="0" w:color="auto"/>
                        <w:right w:val="none" w:sz="0" w:space="0" w:color="auto"/>
                      </w:divBdr>
                    </w:div>
                  </w:divsChild>
                </w:div>
                <w:div w:id="1447919470">
                  <w:marLeft w:val="0"/>
                  <w:marRight w:val="0"/>
                  <w:marTop w:val="0"/>
                  <w:marBottom w:val="0"/>
                  <w:divBdr>
                    <w:top w:val="none" w:sz="0" w:space="0" w:color="auto"/>
                    <w:left w:val="none" w:sz="0" w:space="0" w:color="auto"/>
                    <w:bottom w:val="none" w:sz="0" w:space="0" w:color="auto"/>
                    <w:right w:val="none" w:sz="0" w:space="0" w:color="auto"/>
                  </w:divBdr>
                  <w:divsChild>
                    <w:div w:id="1623268399">
                      <w:marLeft w:val="0"/>
                      <w:marRight w:val="0"/>
                      <w:marTop w:val="0"/>
                      <w:marBottom w:val="0"/>
                      <w:divBdr>
                        <w:top w:val="none" w:sz="0" w:space="0" w:color="auto"/>
                        <w:left w:val="none" w:sz="0" w:space="0" w:color="auto"/>
                        <w:bottom w:val="none" w:sz="0" w:space="0" w:color="auto"/>
                        <w:right w:val="none" w:sz="0" w:space="0" w:color="auto"/>
                      </w:divBdr>
                    </w:div>
                  </w:divsChild>
                </w:div>
                <w:div w:id="1454516769">
                  <w:marLeft w:val="0"/>
                  <w:marRight w:val="0"/>
                  <w:marTop w:val="0"/>
                  <w:marBottom w:val="0"/>
                  <w:divBdr>
                    <w:top w:val="none" w:sz="0" w:space="0" w:color="auto"/>
                    <w:left w:val="none" w:sz="0" w:space="0" w:color="auto"/>
                    <w:bottom w:val="none" w:sz="0" w:space="0" w:color="auto"/>
                    <w:right w:val="none" w:sz="0" w:space="0" w:color="auto"/>
                  </w:divBdr>
                  <w:divsChild>
                    <w:div w:id="1163281678">
                      <w:marLeft w:val="0"/>
                      <w:marRight w:val="0"/>
                      <w:marTop w:val="0"/>
                      <w:marBottom w:val="0"/>
                      <w:divBdr>
                        <w:top w:val="none" w:sz="0" w:space="0" w:color="auto"/>
                        <w:left w:val="none" w:sz="0" w:space="0" w:color="auto"/>
                        <w:bottom w:val="none" w:sz="0" w:space="0" w:color="auto"/>
                        <w:right w:val="none" w:sz="0" w:space="0" w:color="auto"/>
                      </w:divBdr>
                    </w:div>
                  </w:divsChild>
                </w:div>
                <w:div w:id="1457868629">
                  <w:marLeft w:val="0"/>
                  <w:marRight w:val="0"/>
                  <w:marTop w:val="0"/>
                  <w:marBottom w:val="0"/>
                  <w:divBdr>
                    <w:top w:val="none" w:sz="0" w:space="0" w:color="auto"/>
                    <w:left w:val="none" w:sz="0" w:space="0" w:color="auto"/>
                    <w:bottom w:val="none" w:sz="0" w:space="0" w:color="auto"/>
                    <w:right w:val="none" w:sz="0" w:space="0" w:color="auto"/>
                  </w:divBdr>
                  <w:divsChild>
                    <w:div w:id="426508524">
                      <w:marLeft w:val="0"/>
                      <w:marRight w:val="0"/>
                      <w:marTop w:val="0"/>
                      <w:marBottom w:val="0"/>
                      <w:divBdr>
                        <w:top w:val="none" w:sz="0" w:space="0" w:color="auto"/>
                        <w:left w:val="none" w:sz="0" w:space="0" w:color="auto"/>
                        <w:bottom w:val="none" w:sz="0" w:space="0" w:color="auto"/>
                        <w:right w:val="none" w:sz="0" w:space="0" w:color="auto"/>
                      </w:divBdr>
                    </w:div>
                  </w:divsChild>
                </w:div>
                <w:div w:id="1479884741">
                  <w:marLeft w:val="0"/>
                  <w:marRight w:val="0"/>
                  <w:marTop w:val="0"/>
                  <w:marBottom w:val="0"/>
                  <w:divBdr>
                    <w:top w:val="none" w:sz="0" w:space="0" w:color="auto"/>
                    <w:left w:val="none" w:sz="0" w:space="0" w:color="auto"/>
                    <w:bottom w:val="none" w:sz="0" w:space="0" w:color="auto"/>
                    <w:right w:val="none" w:sz="0" w:space="0" w:color="auto"/>
                  </w:divBdr>
                  <w:divsChild>
                    <w:div w:id="1941178958">
                      <w:marLeft w:val="0"/>
                      <w:marRight w:val="0"/>
                      <w:marTop w:val="0"/>
                      <w:marBottom w:val="0"/>
                      <w:divBdr>
                        <w:top w:val="none" w:sz="0" w:space="0" w:color="auto"/>
                        <w:left w:val="none" w:sz="0" w:space="0" w:color="auto"/>
                        <w:bottom w:val="none" w:sz="0" w:space="0" w:color="auto"/>
                        <w:right w:val="none" w:sz="0" w:space="0" w:color="auto"/>
                      </w:divBdr>
                    </w:div>
                  </w:divsChild>
                </w:div>
                <w:div w:id="1484395894">
                  <w:marLeft w:val="0"/>
                  <w:marRight w:val="0"/>
                  <w:marTop w:val="0"/>
                  <w:marBottom w:val="0"/>
                  <w:divBdr>
                    <w:top w:val="none" w:sz="0" w:space="0" w:color="auto"/>
                    <w:left w:val="none" w:sz="0" w:space="0" w:color="auto"/>
                    <w:bottom w:val="none" w:sz="0" w:space="0" w:color="auto"/>
                    <w:right w:val="none" w:sz="0" w:space="0" w:color="auto"/>
                  </w:divBdr>
                  <w:divsChild>
                    <w:div w:id="1358432125">
                      <w:marLeft w:val="0"/>
                      <w:marRight w:val="0"/>
                      <w:marTop w:val="0"/>
                      <w:marBottom w:val="0"/>
                      <w:divBdr>
                        <w:top w:val="none" w:sz="0" w:space="0" w:color="auto"/>
                        <w:left w:val="none" w:sz="0" w:space="0" w:color="auto"/>
                        <w:bottom w:val="none" w:sz="0" w:space="0" w:color="auto"/>
                        <w:right w:val="none" w:sz="0" w:space="0" w:color="auto"/>
                      </w:divBdr>
                    </w:div>
                  </w:divsChild>
                </w:div>
                <w:div w:id="1491093854">
                  <w:marLeft w:val="0"/>
                  <w:marRight w:val="0"/>
                  <w:marTop w:val="0"/>
                  <w:marBottom w:val="0"/>
                  <w:divBdr>
                    <w:top w:val="none" w:sz="0" w:space="0" w:color="auto"/>
                    <w:left w:val="none" w:sz="0" w:space="0" w:color="auto"/>
                    <w:bottom w:val="none" w:sz="0" w:space="0" w:color="auto"/>
                    <w:right w:val="none" w:sz="0" w:space="0" w:color="auto"/>
                  </w:divBdr>
                  <w:divsChild>
                    <w:div w:id="1777678025">
                      <w:marLeft w:val="0"/>
                      <w:marRight w:val="0"/>
                      <w:marTop w:val="0"/>
                      <w:marBottom w:val="0"/>
                      <w:divBdr>
                        <w:top w:val="none" w:sz="0" w:space="0" w:color="auto"/>
                        <w:left w:val="none" w:sz="0" w:space="0" w:color="auto"/>
                        <w:bottom w:val="none" w:sz="0" w:space="0" w:color="auto"/>
                        <w:right w:val="none" w:sz="0" w:space="0" w:color="auto"/>
                      </w:divBdr>
                    </w:div>
                  </w:divsChild>
                </w:div>
                <w:div w:id="1491673702">
                  <w:marLeft w:val="0"/>
                  <w:marRight w:val="0"/>
                  <w:marTop w:val="0"/>
                  <w:marBottom w:val="0"/>
                  <w:divBdr>
                    <w:top w:val="none" w:sz="0" w:space="0" w:color="auto"/>
                    <w:left w:val="none" w:sz="0" w:space="0" w:color="auto"/>
                    <w:bottom w:val="none" w:sz="0" w:space="0" w:color="auto"/>
                    <w:right w:val="none" w:sz="0" w:space="0" w:color="auto"/>
                  </w:divBdr>
                  <w:divsChild>
                    <w:div w:id="1610311946">
                      <w:marLeft w:val="0"/>
                      <w:marRight w:val="0"/>
                      <w:marTop w:val="0"/>
                      <w:marBottom w:val="0"/>
                      <w:divBdr>
                        <w:top w:val="none" w:sz="0" w:space="0" w:color="auto"/>
                        <w:left w:val="none" w:sz="0" w:space="0" w:color="auto"/>
                        <w:bottom w:val="none" w:sz="0" w:space="0" w:color="auto"/>
                        <w:right w:val="none" w:sz="0" w:space="0" w:color="auto"/>
                      </w:divBdr>
                    </w:div>
                  </w:divsChild>
                </w:div>
                <w:div w:id="1501237404">
                  <w:marLeft w:val="0"/>
                  <w:marRight w:val="0"/>
                  <w:marTop w:val="0"/>
                  <w:marBottom w:val="0"/>
                  <w:divBdr>
                    <w:top w:val="none" w:sz="0" w:space="0" w:color="auto"/>
                    <w:left w:val="none" w:sz="0" w:space="0" w:color="auto"/>
                    <w:bottom w:val="none" w:sz="0" w:space="0" w:color="auto"/>
                    <w:right w:val="none" w:sz="0" w:space="0" w:color="auto"/>
                  </w:divBdr>
                  <w:divsChild>
                    <w:div w:id="738671532">
                      <w:marLeft w:val="0"/>
                      <w:marRight w:val="0"/>
                      <w:marTop w:val="0"/>
                      <w:marBottom w:val="0"/>
                      <w:divBdr>
                        <w:top w:val="none" w:sz="0" w:space="0" w:color="auto"/>
                        <w:left w:val="none" w:sz="0" w:space="0" w:color="auto"/>
                        <w:bottom w:val="none" w:sz="0" w:space="0" w:color="auto"/>
                        <w:right w:val="none" w:sz="0" w:space="0" w:color="auto"/>
                      </w:divBdr>
                    </w:div>
                  </w:divsChild>
                </w:div>
                <w:div w:id="1508246912">
                  <w:marLeft w:val="0"/>
                  <w:marRight w:val="0"/>
                  <w:marTop w:val="0"/>
                  <w:marBottom w:val="0"/>
                  <w:divBdr>
                    <w:top w:val="none" w:sz="0" w:space="0" w:color="auto"/>
                    <w:left w:val="none" w:sz="0" w:space="0" w:color="auto"/>
                    <w:bottom w:val="none" w:sz="0" w:space="0" w:color="auto"/>
                    <w:right w:val="none" w:sz="0" w:space="0" w:color="auto"/>
                  </w:divBdr>
                  <w:divsChild>
                    <w:div w:id="529149060">
                      <w:marLeft w:val="0"/>
                      <w:marRight w:val="0"/>
                      <w:marTop w:val="0"/>
                      <w:marBottom w:val="0"/>
                      <w:divBdr>
                        <w:top w:val="none" w:sz="0" w:space="0" w:color="auto"/>
                        <w:left w:val="none" w:sz="0" w:space="0" w:color="auto"/>
                        <w:bottom w:val="none" w:sz="0" w:space="0" w:color="auto"/>
                        <w:right w:val="none" w:sz="0" w:space="0" w:color="auto"/>
                      </w:divBdr>
                    </w:div>
                  </w:divsChild>
                </w:div>
                <w:div w:id="1529295704">
                  <w:marLeft w:val="0"/>
                  <w:marRight w:val="0"/>
                  <w:marTop w:val="0"/>
                  <w:marBottom w:val="0"/>
                  <w:divBdr>
                    <w:top w:val="none" w:sz="0" w:space="0" w:color="auto"/>
                    <w:left w:val="none" w:sz="0" w:space="0" w:color="auto"/>
                    <w:bottom w:val="none" w:sz="0" w:space="0" w:color="auto"/>
                    <w:right w:val="none" w:sz="0" w:space="0" w:color="auto"/>
                  </w:divBdr>
                  <w:divsChild>
                    <w:div w:id="1233738547">
                      <w:marLeft w:val="0"/>
                      <w:marRight w:val="0"/>
                      <w:marTop w:val="0"/>
                      <w:marBottom w:val="0"/>
                      <w:divBdr>
                        <w:top w:val="none" w:sz="0" w:space="0" w:color="auto"/>
                        <w:left w:val="none" w:sz="0" w:space="0" w:color="auto"/>
                        <w:bottom w:val="none" w:sz="0" w:space="0" w:color="auto"/>
                        <w:right w:val="none" w:sz="0" w:space="0" w:color="auto"/>
                      </w:divBdr>
                    </w:div>
                  </w:divsChild>
                </w:div>
                <w:div w:id="1529686406">
                  <w:marLeft w:val="0"/>
                  <w:marRight w:val="0"/>
                  <w:marTop w:val="0"/>
                  <w:marBottom w:val="0"/>
                  <w:divBdr>
                    <w:top w:val="none" w:sz="0" w:space="0" w:color="auto"/>
                    <w:left w:val="none" w:sz="0" w:space="0" w:color="auto"/>
                    <w:bottom w:val="none" w:sz="0" w:space="0" w:color="auto"/>
                    <w:right w:val="none" w:sz="0" w:space="0" w:color="auto"/>
                  </w:divBdr>
                  <w:divsChild>
                    <w:div w:id="1116942879">
                      <w:marLeft w:val="0"/>
                      <w:marRight w:val="0"/>
                      <w:marTop w:val="0"/>
                      <w:marBottom w:val="0"/>
                      <w:divBdr>
                        <w:top w:val="none" w:sz="0" w:space="0" w:color="auto"/>
                        <w:left w:val="none" w:sz="0" w:space="0" w:color="auto"/>
                        <w:bottom w:val="none" w:sz="0" w:space="0" w:color="auto"/>
                        <w:right w:val="none" w:sz="0" w:space="0" w:color="auto"/>
                      </w:divBdr>
                    </w:div>
                  </w:divsChild>
                </w:div>
                <w:div w:id="1541700819">
                  <w:marLeft w:val="0"/>
                  <w:marRight w:val="0"/>
                  <w:marTop w:val="0"/>
                  <w:marBottom w:val="0"/>
                  <w:divBdr>
                    <w:top w:val="none" w:sz="0" w:space="0" w:color="auto"/>
                    <w:left w:val="none" w:sz="0" w:space="0" w:color="auto"/>
                    <w:bottom w:val="none" w:sz="0" w:space="0" w:color="auto"/>
                    <w:right w:val="none" w:sz="0" w:space="0" w:color="auto"/>
                  </w:divBdr>
                  <w:divsChild>
                    <w:div w:id="1057820809">
                      <w:marLeft w:val="0"/>
                      <w:marRight w:val="0"/>
                      <w:marTop w:val="0"/>
                      <w:marBottom w:val="0"/>
                      <w:divBdr>
                        <w:top w:val="none" w:sz="0" w:space="0" w:color="auto"/>
                        <w:left w:val="none" w:sz="0" w:space="0" w:color="auto"/>
                        <w:bottom w:val="none" w:sz="0" w:space="0" w:color="auto"/>
                        <w:right w:val="none" w:sz="0" w:space="0" w:color="auto"/>
                      </w:divBdr>
                    </w:div>
                  </w:divsChild>
                </w:div>
                <w:div w:id="1542127836">
                  <w:marLeft w:val="0"/>
                  <w:marRight w:val="0"/>
                  <w:marTop w:val="0"/>
                  <w:marBottom w:val="0"/>
                  <w:divBdr>
                    <w:top w:val="none" w:sz="0" w:space="0" w:color="auto"/>
                    <w:left w:val="none" w:sz="0" w:space="0" w:color="auto"/>
                    <w:bottom w:val="none" w:sz="0" w:space="0" w:color="auto"/>
                    <w:right w:val="none" w:sz="0" w:space="0" w:color="auto"/>
                  </w:divBdr>
                  <w:divsChild>
                    <w:div w:id="1407144001">
                      <w:marLeft w:val="0"/>
                      <w:marRight w:val="0"/>
                      <w:marTop w:val="0"/>
                      <w:marBottom w:val="0"/>
                      <w:divBdr>
                        <w:top w:val="none" w:sz="0" w:space="0" w:color="auto"/>
                        <w:left w:val="none" w:sz="0" w:space="0" w:color="auto"/>
                        <w:bottom w:val="none" w:sz="0" w:space="0" w:color="auto"/>
                        <w:right w:val="none" w:sz="0" w:space="0" w:color="auto"/>
                      </w:divBdr>
                    </w:div>
                  </w:divsChild>
                </w:div>
                <w:div w:id="1544169781">
                  <w:marLeft w:val="0"/>
                  <w:marRight w:val="0"/>
                  <w:marTop w:val="0"/>
                  <w:marBottom w:val="0"/>
                  <w:divBdr>
                    <w:top w:val="none" w:sz="0" w:space="0" w:color="auto"/>
                    <w:left w:val="none" w:sz="0" w:space="0" w:color="auto"/>
                    <w:bottom w:val="none" w:sz="0" w:space="0" w:color="auto"/>
                    <w:right w:val="none" w:sz="0" w:space="0" w:color="auto"/>
                  </w:divBdr>
                  <w:divsChild>
                    <w:div w:id="495463459">
                      <w:marLeft w:val="0"/>
                      <w:marRight w:val="0"/>
                      <w:marTop w:val="0"/>
                      <w:marBottom w:val="0"/>
                      <w:divBdr>
                        <w:top w:val="none" w:sz="0" w:space="0" w:color="auto"/>
                        <w:left w:val="none" w:sz="0" w:space="0" w:color="auto"/>
                        <w:bottom w:val="none" w:sz="0" w:space="0" w:color="auto"/>
                        <w:right w:val="none" w:sz="0" w:space="0" w:color="auto"/>
                      </w:divBdr>
                    </w:div>
                  </w:divsChild>
                </w:div>
                <w:div w:id="1554386574">
                  <w:marLeft w:val="0"/>
                  <w:marRight w:val="0"/>
                  <w:marTop w:val="0"/>
                  <w:marBottom w:val="0"/>
                  <w:divBdr>
                    <w:top w:val="none" w:sz="0" w:space="0" w:color="auto"/>
                    <w:left w:val="none" w:sz="0" w:space="0" w:color="auto"/>
                    <w:bottom w:val="none" w:sz="0" w:space="0" w:color="auto"/>
                    <w:right w:val="none" w:sz="0" w:space="0" w:color="auto"/>
                  </w:divBdr>
                  <w:divsChild>
                    <w:div w:id="1157192319">
                      <w:marLeft w:val="0"/>
                      <w:marRight w:val="0"/>
                      <w:marTop w:val="0"/>
                      <w:marBottom w:val="0"/>
                      <w:divBdr>
                        <w:top w:val="none" w:sz="0" w:space="0" w:color="auto"/>
                        <w:left w:val="none" w:sz="0" w:space="0" w:color="auto"/>
                        <w:bottom w:val="none" w:sz="0" w:space="0" w:color="auto"/>
                        <w:right w:val="none" w:sz="0" w:space="0" w:color="auto"/>
                      </w:divBdr>
                    </w:div>
                  </w:divsChild>
                </w:div>
                <w:div w:id="1554540218">
                  <w:marLeft w:val="0"/>
                  <w:marRight w:val="0"/>
                  <w:marTop w:val="0"/>
                  <w:marBottom w:val="0"/>
                  <w:divBdr>
                    <w:top w:val="none" w:sz="0" w:space="0" w:color="auto"/>
                    <w:left w:val="none" w:sz="0" w:space="0" w:color="auto"/>
                    <w:bottom w:val="none" w:sz="0" w:space="0" w:color="auto"/>
                    <w:right w:val="none" w:sz="0" w:space="0" w:color="auto"/>
                  </w:divBdr>
                  <w:divsChild>
                    <w:div w:id="1815675519">
                      <w:marLeft w:val="0"/>
                      <w:marRight w:val="0"/>
                      <w:marTop w:val="0"/>
                      <w:marBottom w:val="0"/>
                      <w:divBdr>
                        <w:top w:val="none" w:sz="0" w:space="0" w:color="auto"/>
                        <w:left w:val="none" w:sz="0" w:space="0" w:color="auto"/>
                        <w:bottom w:val="none" w:sz="0" w:space="0" w:color="auto"/>
                        <w:right w:val="none" w:sz="0" w:space="0" w:color="auto"/>
                      </w:divBdr>
                    </w:div>
                  </w:divsChild>
                </w:div>
                <w:div w:id="1562256144">
                  <w:marLeft w:val="0"/>
                  <w:marRight w:val="0"/>
                  <w:marTop w:val="0"/>
                  <w:marBottom w:val="0"/>
                  <w:divBdr>
                    <w:top w:val="none" w:sz="0" w:space="0" w:color="auto"/>
                    <w:left w:val="none" w:sz="0" w:space="0" w:color="auto"/>
                    <w:bottom w:val="none" w:sz="0" w:space="0" w:color="auto"/>
                    <w:right w:val="none" w:sz="0" w:space="0" w:color="auto"/>
                  </w:divBdr>
                  <w:divsChild>
                    <w:div w:id="1728718126">
                      <w:marLeft w:val="0"/>
                      <w:marRight w:val="0"/>
                      <w:marTop w:val="0"/>
                      <w:marBottom w:val="0"/>
                      <w:divBdr>
                        <w:top w:val="none" w:sz="0" w:space="0" w:color="auto"/>
                        <w:left w:val="none" w:sz="0" w:space="0" w:color="auto"/>
                        <w:bottom w:val="none" w:sz="0" w:space="0" w:color="auto"/>
                        <w:right w:val="none" w:sz="0" w:space="0" w:color="auto"/>
                      </w:divBdr>
                    </w:div>
                  </w:divsChild>
                </w:div>
                <w:div w:id="1562405615">
                  <w:marLeft w:val="0"/>
                  <w:marRight w:val="0"/>
                  <w:marTop w:val="0"/>
                  <w:marBottom w:val="0"/>
                  <w:divBdr>
                    <w:top w:val="none" w:sz="0" w:space="0" w:color="auto"/>
                    <w:left w:val="none" w:sz="0" w:space="0" w:color="auto"/>
                    <w:bottom w:val="none" w:sz="0" w:space="0" w:color="auto"/>
                    <w:right w:val="none" w:sz="0" w:space="0" w:color="auto"/>
                  </w:divBdr>
                  <w:divsChild>
                    <w:div w:id="1778408320">
                      <w:marLeft w:val="0"/>
                      <w:marRight w:val="0"/>
                      <w:marTop w:val="0"/>
                      <w:marBottom w:val="0"/>
                      <w:divBdr>
                        <w:top w:val="none" w:sz="0" w:space="0" w:color="auto"/>
                        <w:left w:val="none" w:sz="0" w:space="0" w:color="auto"/>
                        <w:bottom w:val="none" w:sz="0" w:space="0" w:color="auto"/>
                        <w:right w:val="none" w:sz="0" w:space="0" w:color="auto"/>
                      </w:divBdr>
                    </w:div>
                  </w:divsChild>
                </w:div>
                <w:div w:id="1566992477">
                  <w:marLeft w:val="0"/>
                  <w:marRight w:val="0"/>
                  <w:marTop w:val="0"/>
                  <w:marBottom w:val="0"/>
                  <w:divBdr>
                    <w:top w:val="none" w:sz="0" w:space="0" w:color="auto"/>
                    <w:left w:val="none" w:sz="0" w:space="0" w:color="auto"/>
                    <w:bottom w:val="none" w:sz="0" w:space="0" w:color="auto"/>
                    <w:right w:val="none" w:sz="0" w:space="0" w:color="auto"/>
                  </w:divBdr>
                  <w:divsChild>
                    <w:div w:id="1731881930">
                      <w:marLeft w:val="0"/>
                      <w:marRight w:val="0"/>
                      <w:marTop w:val="0"/>
                      <w:marBottom w:val="0"/>
                      <w:divBdr>
                        <w:top w:val="none" w:sz="0" w:space="0" w:color="auto"/>
                        <w:left w:val="none" w:sz="0" w:space="0" w:color="auto"/>
                        <w:bottom w:val="none" w:sz="0" w:space="0" w:color="auto"/>
                        <w:right w:val="none" w:sz="0" w:space="0" w:color="auto"/>
                      </w:divBdr>
                    </w:div>
                  </w:divsChild>
                </w:div>
                <w:div w:id="1580602949">
                  <w:marLeft w:val="0"/>
                  <w:marRight w:val="0"/>
                  <w:marTop w:val="0"/>
                  <w:marBottom w:val="0"/>
                  <w:divBdr>
                    <w:top w:val="none" w:sz="0" w:space="0" w:color="auto"/>
                    <w:left w:val="none" w:sz="0" w:space="0" w:color="auto"/>
                    <w:bottom w:val="none" w:sz="0" w:space="0" w:color="auto"/>
                    <w:right w:val="none" w:sz="0" w:space="0" w:color="auto"/>
                  </w:divBdr>
                  <w:divsChild>
                    <w:div w:id="1891073792">
                      <w:marLeft w:val="0"/>
                      <w:marRight w:val="0"/>
                      <w:marTop w:val="0"/>
                      <w:marBottom w:val="0"/>
                      <w:divBdr>
                        <w:top w:val="none" w:sz="0" w:space="0" w:color="auto"/>
                        <w:left w:val="none" w:sz="0" w:space="0" w:color="auto"/>
                        <w:bottom w:val="none" w:sz="0" w:space="0" w:color="auto"/>
                        <w:right w:val="none" w:sz="0" w:space="0" w:color="auto"/>
                      </w:divBdr>
                    </w:div>
                  </w:divsChild>
                </w:div>
                <w:div w:id="1582904590">
                  <w:marLeft w:val="0"/>
                  <w:marRight w:val="0"/>
                  <w:marTop w:val="0"/>
                  <w:marBottom w:val="0"/>
                  <w:divBdr>
                    <w:top w:val="none" w:sz="0" w:space="0" w:color="auto"/>
                    <w:left w:val="none" w:sz="0" w:space="0" w:color="auto"/>
                    <w:bottom w:val="none" w:sz="0" w:space="0" w:color="auto"/>
                    <w:right w:val="none" w:sz="0" w:space="0" w:color="auto"/>
                  </w:divBdr>
                  <w:divsChild>
                    <w:div w:id="2141681154">
                      <w:marLeft w:val="0"/>
                      <w:marRight w:val="0"/>
                      <w:marTop w:val="0"/>
                      <w:marBottom w:val="0"/>
                      <w:divBdr>
                        <w:top w:val="none" w:sz="0" w:space="0" w:color="auto"/>
                        <w:left w:val="none" w:sz="0" w:space="0" w:color="auto"/>
                        <w:bottom w:val="none" w:sz="0" w:space="0" w:color="auto"/>
                        <w:right w:val="none" w:sz="0" w:space="0" w:color="auto"/>
                      </w:divBdr>
                    </w:div>
                  </w:divsChild>
                </w:div>
                <w:div w:id="1593273592">
                  <w:marLeft w:val="0"/>
                  <w:marRight w:val="0"/>
                  <w:marTop w:val="0"/>
                  <w:marBottom w:val="0"/>
                  <w:divBdr>
                    <w:top w:val="none" w:sz="0" w:space="0" w:color="auto"/>
                    <w:left w:val="none" w:sz="0" w:space="0" w:color="auto"/>
                    <w:bottom w:val="none" w:sz="0" w:space="0" w:color="auto"/>
                    <w:right w:val="none" w:sz="0" w:space="0" w:color="auto"/>
                  </w:divBdr>
                  <w:divsChild>
                    <w:div w:id="2006855659">
                      <w:marLeft w:val="0"/>
                      <w:marRight w:val="0"/>
                      <w:marTop w:val="0"/>
                      <w:marBottom w:val="0"/>
                      <w:divBdr>
                        <w:top w:val="none" w:sz="0" w:space="0" w:color="auto"/>
                        <w:left w:val="none" w:sz="0" w:space="0" w:color="auto"/>
                        <w:bottom w:val="none" w:sz="0" w:space="0" w:color="auto"/>
                        <w:right w:val="none" w:sz="0" w:space="0" w:color="auto"/>
                      </w:divBdr>
                    </w:div>
                  </w:divsChild>
                </w:div>
                <w:div w:id="1596286063">
                  <w:marLeft w:val="0"/>
                  <w:marRight w:val="0"/>
                  <w:marTop w:val="0"/>
                  <w:marBottom w:val="0"/>
                  <w:divBdr>
                    <w:top w:val="none" w:sz="0" w:space="0" w:color="auto"/>
                    <w:left w:val="none" w:sz="0" w:space="0" w:color="auto"/>
                    <w:bottom w:val="none" w:sz="0" w:space="0" w:color="auto"/>
                    <w:right w:val="none" w:sz="0" w:space="0" w:color="auto"/>
                  </w:divBdr>
                  <w:divsChild>
                    <w:div w:id="1154445152">
                      <w:marLeft w:val="0"/>
                      <w:marRight w:val="0"/>
                      <w:marTop w:val="0"/>
                      <w:marBottom w:val="0"/>
                      <w:divBdr>
                        <w:top w:val="none" w:sz="0" w:space="0" w:color="auto"/>
                        <w:left w:val="none" w:sz="0" w:space="0" w:color="auto"/>
                        <w:bottom w:val="none" w:sz="0" w:space="0" w:color="auto"/>
                        <w:right w:val="none" w:sz="0" w:space="0" w:color="auto"/>
                      </w:divBdr>
                    </w:div>
                  </w:divsChild>
                </w:div>
                <w:div w:id="1605188865">
                  <w:marLeft w:val="0"/>
                  <w:marRight w:val="0"/>
                  <w:marTop w:val="0"/>
                  <w:marBottom w:val="0"/>
                  <w:divBdr>
                    <w:top w:val="none" w:sz="0" w:space="0" w:color="auto"/>
                    <w:left w:val="none" w:sz="0" w:space="0" w:color="auto"/>
                    <w:bottom w:val="none" w:sz="0" w:space="0" w:color="auto"/>
                    <w:right w:val="none" w:sz="0" w:space="0" w:color="auto"/>
                  </w:divBdr>
                  <w:divsChild>
                    <w:div w:id="2025590707">
                      <w:marLeft w:val="0"/>
                      <w:marRight w:val="0"/>
                      <w:marTop w:val="0"/>
                      <w:marBottom w:val="0"/>
                      <w:divBdr>
                        <w:top w:val="none" w:sz="0" w:space="0" w:color="auto"/>
                        <w:left w:val="none" w:sz="0" w:space="0" w:color="auto"/>
                        <w:bottom w:val="none" w:sz="0" w:space="0" w:color="auto"/>
                        <w:right w:val="none" w:sz="0" w:space="0" w:color="auto"/>
                      </w:divBdr>
                    </w:div>
                  </w:divsChild>
                </w:div>
                <w:div w:id="1614751920">
                  <w:marLeft w:val="0"/>
                  <w:marRight w:val="0"/>
                  <w:marTop w:val="0"/>
                  <w:marBottom w:val="0"/>
                  <w:divBdr>
                    <w:top w:val="none" w:sz="0" w:space="0" w:color="auto"/>
                    <w:left w:val="none" w:sz="0" w:space="0" w:color="auto"/>
                    <w:bottom w:val="none" w:sz="0" w:space="0" w:color="auto"/>
                    <w:right w:val="none" w:sz="0" w:space="0" w:color="auto"/>
                  </w:divBdr>
                  <w:divsChild>
                    <w:div w:id="1568297465">
                      <w:marLeft w:val="0"/>
                      <w:marRight w:val="0"/>
                      <w:marTop w:val="0"/>
                      <w:marBottom w:val="0"/>
                      <w:divBdr>
                        <w:top w:val="none" w:sz="0" w:space="0" w:color="auto"/>
                        <w:left w:val="none" w:sz="0" w:space="0" w:color="auto"/>
                        <w:bottom w:val="none" w:sz="0" w:space="0" w:color="auto"/>
                        <w:right w:val="none" w:sz="0" w:space="0" w:color="auto"/>
                      </w:divBdr>
                    </w:div>
                  </w:divsChild>
                </w:div>
                <w:div w:id="1626235078">
                  <w:marLeft w:val="0"/>
                  <w:marRight w:val="0"/>
                  <w:marTop w:val="0"/>
                  <w:marBottom w:val="0"/>
                  <w:divBdr>
                    <w:top w:val="none" w:sz="0" w:space="0" w:color="auto"/>
                    <w:left w:val="none" w:sz="0" w:space="0" w:color="auto"/>
                    <w:bottom w:val="none" w:sz="0" w:space="0" w:color="auto"/>
                    <w:right w:val="none" w:sz="0" w:space="0" w:color="auto"/>
                  </w:divBdr>
                  <w:divsChild>
                    <w:div w:id="1534003723">
                      <w:marLeft w:val="0"/>
                      <w:marRight w:val="0"/>
                      <w:marTop w:val="0"/>
                      <w:marBottom w:val="0"/>
                      <w:divBdr>
                        <w:top w:val="none" w:sz="0" w:space="0" w:color="auto"/>
                        <w:left w:val="none" w:sz="0" w:space="0" w:color="auto"/>
                        <w:bottom w:val="none" w:sz="0" w:space="0" w:color="auto"/>
                        <w:right w:val="none" w:sz="0" w:space="0" w:color="auto"/>
                      </w:divBdr>
                    </w:div>
                  </w:divsChild>
                </w:div>
                <w:div w:id="1635059348">
                  <w:marLeft w:val="0"/>
                  <w:marRight w:val="0"/>
                  <w:marTop w:val="0"/>
                  <w:marBottom w:val="0"/>
                  <w:divBdr>
                    <w:top w:val="none" w:sz="0" w:space="0" w:color="auto"/>
                    <w:left w:val="none" w:sz="0" w:space="0" w:color="auto"/>
                    <w:bottom w:val="none" w:sz="0" w:space="0" w:color="auto"/>
                    <w:right w:val="none" w:sz="0" w:space="0" w:color="auto"/>
                  </w:divBdr>
                  <w:divsChild>
                    <w:div w:id="1700230225">
                      <w:marLeft w:val="0"/>
                      <w:marRight w:val="0"/>
                      <w:marTop w:val="0"/>
                      <w:marBottom w:val="0"/>
                      <w:divBdr>
                        <w:top w:val="none" w:sz="0" w:space="0" w:color="auto"/>
                        <w:left w:val="none" w:sz="0" w:space="0" w:color="auto"/>
                        <w:bottom w:val="none" w:sz="0" w:space="0" w:color="auto"/>
                        <w:right w:val="none" w:sz="0" w:space="0" w:color="auto"/>
                      </w:divBdr>
                    </w:div>
                  </w:divsChild>
                </w:div>
                <w:div w:id="1635674261">
                  <w:marLeft w:val="0"/>
                  <w:marRight w:val="0"/>
                  <w:marTop w:val="0"/>
                  <w:marBottom w:val="0"/>
                  <w:divBdr>
                    <w:top w:val="none" w:sz="0" w:space="0" w:color="auto"/>
                    <w:left w:val="none" w:sz="0" w:space="0" w:color="auto"/>
                    <w:bottom w:val="none" w:sz="0" w:space="0" w:color="auto"/>
                    <w:right w:val="none" w:sz="0" w:space="0" w:color="auto"/>
                  </w:divBdr>
                  <w:divsChild>
                    <w:div w:id="1628775893">
                      <w:marLeft w:val="0"/>
                      <w:marRight w:val="0"/>
                      <w:marTop w:val="0"/>
                      <w:marBottom w:val="0"/>
                      <w:divBdr>
                        <w:top w:val="none" w:sz="0" w:space="0" w:color="auto"/>
                        <w:left w:val="none" w:sz="0" w:space="0" w:color="auto"/>
                        <w:bottom w:val="none" w:sz="0" w:space="0" w:color="auto"/>
                        <w:right w:val="none" w:sz="0" w:space="0" w:color="auto"/>
                      </w:divBdr>
                    </w:div>
                  </w:divsChild>
                </w:div>
                <w:div w:id="1652175912">
                  <w:marLeft w:val="0"/>
                  <w:marRight w:val="0"/>
                  <w:marTop w:val="0"/>
                  <w:marBottom w:val="0"/>
                  <w:divBdr>
                    <w:top w:val="none" w:sz="0" w:space="0" w:color="auto"/>
                    <w:left w:val="none" w:sz="0" w:space="0" w:color="auto"/>
                    <w:bottom w:val="none" w:sz="0" w:space="0" w:color="auto"/>
                    <w:right w:val="none" w:sz="0" w:space="0" w:color="auto"/>
                  </w:divBdr>
                  <w:divsChild>
                    <w:div w:id="742412206">
                      <w:marLeft w:val="0"/>
                      <w:marRight w:val="0"/>
                      <w:marTop w:val="0"/>
                      <w:marBottom w:val="0"/>
                      <w:divBdr>
                        <w:top w:val="none" w:sz="0" w:space="0" w:color="auto"/>
                        <w:left w:val="none" w:sz="0" w:space="0" w:color="auto"/>
                        <w:bottom w:val="none" w:sz="0" w:space="0" w:color="auto"/>
                        <w:right w:val="none" w:sz="0" w:space="0" w:color="auto"/>
                      </w:divBdr>
                    </w:div>
                  </w:divsChild>
                </w:div>
                <w:div w:id="1652514437">
                  <w:marLeft w:val="0"/>
                  <w:marRight w:val="0"/>
                  <w:marTop w:val="0"/>
                  <w:marBottom w:val="0"/>
                  <w:divBdr>
                    <w:top w:val="none" w:sz="0" w:space="0" w:color="auto"/>
                    <w:left w:val="none" w:sz="0" w:space="0" w:color="auto"/>
                    <w:bottom w:val="none" w:sz="0" w:space="0" w:color="auto"/>
                    <w:right w:val="none" w:sz="0" w:space="0" w:color="auto"/>
                  </w:divBdr>
                  <w:divsChild>
                    <w:div w:id="1906913526">
                      <w:marLeft w:val="0"/>
                      <w:marRight w:val="0"/>
                      <w:marTop w:val="0"/>
                      <w:marBottom w:val="0"/>
                      <w:divBdr>
                        <w:top w:val="none" w:sz="0" w:space="0" w:color="auto"/>
                        <w:left w:val="none" w:sz="0" w:space="0" w:color="auto"/>
                        <w:bottom w:val="none" w:sz="0" w:space="0" w:color="auto"/>
                        <w:right w:val="none" w:sz="0" w:space="0" w:color="auto"/>
                      </w:divBdr>
                    </w:div>
                  </w:divsChild>
                </w:div>
                <w:div w:id="1659725486">
                  <w:marLeft w:val="0"/>
                  <w:marRight w:val="0"/>
                  <w:marTop w:val="0"/>
                  <w:marBottom w:val="0"/>
                  <w:divBdr>
                    <w:top w:val="none" w:sz="0" w:space="0" w:color="auto"/>
                    <w:left w:val="none" w:sz="0" w:space="0" w:color="auto"/>
                    <w:bottom w:val="none" w:sz="0" w:space="0" w:color="auto"/>
                    <w:right w:val="none" w:sz="0" w:space="0" w:color="auto"/>
                  </w:divBdr>
                  <w:divsChild>
                    <w:div w:id="935749421">
                      <w:marLeft w:val="0"/>
                      <w:marRight w:val="0"/>
                      <w:marTop w:val="0"/>
                      <w:marBottom w:val="0"/>
                      <w:divBdr>
                        <w:top w:val="none" w:sz="0" w:space="0" w:color="auto"/>
                        <w:left w:val="none" w:sz="0" w:space="0" w:color="auto"/>
                        <w:bottom w:val="none" w:sz="0" w:space="0" w:color="auto"/>
                        <w:right w:val="none" w:sz="0" w:space="0" w:color="auto"/>
                      </w:divBdr>
                    </w:div>
                  </w:divsChild>
                </w:div>
                <w:div w:id="1664509186">
                  <w:marLeft w:val="0"/>
                  <w:marRight w:val="0"/>
                  <w:marTop w:val="0"/>
                  <w:marBottom w:val="0"/>
                  <w:divBdr>
                    <w:top w:val="none" w:sz="0" w:space="0" w:color="auto"/>
                    <w:left w:val="none" w:sz="0" w:space="0" w:color="auto"/>
                    <w:bottom w:val="none" w:sz="0" w:space="0" w:color="auto"/>
                    <w:right w:val="none" w:sz="0" w:space="0" w:color="auto"/>
                  </w:divBdr>
                  <w:divsChild>
                    <w:div w:id="1393892190">
                      <w:marLeft w:val="0"/>
                      <w:marRight w:val="0"/>
                      <w:marTop w:val="0"/>
                      <w:marBottom w:val="0"/>
                      <w:divBdr>
                        <w:top w:val="none" w:sz="0" w:space="0" w:color="auto"/>
                        <w:left w:val="none" w:sz="0" w:space="0" w:color="auto"/>
                        <w:bottom w:val="none" w:sz="0" w:space="0" w:color="auto"/>
                        <w:right w:val="none" w:sz="0" w:space="0" w:color="auto"/>
                      </w:divBdr>
                    </w:div>
                  </w:divsChild>
                </w:div>
                <w:div w:id="1665089656">
                  <w:marLeft w:val="0"/>
                  <w:marRight w:val="0"/>
                  <w:marTop w:val="0"/>
                  <w:marBottom w:val="0"/>
                  <w:divBdr>
                    <w:top w:val="none" w:sz="0" w:space="0" w:color="auto"/>
                    <w:left w:val="none" w:sz="0" w:space="0" w:color="auto"/>
                    <w:bottom w:val="none" w:sz="0" w:space="0" w:color="auto"/>
                    <w:right w:val="none" w:sz="0" w:space="0" w:color="auto"/>
                  </w:divBdr>
                  <w:divsChild>
                    <w:div w:id="1433283987">
                      <w:marLeft w:val="0"/>
                      <w:marRight w:val="0"/>
                      <w:marTop w:val="0"/>
                      <w:marBottom w:val="0"/>
                      <w:divBdr>
                        <w:top w:val="none" w:sz="0" w:space="0" w:color="auto"/>
                        <w:left w:val="none" w:sz="0" w:space="0" w:color="auto"/>
                        <w:bottom w:val="none" w:sz="0" w:space="0" w:color="auto"/>
                        <w:right w:val="none" w:sz="0" w:space="0" w:color="auto"/>
                      </w:divBdr>
                    </w:div>
                  </w:divsChild>
                </w:div>
                <w:div w:id="1669866682">
                  <w:marLeft w:val="0"/>
                  <w:marRight w:val="0"/>
                  <w:marTop w:val="0"/>
                  <w:marBottom w:val="0"/>
                  <w:divBdr>
                    <w:top w:val="none" w:sz="0" w:space="0" w:color="auto"/>
                    <w:left w:val="none" w:sz="0" w:space="0" w:color="auto"/>
                    <w:bottom w:val="none" w:sz="0" w:space="0" w:color="auto"/>
                    <w:right w:val="none" w:sz="0" w:space="0" w:color="auto"/>
                  </w:divBdr>
                  <w:divsChild>
                    <w:div w:id="1009526092">
                      <w:marLeft w:val="0"/>
                      <w:marRight w:val="0"/>
                      <w:marTop w:val="0"/>
                      <w:marBottom w:val="0"/>
                      <w:divBdr>
                        <w:top w:val="none" w:sz="0" w:space="0" w:color="auto"/>
                        <w:left w:val="none" w:sz="0" w:space="0" w:color="auto"/>
                        <w:bottom w:val="none" w:sz="0" w:space="0" w:color="auto"/>
                        <w:right w:val="none" w:sz="0" w:space="0" w:color="auto"/>
                      </w:divBdr>
                    </w:div>
                  </w:divsChild>
                </w:div>
                <w:div w:id="1670913271">
                  <w:marLeft w:val="0"/>
                  <w:marRight w:val="0"/>
                  <w:marTop w:val="0"/>
                  <w:marBottom w:val="0"/>
                  <w:divBdr>
                    <w:top w:val="none" w:sz="0" w:space="0" w:color="auto"/>
                    <w:left w:val="none" w:sz="0" w:space="0" w:color="auto"/>
                    <w:bottom w:val="none" w:sz="0" w:space="0" w:color="auto"/>
                    <w:right w:val="none" w:sz="0" w:space="0" w:color="auto"/>
                  </w:divBdr>
                  <w:divsChild>
                    <w:div w:id="1513031666">
                      <w:marLeft w:val="0"/>
                      <w:marRight w:val="0"/>
                      <w:marTop w:val="0"/>
                      <w:marBottom w:val="0"/>
                      <w:divBdr>
                        <w:top w:val="none" w:sz="0" w:space="0" w:color="auto"/>
                        <w:left w:val="none" w:sz="0" w:space="0" w:color="auto"/>
                        <w:bottom w:val="none" w:sz="0" w:space="0" w:color="auto"/>
                        <w:right w:val="none" w:sz="0" w:space="0" w:color="auto"/>
                      </w:divBdr>
                    </w:div>
                  </w:divsChild>
                </w:div>
                <w:div w:id="1686979348">
                  <w:marLeft w:val="0"/>
                  <w:marRight w:val="0"/>
                  <w:marTop w:val="0"/>
                  <w:marBottom w:val="0"/>
                  <w:divBdr>
                    <w:top w:val="none" w:sz="0" w:space="0" w:color="auto"/>
                    <w:left w:val="none" w:sz="0" w:space="0" w:color="auto"/>
                    <w:bottom w:val="none" w:sz="0" w:space="0" w:color="auto"/>
                    <w:right w:val="none" w:sz="0" w:space="0" w:color="auto"/>
                  </w:divBdr>
                  <w:divsChild>
                    <w:div w:id="1789347410">
                      <w:marLeft w:val="0"/>
                      <w:marRight w:val="0"/>
                      <w:marTop w:val="0"/>
                      <w:marBottom w:val="0"/>
                      <w:divBdr>
                        <w:top w:val="none" w:sz="0" w:space="0" w:color="auto"/>
                        <w:left w:val="none" w:sz="0" w:space="0" w:color="auto"/>
                        <w:bottom w:val="none" w:sz="0" w:space="0" w:color="auto"/>
                        <w:right w:val="none" w:sz="0" w:space="0" w:color="auto"/>
                      </w:divBdr>
                    </w:div>
                  </w:divsChild>
                </w:div>
                <w:div w:id="1699115910">
                  <w:marLeft w:val="0"/>
                  <w:marRight w:val="0"/>
                  <w:marTop w:val="0"/>
                  <w:marBottom w:val="0"/>
                  <w:divBdr>
                    <w:top w:val="none" w:sz="0" w:space="0" w:color="auto"/>
                    <w:left w:val="none" w:sz="0" w:space="0" w:color="auto"/>
                    <w:bottom w:val="none" w:sz="0" w:space="0" w:color="auto"/>
                    <w:right w:val="none" w:sz="0" w:space="0" w:color="auto"/>
                  </w:divBdr>
                  <w:divsChild>
                    <w:div w:id="241304619">
                      <w:marLeft w:val="0"/>
                      <w:marRight w:val="0"/>
                      <w:marTop w:val="0"/>
                      <w:marBottom w:val="0"/>
                      <w:divBdr>
                        <w:top w:val="none" w:sz="0" w:space="0" w:color="auto"/>
                        <w:left w:val="none" w:sz="0" w:space="0" w:color="auto"/>
                        <w:bottom w:val="none" w:sz="0" w:space="0" w:color="auto"/>
                        <w:right w:val="none" w:sz="0" w:space="0" w:color="auto"/>
                      </w:divBdr>
                    </w:div>
                  </w:divsChild>
                </w:div>
                <w:div w:id="1703481601">
                  <w:marLeft w:val="0"/>
                  <w:marRight w:val="0"/>
                  <w:marTop w:val="0"/>
                  <w:marBottom w:val="0"/>
                  <w:divBdr>
                    <w:top w:val="none" w:sz="0" w:space="0" w:color="auto"/>
                    <w:left w:val="none" w:sz="0" w:space="0" w:color="auto"/>
                    <w:bottom w:val="none" w:sz="0" w:space="0" w:color="auto"/>
                    <w:right w:val="none" w:sz="0" w:space="0" w:color="auto"/>
                  </w:divBdr>
                  <w:divsChild>
                    <w:div w:id="539242348">
                      <w:marLeft w:val="0"/>
                      <w:marRight w:val="0"/>
                      <w:marTop w:val="0"/>
                      <w:marBottom w:val="0"/>
                      <w:divBdr>
                        <w:top w:val="none" w:sz="0" w:space="0" w:color="auto"/>
                        <w:left w:val="none" w:sz="0" w:space="0" w:color="auto"/>
                        <w:bottom w:val="none" w:sz="0" w:space="0" w:color="auto"/>
                        <w:right w:val="none" w:sz="0" w:space="0" w:color="auto"/>
                      </w:divBdr>
                    </w:div>
                  </w:divsChild>
                </w:div>
                <w:div w:id="1705325014">
                  <w:marLeft w:val="0"/>
                  <w:marRight w:val="0"/>
                  <w:marTop w:val="0"/>
                  <w:marBottom w:val="0"/>
                  <w:divBdr>
                    <w:top w:val="none" w:sz="0" w:space="0" w:color="auto"/>
                    <w:left w:val="none" w:sz="0" w:space="0" w:color="auto"/>
                    <w:bottom w:val="none" w:sz="0" w:space="0" w:color="auto"/>
                    <w:right w:val="none" w:sz="0" w:space="0" w:color="auto"/>
                  </w:divBdr>
                  <w:divsChild>
                    <w:div w:id="1804956823">
                      <w:marLeft w:val="0"/>
                      <w:marRight w:val="0"/>
                      <w:marTop w:val="0"/>
                      <w:marBottom w:val="0"/>
                      <w:divBdr>
                        <w:top w:val="none" w:sz="0" w:space="0" w:color="auto"/>
                        <w:left w:val="none" w:sz="0" w:space="0" w:color="auto"/>
                        <w:bottom w:val="none" w:sz="0" w:space="0" w:color="auto"/>
                        <w:right w:val="none" w:sz="0" w:space="0" w:color="auto"/>
                      </w:divBdr>
                    </w:div>
                  </w:divsChild>
                </w:div>
                <w:div w:id="1710909373">
                  <w:marLeft w:val="0"/>
                  <w:marRight w:val="0"/>
                  <w:marTop w:val="0"/>
                  <w:marBottom w:val="0"/>
                  <w:divBdr>
                    <w:top w:val="none" w:sz="0" w:space="0" w:color="auto"/>
                    <w:left w:val="none" w:sz="0" w:space="0" w:color="auto"/>
                    <w:bottom w:val="none" w:sz="0" w:space="0" w:color="auto"/>
                    <w:right w:val="none" w:sz="0" w:space="0" w:color="auto"/>
                  </w:divBdr>
                  <w:divsChild>
                    <w:div w:id="1817642908">
                      <w:marLeft w:val="0"/>
                      <w:marRight w:val="0"/>
                      <w:marTop w:val="0"/>
                      <w:marBottom w:val="0"/>
                      <w:divBdr>
                        <w:top w:val="none" w:sz="0" w:space="0" w:color="auto"/>
                        <w:left w:val="none" w:sz="0" w:space="0" w:color="auto"/>
                        <w:bottom w:val="none" w:sz="0" w:space="0" w:color="auto"/>
                        <w:right w:val="none" w:sz="0" w:space="0" w:color="auto"/>
                      </w:divBdr>
                    </w:div>
                  </w:divsChild>
                </w:div>
                <w:div w:id="1713336516">
                  <w:marLeft w:val="0"/>
                  <w:marRight w:val="0"/>
                  <w:marTop w:val="0"/>
                  <w:marBottom w:val="0"/>
                  <w:divBdr>
                    <w:top w:val="none" w:sz="0" w:space="0" w:color="auto"/>
                    <w:left w:val="none" w:sz="0" w:space="0" w:color="auto"/>
                    <w:bottom w:val="none" w:sz="0" w:space="0" w:color="auto"/>
                    <w:right w:val="none" w:sz="0" w:space="0" w:color="auto"/>
                  </w:divBdr>
                  <w:divsChild>
                    <w:div w:id="1775200633">
                      <w:marLeft w:val="0"/>
                      <w:marRight w:val="0"/>
                      <w:marTop w:val="0"/>
                      <w:marBottom w:val="0"/>
                      <w:divBdr>
                        <w:top w:val="none" w:sz="0" w:space="0" w:color="auto"/>
                        <w:left w:val="none" w:sz="0" w:space="0" w:color="auto"/>
                        <w:bottom w:val="none" w:sz="0" w:space="0" w:color="auto"/>
                        <w:right w:val="none" w:sz="0" w:space="0" w:color="auto"/>
                      </w:divBdr>
                    </w:div>
                  </w:divsChild>
                </w:div>
                <w:div w:id="1735353659">
                  <w:marLeft w:val="0"/>
                  <w:marRight w:val="0"/>
                  <w:marTop w:val="0"/>
                  <w:marBottom w:val="0"/>
                  <w:divBdr>
                    <w:top w:val="none" w:sz="0" w:space="0" w:color="auto"/>
                    <w:left w:val="none" w:sz="0" w:space="0" w:color="auto"/>
                    <w:bottom w:val="none" w:sz="0" w:space="0" w:color="auto"/>
                    <w:right w:val="none" w:sz="0" w:space="0" w:color="auto"/>
                  </w:divBdr>
                  <w:divsChild>
                    <w:div w:id="2108958195">
                      <w:marLeft w:val="0"/>
                      <w:marRight w:val="0"/>
                      <w:marTop w:val="0"/>
                      <w:marBottom w:val="0"/>
                      <w:divBdr>
                        <w:top w:val="none" w:sz="0" w:space="0" w:color="auto"/>
                        <w:left w:val="none" w:sz="0" w:space="0" w:color="auto"/>
                        <w:bottom w:val="none" w:sz="0" w:space="0" w:color="auto"/>
                        <w:right w:val="none" w:sz="0" w:space="0" w:color="auto"/>
                      </w:divBdr>
                    </w:div>
                  </w:divsChild>
                </w:div>
                <w:div w:id="1736050844">
                  <w:marLeft w:val="0"/>
                  <w:marRight w:val="0"/>
                  <w:marTop w:val="0"/>
                  <w:marBottom w:val="0"/>
                  <w:divBdr>
                    <w:top w:val="none" w:sz="0" w:space="0" w:color="auto"/>
                    <w:left w:val="none" w:sz="0" w:space="0" w:color="auto"/>
                    <w:bottom w:val="none" w:sz="0" w:space="0" w:color="auto"/>
                    <w:right w:val="none" w:sz="0" w:space="0" w:color="auto"/>
                  </w:divBdr>
                  <w:divsChild>
                    <w:div w:id="240019753">
                      <w:marLeft w:val="0"/>
                      <w:marRight w:val="0"/>
                      <w:marTop w:val="0"/>
                      <w:marBottom w:val="0"/>
                      <w:divBdr>
                        <w:top w:val="none" w:sz="0" w:space="0" w:color="auto"/>
                        <w:left w:val="none" w:sz="0" w:space="0" w:color="auto"/>
                        <w:bottom w:val="none" w:sz="0" w:space="0" w:color="auto"/>
                        <w:right w:val="none" w:sz="0" w:space="0" w:color="auto"/>
                      </w:divBdr>
                    </w:div>
                  </w:divsChild>
                </w:div>
                <w:div w:id="1739746274">
                  <w:marLeft w:val="0"/>
                  <w:marRight w:val="0"/>
                  <w:marTop w:val="0"/>
                  <w:marBottom w:val="0"/>
                  <w:divBdr>
                    <w:top w:val="none" w:sz="0" w:space="0" w:color="auto"/>
                    <w:left w:val="none" w:sz="0" w:space="0" w:color="auto"/>
                    <w:bottom w:val="none" w:sz="0" w:space="0" w:color="auto"/>
                    <w:right w:val="none" w:sz="0" w:space="0" w:color="auto"/>
                  </w:divBdr>
                  <w:divsChild>
                    <w:div w:id="1741250466">
                      <w:marLeft w:val="0"/>
                      <w:marRight w:val="0"/>
                      <w:marTop w:val="0"/>
                      <w:marBottom w:val="0"/>
                      <w:divBdr>
                        <w:top w:val="none" w:sz="0" w:space="0" w:color="auto"/>
                        <w:left w:val="none" w:sz="0" w:space="0" w:color="auto"/>
                        <w:bottom w:val="none" w:sz="0" w:space="0" w:color="auto"/>
                        <w:right w:val="none" w:sz="0" w:space="0" w:color="auto"/>
                      </w:divBdr>
                    </w:div>
                  </w:divsChild>
                </w:div>
                <w:div w:id="1755937402">
                  <w:marLeft w:val="0"/>
                  <w:marRight w:val="0"/>
                  <w:marTop w:val="0"/>
                  <w:marBottom w:val="0"/>
                  <w:divBdr>
                    <w:top w:val="none" w:sz="0" w:space="0" w:color="auto"/>
                    <w:left w:val="none" w:sz="0" w:space="0" w:color="auto"/>
                    <w:bottom w:val="none" w:sz="0" w:space="0" w:color="auto"/>
                    <w:right w:val="none" w:sz="0" w:space="0" w:color="auto"/>
                  </w:divBdr>
                  <w:divsChild>
                    <w:div w:id="2079742014">
                      <w:marLeft w:val="0"/>
                      <w:marRight w:val="0"/>
                      <w:marTop w:val="0"/>
                      <w:marBottom w:val="0"/>
                      <w:divBdr>
                        <w:top w:val="none" w:sz="0" w:space="0" w:color="auto"/>
                        <w:left w:val="none" w:sz="0" w:space="0" w:color="auto"/>
                        <w:bottom w:val="none" w:sz="0" w:space="0" w:color="auto"/>
                        <w:right w:val="none" w:sz="0" w:space="0" w:color="auto"/>
                      </w:divBdr>
                    </w:div>
                  </w:divsChild>
                </w:div>
                <w:div w:id="1762141120">
                  <w:marLeft w:val="0"/>
                  <w:marRight w:val="0"/>
                  <w:marTop w:val="0"/>
                  <w:marBottom w:val="0"/>
                  <w:divBdr>
                    <w:top w:val="none" w:sz="0" w:space="0" w:color="auto"/>
                    <w:left w:val="none" w:sz="0" w:space="0" w:color="auto"/>
                    <w:bottom w:val="none" w:sz="0" w:space="0" w:color="auto"/>
                    <w:right w:val="none" w:sz="0" w:space="0" w:color="auto"/>
                  </w:divBdr>
                  <w:divsChild>
                    <w:div w:id="975526304">
                      <w:marLeft w:val="0"/>
                      <w:marRight w:val="0"/>
                      <w:marTop w:val="0"/>
                      <w:marBottom w:val="0"/>
                      <w:divBdr>
                        <w:top w:val="none" w:sz="0" w:space="0" w:color="auto"/>
                        <w:left w:val="none" w:sz="0" w:space="0" w:color="auto"/>
                        <w:bottom w:val="none" w:sz="0" w:space="0" w:color="auto"/>
                        <w:right w:val="none" w:sz="0" w:space="0" w:color="auto"/>
                      </w:divBdr>
                    </w:div>
                  </w:divsChild>
                </w:div>
                <w:div w:id="1763600237">
                  <w:marLeft w:val="0"/>
                  <w:marRight w:val="0"/>
                  <w:marTop w:val="0"/>
                  <w:marBottom w:val="0"/>
                  <w:divBdr>
                    <w:top w:val="none" w:sz="0" w:space="0" w:color="auto"/>
                    <w:left w:val="none" w:sz="0" w:space="0" w:color="auto"/>
                    <w:bottom w:val="none" w:sz="0" w:space="0" w:color="auto"/>
                    <w:right w:val="none" w:sz="0" w:space="0" w:color="auto"/>
                  </w:divBdr>
                  <w:divsChild>
                    <w:div w:id="1529179970">
                      <w:marLeft w:val="0"/>
                      <w:marRight w:val="0"/>
                      <w:marTop w:val="0"/>
                      <w:marBottom w:val="0"/>
                      <w:divBdr>
                        <w:top w:val="none" w:sz="0" w:space="0" w:color="auto"/>
                        <w:left w:val="none" w:sz="0" w:space="0" w:color="auto"/>
                        <w:bottom w:val="none" w:sz="0" w:space="0" w:color="auto"/>
                        <w:right w:val="none" w:sz="0" w:space="0" w:color="auto"/>
                      </w:divBdr>
                    </w:div>
                  </w:divsChild>
                </w:div>
                <w:div w:id="1767462361">
                  <w:marLeft w:val="0"/>
                  <w:marRight w:val="0"/>
                  <w:marTop w:val="0"/>
                  <w:marBottom w:val="0"/>
                  <w:divBdr>
                    <w:top w:val="none" w:sz="0" w:space="0" w:color="auto"/>
                    <w:left w:val="none" w:sz="0" w:space="0" w:color="auto"/>
                    <w:bottom w:val="none" w:sz="0" w:space="0" w:color="auto"/>
                    <w:right w:val="none" w:sz="0" w:space="0" w:color="auto"/>
                  </w:divBdr>
                  <w:divsChild>
                    <w:div w:id="87429240">
                      <w:marLeft w:val="0"/>
                      <w:marRight w:val="0"/>
                      <w:marTop w:val="0"/>
                      <w:marBottom w:val="0"/>
                      <w:divBdr>
                        <w:top w:val="none" w:sz="0" w:space="0" w:color="auto"/>
                        <w:left w:val="none" w:sz="0" w:space="0" w:color="auto"/>
                        <w:bottom w:val="none" w:sz="0" w:space="0" w:color="auto"/>
                        <w:right w:val="none" w:sz="0" w:space="0" w:color="auto"/>
                      </w:divBdr>
                    </w:div>
                  </w:divsChild>
                </w:div>
                <w:div w:id="1797487339">
                  <w:marLeft w:val="0"/>
                  <w:marRight w:val="0"/>
                  <w:marTop w:val="0"/>
                  <w:marBottom w:val="0"/>
                  <w:divBdr>
                    <w:top w:val="none" w:sz="0" w:space="0" w:color="auto"/>
                    <w:left w:val="none" w:sz="0" w:space="0" w:color="auto"/>
                    <w:bottom w:val="none" w:sz="0" w:space="0" w:color="auto"/>
                    <w:right w:val="none" w:sz="0" w:space="0" w:color="auto"/>
                  </w:divBdr>
                  <w:divsChild>
                    <w:div w:id="984776372">
                      <w:marLeft w:val="0"/>
                      <w:marRight w:val="0"/>
                      <w:marTop w:val="0"/>
                      <w:marBottom w:val="0"/>
                      <w:divBdr>
                        <w:top w:val="none" w:sz="0" w:space="0" w:color="auto"/>
                        <w:left w:val="none" w:sz="0" w:space="0" w:color="auto"/>
                        <w:bottom w:val="none" w:sz="0" w:space="0" w:color="auto"/>
                        <w:right w:val="none" w:sz="0" w:space="0" w:color="auto"/>
                      </w:divBdr>
                    </w:div>
                  </w:divsChild>
                </w:div>
                <w:div w:id="1800415712">
                  <w:marLeft w:val="0"/>
                  <w:marRight w:val="0"/>
                  <w:marTop w:val="0"/>
                  <w:marBottom w:val="0"/>
                  <w:divBdr>
                    <w:top w:val="none" w:sz="0" w:space="0" w:color="auto"/>
                    <w:left w:val="none" w:sz="0" w:space="0" w:color="auto"/>
                    <w:bottom w:val="none" w:sz="0" w:space="0" w:color="auto"/>
                    <w:right w:val="none" w:sz="0" w:space="0" w:color="auto"/>
                  </w:divBdr>
                  <w:divsChild>
                    <w:div w:id="953712428">
                      <w:marLeft w:val="0"/>
                      <w:marRight w:val="0"/>
                      <w:marTop w:val="0"/>
                      <w:marBottom w:val="0"/>
                      <w:divBdr>
                        <w:top w:val="none" w:sz="0" w:space="0" w:color="auto"/>
                        <w:left w:val="none" w:sz="0" w:space="0" w:color="auto"/>
                        <w:bottom w:val="none" w:sz="0" w:space="0" w:color="auto"/>
                        <w:right w:val="none" w:sz="0" w:space="0" w:color="auto"/>
                      </w:divBdr>
                    </w:div>
                  </w:divsChild>
                </w:div>
                <w:div w:id="1805198755">
                  <w:marLeft w:val="0"/>
                  <w:marRight w:val="0"/>
                  <w:marTop w:val="0"/>
                  <w:marBottom w:val="0"/>
                  <w:divBdr>
                    <w:top w:val="none" w:sz="0" w:space="0" w:color="auto"/>
                    <w:left w:val="none" w:sz="0" w:space="0" w:color="auto"/>
                    <w:bottom w:val="none" w:sz="0" w:space="0" w:color="auto"/>
                    <w:right w:val="none" w:sz="0" w:space="0" w:color="auto"/>
                  </w:divBdr>
                  <w:divsChild>
                    <w:div w:id="815995602">
                      <w:marLeft w:val="0"/>
                      <w:marRight w:val="0"/>
                      <w:marTop w:val="0"/>
                      <w:marBottom w:val="0"/>
                      <w:divBdr>
                        <w:top w:val="none" w:sz="0" w:space="0" w:color="auto"/>
                        <w:left w:val="none" w:sz="0" w:space="0" w:color="auto"/>
                        <w:bottom w:val="none" w:sz="0" w:space="0" w:color="auto"/>
                        <w:right w:val="none" w:sz="0" w:space="0" w:color="auto"/>
                      </w:divBdr>
                    </w:div>
                  </w:divsChild>
                </w:div>
                <w:div w:id="1808161310">
                  <w:marLeft w:val="0"/>
                  <w:marRight w:val="0"/>
                  <w:marTop w:val="0"/>
                  <w:marBottom w:val="0"/>
                  <w:divBdr>
                    <w:top w:val="none" w:sz="0" w:space="0" w:color="auto"/>
                    <w:left w:val="none" w:sz="0" w:space="0" w:color="auto"/>
                    <w:bottom w:val="none" w:sz="0" w:space="0" w:color="auto"/>
                    <w:right w:val="none" w:sz="0" w:space="0" w:color="auto"/>
                  </w:divBdr>
                  <w:divsChild>
                    <w:div w:id="1074277969">
                      <w:marLeft w:val="0"/>
                      <w:marRight w:val="0"/>
                      <w:marTop w:val="0"/>
                      <w:marBottom w:val="0"/>
                      <w:divBdr>
                        <w:top w:val="none" w:sz="0" w:space="0" w:color="auto"/>
                        <w:left w:val="none" w:sz="0" w:space="0" w:color="auto"/>
                        <w:bottom w:val="none" w:sz="0" w:space="0" w:color="auto"/>
                        <w:right w:val="none" w:sz="0" w:space="0" w:color="auto"/>
                      </w:divBdr>
                    </w:div>
                  </w:divsChild>
                </w:div>
                <w:div w:id="1809012664">
                  <w:marLeft w:val="0"/>
                  <w:marRight w:val="0"/>
                  <w:marTop w:val="0"/>
                  <w:marBottom w:val="0"/>
                  <w:divBdr>
                    <w:top w:val="none" w:sz="0" w:space="0" w:color="auto"/>
                    <w:left w:val="none" w:sz="0" w:space="0" w:color="auto"/>
                    <w:bottom w:val="none" w:sz="0" w:space="0" w:color="auto"/>
                    <w:right w:val="none" w:sz="0" w:space="0" w:color="auto"/>
                  </w:divBdr>
                  <w:divsChild>
                    <w:div w:id="1951549164">
                      <w:marLeft w:val="0"/>
                      <w:marRight w:val="0"/>
                      <w:marTop w:val="0"/>
                      <w:marBottom w:val="0"/>
                      <w:divBdr>
                        <w:top w:val="none" w:sz="0" w:space="0" w:color="auto"/>
                        <w:left w:val="none" w:sz="0" w:space="0" w:color="auto"/>
                        <w:bottom w:val="none" w:sz="0" w:space="0" w:color="auto"/>
                        <w:right w:val="none" w:sz="0" w:space="0" w:color="auto"/>
                      </w:divBdr>
                    </w:div>
                  </w:divsChild>
                </w:div>
                <w:div w:id="1811047802">
                  <w:marLeft w:val="0"/>
                  <w:marRight w:val="0"/>
                  <w:marTop w:val="0"/>
                  <w:marBottom w:val="0"/>
                  <w:divBdr>
                    <w:top w:val="none" w:sz="0" w:space="0" w:color="auto"/>
                    <w:left w:val="none" w:sz="0" w:space="0" w:color="auto"/>
                    <w:bottom w:val="none" w:sz="0" w:space="0" w:color="auto"/>
                    <w:right w:val="none" w:sz="0" w:space="0" w:color="auto"/>
                  </w:divBdr>
                  <w:divsChild>
                    <w:div w:id="187179754">
                      <w:marLeft w:val="0"/>
                      <w:marRight w:val="0"/>
                      <w:marTop w:val="0"/>
                      <w:marBottom w:val="0"/>
                      <w:divBdr>
                        <w:top w:val="none" w:sz="0" w:space="0" w:color="auto"/>
                        <w:left w:val="none" w:sz="0" w:space="0" w:color="auto"/>
                        <w:bottom w:val="none" w:sz="0" w:space="0" w:color="auto"/>
                        <w:right w:val="none" w:sz="0" w:space="0" w:color="auto"/>
                      </w:divBdr>
                    </w:div>
                  </w:divsChild>
                </w:div>
                <w:div w:id="1817799439">
                  <w:marLeft w:val="0"/>
                  <w:marRight w:val="0"/>
                  <w:marTop w:val="0"/>
                  <w:marBottom w:val="0"/>
                  <w:divBdr>
                    <w:top w:val="none" w:sz="0" w:space="0" w:color="auto"/>
                    <w:left w:val="none" w:sz="0" w:space="0" w:color="auto"/>
                    <w:bottom w:val="none" w:sz="0" w:space="0" w:color="auto"/>
                    <w:right w:val="none" w:sz="0" w:space="0" w:color="auto"/>
                  </w:divBdr>
                  <w:divsChild>
                    <w:div w:id="845170996">
                      <w:marLeft w:val="0"/>
                      <w:marRight w:val="0"/>
                      <w:marTop w:val="0"/>
                      <w:marBottom w:val="0"/>
                      <w:divBdr>
                        <w:top w:val="none" w:sz="0" w:space="0" w:color="auto"/>
                        <w:left w:val="none" w:sz="0" w:space="0" w:color="auto"/>
                        <w:bottom w:val="none" w:sz="0" w:space="0" w:color="auto"/>
                        <w:right w:val="none" w:sz="0" w:space="0" w:color="auto"/>
                      </w:divBdr>
                    </w:div>
                  </w:divsChild>
                </w:div>
                <w:div w:id="1825319935">
                  <w:marLeft w:val="0"/>
                  <w:marRight w:val="0"/>
                  <w:marTop w:val="0"/>
                  <w:marBottom w:val="0"/>
                  <w:divBdr>
                    <w:top w:val="none" w:sz="0" w:space="0" w:color="auto"/>
                    <w:left w:val="none" w:sz="0" w:space="0" w:color="auto"/>
                    <w:bottom w:val="none" w:sz="0" w:space="0" w:color="auto"/>
                    <w:right w:val="none" w:sz="0" w:space="0" w:color="auto"/>
                  </w:divBdr>
                  <w:divsChild>
                    <w:div w:id="1076130276">
                      <w:marLeft w:val="0"/>
                      <w:marRight w:val="0"/>
                      <w:marTop w:val="0"/>
                      <w:marBottom w:val="0"/>
                      <w:divBdr>
                        <w:top w:val="none" w:sz="0" w:space="0" w:color="auto"/>
                        <w:left w:val="none" w:sz="0" w:space="0" w:color="auto"/>
                        <w:bottom w:val="none" w:sz="0" w:space="0" w:color="auto"/>
                        <w:right w:val="none" w:sz="0" w:space="0" w:color="auto"/>
                      </w:divBdr>
                    </w:div>
                  </w:divsChild>
                </w:div>
                <w:div w:id="1835798057">
                  <w:marLeft w:val="0"/>
                  <w:marRight w:val="0"/>
                  <w:marTop w:val="0"/>
                  <w:marBottom w:val="0"/>
                  <w:divBdr>
                    <w:top w:val="none" w:sz="0" w:space="0" w:color="auto"/>
                    <w:left w:val="none" w:sz="0" w:space="0" w:color="auto"/>
                    <w:bottom w:val="none" w:sz="0" w:space="0" w:color="auto"/>
                    <w:right w:val="none" w:sz="0" w:space="0" w:color="auto"/>
                  </w:divBdr>
                  <w:divsChild>
                    <w:div w:id="298917793">
                      <w:marLeft w:val="0"/>
                      <w:marRight w:val="0"/>
                      <w:marTop w:val="0"/>
                      <w:marBottom w:val="0"/>
                      <w:divBdr>
                        <w:top w:val="none" w:sz="0" w:space="0" w:color="auto"/>
                        <w:left w:val="none" w:sz="0" w:space="0" w:color="auto"/>
                        <w:bottom w:val="none" w:sz="0" w:space="0" w:color="auto"/>
                        <w:right w:val="none" w:sz="0" w:space="0" w:color="auto"/>
                      </w:divBdr>
                    </w:div>
                  </w:divsChild>
                </w:div>
                <w:div w:id="1836338585">
                  <w:marLeft w:val="0"/>
                  <w:marRight w:val="0"/>
                  <w:marTop w:val="0"/>
                  <w:marBottom w:val="0"/>
                  <w:divBdr>
                    <w:top w:val="none" w:sz="0" w:space="0" w:color="auto"/>
                    <w:left w:val="none" w:sz="0" w:space="0" w:color="auto"/>
                    <w:bottom w:val="none" w:sz="0" w:space="0" w:color="auto"/>
                    <w:right w:val="none" w:sz="0" w:space="0" w:color="auto"/>
                  </w:divBdr>
                  <w:divsChild>
                    <w:div w:id="53896118">
                      <w:marLeft w:val="0"/>
                      <w:marRight w:val="0"/>
                      <w:marTop w:val="0"/>
                      <w:marBottom w:val="0"/>
                      <w:divBdr>
                        <w:top w:val="none" w:sz="0" w:space="0" w:color="auto"/>
                        <w:left w:val="none" w:sz="0" w:space="0" w:color="auto"/>
                        <w:bottom w:val="none" w:sz="0" w:space="0" w:color="auto"/>
                        <w:right w:val="none" w:sz="0" w:space="0" w:color="auto"/>
                      </w:divBdr>
                    </w:div>
                  </w:divsChild>
                </w:div>
                <w:div w:id="1866744954">
                  <w:marLeft w:val="0"/>
                  <w:marRight w:val="0"/>
                  <w:marTop w:val="0"/>
                  <w:marBottom w:val="0"/>
                  <w:divBdr>
                    <w:top w:val="none" w:sz="0" w:space="0" w:color="auto"/>
                    <w:left w:val="none" w:sz="0" w:space="0" w:color="auto"/>
                    <w:bottom w:val="none" w:sz="0" w:space="0" w:color="auto"/>
                    <w:right w:val="none" w:sz="0" w:space="0" w:color="auto"/>
                  </w:divBdr>
                  <w:divsChild>
                    <w:div w:id="2136367153">
                      <w:marLeft w:val="0"/>
                      <w:marRight w:val="0"/>
                      <w:marTop w:val="0"/>
                      <w:marBottom w:val="0"/>
                      <w:divBdr>
                        <w:top w:val="none" w:sz="0" w:space="0" w:color="auto"/>
                        <w:left w:val="none" w:sz="0" w:space="0" w:color="auto"/>
                        <w:bottom w:val="none" w:sz="0" w:space="0" w:color="auto"/>
                        <w:right w:val="none" w:sz="0" w:space="0" w:color="auto"/>
                      </w:divBdr>
                    </w:div>
                  </w:divsChild>
                </w:div>
                <w:div w:id="1870295833">
                  <w:marLeft w:val="0"/>
                  <w:marRight w:val="0"/>
                  <w:marTop w:val="0"/>
                  <w:marBottom w:val="0"/>
                  <w:divBdr>
                    <w:top w:val="none" w:sz="0" w:space="0" w:color="auto"/>
                    <w:left w:val="none" w:sz="0" w:space="0" w:color="auto"/>
                    <w:bottom w:val="none" w:sz="0" w:space="0" w:color="auto"/>
                    <w:right w:val="none" w:sz="0" w:space="0" w:color="auto"/>
                  </w:divBdr>
                  <w:divsChild>
                    <w:div w:id="1891766413">
                      <w:marLeft w:val="0"/>
                      <w:marRight w:val="0"/>
                      <w:marTop w:val="0"/>
                      <w:marBottom w:val="0"/>
                      <w:divBdr>
                        <w:top w:val="none" w:sz="0" w:space="0" w:color="auto"/>
                        <w:left w:val="none" w:sz="0" w:space="0" w:color="auto"/>
                        <w:bottom w:val="none" w:sz="0" w:space="0" w:color="auto"/>
                        <w:right w:val="none" w:sz="0" w:space="0" w:color="auto"/>
                      </w:divBdr>
                    </w:div>
                  </w:divsChild>
                </w:div>
                <w:div w:id="1873418028">
                  <w:marLeft w:val="0"/>
                  <w:marRight w:val="0"/>
                  <w:marTop w:val="0"/>
                  <w:marBottom w:val="0"/>
                  <w:divBdr>
                    <w:top w:val="none" w:sz="0" w:space="0" w:color="auto"/>
                    <w:left w:val="none" w:sz="0" w:space="0" w:color="auto"/>
                    <w:bottom w:val="none" w:sz="0" w:space="0" w:color="auto"/>
                    <w:right w:val="none" w:sz="0" w:space="0" w:color="auto"/>
                  </w:divBdr>
                  <w:divsChild>
                    <w:div w:id="1464470014">
                      <w:marLeft w:val="0"/>
                      <w:marRight w:val="0"/>
                      <w:marTop w:val="0"/>
                      <w:marBottom w:val="0"/>
                      <w:divBdr>
                        <w:top w:val="none" w:sz="0" w:space="0" w:color="auto"/>
                        <w:left w:val="none" w:sz="0" w:space="0" w:color="auto"/>
                        <w:bottom w:val="none" w:sz="0" w:space="0" w:color="auto"/>
                        <w:right w:val="none" w:sz="0" w:space="0" w:color="auto"/>
                      </w:divBdr>
                    </w:div>
                  </w:divsChild>
                </w:div>
                <w:div w:id="1890609072">
                  <w:marLeft w:val="0"/>
                  <w:marRight w:val="0"/>
                  <w:marTop w:val="0"/>
                  <w:marBottom w:val="0"/>
                  <w:divBdr>
                    <w:top w:val="none" w:sz="0" w:space="0" w:color="auto"/>
                    <w:left w:val="none" w:sz="0" w:space="0" w:color="auto"/>
                    <w:bottom w:val="none" w:sz="0" w:space="0" w:color="auto"/>
                    <w:right w:val="none" w:sz="0" w:space="0" w:color="auto"/>
                  </w:divBdr>
                  <w:divsChild>
                    <w:div w:id="1085880804">
                      <w:marLeft w:val="0"/>
                      <w:marRight w:val="0"/>
                      <w:marTop w:val="0"/>
                      <w:marBottom w:val="0"/>
                      <w:divBdr>
                        <w:top w:val="none" w:sz="0" w:space="0" w:color="auto"/>
                        <w:left w:val="none" w:sz="0" w:space="0" w:color="auto"/>
                        <w:bottom w:val="none" w:sz="0" w:space="0" w:color="auto"/>
                        <w:right w:val="none" w:sz="0" w:space="0" w:color="auto"/>
                      </w:divBdr>
                    </w:div>
                  </w:divsChild>
                </w:div>
                <w:div w:id="1895383000">
                  <w:marLeft w:val="0"/>
                  <w:marRight w:val="0"/>
                  <w:marTop w:val="0"/>
                  <w:marBottom w:val="0"/>
                  <w:divBdr>
                    <w:top w:val="none" w:sz="0" w:space="0" w:color="auto"/>
                    <w:left w:val="none" w:sz="0" w:space="0" w:color="auto"/>
                    <w:bottom w:val="none" w:sz="0" w:space="0" w:color="auto"/>
                    <w:right w:val="none" w:sz="0" w:space="0" w:color="auto"/>
                  </w:divBdr>
                  <w:divsChild>
                    <w:div w:id="965231320">
                      <w:marLeft w:val="0"/>
                      <w:marRight w:val="0"/>
                      <w:marTop w:val="0"/>
                      <w:marBottom w:val="0"/>
                      <w:divBdr>
                        <w:top w:val="none" w:sz="0" w:space="0" w:color="auto"/>
                        <w:left w:val="none" w:sz="0" w:space="0" w:color="auto"/>
                        <w:bottom w:val="none" w:sz="0" w:space="0" w:color="auto"/>
                        <w:right w:val="none" w:sz="0" w:space="0" w:color="auto"/>
                      </w:divBdr>
                    </w:div>
                  </w:divsChild>
                </w:div>
                <w:div w:id="1899440083">
                  <w:marLeft w:val="0"/>
                  <w:marRight w:val="0"/>
                  <w:marTop w:val="0"/>
                  <w:marBottom w:val="0"/>
                  <w:divBdr>
                    <w:top w:val="none" w:sz="0" w:space="0" w:color="auto"/>
                    <w:left w:val="none" w:sz="0" w:space="0" w:color="auto"/>
                    <w:bottom w:val="none" w:sz="0" w:space="0" w:color="auto"/>
                    <w:right w:val="none" w:sz="0" w:space="0" w:color="auto"/>
                  </w:divBdr>
                  <w:divsChild>
                    <w:div w:id="1930652719">
                      <w:marLeft w:val="0"/>
                      <w:marRight w:val="0"/>
                      <w:marTop w:val="0"/>
                      <w:marBottom w:val="0"/>
                      <w:divBdr>
                        <w:top w:val="none" w:sz="0" w:space="0" w:color="auto"/>
                        <w:left w:val="none" w:sz="0" w:space="0" w:color="auto"/>
                        <w:bottom w:val="none" w:sz="0" w:space="0" w:color="auto"/>
                        <w:right w:val="none" w:sz="0" w:space="0" w:color="auto"/>
                      </w:divBdr>
                    </w:div>
                  </w:divsChild>
                </w:div>
                <w:div w:id="1910460814">
                  <w:marLeft w:val="0"/>
                  <w:marRight w:val="0"/>
                  <w:marTop w:val="0"/>
                  <w:marBottom w:val="0"/>
                  <w:divBdr>
                    <w:top w:val="none" w:sz="0" w:space="0" w:color="auto"/>
                    <w:left w:val="none" w:sz="0" w:space="0" w:color="auto"/>
                    <w:bottom w:val="none" w:sz="0" w:space="0" w:color="auto"/>
                    <w:right w:val="none" w:sz="0" w:space="0" w:color="auto"/>
                  </w:divBdr>
                  <w:divsChild>
                    <w:div w:id="123355270">
                      <w:marLeft w:val="0"/>
                      <w:marRight w:val="0"/>
                      <w:marTop w:val="0"/>
                      <w:marBottom w:val="0"/>
                      <w:divBdr>
                        <w:top w:val="none" w:sz="0" w:space="0" w:color="auto"/>
                        <w:left w:val="none" w:sz="0" w:space="0" w:color="auto"/>
                        <w:bottom w:val="none" w:sz="0" w:space="0" w:color="auto"/>
                        <w:right w:val="none" w:sz="0" w:space="0" w:color="auto"/>
                      </w:divBdr>
                    </w:div>
                  </w:divsChild>
                </w:div>
                <w:div w:id="1910578180">
                  <w:marLeft w:val="0"/>
                  <w:marRight w:val="0"/>
                  <w:marTop w:val="0"/>
                  <w:marBottom w:val="0"/>
                  <w:divBdr>
                    <w:top w:val="none" w:sz="0" w:space="0" w:color="auto"/>
                    <w:left w:val="none" w:sz="0" w:space="0" w:color="auto"/>
                    <w:bottom w:val="none" w:sz="0" w:space="0" w:color="auto"/>
                    <w:right w:val="none" w:sz="0" w:space="0" w:color="auto"/>
                  </w:divBdr>
                  <w:divsChild>
                    <w:div w:id="1379864403">
                      <w:marLeft w:val="0"/>
                      <w:marRight w:val="0"/>
                      <w:marTop w:val="0"/>
                      <w:marBottom w:val="0"/>
                      <w:divBdr>
                        <w:top w:val="none" w:sz="0" w:space="0" w:color="auto"/>
                        <w:left w:val="none" w:sz="0" w:space="0" w:color="auto"/>
                        <w:bottom w:val="none" w:sz="0" w:space="0" w:color="auto"/>
                        <w:right w:val="none" w:sz="0" w:space="0" w:color="auto"/>
                      </w:divBdr>
                    </w:div>
                  </w:divsChild>
                </w:div>
                <w:div w:id="1913078679">
                  <w:marLeft w:val="0"/>
                  <w:marRight w:val="0"/>
                  <w:marTop w:val="0"/>
                  <w:marBottom w:val="0"/>
                  <w:divBdr>
                    <w:top w:val="none" w:sz="0" w:space="0" w:color="auto"/>
                    <w:left w:val="none" w:sz="0" w:space="0" w:color="auto"/>
                    <w:bottom w:val="none" w:sz="0" w:space="0" w:color="auto"/>
                    <w:right w:val="none" w:sz="0" w:space="0" w:color="auto"/>
                  </w:divBdr>
                  <w:divsChild>
                    <w:div w:id="585498940">
                      <w:marLeft w:val="0"/>
                      <w:marRight w:val="0"/>
                      <w:marTop w:val="0"/>
                      <w:marBottom w:val="0"/>
                      <w:divBdr>
                        <w:top w:val="none" w:sz="0" w:space="0" w:color="auto"/>
                        <w:left w:val="none" w:sz="0" w:space="0" w:color="auto"/>
                        <w:bottom w:val="none" w:sz="0" w:space="0" w:color="auto"/>
                        <w:right w:val="none" w:sz="0" w:space="0" w:color="auto"/>
                      </w:divBdr>
                    </w:div>
                  </w:divsChild>
                </w:div>
                <w:div w:id="1928607869">
                  <w:marLeft w:val="0"/>
                  <w:marRight w:val="0"/>
                  <w:marTop w:val="0"/>
                  <w:marBottom w:val="0"/>
                  <w:divBdr>
                    <w:top w:val="none" w:sz="0" w:space="0" w:color="auto"/>
                    <w:left w:val="none" w:sz="0" w:space="0" w:color="auto"/>
                    <w:bottom w:val="none" w:sz="0" w:space="0" w:color="auto"/>
                    <w:right w:val="none" w:sz="0" w:space="0" w:color="auto"/>
                  </w:divBdr>
                  <w:divsChild>
                    <w:div w:id="707755643">
                      <w:marLeft w:val="0"/>
                      <w:marRight w:val="0"/>
                      <w:marTop w:val="0"/>
                      <w:marBottom w:val="0"/>
                      <w:divBdr>
                        <w:top w:val="none" w:sz="0" w:space="0" w:color="auto"/>
                        <w:left w:val="none" w:sz="0" w:space="0" w:color="auto"/>
                        <w:bottom w:val="none" w:sz="0" w:space="0" w:color="auto"/>
                        <w:right w:val="none" w:sz="0" w:space="0" w:color="auto"/>
                      </w:divBdr>
                    </w:div>
                  </w:divsChild>
                </w:div>
                <w:div w:id="1930698150">
                  <w:marLeft w:val="0"/>
                  <w:marRight w:val="0"/>
                  <w:marTop w:val="0"/>
                  <w:marBottom w:val="0"/>
                  <w:divBdr>
                    <w:top w:val="none" w:sz="0" w:space="0" w:color="auto"/>
                    <w:left w:val="none" w:sz="0" w:space="0" w:color="auto"/>
                    <w:bottom w:val="none" w:sz="0" w:space="0" w:color="auto"/>
                    <w:right w:val="none" w:sz="0" w:space="0" w:color="auto"/>
                  </w:divBdr>
                  <w:divsChild>
                    <w:div w:id="1119834180">
                      <w:marLeft w:val="0"/>
                      <w:marRight w:val="0"/>
                      <w:marTop w:val="0"/>
                      <w:marBottom w:val="0"/>
                      <w:divBdr>
                        <w:top w:val="none" w:sz="0" w:space="0" w:color="auto"/>
                        <w:left w:val="none" w:sz="0" w:space="0" w:color="auto"/>
                        <w:bottom w:val="none" w:sz="0" w:space="0" w:color="auto"/>
                        <w:right w:val="none" w:sz="0" w:space="0" w:color="auto"/>
                      </w:divBdr>
                    </w:div>
                  </w:divsChild>
                </w:div>
                <w:div w:id="1937857766">
                  <w:marLeft w:val="0"/>
                  <w:marRight w:val="0"/>
                  <w:marTop w:val="0"/>
                  <w:marBottom w:val="0"/>
                  <w:divBdr>
                    <w:top w:val="none" w:sz="0" w:space="0" w:color="auto"/>
                    <w:left w:val="none" w:sz="0" w:space="0" w:color="auto"/>
                    <w:bottom w:val="none" w:sz="0" w:space="0" w:color="auto"/>
                    <w:right w:val="none" w:sz="0" w:space="0" w:color="auto"/>
                  </w:divBdr>
                  <w:divsChild>
                    <w:div w:id="730424353">
                      <w:marLeft w:val="0"/>
                      <w:marRight w:val="0"/>
                      <w:marTop w:val="0"/>
                      <w:marBottom w:val="0"/>
                      <w:divBdr>
                        <w:top w:val="none" w:sz="0" w:space="0" w:color="auto"/>
                        <w:left w:val="none" w:sz="0" w:space="0" w:color="auto"/>
                        <w:bottom w:val="none" w:sz="0" w:space="0" w:color="auto"/>
                        <w:right w:val="none" w:sz="0" w:space="0" w:color="auto"/>
                      </w:divBdr>
                    </w:div>
                  </w:divsChild>
                </w:div>
                <w:div w:id="1937860725">
                  <w:marLeft w:val="0"/>
                  <w:marRight w:val="0"/>
                  <w:marTop w:val="0"/>
                  <w:marBottom w:val="0"/>
                  <w:divBdr>
                    <w:top w:val="none" w:sz="0" w:space="0" w:color="auto"/>
                    <w:left w:val="none" w:sz="0" w:space="0" w:color="auto"/>
                    <w:bottom w:val="none" w:sz="0" w:space="0" w:color="auto"/>
                    <w:right w:val="none" w:sz="0" w:space="0" w:color="auto"/>
                  </w:divBdr>
                  <w:divsChild>
                    <w:div w:id="1291859057">
                      <w:marLeft w:val="0"/>
                      <w:marRight w:val="0"/>
                      <w:marTop w:val="0"/>
                      <w:marBottom w:val="0"/>
                      <w:divBdr>
                        <w:top w:val="none" w:sz="0" w:space="0" w:color="auto"/>
                        <w:left w:val="none" w:sz="0" w:space="0" w:color="auto"/>
                        <w:bottom w:val="none" w:sz="0" w:space="0" w:color="auto"/>
                        <w:right w:val="none" w:sz="0" w:space="0" w:color="auto"/>
                      </w:divBdr>
                    </w:div>
                  </w:divsChild>
                </w:div>
                <w:div w:id="1956406638">
                  <w:marLeft w:val="0"/>
                  <w:marRight w:val="0"/>
                  <w:marTop w:val="0"/>
                  <w:marBottom w:val="0"/>
                  <w:divBdr>
                    <w:top w:val="none" w:sz="0" w:space="0" w:color="auto"/>
                    <w:left w:val="none" w:sz="0" w:space="0" w:color="auto"/>
                    <w:bottom w:val="none" w:sz="0" w:space="0" w:color="auto"/>
                    <w:right w:val="none" w:sz="0" w:space="0" w:color="auto"/>
                  </w:divBdr>
                  <w:divsChild>
                    <w:div w:id="1405375033">
                      <w:marLeft w:val="0"/>
                      <w:marRight w:val="0"/>
                      <w:marTop w:val="0"/>
                      <w:marBottom w:val="0"/>
                      <w:divBdr>
                        <w:top w:val="none" w:sz="0" w:space="0" w:color="auto"/>
                        <w:left w:val="none" w:sz="0" w:space="0" w:color="auto"/>
                        <w:bottom w:val="none" w:sz="0" w:space="0" w:color="auto"/>
                        <w:right w:val="none" w:sz="0" w:space="0" w:color="auto"/>
                      </w:divBdr>
                    </w:div>
                  </w:divsChild>
                </w:div>
                <w:div w:id="1959333077">
                  <w:marLeft w:val="0"/>
                  <w:marRight w:val="0"/>
                  <w:marTop w:val="0"/>
                  <w:marBottom w:val="0"/>
                  <w:divBdr>
                    <w:top w:val="none" w:sz="0" w:space="0" w:color="auto"/>
                    <w:left w:val="none" w:sz="0" w:space="0" w:color="auto"/>
                    <w:bottom w:val="none" w:sz="0" w:space="0" w:color="auto"/>
                    <w:right w:val="none" w:sz="0" w:space="0" w:color="auto"/>
                  </w:divBdr>
                  <w:divsChild>
                    <w:div w:id="401953884">
                      <w:marLeft w:val="0"/>
                      <w:marRight w:val="0"/>
                      <w:marTop w:val="0"/>
                      <w:marBottom w:val="0"/>
                      <w:divBdr>
                        <w:top w:val="none" w:sz="0" w:space="0" w:color="auto"/>
                        <w:left w:val="none" w:sz="0" w:space="0" w:color="auto"/>
                        <w:bottom w:val="none" w:sz="0" w:space="0" w:color="auto"/>
                        <w:right w:val="none" w:sz="0" w:space="0" w:color="auto"/>
                      </w:divBdr>
                    </w:div>
                  </w:divsChild>
                </w:div>
                <w:div w:id="1960454788">
                  <w:marLeft w:val="0"/>
                  <w:marRight w:val="0"/>
                  <w:marTop w:val="0"/>
                  <w:marBottom w:val="0"/>
                  <w:divBdr>
                    <w:top w:val="none" w:sz="0" w:space="0" w:color="auto"/>
                    <w:left w:val="none" w:sz="0" w:space="0" w:color="auto"/>
                    <w:bottom w:val="none" w:sz="0" w:space="0" w:color="auto"/>
                    <w:right w:val="none" w:sz="0" w:space="0" w:color="auto"/>
                  </w:divBdr>
                  <w:divsChild>
                    <w:div w:id="1865560958">
                      <w:marLeft w:val="0"/>
                      <w:marRight w:val="0"/>
                      <w:marTop w:val="0"/>
                      <w:marBottom w:val="0"/>
                      <w:divBdr>
                        <w:top w:val="none" w:sz="0" w:space="0" w:color="auto"/>
                        <w:left w:val="none" w:sz="0" w:space="0" w:color="auto"/>
                        <w:bottom w:val="none" w:sz="0" w:space="0" w:color="auto"/>
                        <w:right w:val="none" w:sz="0" w:space="0" w:color="auto"/>
                      </w:divBdr>
                    </w:div>
                  </w:divsChild>
                </w:div>
                <w:div w:id="1967078229">
                  <w:marLeft w:val="0"/>
                  <w:marRight w:val="0"/>
                  <w:marTop w:val="0"/>
                  <w:marBottom w:val="0"/>
                  <w:divBdr>
                    <w:top w:val="none" w:sz="0" w:space="0" w:color="auto"/>
                    <w:left w:val="none" w:sz="0" w:space="0" w:color="auto"/>
                    <w:bottom w:val="none" w:sz="0" w:space="0" w:color="auto"/>
                    <w:right w:val="none" w:sz="0" w:space="0" w:color="auto"/>
                  </w:divBdr>
                  <w:divsChild>
                    <w:div w:id="2084989309">
                      <w:marLeft w:val="0"/>
                      <w:marRight w:val="0"/>
                      <w:marTop w:val="0"/>
                      <w:marBottom w:val="0"/>
                      <w:divBdr>
                        <w:top w:val="none" w:sz="0" w:space="0" w:color="auto"/>
                        <w:left w:val="none" w:sz="0" w:space="0" w:color="auto"/>
                        <w:bottom w:val="none" w:sz="0" w:space="0" w:color="auto"/>
                        <w:right w:val="none" w:sz="0" w:space="0" w:color="auto"/>
                      </w:divBdr>
                    </w:div>
                  </w:divsChild>
                </w:div>
                <w:div w:id="1972586487">
                  <w:marLeft w:val="0"/>
                  <w:marRight w:val="0"/>
                  <w:marTop w:val="0"/>
                  <w:marBottom w:val="0"/>
                  <w:divBdr>
                    <w:top w:val="none" w:sz="0" w:space="0" w:color="auto"/>
                    <w:left w:val="none" w:sz="0" w:space="0" w:color="auto"/>
                    <w:bottom w:val="none" w:sz="0" w:space="0" w:color="auto"/>
                    <w:right w:val="none" w:sz="0" w:space="0" w:color="auto"/>
                  </w:divBdr>
                  <w:divsChild>
                    <w:div w:id="1815950456">
                      <w:marLeft w:val="0"/>
                      <w:marRight w:val="0"/>
                      <w:marTop w:val="0"/>
                      <w:marBottom w:val="0"/>
                      <w:divBdr>
                        <w:top w:val="none" w:sz="0" w:space="0" w:color="auto"/>
                        <w:left w:val="none" w:sz="0" w:space="0" w:color="auto"/>
                        <w:bottom w:val="none" w:sz="0" w:space="0" w:color="auto"/>
                        <w:right w:val="none" w:sz="0" w:space="0" w:color="auto"/>
                      </w:divBdr>
                    </w:div>
                  </w:divsChild>
                </w:div>
                <w:div w:id="1977024855">
                  <w:marLeft w:val="0"/>
                  <w:marRight w:val="0"/>
                  <w:marTop w:val="0"/>
                  <w:marBottom w:val="0"/>
                  <w:divBdr>
                    <w:top w:val="none" w:sz="0" w:space="0" w:color="auto"/>
                    <w:left w:val="none" w:sz="0" w:space="0" w:color="auto"/>
                    <w:bottom w:val="none" w:sz="0" w:space="0" w:color="auto"/>
                    <w:right w:val="none" w:sz="0" w:space="0" w:color="auto"/>
                  </w:divBdr>
                  <w:divsChild>
                    <w:div w:id="1080980144">
                      <w:marLeft w:val="0"/>
                      <w:marRight w:val="0"/>
                      <w:marTop w:val="0"/>
                      <w:marBottom w:val="0"/>
                      <w:divBdr>
                        <w:top w:val="none" w:sz="0" w:space="0" w:color="auto"/>
                        <w:left w:val="none" w:sz="0" w:space="0" w:color="auto"/>
                        <w:bottom w:val="none" w:sz="0" w:space="0" w:color="auto"/>
                        <w:right w:val="none" w:sz="0" w:space="0" w:color="auto"/>
                      </w:divBdr>
                    </w:div>
                  </w:divsChild>
                </w:div>
                <w:div w:id="1982074192">
                  <w:marLeft w:val="0"/>
                  <w:marRight w:val="0"/>
                  <w:marTop w:val="0"/>
                  <w:marBottom w:val="0"/>
                  <w:divBdr>
                    <w:top w:val="none" w:sz="0" w:space="0" w:color="auto"/>
                    <w:left w:val="none" w:sz="0" w:space="0" w:color="auto"/>
                    <w:bottom w:val="none" w:sz="0" w:space="0" w:color="auto"/>
                    <w:right w:val="none" w:sz="0" w:space="0" w:color="auto"/>
                  </w:divBdr>
                  <w:divsChild>
                    <w:div w:id="149709951">
                      <w:marLeft w:val="0"/>
                      <w:marRight w:val="0"/>
                      <w:marTop w:val="0"/>
                      <w:marBottom w:val="0"/>
                      <w:divBdr>
                        <w:top w:val="none" w:sz="0" w:space="0" w:color="auto"/>
                        <w:left w:val="none" w:sz="0" w:space="0" w:color="auto"/>
                        <w:bottom w:val="none" w:sz="0" w:space="0" w:color="auto"/>
                        <w:right w:val="none" w:sz="0" w:space="0" w:color="auto"/>
                      </w:divBdr>
                    </w:div>
                  </w:divsChild>
                </w:div>
                <w:div w:id="1988312832">
                  <w:marLeft w:val="0"/>
                  <w:marRight w:val="0"/>
                  <w:marTop w:val="0"/>
                  <w:marBottom w:val="0"/>
                  <w:divBdr>
                    <w:top w:val="none" w:sz="0" w:space="0" w:color="auto"/>
                    <w:left w:val="none" w:sz="0" w:space="0" w:color="auto"/>
                    <w:bottom w:val="none" w:sz="0" w:space="0" w:color="auto"/>
                    <w:right w:val="none" w:sz="0" w:space="0" w:color="auto"/>
                  </w:divBdr>
                  <w:divsChild>
                    <w:div w:id="296646367">
                      <w:marLeft w:val="0"/>
                      <w:marRight w:val="0"/>
                      <w:marTop w:val="0"/>
                      <w:marBottom w:val="0"/>
                      <w:divBdr>
                        <w:top w:val="none" w:sz="0" w:space="0" w:color="auto"/>
                        <w:left w:val="none" w:sz="0" w:space="0" w:color="auto"/>
                        <w:bottom w:val="none" w:sz="0" w:space="0" w:color="auto"/>
                        <w:right w:val="none" w:sz="0" w:space="0" w:color="auto"/>
                      </w:divBdr>
                    </w:div>
                  </w:divsChild>
                </w:div>
                <w:div w:id="1999722389">
                  <w:marLeft w:val="0"/>
                  <w:marRight w:val="0"/>
                  <w:marTop w:val="0"/>
                  <w:marBottom w:val="0"/>
                  <w:divBdr>
                    <w:top w:val="none" w:sz="0" w:space="0" w:color="auto"/>
                    <w:left w:val="none" w:sz="0" w:space="0" w:color="auto"/>
                    <w:bottom w:val="none" w:sz="0" w:space="0" w:color="auto"/>
                    <w:right w:val="none" w:sz="0" w:space="0" w:color="auto"/>
                  </w:divBdr>
                  <w:divsChild>
                    <w:div w:id="1419323504">
                      <w:marLeft w:val="0"/>
                      <w:marRight w:val="0"/>
                      <w:marTop w:val="0"/>
                      <w:marBottom w:val="0"/>
                      <w:divBdr>
                        <w:top w:val="none" w:sz="0" w:space="0" w:color="auto"/>
                        <w:left w:val="none" w:sz="0" w:space="0" w:color="auto"/>
                        <w:bottom w:val="none" w:sz="0" w:space="0" w:color="auto"/>
                        <w:right w:val="none" w:sz="0" w:space="0" w:color="auto"/>
                      </w:divBdr>
                    </w:div>
                  </w:divsChild>
                </w:div>
                <w:div w:id="2000225596">
                  <w:marLeft w:val="0"/>
                  <w:marRight w:val="0"/>
                  <w:marTop w:val="0"/>
                  <w:marBottom w:val="0"/>
                  <w:divBdr>
                    <w:top w:val="none" w:sz="0" w:space="0" w:color="auto"/>
                    <w:left w:val="none" w:sz="0" w:space="0" w:color="auto"/>
                    <w:bottom w:val="none" w:sz="0" w:space="0" w:color="auto"/>
                    <w:right w:val="none" w:sz="0" w:space="0" w:color="auto"/>
                  </w:divBdr>
                  <w:divsChild>
                    <w:div w:id="391395378">
                      <w:marLeft w:val="0"/>
                      <w:marRight w:val="0"/>
                      <w:marTop w:val="0"/>
                      <w:marBottom w:val="0"/>
                      <w:divBdr>
                        <w:top w:val="none" w:sz="0" w:space="0" w:color="auto"/>
                        <w:left w:val="none" w:sz="0" w:space="0" w:color="auto"/>
                        <w:bottom w:val="none" w:sz="0" w:space="0" w:color="auto"/>
                        <w:right w:val="none" w:sz="0" w:space="0" w:color="auto"/>
                      </w:divBdr>
                    </w:div>
                  </w:divsChild>
                </w:div>
                <w:div w:id="2005669374">
                  <w:marLeft w:val="0"/>
                  <w:marRight w:val="0"/>
                  <w:marTop w:val="0"/>
                  <w:marBottom w:val="0"/>
                  <w:divBdr>
                    <w:top w:val="none" w:sz="0" w:space="0" w:color="auto"/>
                    <w:left w:val="none" w:sz="0" w:space="0" w:color="auto"/>
                    <w:bottom w:val="none" w:sz="0" w:space="0" w:color="auto"/>
                    <w:right w:val="none" w:sz="0" w:space="0" w:color="auto"/>
                  </w:divBdr>
                  <w:divsChild>
                    <w:div w:id="1878347174">
                      <w:marLeft w:val="0"/>
                      <w:marRight w:val="0"/>
                      <w:marTop w:val="0"/>
                      <w:marBottom w:val="0"/>
                      <w:divBdr>
                        <w:top w:val="none" w:sz="0" w:space="0" w:color="auto"/>
                        <w:left w:val="none" w:sz="0" w:space="0" w:color="auto"/>
                        <w:bottom w:val="none" w:sz="0" w:space="0" w:color="auto"/>
                        <w:right w:val="none" w:sz="0" w:space="0" w:color="auto"/>
                      </w:divBdr>
                    </w:div>
                  </w:divsChild>
                </w:div>
                <w:div w:id="2012177583">
                  <w:marLeft w:val="0"/>
                  <w:marRight w:val="0"/>
                  <w:marTop w:val="0"/>
                  <w:marBottom w:val="0"/>
                  <w:divBdr>
                    <w:top w:val="none" w:sz="0" w:space="0" w:color="auto"/>
                    <w:left w:val="none" w:sz="0" w:space="0" w:color="auto"/>
                    <w:bottom w:val="none" w:sz="0" w:space="0" w:color="auto"/>
                    <w:right w:val="none" w:sz="0" w:space="0" w:color="auto"/>
                  </w:divBdr>
                  <w:divsChild>
                    <w:div w:id="542211798">
                      <w:marLeft w:val="0"/>
                      <w:marRight w:val="0"/>
                      <w:marTop w:val="0"/>
                      <w:marBottom w:val="0"/>
                      <w:divBdr>
                        <w:top w:val="none" w:sz="0" w:space="0" w:color="auto"/>
                        <w:left w:val="none" w:sz="0" w:space="0" w:color="auto"/>
                        <w:bottom w:val="none" w:sz="0" w:space="0" w:color="auto"/>
                        <w:right w:val="none" w:sz="0" w:space="0" w:color="auto"/>
                      </w:divBdr>
                    </w:div>
                  </w:divsChild>
                </w:div>
                <w:div w:id="2031029923">
                  <w:marLeft w:val="0"/>
                  <w:marRight w:val="0"/>
                  <w:marTop w:val="0"/>
                  <w:marBottom w:val="0"/>
                  <w:divBdr>
                    <w:top w:val="none" w:sz="0" w:space="0" w:color="auto"/>
                    <w:left w:val="none" w:sz="0" w:space="0" w:color="auto"/>
                    <w:bottom w:val="none" w:sz="0" w:space="0" w:color="auto"/>
                    <w:right w:val="none" w:sz="0" w:space="0" w:color="auto"/>
                  </w:divBdr>
                  <w:divsChild>
                    <w:div w:id="616568243">
                      <w:marLeft w:val="0"/>
                      <w:marRight w:val="0"/>
                      <w:marTop w:val="0"/>
                      <w:marBottom w:val="0"/>
                      <w:divBdr>
                        <w:top w:val="none" w:sz="0" w:space="0" w:color="auto"/>
                        <w:left w:val="none" w:sz="0" w:space="0" w:color="auto"/>
                        <w:bottom w:val="none" w:sz="0" w:space="0" w:color="auto"/>
                        <w:right w:val="none" w:sz="0" w:space="0" w:color="auto"/>
                      </w:divBdr>
                    </w:div>
                  </w:divsChild>
                </w:div>
                <w:div w:id="2040858628">
                  <w:marLeft w:val="0"/>
                  <w:marRight w:val="0"/>
                  <w:marTop w:val="0"/>
                  <w:marBottom w:val="0"/>
                  <w:divBdr>
                    <w:top w:val="none" w:sz="0" w:space="0" w:color="auto"/>
                    <w:left w:val="none" w:sz="0" w:space="0" w:color="auto"/>
                    <w:bottom w:val="none" w:sz="0" w:space="0" w:color="auto"/>
                    <w:right w:val="none" w:sz="0" w:space="0" w:color="auto"/>
                  </w:divBdr>
                  <w:divsChild>
                    <w:div w:id="1114833039">
                      <w:marLeft w:val="0"/>
                      <w:marRight w:val="0"/>
                      <w:marTop w:val="0"/>
                      <w:marBottom w:val="0"/>
                      <w:divBdr>
                        <w:top w:val="none" w:sz="0" w:space="0" w:color="auto"/>
                        <w:left w:val="none" w:sz="0" w:space="0" w:color="auto"/>
                        <w:bottom w:val="none" w:sz="0" w:space="0" w:color="auto"/>
                        <w:right w:val="none" w:sz="0" w:space="0" w:color="auto"/>
                      </w:divBdr>
                    </w:div>
                  </w:divsChild>
                </w:div>
                <w:div w:id="2040886386">
                  <w:marLeft w:val="0"/>
                  <w:marRight w:val="0"/>
                  <w:marTop w:val="0"/>
                  <w:marBottom w:val="0"/>
                  <w:divBdr>
                    <w:top w:val="none" w:sz="0" w:space="0" w:color="auto"/>
                    <w:left w:val="none" w:sz="0" w:space="0" w:color="auto"/>
                    <w:bottom w:val="none" w:sz="0" w:space="0" w:color="auto"/>
                    <w:right w:val="none" w:sz="0" w:space="0" w:color="auto"/>
                  </w:divBdr>
                  <w:divsChild>
                    <w:div w:id="373315246">
                      <w:marLeft w:val="0"/>
                      <w:marRight w:val="0"/>
                      <w:marTop w:val="0"/>
                      <w:marBottom w:val="0"/>
                      <w:divBdr>
                        <w:top w:val="none" w:sz="0" w:space="0" w:color="auto"/>
                        <w:left w:val="none" w:sz="0" w:space="0" w:color="auto"/>
                        <w:bottom w:val="none" w:sz="0" w:space="0" w:color="auto"/>
                        <w:right w:val="none" w:sz="0" w:space="0" w:color="auto"/>
                      </w:divBdr>
                    </w:div>
                  </w:divsChild>
                </w:div>
                <w:div w:id="2050915823">
                  <w:marLeft w:val="0"/>
                  <w:marRight w:val="0"/>
                  <w:marTop w:val="0"/>
                  <w:marBottom w:val="0"/>
                  <w:divBdr>
                    <w:top w:val="none" w:sz="0" w:space="0" w:color="auto"/>
                    <w:left w:val="none" w:sz="0" w:space="0" w:color="auto"/>
                    <w:bottom w:val="none" w:sz="0" w:space="0" w:color="auto"/>
                    <w:right w:val="none" w:sz="0" w:space="0" w:color="auto"/>
                  </w:divBdr>
                  <w:divsChild>
                    <w:div w:id="392199954">
                      <w:marLeft w:val="0"/>
                      <w:marRight w:val="0"/>
                      <w:marTop w:val="0"/>
                      <w:marBottom w:val="0"/>
                      <w:divBdr>
                        <w:top w:val="none" w:sz="0" w:space="0" w:color="auto"/>
                        <w:left w:val="none" w:sz="0" w:space="0" w:color="auto"/>
                        <w:bottom w:val="none" w:sz="0" w:space="0" w:color="auto"/>
                        <w:right w:val="none" w:sz="0" w:space="0" w:color="auto"/>
                      </w:divBdr>
                    </w:div>
                  </w:divsChild>
                </w:div>
                <w:div w:id="2057968391">
                  <w:marLeft w:val="0"/>
                  <w:marRight w:val="0"/>
                  <w:marTop w:val="0"/>
                  <w:marBottom w:val="0"/>
                  <w:divBdr>
                    <w:top w:val="none" w:sz="0" w:space="0" w:color="auto"/>
                    <w:left w:val="none" w:sz="0" w:space="0" w:color="auto"/>
                    <w:bottom w:val="none" w:sz="0" w:space="0" w:color="auto"/>
                    <w:right w:val="none" w:sz="0" w:space="0" w:color="auto"/>
                  </w:divBdr>
                  <w:divsChild>
                    <w:div w:id="93015549">
                      <w:marLeft w:val="0"/>
                      <w:marRight w:val="0"/>
                      <w:marTop w:val="0"/>
                      <w:marBottom w:val="0"/>
                      <w:divBdr>
                        <w:top w:val="none" w:sz="0" w:space="0" w:color="auto"/>
                        <w:left w:val="none" w:sz="0" w:space="0" w:color="auto"/>
                        <w:bottom w:val="none" w:sz="0" w:space="0" w:color="auto"/>
                        <w:right w:val="none" w:sz="0" w:space="0" w:color="auto"/>
                      </w:divBdr>
                    </w:div>
                  </w:divsChild>
                </w:div>
                <w:div w:id="2064014629">
                  <w:marLeft w:val="0"/>
                  <w:marRight w:val="0"/>
                  <w:marTop w:val="0"/>
                  <w:marBottom w:val="0"/>
                  <w:divBdr>
                    <w:top w:val="none" w:sz="0" w:space="0" w:color="auto"/>
                    <w:left w:val="none" w:sz="0" w:space="0" w:color="auto"/>
                    <w:bottom w:val="none" w:sz="0" w:space="0" w:color="auto"/>
                    <w:right w:val="none" w:sz="0" w:space="0" w:color="auto"/>
                  </w:divBdr>
                  <w:divsChild>
                    <w:div w:id="150143826">
                      <w:marLeft w:val="0"/>
                      <w:marRight w:val="0"/>
                      <w:marTop w:val="0"/>
                      <w:marBottom w:val="0"/>
                      <w:divBdr>
                        <w:top w:val="none" w:sz="0" w:space="0" w:color="auto"/>
                        <w:left w:val="none" w:sz="0" w:space="0" w:color="auto"/>
                        <w:bottom w:val="none" w:sz="0" w:space="0" w:color="auto"/>
                        <w:right w:val="none" w:sz="0" w:space="0" w:color="auto"/>
                      </w:divBdr>
                    </w:div>
                  </w:divsChild>
                </w:div>
                <w:div w:id="2065106316">
                  <w:marLeft w:val="0"/>
                  <w:marRight w:val="0"/>
                  <w:marTop w:val="0"/>
                  <w:marBottom w:val="0"/>
                  <w:divBdr>
                    <w:top w:val="none" w:sz="0" w:space="0" w:color="auto"/>
                    <w:left w:val="none" w:sz="0" w:space="0" w:color="auto"/>
                    <w:bottom w:val="none" w:sz="0" w:space="0" w:color="auto"/>
                    <w:right w:val="none" w:sz="0" w:space="0" w:color="auto"/>
                  </w:divBdr>
                  <w:divsChild>
                    <w:div w:id="498665179">
                      <w:marLeft w:val="0"/>
                      <w:marRight w:val="0"/>
                      <w:marTop w:val="0"/>
                      <w:marBottom w:val="0"/>
                      <w:divBdr>
                        <w:top w:val="none" w:sz="0" w:space="0" w:color="auto"/>
                        <w:left w:val="none" w:sz="0" w:space="0" w:color="auto"/>
                        <w:bottom w:val="none" w:sz="0" w:space="0" w:color="auto"/>
                        <w:right w:val="none" w:sz="0" w:space="0" w:color="auto"/>
                      </w:divBdr>
                    </w:div>
                  </w:divsChild>
                </w:div>
                <w:div w:id="2069453351">
                  <w:marLeft w:val="0"/>
                  <w:marRight w:val="0"/>
                  <w:marTop w:val="0"/>
                  <w:marBottom w:val="0"/>
                  <w:divBdr>
                    <w:top w:val="none" w:sz="0" w:space="0" w:color="auto"/>
                    <w:left w:val="none" w:sz="0" w:space="0" w:color="auto"/>
                    <w:bottom w:val="none" w:sz="0" w:space="0" w:color="auto"/>
                    <w:right w:val="none" w:sz="0" w:space="0" w:color="auto"/>
                  </w:divBdr>
                  <w:divsChild>
                    <w:div w:id="143817243">
                      <w:marLeft w:val="0"/>
                      <w:marRight w:val="0"/>
                      <w:marTop w:val="0"/>
                      <w:marBottom w:val="0"/>
                      <w:divBdr>
                        <w:top w:val="none" w:sz="0" w:space="0" w:color="auto"/>
                        <w:left w:val="none" w:sz="0" w:space="0" w:color="auto"/>
                        <w:bottom w:val="none" w:sz="0" w:space="0" w:color="auto"/>
                        <w:right w:val="none" w:sz="0" w:space="0" w:color="auto"/>
                      </w:divBdr>
                    </w:div>
                  </w:divsChild>
                </w:div>
                <w:div w:id="2080013503">
                  <w:marLeft w:val="0"/>
                  <w:marRight w:val="0"/>
                  <w:marTop w:val="0"/>
                  <w:marBottom w:val="0"/>
                  <w:divBdr>
                    <w:top w:val="none" w:sz="0" w:space="0" w:color="auto"/>
                    <w:left w:val="none" w:sz="0" w:space="0" w:color="auto"/>
                    <w:bottom w:val="none" w:sz="0" w:space="0" w:color="auto"/>
                    <w:right w:val="none" w:sz="0" w:space="0" w:color="auto"/>
                  </w:divBdr>
                  <w:divsChild>
                    <w:div w:id="196507072">
                      <w:marLeft w:val="0"/>
                      <w:marRight w:val="0"/>
                      <w:marTop w:val="0"/>
                      <w:marBottom w:val="0"/>
                      <w:divBdr>
                        <w:top w:val="none" w:sz="0" w:space="0" w:color="auto"/>
                        <w:left w:val="none" w:sz="0" w:space="0" w:color="auto"/>
                        <w:bottom w:val="none" w:sz="0" w:space="0" w:color="auto"/>
                        <w:right w:val="none" w:sz="0" w:space="0" w:color="auto"/>
                      </w:divBdr>
                    </w:div>
                  </w:divsChild>
                </w:div>
                <w:div w:id="2095779086">
                  <w:marLeft w:val="0"/>
                  <w:marRight w:val="0"/>
                  <w:marTop w:val="0"/>
                  <w:marBottom w:val="0"/>
                  <w:divBdr>
                    <w:top w:val="none" w:sz="0" w:space="0" w:color="auto"/>
                    <w:left w:val="none" w:sz="0" w:space="0" w:color="auto"/>
                    <w:bottom w:val="none" w:sz="0" w:space="0" w:color="auto"/>
                    <w:right w:val="none" w:sz="0" w:space="0" w:color="auto"/>
                  </w:divBdr>
                  <w:divsChild>
                    <w:div w:id="971986810">
                      <w:marLeft w:val="0"/>
                      <w:marRight w:val="0"/>
                      <w:marTop w:val="0"/>
                      <w:marBottom w:val="0"/>
                      <w:divBdr>
                        <w:top w:val="none" w:sz="0" w:space="0" w:color="auto"/>
                        <w:left w:val="none" w:sz="0" w:space="0" w:color="auto"/>
                        <w:bottom w:val="none" w:sz="0" w:space="0" w:color="auto"/>
                        <w:right w:val="none" w:sz="0" w:space="0" w:color="auto"/>
                      </w:divBdr>
                    </w:div>
                  </w:divsChild>
                </w:div>
                <w:div w:id="2102791842">
                  <w:marLeft w:val="0"/>
                  <w:marRight w:val="0"/>
                  <w:marTop w:val="0"/>
                  <w:marBottom w:val="0"/>
                  <w:divBdr>
                    <w:top w:val="none" w:sz="0" w:space="0" w:color="auto"/>
                    <w:left w:val="none" w:sz="0" w:space="0" w:color="auto"/>
                    <w:bottom w:val="none" w:sz="0" w:space="0" w:color="auto"/>
                    <w:right w:val="none" w:sz="0" w:space="0" w:color="auto"/>
                  </w:divBdr>
                  <w:divsChild>
                    <w:div w:id="633565772">
                      <w:marLeft w:val="0"/>
                      <w:marRight w:val="0"/>
                      <w:marTop w:val="0"/>
                      <w:marBottom w:val="0"/>
                      <w:divBdr>
                        <w:top w:val="none" w:sz="0" w:space="0" w:color="auto"/>
                        <w:left w:val="none" w:sz="0" w:space="0" w:color="auto"/>
                        <w:bottom w:val="none" w:sz="0" w:space="0" w:color="auto"/>
                        <w:right w:val="none" w:sz="0" w:space="0" w:color="auto"/>
                      </w:divBdr>
                    </w:div>
                  </w:divsChild>
                </w:div>
                <w:div w:id="2104036354">
                  <w:marLeft w:val="0"/>
                  <w:marRight w:val="0"/>
                  <w:marTop w:val="0"/>
                  <w:marBottom w:val="0"/>
                  <w:divBdr>
                    <w:top w:val="none" w:sz="0" w:space="0" w:color="auto"/>
                    <w:left w:val="none" w:sz="0" w:space="0" w:color="auto"/>
                    <w:bottom w:val="none" w:sz="0" w:space="0" w:color="auto"/>
                    <w:right w:val="none" w:sz="0" w:space="0" w:color="auto"/>
                  </w:divBdr>
                  <w:divsChild>
                    <w:div w:id="1936671051">
                      <w:marLeft w:val="0"/>
                      <w:marRight w:val="0"/>
                      <w:marTop w:val="0"/>
                      <w:marBottom w:val="0"/>
                      <w:divBdr>
                        <w:top w:val="none" w:sz="0" w:space="0" w:color="auto"/>
                        <w:left w:val="none" w:sz="0" w:space="0" w:color="auto"/>
                        <w:bottom w:val="none" w:sz="0" w:space="0" w:color="auto"/>
                        <w:right w:val="none" w:sz="0" w:space="0" w:color="auto"/>
                      </w:divBdr>
                    </w:div>
                  </w:divsChild>
                </w:div>
                <w:div w:id="2144225675">
                  <w:marLeft w:val="0"/>
                  <w:marRight w:val="0"/>
                  <w:marTop w:val="0"/>
                  <w:marBottom w:val="0"/>
                  <w:divBdr>
                    <w:top w:val="none" w:sz="0" w:space="0" w:color="auto"/>
                    <w:left w:val="none" w:sz="0" w:space="0" w:color="auto"/>
                    <w:bottom w:val="none" w:sz="0" w:space="0" w:color="auto"/>
                    <w:right w:val="none" w:sz="0" w:space="0" w:color="auto"/>
                  </w:divBdr>
                  <w:divsChild>
                    <w:div w:id="151252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144463">
          <w:marLeft w:val="0"/>
          <w:marRight w:val="0"/>
          <w:marTop w:val="0"/>
          <w:marBottom w:val="0"/>
          <w:divBdr>
            <w:top w:val="none" w:sz="0" w:space="0" w:color="auto"/>
            <w:left w:val="none" w:sz="0" w:space="0" w:color="auto"/>
            <w:bottom w:val="none" w:sz="0" w:space="0" w:color="auto"/>
            <w:right w:val="none" w:sz="0" w:space="0" w:color="auto"/>
          </w:divBdr>
        </w:div>
        <w:div w:id="1808157729">
          <w:marLeft w:val="0"/>
          <w:marRight w:val="0"/>
          <w:marTop w:val="0"/>
          <w:marBottom w:val="0"/>
          <w:divBdr>
            <w:top w:val="none" w:sz="0" w:space="0" w:color="auto"/>
            <w:left w:val="none" w:sz="0" w:space="0" w:color="auto"/>
            <w:bottom w:val="none" w:sz="0" w:space="0" w:color="auto"/>
            <w:right w:val="none" w:sz="0" w:space="0" w:color="auto"/>
          </w:divBdr>
          <w:divsChild>
            <w:div w:id="425656439">
              <w:marLeft w:val="0"/>
              <w:marRight w:val="0"/>
              <w:marTop w:val="30"/>
              <w:marBottom w:val="30"/>
              <w:divBdr>
                <w:top w:val="none" w:sz="0" w:space="0" w:color="auto"/>
                <w:left w:val="none" w:sz="0" w:space="0" w:color="auto"/>
                <w:bottom w:val="none" w:sz="0" w:space="0" w:color="auto"/>
                <w:right w:val="none" w:sz="0" w:space="0" w:color="auto"/>
              </w:divBdr>
              <w:divsChild>
                <w:div w:id="10957415">
                  <w:marLeft w:val="0"/>
                  <w:marRight w:val="0"/>
                  <w:marTop w:val="0"/>
                  <w:marBottom w:val="0"/>
                  <w:divBdr>
                    <w:top w:val="none" w:sz="0" w:space="0" w:color="auto"/>
                    <w:left w:val="none" w:sz="0" w:space="0" w:color="auto"/>
                    <w:bottom w:val="none" w:sz="0" w:space="0" w:color="auto"/>
                    <w:right w:val="none" w:sz="0" w:space="0" w:color="auto"/>
                  </w:divBdr>
                  <w:divsChild>
                    <w:div w:id="1691445212">
                      <w:marLeft w:val="0"/>
                      <w:marRight w:val="0"/>
                      <w:marTop w:val="0"/>
                      <w:marBottom w:val="0"/>
                      <w:divBdr>
                        <w:top w:val="none" w:sz="0" w:space="0" w:color="auto"/>
                        <w:left w:val="none" w:sz="0" w:space="0" w:color="auto"/>
                        <w:bottom w:val="none" w:sz="0" w:space="0" w:color="auto"/>
                        <w:right w:val="none" w:sz="0" w:space="0" w:color="auto"/>
                      </w:divBdr>
                    </w:div>
                  </w:divsChild>
                </w:div>
                <w:div w:id="11106467">
                  <w:marLeft w:val="0"/>
                  <w:marRight w:val="0"/>
                  <w:marTop w:val="0"/>
                  <w:marBottom w:val="0"/>
                  <w:divBdr>
                    <w:top w:val="none" w:sz="0" w:space="0" w:color="auto"/>
                    <w:left w:val="none" w:sz="0" w:space="0" w:color="auto"/>
                    <w:bottom w:val="none" w:sz="0" w:space="0" w:color="auto"/>
                    <w:right w:val="none" w:sz="0" w:space="0" w:color="auto"/>
                  </w:divBdr>
                  <w:divsChild>
                    <w:div w:id="863052022">
                      <w:marLeft w:val="0"/>
                      <w:marRight w:val="0"/>
                      <w:marTop w:val="0"/>
                      <w:marBottom w:val="0"/>
                      <w:divBdr>
                        <w:top w:val="none" w:sz="0" w:space="0" w:color="auto"/>
                        <w:left w:val="none" w:sz="0" w:space="0" w:color="auto"/>
                        <w:bottom w:val="none" w:sz="0" w:space="0" w:color="auto"/>
                        <w:right w:val="none" w:sz="0" w:space="0" w:color="auto"/>
                      </w:divBdr>
                    </w:div>
                  </w:divsChild>
                </w:div>
                <w:div w:id="14355325">
                  <w:marLeft w:val="0"/>
                  <w:marRight w:val="0"/>
                  <w:marTop w:val="0"/>
                  <w:marBottom w:val="0"/>
                  <w:divBdr>
                    <w:top w:val="none" w:sz="0" w:space="0" w:color="auto"/>
                    <w:left w:val="none" w:sz="0" w:space="0" w:color="auto"/>
                    <w:bottom w:val="none" w:sz="0" w:space="0" w:color="auto"/>
                    <w:right w:val="none" w:sz="0" w:space="0" w:color="auto"/>
                  </w:divBdr>
                  <w:divsChild>
                    <w:div w:id="201179">
                      <w:marLeft w:val="0"/>
                      <w:marRight w:val="0"/>
                      <w:marTop w:val="0"/>
                      <w:marBottom w:val="0"/>
                      <w:divBdr>
                        <w:top w:val="none" w:sz="0" w:space="0" w:color="auto"/>
                        <w:left w:val="none" w:sz="0" w:space="0" w:color="auto"/>
                        <w:bottom w:val="none" w:sz="0" w:space="0" w:color="auto"/>
                        <w:right w:val="none" w:sz="0" w:space="0" w:color="auto"/>
                      </w:divBdr>
                    </w:div>
                  </w:divsChild>
                </w:div>
                <w:div w:id="16123788">
                  <w:marLeft w:val="0"/>
                  <w:marRight w:val="0"/>
                  <w:marTop w:val="0"/>
                  <w:marBottom w:val="0"/>
                  <w:divBdr>
                    <w:top w:val="none" w:sz="0" w:space="0" w:color="auto"/>
                    <w:left w:val="none" w:sz="0" w:space="0" w:color="auto"/>
                    <w:bottom w:val="none" w:sz="0" w:space="0" w:color="auto"/>
                    <w:right w:val="none" w:sz="0" w:space="0" w:color="auto"/>
                  </w:divBdr>
                  <w:divsChild>
                    <w:div w:id="1839736428">
                      <w:marLeft w:val="0"/>
                      <w:marRight w:val="0"/>
                      <w:marTop w:val="0"/>
                      <w:marBottom w:val="0"/>
                      <w:divBdr>
                        <w:top w:val="none" w:sz="0" w:space="0" w:color="auto"/>
                        <w:left w:val="none" w:sz="0" w:space="0" w:color="auto"/>
                        <w:bottom w:val="none" w:sz="0" w:space="0" w:color="auto"/>
                        <w:right w:val="none" w:sz="0" w:space="0" w:color="auto"/>
                      </w:divBdr>
                    </w:div>
                  </w:divsChild>
                </w:div>
                <w:div w:id="20669929">
                  <w:marLeft w:val="0"/>
                  <w:marRight w:val="0"/>
                  <w:marTop w:val="0"/>
                  <w:marBottom w:val="0"/>
                  <w:divBdr>
                    <w:top w:val="none" w:sz="0" w:space="0" w:color="auto"/>
                    <w:left w:val="none" w:sz="0" w:space="0" w:color="auto"/>
                    <w:bottom w:val="none" w:sz="0" w:space="0" w:color="auto"/>
                    <w:right w:val="none" w:sz="0" w:space="0" w:color="auto"/>
                  </w:divBdr>
                  <w:divsChild>
                    <w:div w:id="1145512832">
                      <w:marLeft w:val="0"/>
                      <w:marRight w:val="0"/>
                      <w:marTop w:val="0"/>
                      <w:marBottom w:val="0"/>
                      <w:divBdr>
                        <w:top w:val="none" w:sz="0" w:space="0" w:color="auto"/>
                        <w:left w:val="none" w:sz="0" w:space="0" w:color="auto"/>
                        <w:bottom w:val="none" w:sz="0" w:space="0" w:color="auto"/>
                        <w:right w:val="none" w:sz="0" w:space="0" w:color="auto"/>
                      </w:divBdr>
                    </w:div>
                  </w:divsChild>
                </w:div>
                <w:div w:id="23990923">
                  <w:marLeft w:val="0"/>
                  <w:marRight w:val="0"/>
                  <w:marTop w:val="0"/>
                  <w:marBottom w:val="0"/>
                  <w:divBdr>
                    <w:top w:val="none" w:sz="0" w:space="0" w:color="auto"/>
                    <w:left w:val="none" w:sz="0" w:space="0" w:color="auto"/>
                    <w:bottom w:val="none" w:sz="0" w:space="0" w:color="auto"/>
                    <w:right w:val="none" w:sz="0" w:space="0" w:color="auto"/>
                  </w:divBdr>
                  <w:divsChild>
                    <w:div w:id="62918617">
                      <w:marLeft w:val="0"/>
                      <w:marRight w:val="0"/>
                      <w:marTop w:val="0"/>
                      <w:marBottom w:val="0"/>
                      <w:divBdr>
                        <w:top w:val="none" w:sz="0" w:space="0" w:color="auto"/>
                        <w:left w:val="none" w:sz="0" w:space="0" w:color="auto"/>
                        <w:bottom w:val="none" w:sz="0" w:space="0" w:color="auto"/>
                        <w:right w:val="none" w:sz="0" w:space="0" w:color="auto"/>
                      </w:divBdr>
                    </w:div>
                  </w:divsChild>
                </w:div>
                <w:div w:id="31158202">
                  <w:marLeft w:val="0"/>
                  <w:marRight w:val="0"/>
                  <w:marTop w:val="0"/>
                  <w:marBottom w:val="0"/>
                  <w:divBdr>
                    <w:top w:val="none" w:sz="0" w:space="0" w:color="auto"/>
                    <w:left w:val="none" w:sz="0" w:space="0" w:color="auto"/>
                    <w:bottom w:val="none" w:sz="0" w:space="0" w:color="auto"/>
                    <w:right w:val="none" w:sz="0" w:space="0" w:color="auto"/>
                  </w:divBdr>
                  <w:divsChild>
                    <w:div w:id="955215943">
                      <w:marLeft w:val="0"/>
                      <w:marRight w:val="0"/>
                      <w:marTop w:val="0"/>
                      <w:marBottom w:val="0"/>
                      <w:divBdr>
                        <w:top w:val="none" w:sz="0" w:space="0" w:color="auto"/>
                        <w:left w:val="none" w:sz="0" w:space="0" w:color="auto"/>
                        <w:bottom w:val="none" w:sz="0" w:space="0" w:color="auto"/>
                        <w:right w:val="none" w:sz="0" w:space="0" w:color="auto"/>
                      </w:divBdr>
                    </w:div>
                  </w:divsChild>
                </w:div>
                <w:div w:id="34818306">
                  <w:marLeft w:val="0"/>
                  <w:marRight w:val="0"/>
                  <w:marTop w:val="0"/>
                  <w:marBottom w:val="0"/>
                  <w:divBdr>
                    <w:top w:val="none" w:sz="0" w:space="0" w:color="auto"/>
                    <w:left w:val="none" w:sz="0" w:space="0" w:color="auto"/>
                    <w:bottom w:val="none" w:sz="0" w:space="0" w:color="auto"/>
                    <w:right w:val="none" w:sz="0" w:space="0" w:color="auto"/>
                  </w:divBdr>
                  <w:divsChild>
                    <w:div w:id="2143496495">
                      <w:marLeft w:val="0"/>
                      <w:marRight w:val="0"/>
                      <w:marTop w:val="0"/>
                      <w:marBottom w:val="0"/>
                      <w:divBdr>
                        <w:top w:val="none" w:sz="0" w:space="0" w:color="auto"/>
                        <w:left w:val="none" w:sz="0" w:space="0" w:color="auto"/>
                        <w:bottom w:val="none" w:sz="0" w:space="0" w:color="auto"/>
                        <w:right w:val="none" w:sz="0" w:space="0" w:color="auto"/>
                      </w:divBdr>
                    </w:div>
                  </w:divsChild>
                </w:div>
                <w:div w:id="44988818">
                  <w:marLeft w:val="0"/>
                  <w:marRight w:val="0"/>
                  <w:marTop w:val="0"/>
                  <w:marBottom w:val="0"/>
                  <w:divBdr>
                    <w:top w:val="none" w:sz="0" w:space="0" w:color="auto"/>
                    <w:left w:val="none" w:sz="0" w:space="0" w:color="auto"/>
                    <w:bottom w:val="none" w:sz="0" w:space="0" w:color="auto"/>
                    <w:right w:val="none" w:sz="0" w:space="0" w:color="auto"/>
                  </w:divBdr>
                  <w:divsChild>
                    <w:div w:id="1969974079">
                      <w:marLeft w:val="0"/>
                      <w:marRight w:val="0"/>
                      <w:marTop w:val="0"/>
                      <w:marBottom w:val="0"/>
                      <w:divBdr>
                        <w:top w:val="none" w:sz="0" w:space="0" w:color="auto"/>
                        <w:left w:val="none" w:sz="0" w:space="0" w:color="auto"/>
                        <w:bottom w:val="none" w:sz="0" w:space="0" w:color="auto"/>
                        <w:right w:val="none" w:sz="0" w:space="0" w:color="auto"/>
                      </w:divBdr>
                    </w:div>
                  </w:divsChild>
                </w:div>
                <w:div w:id="52631106">
                  <w:marLeft w:val="0"/>
                  <w:marRight w:val="0"/>
                  <w:marTop w:val="0"/>
                  <w:marBottom w:val="0"/>
                  <w:divBdr>
                    <w:top w:val="none" w:sz="0" w:space="0" w:color="auto"/>
                    <w:left w:val="none" w:sz="0" w:space="0" w:color="auto"/>
                    <w:bottom w:val="none" w:sz="0" w:space="0" w:color="auto"/>
                    <w:right w:val="none" w:sz="0" w:space="0" w:color="auto"/>
                  </w:divBdr>
                  <w:divsChild>
                    <w:div w:id="267465468">
                      <w:marLeft w:val="0"/>
                      <w:marRight w:val="0"/>
                      <w:marTop w:val="0"/>
                      <w:marBottom w:val="0"/>
                      <w:divBdr>
                        <w:top w:val="none" w:sz="0" w:space="0" w:color="auto"/>
                        <w:left w:val="none" w:sz="0" w:space="0" w:color="auto"/>
                        <w:bottom w:val="none" w:sz="0" w:space="0" w:color="auto"/>
                        <w:right w:val="none" w:sz="0" w:space="0" w:color="auto"/>
                      </w:divBdr>
                    </w:div>
                  </w:divsChild>
                </w:div>
                <w:div w:id="54553376">
                  <w:marLeft w:val="0"/>
                  <w:marRight w:val="0"/>
                  <w:marTop w:val="0"/>
                  <w:marBottom w:val="0"/>
                  <w:divBdr>
                    <w:top w:val="none" w:sz="0" w:space="0" w:color="auto"/>
                    <w:left w:val="none" w:sz="0" w:space="0" w:color="auto"/>
                    <w:bottom w:val="none" w:sz="0" w:space="0" w:color="auto"/>
                    <w:right w:val="none" w:sz="0" w:space="0" w:color="auto"/>
                  </w:divBdr>
                  <w:divsChild>
                    <w:div w:id="624385794">
                      <w:marLeft w:val="0"/>
                      <w:marRight w:val="0"/>
                      <w:marTop w:val="0"/>
                      <w:marBottom w:val="0"/>
                      <w:divBdr>
                        <w:top w:val="none" w:sz="0" w:space="0" w:color="auto"/>
                        <w:left w:val="none" w:sz="0" w:space="0" w:color="auto"/>
                        <w:bottom w:val="none" w:sz="0" w:space="0" w:color="auto"/>
                        <w:right w:val="none" w:sz="0" w:space="0" w:color="auto"/>
                      </w:divBdr>
                    </w:div>
                  </w:divsChild>
                </w:div>
                <w:div w:id="55129700">
                  <w:marLeft w:val="0"/>
                  <w:marRight w:val="0"/>
                  <w:marTop w:val="0"/>
                  <w:marBottom w:val="0"/>
                  <w:divBdr>
                    <w:top w:val="none" w:sz="0" w:space="0" w:color="auto"/>
                    <w:left w:val="none" w:sz="0" w:space="0" w:color="auto"/>
                    <w:bottom w:val="none" w:sz="0" w:space="0" w:color="auto"/>
                    <w:right w:val="none" w:sz="0" w:space="0" w:color="auto"/>
                  </w:divBdr>
                  <w:divsChild>
                    <w:div w:id="2065252904">
                      <w:marLeft w:val="0"/>
                      <w:marRight w:val="0"/>
                      <w:marTop w:val="0"/>
                      <w:marBottom w:val="0"/>
                      <w:divBdr>
                        <w:top w:val="none" w:sz="0" w:space="0" w:color="auto"/>
                        <w:left w:val="none" w:sz="0" w:space="0" w:color="auto"/>
                        <w:bottom w:val="none" w:sz="0" w:space="0" w:color="auto"/>
                        <w:right w:val="none" w:sz="0" w:space="0" w:color="auto"/>
                      </w:divBdr>
                    </w:div>
                  </w:divsChild>
                </w:div>
                <w:div w:id="64690087">
                  <w:marLeft w:val="0"/>
                  <w:marRight w:val="0"/>
                  <w:marTop w:val="0"/>
                  <w:marBottom w:val="0"/>
                  <w:divBdr>
                    <w:top w:val="none" w:sz="0" w:space="0" w:color="auto"/>
                    <w:left w:val="none" w:sz="0" w:space="0" w:color="auto"/>
                    <w:bottom w:val="none" w:sz="0" w:space="0" w:color="auto"/>
                    <w:right w:val="none" w:sz="0" w:space="0" w:color="auto"/>
                  </w:divBdr>
                  <w:divsChild>
                    <w:div w:id="1020550397">
                      <w:marLeft w:val="0"/>
                      <w:marRight w:val="0"/>
                      <w:marTop w:val="0"/>
                      <w:marBottom w:val="0"/>
                      <w:divBdr>
                        <w:top w:val="none" w:sz="0" w:space="0" w:color="auto"/>
                        <w:left w:val="none" w:sz="0" w:space="0" w:color="auto"/>
                        <w:bottom w:val="none" w:sz="0" w:space="0" w:color="auto"/>
                        <w:right w:val="none" w:sz="0" w:space="0" w:color="auto"/>
                      </w:divBdr>
                    </w:div>
                  </w:divsChild>
                </w:div>
                <w:div w:id="66998742">
                  <w:marLeft w:val="0"/>
                  <w:marRight w:val="0"/>
                  <w:marTop w:val="0"/>
                  <w:marBottom w:val="0"/>
                  <w:divBdr>
                    <w:top w:val="none" w:sz="0" w:space="0" w:color="auto"/>
                    <w:left w:val="none" w:sz="0" w:space="0" w:color="auto"/>
                    <w:bottom w:val="none" w:sz="0" w:space="0" w:color="auto"/>
                    <w:right w:val="none" w:sz="0" w:space="0" w:color="auto"/>
                  </w:divBdr>
                  <w:divsChild>
                    <w:div w:id="868683083">
                      <w:marLeft w:val="0"/>
                      <w:marRight w:val="0"/>
                      <w:marTop w:val="0"/>
                      <w:marBottom w:val="0"/>
                      <w:divBdr>
                        <w:top w:val="none" w:sz="0" w:space="0" w:color="auto"/>
                        <w:left w:val="none" w:sz="0" w:space="0" w:color="auto"/>
                        <w:bottom w:val="none" w:sz="0" w:space="0" w:color="auto"/>
                        <w:right w:val="none" w:sz="0" w:space="0" w:color="auto"/>
                      </w:divBdr>
                    </w:div>
                  </w:divsChild>
                </w:div>
                <w:div w:id="68427109">
                  <w:marLeft w:val="0"/>
                  <w:marRight w:val="0"/>
                  <w:marTop w:val="0"/>
                  <w:marBottom w:val="0"/>
                  <w:divBdr>
                    <w:top w:val="none" w:sz="0" w:space="0" w:color="auto"/>
                    <w:left w:val="none" w:sz="0" w:space="0" w:color="auto"/>
                    <w:bottom w:val="none" w:sz="0" w:space="0" w:color="auto"/>
                    <w:right w:val="none" w:sz="0" w:space="0" w:color="auto"/>
                  </w:divBdr>
                  <w:divsChild>
                    <w:div w:id="647132742">
                      <w:marLeft w:val="0"/>
                      <w:marRight w:val="0"/>
                      <w:marTop w:val="0"/>
                      <w:marBottom w:val="0"/>
                      <w:divBdr>
                        <w:top w:val="none" w:sz="0" w:space="0" w:color="auto"/>
                        <w:left w:val="none" w:sz="0" w:space="0" w:color="auto"/>
                        <w:bottom w:val="none" w:sz="0" w:space="0" w:color="auto"/>
                        <w:right w:val="none" w:sz="0" w:space="0" w:color="auto"/>
                      </w:divBdr>
                    </w:div>
                  </w:divsChild>
                </w:div>
                <w:div w:id="98261049">
                  <w:marLeft w:val="0"/>
                  <w:marRight w:val="0"/>
                  <w:marTop w:val="0"/>
                  <w:marBottom w:val="0"/>
                  <w:divBdr>
                    <w:top w:val="none" w:sz="0" w:space="0" w:color="auto"/>
                    <w:left w:val="none" w:sz="0" w:space="0" w:color="auto"/>
                    <w:bottom w:val="none" w:sz="0" w:space="0" w:color="auto"/>
                    <w:right w:val="none" w:sz="0" w:space="0" w:color="auto"/>
                  </w:divBdr>
                  <w:divsChild>
                    <w:div w:id="220484534">
                      <w:marLeft w:val="0"/>
                      <w:marRight w:val="0"/>
                      <w:marTop w:val="0"/>
                      <w:marBottom w:val="0"/>
                      <w:divBdr>
                        <w:top w:val="none" w:sz="0" w:space="0" w:color="auto"/>
                        <w:left w:val="none" w:sz="0" w:space="0" w:color="auto"/>
                        <w:bottom w:val="none" w:sz="0" w:space="0" w:color="auto"/>
                        <w:right w:val="none" w:sz="0" w:space="0" w:color="auto"/>
                      </w:divBdr>
                    </w:div>
                  </w:divsChild>
                </w:div>
                <w:div w:id="103812163">
                  <w:marLeft w:val="0"/>
                  <w:marRight w:val="0"/>
                  <w:marTop w:val="0"/>
                  <w:marBottom w:val="0"/>
                  <w:divBdr>
                    <w:top w:val="none" w:sz="0" w:space="0" w:color="auto"/>
                    <w:left w:val="none" w:sz="0" w:space="0" w:color="auto"/>
                    <w:bottom w:val="none" w:sz="0" w:space="0" w:color="auto"/>
                    <w:right w:val="none" w:sz="0" w:space="0" w:color="auto"/>
                  </w:divBdr>
                  <w:divsChild>
                    <w:div w:id="462621500">
                      <w:marLeft w:val="0"/>
                      <w:marRight w:val="0"/>
                      <w:marTop w:val="0"/>
                      <w:marBottom w:val="0"/>
                      <w:divBdr>
                        <w:top w:val="none" w:sz="0" w:space="0" w:color="auto"/>
                        <w:left w:val="none" w:sz="0" w:space="0" w:color="auto"/>
                        <w:bottom w:val="none" w:sz="0" w:space="0" w:color="auto"/>
                        <w:right w:val="none" w:sz="0" w:space="0" w:color="auto"/>
                      </w:divBdr>
                    </w:div>
                  </w:divsChild>
                </w:div>
                <w:div w:id="111361881">
                  <w:marLeft w:val="0"/>
                  <w:marRight w:val="0"/>
                  <w:marTop w:val="0"/>
                  <w:marBottom w:val="0"/>
                  <w:divBdr>
                    <w:top w:val="none" w:sz="0" w:space="0" w:color="auto"/>
                    <w:left w:val="none" w:sz="0" w:space="0" w:color="auto"/>
                    <w:bottom w:val="none" w:sz="0" w:space="0" w:color="auto"/>
                    <w:right w:val="none" w:sz="0" w:space="0" w:color="auto"/>
                  </w:divBdr>
                  <w:divsChild>
                    <w:div w:id="1907496078">
                      <w:marLeft w:val="0"/>
                      <w:marRight w:val="0"/>
                      <w:marTop w:val="0"/>
                      <w:marBottom w:val="0"/>
                      <w:divBdr>
                        <w:top w:val="none" w:sz="0" w:space="0" w:color="auto"/>
                        <w:left w:val="none" w:sz="0" w:space="0" w:color="auto"/>
                        <w:bottom w:val="none" w:sz="0" w:space="0" w:color="auto"/>
                        <w:right w:val="none" w:sz="0" w:space="0" w:color="auto"/>
                      </w:divBdr>
                    </w:div>
                  </w:divsChild>
                </w:div>
                <w:div w:id="132137283">
                  <w:marLeft w:val="0"/>
                  <w:marRight w:val="0"/>
                  <w:marTop w:val="0"/>
                  <w:marBottom w:val="0"/>
                  <w:divBdr>
                    <w:top w:val="none" w:sz="0" w:space="0" w:color="auto"/>
                    <w:left w:val="none" w:sz="0" w:space="0" w:color="auto"/>
                    <w:bottom w:val="none" w:sz="0" w:space="0" w:color="auto"/>
                    <w:right w:val="none" w:sz="0" w:space="0" w:color="auto"/>
                  </w:divBdr>
                  <w:divsChild>
                    <w:div w:id="1456216833">
                      <w:marLeft w:val="0"/>
                      <w:marRight w:val="0"/>
                      <w:marTop w:val="0"/>
                      <w:marBottom w:val="0"/>
                      <w:divBdr>
                        <w:top w:val="none" w:sz="0" w:space="0" w:color="auto"/>
                        <w:left w:val="none" w:sz="0" w:space="0" w:color="auto"/>
                        <w:bottom w:val="none" w:sz="0" w:space="0" w:color="auto"/>
                        <w:right w:val="none" w:sz="0" w:space="0" w:color="auto"/>
                      </w:divBdr>
                    </w:div>
                  </w:divsChild>
                </w:div>
                <w:div w:id="139739392">
                  <w:marLeft w:val="0"/>
                  <w:marRight w:val="0"/>
                  <w:marTop w:val="0"/>
                  <w:marBottom w:val="0"/>
                  <w:divBdr>
                    <w:top w:val="none" w:sz="0" w:space="0" w:color="auto"/>
                    <w:left w:val="none" w:sz="0" w:space="0" w:color="auto"/>
                    <w:bottom w:val="none" w:sz="0" w:space="0" w:color="auto"/>
                    <w:right w:val="none" w:sz="0" w:space="0" w:color="auto"/>
                  </w:divBdr>
                  <w:divsChild>
                    <w:div w:id="1407536070">
                      <w:marLeft w:val="0"/>
                      <w:marRight w:val="0"/>
                      <w:marTop w:val="0"/>
                      <w:marBottom w:val="0"/>
                      <w:divBdr>
                        <w:top w:val="none" w:sz="0" w:space="0" w:color="auto"/>
                        <w:left w:val="none" w:sz="0" w:space="0" w:color="auto"/>
                        <w:bottom w:val="none" w:sz="0" w:space="0" w:color="auto"/>
                        <w:right w:val="none" w:sz="0" w:space="0" w:color="auto"/>
                      </w:divBdr>
                    </w:div>
                  </w:divsChild>
                </w:div>
                <w:div w:id="149058182">
                  <w:marLeft w:val="0"/>
                  <w:marRight w:val="0"/>
                  <w:marTop w:val="0"/>
                  <w:marBottom w:val="0"/>
                  <w:divBdr>
                    <w:top w:val="none" w:sz="0" w:space="0" w:color="auto"/>
                    <w:left w:val="none" w:sz="0" w:space="0" w:color="auto"/>
                    <w:bottom w:val="none" w:sz="0" w:space="0" w:color="auto"/>
                    <w:right w:val="none" w:sz="0" w:space="0" w:color="auto"/>
                  </w:divBdr>
                  <w:divsChild>
                    <w:div w:id="1325888217">
                      <w:marLeft w:val="0"/>
                      <w:marRight w:val="0"/>
                      <w:marTop w:val="0"/>
                      <w:marBottom w:val="0"/>
                      <w:divBdr>
                        <w:top w:val="none" w:sz="0" w:space="0" w:color="auto"/>
                        <w:left w:val="none" w:sz="0" w:space="0" w:color="auto"/>
                        <w:bottom w:val="none" w:sz="0" w:space="0" w:color="auto"/>
                        <w:right w:val="none" w:sz="0" w:space="0" w:color="auto"/>
                      </w:divBdr>
                    </w:div>
                  </w:divsChild>
                </w:div>
                <w:div w:id="159392625">
                  <w:marLeft w:val="0"/>
                  <w:marRight w:val="0"/>
                  <w:marTop w:val="0"/>
                  <w:marBottom w:val="0"/>
                  <w:divBdr>
                    <w:top w:val="none" w:sz="0" w:space="0" w:color="auto"/>
                    <w:left w:val="none" w:sz="0" w:space="0" w:color="auto"/>
                    <w:bottom w:val="none" w:sz="0" w:space="0" w:color="auto"/>
                    <w:right w:val="none" w:sz="0" w:space="0" w:color="auto"/>
                  </w:divBdr>
                  <w:divsChild>
                    <w:div w:id="407656354">
                      <w:marLeft w:val="0"/>
                      <w:marRight w:val="0"/>
                      <w:marTop w:val="0"/>
                      <w:marBottom w:val="0"/>
                      <w:divBdr>
                        <w:top w:val="none" w:sz="0" w:space="0" w:color="auto"/>
                        <w:left w:val="none" w:sz="0" w:space="0" w:color="auto"/>
                        <w:bottom w:val="none" w:sz="0" w:space="0" w:color="auto"/>
                        <w:right w:val="none" w:sz="0" w:space="0" w:color="auto"/>
                      </w:divBdr>
                    </w:div>
                  </w:divsChild>
                </w:div>
                <w:div w:id="162938287">
                  <w:marLeft w:val="0"/>
                  <w:marRight w:val="0"/>
                  <w:marTop w:val="0"/>
                  <w:marBottom w:val="0"/>
                  <w:divBdr>
                    <w:top w:val="none" w:sz="0" w:space="0" w:color="auto"/>
                    <w:left w:val="none" w:sz="0" w:space="0" w:color="auto"/>
                    <w:bottom w:val="none" w:sz="0" w:space="0" w:color="auto"/>
                    <w:right w:val="none" w:sz="0" w:space="0" w:color="auto"/>
                  </w:divBdr>
                  <w:divsChild>
                    <w:div w:id="1088043142">
                      <w:marLeft w:val="0"/>
                      <w:marRight w:val="0"/>
                      <w:marTop w:val="0"/>
                      <w:marBottom w:val="0"/>
                      <w:divBdr>
                        <w:top w:val="none" w:sz="0" w:space="0" w:color="auto"/>
                        <w:left w:val="none" w:sz="0" w:space="0" w:color="auto"/>
                        <w:bottom w:val="none" w:sz="0" w:space="0" w:color="auto"/>
                        <w:right w:val="none" w:sz="0" w:space="0" w:color="auto"/>
                      </w:divBdr>
                    </w:div>
                  </w:divsChild>
                </w:div>
                <w:div w:id="166017556">
                  <w:marLeft w:val="0"/>
                  <w:marRight w:val="0"/>
                  <w:marTop w:val="0"/>
                  <w:marBottom w:val="0"/>
                  <w:divBdr>
                    <w:top w:val="none" w:sz="0" w:space="0" w:color="auto"/>
                    <w:left w:val="none" w:sz="0" w:space="0" w:color="auto"/>
                    <w:bottom w:val="none" w:sz="0" w:space="0" w:color="auto"/>
                    <w:right w:val="none" w:sz="0" w:space="0" w:color="auto"/>
                  </w:divBdr>
                  <w:divsChild>
                    <w:div w:id="1017541961">
                      <w:marLeft w:val="0"/>
                      <w:marRight w:val="0"/>
                      <w:marTop w:val="0"/>
                      <w:marBottom w:val="0"/>
                      <w:divBdr>
                        <w:top w:val="none" w:sz="0" w:space="0" w:color="auto"/>
                        <w:left w:val="none" w:sz="0" w:space="0" w:color="auto"/>
                        <w:bottom w:val="none" w:sz="0" w:space="0" w:color="auto"/>
                        <w:right w:val="none" w:sz="0" w:space="0" w:color="auto"/>
                      </w:divBdr>
                    </w:div>
                  </w:divsChild>
                </w:div>
                <w:div w:id="183590973">
                  <w:marLeft w:val="0"/>
                  <w:marRight w:val="0"/>
                  <w:marTop w:val="0"/>
                  <w:marBottom w:val="0"/>
                  <w:divBdr>
                    <w:top w:val="none" w:sz="0" w:space="0" w:color="auto"/>
                    <w:left w:val="none" w:sz="0" w:space="0" w:color="auto"/>
                    <w:bottom w:val="none" w:sz="0" w:space="0" w:color="auto"/>
                    <w:right w:val="none" w:sz="0" w:space="0" w:color="auto"/>
                  </w:divBdr>
                  <w:divsChild>
                    <w:div w:id="1992908904">
                      <w:marLeft w:val="0"/>
                      <w:marRight w:val="0"/>
                      <w:marTop w:val="0"/>
                      <w:marBottom w:val="0"/>
                      <w:divBdr>
                        <w:top w:val="none" w:sz="0" w:space="0" w:color="auto"/>
                        <w:left w:val="none" w:sz="0" w:space="0" w:color="auto"/>
                        <w:bottom w:val="none" w:sz="0" w:space="0" w:color="auto"/>
                        <w:right w:val="none" w:sz="0" w:space="0" w:color="auto"/>
                      </w:divBdr>
                    </w:div>
                  </w:divsChild>
                </w:div>
                <w:div w:id="185565052">
                  <w:marLeft w:val="0"/>
                  <w:marRight w:val="0"/>
                  <w:marTop w:val="0"/>
                  <w:marBottom w:val="0"/>
                  <w:divBdr>
                    <w:top w:val="none" w:sz="0" w:space="0" w:color="auto"/>
                    <w:left w:val="none" w:sz="0" w:space="0" w:color="auto"/>
                    <w:bottom w:val="none" w:sz="0" w:space="0" w:color="auto"/>
                    <w:right w:val="none" w:sz="0" w:space="0" w:color="auto"/>
                  </w:divBdr>
                  <w:divsChild>
                    <w:div w:id="1985506642">
                      <w:marLeft w:val="0"/>
                      <w:marRight w:val="0"/>
                      <w:marTop w:val="0"/>
                      <w:marBottom w:val="0"/>
                      <w:divBdr>
                        <w:top w:val="none" w:sz="0" w:space="0" w:color="auto"/>
                        <w:left w:val="none" w:sz="0" w:space="0" w:color="auto"/>
                        <w:bottom w:val="none" w:sz="0" w:space="0" w:color="auto"/>
                        <w:right w:val="none" w:sz="0" w:space="0" w:color="auto"/>
                      </w:divBdr>
                    </w:div>
                  </w:divsChild>
                </w:div>
                <w:div w:id="191190736">
                  <w:marLeft w:val="0"/>
                  <w:marRight w:val="0"/>
                  <w:marTop w:val="0"/>
                  <w:marBottom w:val="0"/>
                  <w:divBdr>
                    <w:top w:val="none" w:sz="0" w:space="0" w:color="auto"/>
                    <w:left w:val="none" w:sz="0" w:space="0" w:color="auto"/>
                    <w:bottom w:val="none" w:sz="0" w:space="0" w:color="auto"/>
                    <w:right w:val="none" w:sz="0" w:space="0" w:color="auto"/>
                  </w:divBdr>
                  <w:divsChild>
                    <w:div w:id="309217525">
                      <w:marLeft w:val="0"/>
                      <w:marRight w:val="0"/>
                      <w:marTop w:val="0"/>
                      <w:marBottom w:val="0"/>
                      <w:divBdr>
                        <w:top w:val="none" w:sz="0" w:space="0" w:color="auto"/>
                        <w:left w:val="none" w:sz="0" w:space="0" w:color="auto"/>
                        <w:bottom w:val="none" w:sz="0" w:space="0" w:color="auto"/>
                        <w:right w:val="none" w:sz="0" w:space="0" w:color="auto"/>
                      </w:divBdr>
                    </w:div>
                  </w:divsChild>
                </w:div>
                <w:div w:id="209999475">
                  <w:marLeft w:val="0"/>
                  <w:marRight w:val="0"/>
                  <w:marTop w:val="0"/>
                  <w:marBottom w:val="0"/>
                  <w:divBdr>
                    <w:top w:val="none" w:sz="0" w:space="0" w:color="auto"/>
                    <w:left w:val="none" w:sz="0" w:space="0" w:color="auto"/>
                    <w:bottom w:val="none" w:sz="0" w:space="0" w:color="auto"/>
                    <w:right w:val="none" w:sz="0" w:space="0" w:color="auto"/>
                  </w:divBdr>
                  <w:divsChild>
                    <w:div w:id="1483811443">
                      <w:marLeft w:val="0"/>
                      <w:marRight w:val="0"/>
                      <w:marTop w:val="0"/>
                      <w:marBottom w:val="0"/>
                      <w:divBdr>
                        <w:top w:val="none" w:sz="0" w:space="0" w:color="auto"/>
                        <w:left w:val="none" w:sz="0" w:space="0" w:color="auto"/>
                        <w:bottom w:val="none" w:sz="0" w:space="0" w:color="auto"/>
                        <w:right w:val="none" w:sz="0" w:space="0" w:color="auto"/>
                      </w:divBdr>
                    </w:div>
                  </w:divsChild>
                </w:div>
                <w:div w:id="246043458">
                  <w:marLeft w:val="0"/>
                  <w:marRight w:val="0"/>
                  <w:marTop w:val="0"/>
                  <w:marBottom w:val="0"/>
                  <w:divBdr>
                    <w:top w:val="none" w:sz="0" w:space="0" w:color="auto"/>
                    <w:left w:val="none" w:sz="0" w:space="0" w:color="auto"/>
                    <w:bottom w:val="none" w:sz="0" w:space="0" w:color="auto"/>
                    <w:right w:val="none" w:sz="0" w:space="0" w:color="auto"/>
                  </w:divBdr>
                  <w:divsChild>
                    <w:div w:id="12154912">
                      <w:marLeft w:val="0"/>
                      <w:marRight w:val="0"/>
                      <w:marTop w:val="0"/>
                      <w:marBottom w:val="0"/>
                      <w:divBdr>
                        <w:top w:val="none" w:sz="0" w:space="0" w:color="auto"/>
                        <w:left w:val="none" w:sz="0" w:space="0" w:color="auto"/>
                        <w:bottom w:val="none" w:sz="0" w:space="0" w:color="auto"/>
                        <w:right w:val="none" w:sz="0" w:space="0" w:color="auto"/>
                      </w:divBdr>
                    </w:div>
                  </w:divsChild>
                </w:div>
                <w:div w:id="249895055">
                  <w:marLeft w:val="0"/>
                  <w:marRight w:val="0"/>
                  <w:marTop w:val="0"/>
                  <w:marBottom w:val="0"/>
                  <w:divBdr>
                    <w:top w:val="none" w:sz="0" w:space="0" w:color="auto"/>
                    <w:left w:val="none" w:sz="0" w:space="0" w:color="auto"/>
                    <w:bottom w:val="none" w:sz="0" w:space="0" w:color="auto"/>
                    <w:right w:val="none" w:sz="0" w:space="0" w:color="auto"/>
                  </w:divBdr>
                  <w:divsChild>
                    <w:div w:id="1449664384">
                      <w:marLeft w:val="0"/>
                      <w:marRight w:val="0"/>
                      <w:marTop w:val="0"/>
                      <w:marBottom w:val="0"/>
                      <w:divBdr>
                        <w:top w:val="none" w:sz="0" w:space="0" w:color="auto"/>
                        <w:left w:val="none" w:sz="0" w:space="0" w:color="auto"/>
                        <w:bottom w:val="none" w:sz="0" w:space="0" w:color="auto"/>
                        <w:right w:val="none" w:sz="0" w:space="0" w:color="auto"/>
                      </w:divBdr>
                    </w:div>
                  </w:divsChild>
                </w:div>
                <w:div w:id="250161698">
                  <w:marLeft w:val="0"/>
                  <w:marRight w:val="0"/>
                  <w:marTop w:val="0"/>
                  <w:marBottom w:val="0"/>
                  <w:divBdr>
                    <w:top w:val="none" w:sz="0" w:space="0" w:color="auto"/>
                    <w:left w:val="none" w:sz="0" w:space="0" w:color="auto"/>
                    <w:bottom w:val="none" w:sz="0" w:space="0" w:color="auto"/>
                    <w:right w:val="none" w:sz="0" w:space="0" w:color="auto"/>
                  </w:divBdr>
                  <w:divsChild>
                    <w:div w:id="1131170308">
                      <w:marLeft w:val="0"/>
                      <w:marRight w:val="0"/>
                      <w:marTop w:val="0"/>
                      <w:marBottom w:val="0"/>
                      <w:divBdr>
                        <w:top w:val="none" w:sz="0" w:space="0" w:color="auto"/>
                        <w:left w:val="none" w:sz="0" w:space="0" w:color="auto"/>
                        <w:bottom w:val="none" w:sz="0" w:space="0" w:color="auto"/>
                        <w:right w:val="none" w:sz="0" w:space="0" w:color="auto"/>
                      </w:divBdr>
                    </w:div>
                  </w:divsChild>
                </w:div>
                <w:div w:id="252084182">
                  <w:marLeft w:val="0"/>
                  <w:marRight w:val="0"/>
                  <w:marTop w:val="0"/>
                  <w:marBottom w:val="0"/>
                  <w:divBdr>
                    <w:top w:val="none" w:sz="0" w:space="0" w:color="auto"/>
                    <w:left w:val="none" w:sz="0" w:space="0" w:color="auto"/>
                    <w:bottom w:val="none" w:sz="0" w:space="0" w:color="auto"/>
                    <w:right w:val="none" w:sz="0" w:space="0" w:color="auto"/>
                  </w:divBdr>
                  <w:divsChild>
                    <w:div w:id="1193805748">
                      <w:marLeft w:val="0"/>
                      <w:marRight w:val="0"/>
                      <w:marTop w:val="0"/>
                      <w:marBottom w:val="0"/>
                      <w:divBdr>
                        <w:top w:val="none" w:sz="0" w:space="0" w:color="auto"/>
                        <w:left w:val="none" w:sz="0" w:space="0" w:color="auto"/>
                        <w:bottom w:val="none" w:sz="0" w:space="0" w:color="auto"/>
                        <w:right w:val="none" w:sz="0" w:space="0" w:color="auto"/>
                      </w:divBdr>
                    </w:div>
                  </w:divsChild>
                </w:div>
                <w:div w:id="252250922">
                  <w:marLeft w:val="0"/>
                  <w:marRight w:val="0"/>
                  <w:marTop w:val="0"/>
                  <w:marBottom w:val="0"/>
                  <w:divBdr>
                    <w:top w:val="none" w:sz="0" w:space="0" w:color="auto"/>
                    <w:left w:val="none" w:sz="0" w:space="0" w:color="auto"/>
                    <w:bottom w:val="none" w:sz="0" w:space="0" w:color="auto"/>
                    <w:right w:val="none" w:sz="0" w:space="0" w:color="auto"/>
                  </w:divBdr>
                  <w:divsChild>
                    <w:div w:id="213540454">
                      <w:marLeft w:val="0"/>
                      <w:marRight w:val="0"/>
                      <w:marTop w:val="0"/>
                      <w:marBottom w:val="0"/>
                      <w:divBdr>
                        <w:top w:val="none" w:sz="0" w:space="0" w:color="auto"/>
                        <w:left w:val="none" w:sz="0" w:space="0" w:color="auto"/>
                        <w:bottom w:val="none" w:sz="0" w:space="0" w:color="auto"/>
                        <w:right w:val="none" w:sz="0" w:space="0" w:color="auto"/>
                      </w:divBdr>
                    </w:div>
                  </w:divsChild>
                </w:div>
                <w:div w:id="253362640">
                  <w:marLeft w:val="0"/>
                  <w:marRight w:val="0"/>
                  <w:marTop w:val="0"/>
                  <w:marBottom w:val="0"/>
                  <w:divBdr>
                    <w:top w:val="none" w:sz="0" w:space="0" w:color="auto"/>
                    <w:left w:val="none" w:sz="0" w:space="0" w:color="auto"/>
                    <w:bottom w:val="none" w:sz="0" w:space="0" w:color="auto"/>
                    <w:right w:val="none" w:sz="0" w:space="0" w:color="auto"/>
                  </w:divBdr>
                  <w:divsChild>
                    <w:div w:id="892933632">
                      <w:marLeft w:val="0"/>
                      <w:marRight w:val="0"/>
                      <w:marTop w:val="0"/>
                      <w:marBottom w:val="0"/>
                      <w:divBdr>
                        <w:top w:val="none" w:sz="0" w:space="0" w:color="auto"/>
                        <w:left w:val="none" w:sz="0" w:space="0" w:color="auto"/>
                        <w:bottom w:val="none" w:sz="0" w:space="0" w:color="auto"/>
                        <w:right w:val="none" w:sz="0" w:space="0" w:color="auto"/>
                      </w:divBdr>
                    </w:div>
                  </w:divsChild>
                </w:div>
                <w:div w:id="256525031">
                  <w:marLeft w:val="0"/>
                  <w:marRight w:val="0"/>
                  <w:marTop w:val="0"/>
                  <w:marBottom w:val="0"/>
                  <w:divBdr>
                    <w:top w:val="none" w:sz="0" w:space="0" w:color="auto"/>
                    <w:left w:val="none" w:sz="0" w:space="0" w:color="auto"/>
                    <w:bottom w:val="none" w:sz="0" w:space="0" w:color="auto"/>
                    <w:right w:val="none" w:sz="0" w:space="0" w:color="auto"/>
                  </w:divBdr>
                  <w:divsChild>
                    <w:div w:id="1162355208">
                      <w:marLeft w:val="0"/>
                      <w:marRight w:val="0"/>
                      <w:marTop w:val="0"/>
                      <w:marBottom w:val="0"/>
                      <w:divBdr>
                        <w:top w:val="none" w:sz="0" w:space="0" w:color="auto"/>
                        <w:left w:val="none" w:sz="0" w:space="0" w:color="auto"/>
                        <w:bottom w:val="none" w:sz="0" w:space="0" w:color="auto"/>
                        <w:right w:val="none" w:sz="0" w:space="0" w:color="auto"/>
                      </w:divBdr>
                    </w:div>
                  </w:divsChild>
                </w:div>
                <w:div w:id="271665907">
                  <w:marLeft w:val="0"/>
                  <w:marRight w:val="0"/>
                  <w:marTop w:val="0"/>
                  <w:marBottom w:val="0"/>
                  <w:divBdr>
                    <w:top w:val="none" w:sz="0" w:space="0" w:color="auto"/>
                    <w:left w:val="none" w:sz="0" w:space="0" w:color="auto"/>
                    <w:bottom w:val="none" w:sz="0" w:space="0" w:color="auto"/>
                    <w:right w:val="none" w:sz="0" w:space="0" w:color="auto"/>
                  </w:divBdr>
                  <w:divsChild>
                    <w:div w:id="1939830482">
                      <w:marLeft w:val="0"/>
                      <w:marRight w:val="0"/>
                      <w:marTop w:val="0"/>
                      <w:marBottom w:val="0"/>
                      <w:divBdr>
                        <w:top w:val="none" w:sz="0" w:space="0" w:color="auto"/>
                        <w:left w:val="none" w:sz="0" w:space="0" w:color="auto"/>
                        <w:bottom w:val="none" w:sz="0" w:space="0" w:color="auto"/>
                        <w:right w:val="none" w:sz="0" w:space="0" w:color="auto"/>
                      </w:divBdr>
                    </w:div>
                  </w:divsChild>
                </w:div>
                <w:div w:id="283662234">
                  <w:marLeft w:val="0"/>
                  <w:marRight w:val="0"/>
                  <w:marTop w:val="0"/>
                  <w:marBottom w:val="0"/>
                  <w:divBdr>
                    <w:top w:val="none" w:sz="0" w:space="0" w:color="auto"/>
                    <w:left w:val="none" w:sz="0" w:space="0" w:color="auto"/>
                    <w:bottom w:val="none" w:sz="0" w:space="0" w:color="auto"/>
                    <w:right w:val="none" w:sz="0" w:space="0" w:color="auto"/>
                  </w:divBdr>
                  <w:divsChild>
                    <w:div w:id="668488033">
                      <w:marLeft w:val="0"/>
                      <w:marRight w:val="0"/>
                      <w:marTop w:val="0"/>
                      <w:marBottom w:val="0"/>
                      <w:divBdr>
                        <w:top w:val="none" w:sz="0" w:space="0" w:color="auto"/>
                        <w:left w:val="none" w:sz="0" w:space="0" w:color="auto"/>
                        <w:bottom w:val="none" w:sz="0" w:space="0" w:color="auto"/>
                        <w:right w:val="none" w:sz="0" w:space="0" w:color="auto"/>
                      </w:divBdr>
                    </w:div>
                  </w:divsChild>
                </w:div>
                <w:div w:id="284042300">
                  <w:marLeft w:val="0"/>
                  <w:marRight w:val="0"/>
                  <w:marTop w:val="0"/>
                  <w:marBottom w:val="0"/>
                  <w:divBdr>
                    <w:top w:val="none" w:sz="0" w:space="0" w:color="auto"/>
                    <w:left w:val="none" w:sz="0" w:space="0" w:color="auto"/>
                    <w:bottom w:val="none" w:sz="0" w:space="0" w:color="auto"/>
                    <w:right w:val="none" w:sz="0" w:space="0" w:color="auto"/>
                  </w:divBdr>
                  <w:divsChild>
                    <w:div w:id="1046876972">
                      <w:marLeft w:val="0"/>
                      <w:marRight w:val="0"/>
                      <w:marTop w:val="0"/>
                      <w:marBottom w:val="0"/>
                      <w:divBdr>
                        <w:top w:val="none" w:sz="0" w:space="0" w:color="auto"/>
                        <w:left w:val="none" w:sz="0" w:space="0" w:color="auto"/>
                        <w:bottom w:val="none" w:sz="0" w:space="0" w:color="auto"/>
                        <w:right w:val="none" w:sz="0" w:space="0" w:color="auto"/>
                      </w:divBdr>
                    </w:div>
                  </w:divsChild>
                </w:div>
                <w:div w:id="293487049">
                  <w:marLeft w:val="0"/>
                  <w:marRight w:val="0"/>
                  <w:marTop w:val="0"/>
                  <w:marBottom w:val="0"/>
                  <w:divBdr>
                    <w:top w:val="none" w:sz="0" w:space="0" w:color="auto"/>
                    <w:left w:val="none" w:sz="0" w:space="0" w:color="auto"/>
                    <w:bottom w:val="none" w:sz="0" w:space="0" w:color="auto"/>
                    <w:right w:val="none" w:sz="0" w:space="0" w:color="auto"/>
                  </w:divBdr>
                  <w:divsChild>
                    <w:div w:id="1334187620">
                      <w:marLeft w:val="0"/>
                      <w:marRight w:val="0"/>
                      <w:marTop w:val="0"/>
                      <w:marBottom w:val="0"/>
                      <w:divBdr>
                        <w:top w:val="none" w:sz="0" w:space="0" w:color="auto"/>
                        <w:left w:val="none" w:sz="0" w:space="0" w:color="auto"/>
                        <w:bottom w:val="none" w:sz="0" w:space="0" w:color="auto"/>
                        <w:right w:val="none" w:sz="0" w:space="0" w:color="auto"/>
                      </w:divBdr>
                    </w:div>
                  </w:divsChild>
                </w:div>
                <w:div w:id="293802225">
                  <w:marLeft w:val="0"/>
                  <w:marRight w:val="0"/>
                  <w:marTop w:val="0"/>
                  <w:marBottom w:val="0"/>
                  <w:divBdr>
                    <w:top w:val="none" w:sz="0" w:space="0" w:color="auto"/>
                    <w:left w:val="none" w:sz="0" w:space="0" w:color="auto"/>
                    <w:bottom w:val="none" w:sz="0" w:space="0" w:color="auto"/>
                    <w:right w:val="none" w:sz="0" w:space="0" w:color="auto"/>
                  </w:divBdr>
                  <w:divsChild>
                    <w:div w:id="508252453">
                      <w:marLeft w:val="0"/>
                      <w:marRight w:val="0"/>
                      <w:marTop w:val="0"/>
                      <w:marBottom w:val="0"/>
                      <w:divBdr>
                        <w:top w:val="none" w:sz="0" w:space="0" w:color="auto"/>
                        <w:left w:val="none" w:sz="0" w:space="0" w:color="auto"/>
                        <w:bottom w:val="none" w:sz="0" w:space="0" w:color="auto"/>
                        <w:right w:val="none" w:sz="0" w:space="0" w:color="auto"/>
                      </w:divBdr>
                    </w:div>
                  </w:divsChild>
                </w:div>
                <w:div w:id="295718788">
                  <w:marLeft w:val="0"/>
                  <w:marRight w:val="0"/>
                  <w:marTop w:val="0"/>
                  <w:marBottom w:val="0"/>
                  <w:divBdr>
                    <w:top w:val="none" w:sz="0" w:space="0" w:color="auto"/>
                    <w:left w:val="none" w:sz="0" w:space="0" w:color="auto"/>
                    <w:bottom w:val="none" w:sz="0" w:space="0" w:color="auto"/>
                    <w:right w:val="none" w:sz="0" w:space="0" w:color="auto"/>
                  </w:divBdr>
                  <w:divsChild>
                    <w:div w:id="1445297948">
                      <w:marLeft w:val="0"/>
                      <w:marRight w:val="0"/>
                      <w:marTop w:val="0"/>
                      <w:marBottom w:val="0"/>
                      <w:divBdr>
                        <w:top w:val="none" w:sz="0" w:space="0" w:color="auto"/>
                        <w:left w:val="none" w:sz="0" w:space="0" w:color="auto"/>
                        <w:bottom w:val="none" w:sz="0" w:space="0" w:color="auto"/>
                        <w:right w:val="none" w:sz="0" w:space="0" w:color="auto"/>
                      </w:divBdr>
                    </w:div>
                  </w:divsChild>
                </w:div>
                <w:div w:id="308942739">
                  <w:marLeft w:val="0"/>
                  <w:marRight w:val="0"/>
                  <w:marTop w:val="0"/>
                  <w:marBottom w:val="0"/>
                  <w:divBdr>
                    <w:top w:val="none" w:sz="0" w:space="0" w:color="auto"/>
                    <w:left w:val="none" w:sz="0" w:space="0" w:color="auto"/>
                    <w:bottom w:val="none" w:sz="0" w:space="0" w:color="auto"/>
                    <w:right w:val="none" w:sz="0" w:space="0" w:color="auto"/>
                  </w:divBdr>
                  <w:divsChild>
                    <w:div w:id="16540125">
                      <w:marLeft w:val="0"/>
                      <w:marRight w:val="0"/>
                      <w:marTop w:val="0"/>
                      <w:marBottom w:val="0"/>
                      <w:divBdr>
                        <w:top w:val="none" w:sz="0" w:space="0" w:color="auto"/>
                        <w:left w:val="none" w:sz="0" w:space="0" w:color="auto"/>
                        <w:bottom w:val="none" w:sz="0" w:space="0" w:color="auto"/>
                        <w:right w:val="none" w:sz="0" w:space="0" w:color="auto"/>
                      </w:divBdr>
                    </w:div>
                  </w:divsChild>
                </w:div>
                <w:div w:id="322859834">
                  <w:marLeft w:val="0"/>
                  <w:marRight w:val="0"/>
                  <w:marTop w:val="0"/>
                  <w:marBottom w:val="0"/>
                  <w:divBdr>
                    <w:top w:val="none" w:sz="0" w:space="0" w:color="auto"/>
                    <w:left w:val="none" w:sz="0" w:space="0" w:color="auto"/>
                    <w:bottom w:val="none" w:sz="0" w:space="0" w:color="auto"/>
                    <w:right w:val="none" w:sz="0" w:space="0" w:color="auto"/>
                  </w:divBdr>
                  <w:divsChild>
                    <w:div w:id="1020820352">
                      <w:marLeft w:val="0"/>
                      <w:marRight w:val="0"/>
                      <w:marTop w:val="0"/>
                      <w:marBottom w:val="0"/>
                      <w:divBdr>
                        <w:top w:val="none" w:sz="0" w:space="0" w:color="auto"/>
                        <w:left w:val="none" w:sz="0" w:space="0" w:color="auto"/>
                        <w:bottom w:val="none" w:sz="0" w:space="0" w:color="auto"/>
                        <w:right w:val="none" w:sz="0" w:space="0" w:color="auto"/>
                      </w:divBdr>
                    </w:div>
                  </w:divsChild>
                </w:div>
                <w:div w:id="330111724">
                  <w:marLeft w:val="0"/>
                  <w:marRight w:val="0"/>
                  <w:marTop w:val="0"/>
                  <w:marBottom w:val="0"/>
                  <w:divBdr>
                    <w:top w:val="none" w:sz="0" w:space="0" w:color="auto"/>
                    <w:left w:val="none" w:sz="0" w:space="0" w:color="auto"/>
                    <w:bottom w:val="none" w:sz="0" w:space="0" w:color="auto"/>
                    <w:right w:val="none" w:sz="0" w:space="0" w:color="auto"/>
                  </w:divBdr>
                  <w:divsChild>
                    <w:div w:id="512383737">
                      <w:marLeft w:val="0"/>
                      <w:marRight w:val="0"/>
                      <w:marTop w:val="0"/>
                      <w:marBottom w:val="0"/>
                      <w:divBdr>
                        <w:top w:val="none" w:sz="0" w:space="0" w:color="auto"/>
                        <w:left w:val="none" w:sz="0" w:space="0" w:color="auto"/>
                        <w:bottom w:val="none" w:sz="0" w:space="0" w:color="auto"/>
                        <w:right w:val="none" w:sz="0" w:space="0" w:color="auto"/>
                      </w:divBdr>
                    </w:div>
                  </w:divsChild>
                </w:div>
                <w:div w:id="332994436">
                  <w:marLeft w:val="0"/>
                  <w:marRight w:val="0"/>
                  <w:marTop w:val="0"/>
                  <w:marBottom w:val="0"/>
                  <w:divBdr>
                    <w:top w:val="none" w:sz="0" w:space="0" w:color="auto"/>
                    <w:left w:val="none" w:sz="0" w:space="0" w:color="auto"/>
                    <w:bottom w:val="none" w:sz="0" w:space="0" w:color="auto"/>
                    <w:right w:val="none" w:sz="0" w:space="0" w:color="auto"/>
                  </w:divBdr>
                  <w:divsChild>
                    <w:div w:id="1528103363">
                      <w:marLeft w:val="0"/>
                      <w:marRight w:val="0"/>
                      <w:marTop w:val="0"/>
                      <w:marBottom w:val="0"/>
                      <w:divBdr>
                        <w:top w:val="none" w:sz="0" w:space="0" w:color="auto"/>
                        <w:left w:val="none" w:sz="0" w:space="0" w:color="auto"/>
                        <w:bottom w:val="none" w:sz="0" w:space="0" w:color="auto"/>
                        <w:right w:val="none" w:sz="0" w:space="0" w:color="auto"/>
                      </w:divBdr>
                    </w:div>
                  </w:divsChild>
                </w:div>
                <w:div w:id="348873228">
                  <w:marLeft w:val="0"/>
                  <w:marRight w:val="0"/>
                  <w:marTop w:val="0"/>
                  <w:marBottom w:val="0"/>
                  <w:divBdr>
                    <w:top w:val="none" w:sz="0" w:space="0" w:color="auto"/>
                    <w:left w:val="none" w:sz="0" w:space="0" w:color="auto"/>
                    <w:bottom w:val="none" w:sz="0" w:space="0" w:color="auto"/>
                    <w:right w:val="none" w:sz="0" w:space="0" w:color="auto"/>
                  </w:divBdr>
                  <w:divsChild>
                    <w:div w:id="729962706">
                      <w:marLeft w:val="0"/>
                      <w:marRight w:val="0"/>
                      <w:marTop w:val="0"/>
                      <w:marBottom w:val="0"/>
                      <w:divBdr>
                        <w:top w:val="none" w:sz="0" w:space="0" w:color="auto"/>
                        <w:left w:val="none" w:sz="0" w:space="0" w:color="auto"/>
                        <w:bottom w:val="none" w:sz="0" w:space="0" w:color="auto"/>
                        <w:right w:val="none" w:sz="0" w:space="0" w:color="auto"/>
                      </w:divBdr>
                    </w:div>
                  </w:divsChild>
                </w:div>
                <w:div w:id="351683729">
                  <w:marLeft w:val="0"/>
                  <w:marRight w:val="0"/>
                  <w:marTop w:val="0"/>
                  <w:marBottom w:val="0"/>
                  <w:divBdr>
                    <w:top w:val="none" w:sz="0" w:space="0" w:color="auto"/>
                    <w:left w:val="none" w:sz="0" w:space="0" w:color="auto"/>
                    <w:bottom w:val="none" w:sz="0" w:space="0" w:color="auto"/>
                    <w:right w:val="none" w:sz="0" w:space="0" w:color="auto"/>
                  </w:divBdr>
                  <w:divsChild>
                    <w:div w:id="1202476929">
                      <w:marLeft w:val="0"/>
                      <w:marRight w:val="0"/>
                      <w:marTop w:val="0"/>
                      <w:marBottom w:val="0"/>
                      <w:divBdr>
                        <w:top w:val="none" w:sz="0" w:space="0" w:color="auto"/>
                        <w:left w:val="none" w:sz="0" w:space="0" w:color="auto"/>
                        <w:bottom w:val="none" w:sz="0" w:space="0" w:color="auto"/>
                        <w:right w:val="none" w:sz="0" w:space="0" w:color="auto"/>
                      </w:divBdr>
                    </w:div>
                  </w:divsChild>
                </w:div>
                <w:div w:id="353574337">
                  <w:marLeft w:val="0"/>
                  <w:marRight w:val="0"/>
                  <w:marTop w:val="0"/>
                  <w:marBottom w:val="0"/>
                  <w:divBdr>
                    <w:top w:val="none" w:sz="0" w:space="0" w:color="auto"/>
                    <w:left w:val="none" w:sz="0" w:space="0" w:color="auto"/>
                    <w:bottom w:val="none" w:sz="0" w:space="0" w:color="auto"/>
                    <w:right w:val="none" w:sz="0" w:space="0" w:color="auto"/>
                  </w:divBdr>
                  <w:divsChild>
                    <w:div w:id="1003700816">
                      <w:marLeft w:val="0"/>
                      <w:marRight w:val="0"/>
                      <w:marTop w:val="0"/>
                      <w:marBottom w:val="0"/>
                      <w:divBdr>
                        <w:top w:val="none" w:sz="0" w:space="0" w:color="auto"/>
                        <w:left w:val="none" w:sz="0" w:space="0" w:color="auto"/>
                        <w:bottom w:val="none" w:sz="0" w:space="0" w:color="auto"/>
                        <w:right w:val="none" w:sz="0" w:space="0" w:color="auto"/>
                      </w:divBdr>
                    </w:div>
                  </w:divsChild>
                </w:div>
                <w:div w:id="355040780">
                  <w:marLeft w:val="0"/>
                  <w:marRight w:val="0"/>
                  <w:marTop w:val="0"/>
                  <w:marBottom w:val="0"/>
                  <w:divBdr>
                    <w:top w:val="none" w:sz="0" w:space="0" w:color="auto"/>
                    <w:left w:val="none" w:sz="0" w:space="0" w:color="auto"/>
                    <w:bottom w:val="none" w:sz="0" w:space="0" w:color="auto"/>
                    <w:right w:val="none" w:sz="0" w:space="0" w:color="auto"/>
                  </w:divBdr>
                  <w:divsChild>
                    <w:div w:id="984089477">
                      <w:marLeft w:val="0"/>
                      <w:marRight w:val="0"/>
                      <w:marTop w:val="0"/>
                      <w:marBottom w:val="0"/>
                      <w:divBdr>
                        <w:top w:val="none" w:sz="0" w:space="0" w:color="auto"/>
                        <w:left w:val="none" w:sz="0" w:space="0" w:color="auto"/>
                        <w:bottom w:val="none" w:sz="0" w:space="0" w:color="auto"/>
                        <w:right w:val="none" w:sz="0" w:space="0" w:color="auto"/>
                      </w:divBdr>
                    </w:div>
                  </w:divsChild>
                </w:div>
                <w:div w:id="360277642">
                  <w:marLeft w:val="0"/>
                  <w:marRight w:val="0"/>
                  <w:marTop w:val="0"/>
                  <w:marBottom w:val="0"/>
                  <w:divBdr>
                    <w:top w:val="none" w:sz="0" w:space="0" w:color="auto"/>
                    <w:left w:val="none" w:sz="0" w:space="0" w:color="auto"/>
                    <w:bottom w:val="none" w:sz="0" w:space="0" w:color="auto"/>
                    <w:right w:val="none" w:sz="0" w:space="0" w:color="auto"/>
                  </w:divBdr>
                  <w:divsChild>
                    <w:div w:id="1632443494">
                      <w:marLeft w:val="0"/>
                      <w:marRight w:val="0"/>
                      <w:marTop w:val="0"/>
                      <w:marBottom w:val="0"/>
                      <w:divBdr>
                        <w:top w:val="none" w:sz="0" w:space="0" w:color="auto"/>
                        <w:left w:val="none" w:sz="0" w:space="0" w:color="auto"/>
                        <w:bottom w:val="none" w:sz="0" w:space="0" w:color="auto"/>
                        <w:right w:val="none" w:sz="0" w:space="0" w:color="auto"/>
                      </w:divBdr>
                    </w:div>
                  </w:divsChild>
                </w:div>
                <w:div w:id="364253774">
                  <w:marLeft w:val="0"/>
                  <w:marRight w:val="0"/>
                  <w:marTop w:val="0"/>
                  <w:marBottom w:val="0"/>
                  <w:divBdr>
                    <w:top w:val="none" w:sz="0" w:space="0" w:color="auto"/>
                    <w:left w:val="none" w:sz="0" w:space="0" w:color="auto"/>
                    <w:bottom w:val="none" w:sz="0" w:space="0" w:color="auto"/>
                    <w:right w:val="none" w:sz="0" w:space="0" w:color="auto"/>
                  </w:divBdr>
                  <w:divsChild>
                    <w:div w:id="415828863">
                      <w:marLeft w:val="0"/>
                      <w:marRight w:val="0"/>
                      <w:marTop w:val="0"/>
                      <w:marBottom w:val="0"/>
                      <w:divBdr>
                        <w:top w:val="none" w:sz="0" w:space="0" w:color="auto"/>
                        <w:left w:val="none" w:sz="0" w:space="0" w:color="auto"/>
                        <w:bottom w:val="none" w:sz="0" w:space="0" w:color="auto"/>
                        <w:right w:val="none" w:sz="0" w:space="0" w:color="auto"/>
                      </w:divBdr>
                    </w:div>
                  </w:divsChild>
                </w:div>
                <w:div w:id="387609286">
                  <w:marLeft w:val="0"/>
                  <w:marRight w:val="0"/>
                  <w:marTop w:val="0"/>
                  <w:marBottom w:val="0"/>
                  <w:divBdr>
                    <w:top w:val="none" w:sz="0" w:space="0" w:color="auto"/>
                    <w:left w:val="none" w:sz="0" w:space="0" w:color="auto"/>
                    <w:bottom w:val="none" w:sz="0" w:space="0" w:color="auto"/>
                    <w:right w:val="none" w:sz="0" w:space="0" w:color="auto"/>
                  </w:divBdr>
                  <w:divsChild>
                    <w:div w:id="1720855983">
                      <w:marLeft w:val="0"/>
                      <w:marRight w:val="0"/>
                      <w:marTop w:val="0"/>
                      <w:marBottom w:val="0"/>
                      <w:divBdr>
                        <w:top w:val="none" w:sz="0" w:space="0" w:color="auto"/>
                        <w:left w:val="none" w:sz="0" w:space="0" w:color="auto"/>
                        <w:bottom w:val="none" w:sz="0" w:space="0" w:color="auto"/>
                        <w:right w:val="none" w:sz="0" w:space="0" w:color="auto"/>
                      </w:divBdr>
                    </w:div>
                  </w:divsChild>
                </w:div>
                <w:div w:id="390428593">
                  <w:marLeft w:val="0"/>
                  <w:marRight w:val="0"/>
                  <w:marTop w:val="0"/>
                  <w:marBottom w:val="0"/>
                  <w:divBdr>
                    <w:top w:val="none" w:sz="0" w:space="0" w:color="auto"/>
                    <w:left w:val="none" w:sz="0" w:space="0" w:color="auto"/>
                    <w:bottom w:val="none" w:sz="0" w:space="0" w:color="auto"/>
                    <w:right w:val="none" w:sz="0" w:space="0" w:color="auto"/>
                  </w:divBdr>
                  <w:divsChild>
                    <w:div w:id="682586874">
                      <w:marLeft w:val="0"/>
                      <w:marRight w:val="0"/>
                      <w:marTop w:val="0"/>
                      <w:marBottom w:val="0"/>
                      <w:divBdr>
                        <w:top w:val="none" w:sz="0" w:space="0" w:color="auto"/>
                        <w:left w:val="none" w:sz="0" w:space="0" w:color="auto"/>
                        <w:bottom w:val="none" w:sz="0" w:space="0" w:color="auto"/>
                        <w:right w:val="none" w:sz="0" w:space="0" w:color="auto"/>
                      </w:divBdr>
                    </w:div>
                  </w:divsChild>
                </w:div>
                <w:div w:id="390740373">
                  <w:marLeft w:val="0"/>
                  <w:marRight w:val="0"/>
                  <w:marTop w:val="0"/>
                  <w:marBottom w:val="0"/>
                  <w:divBdr>
                    <w:top w:val="none" w:sz="0" w:space="0" w:color="auto"/>
                    <w:left w:val="none" w:sz="0" w:space="0" w:color="auto"/>
                    <w:bottom w:val="none" w:sz="0" w:space="0" w:color="auto"/>
                    <w:right w:val="none" w:sz="0" w:space="0" w:color="auto"/>
                  </w:divBdr>
                  <w:divsChild>
                    <w:div w:id="1931884662">
                      <w:marLeft w:val="0"/>
                      <w:marRight w:val="0"/>
                      <w:marTop w:val="0"/>
                      <w:marBottom w:val="0"/>
                      <w:divBdr>
                        <w:top w:val="none" w:sz="0" w:space="0" w:color="auto"/>
                        <w:left w:val="none" w:sz="0" w:space="0" w:color="auto"/>
                        <w:bottom w:val="none" w:sz="0" w:space="0" w:color="auto"/>
                        <w:right w:val="none" w:sz="0" w:space="0" w:color="auto"/>
                      </w:divBdr>
                    </w:div>
                  </w:divsChild>
                </w:div>
                <w:div w:id="399716720">
                  <w:marLeft w:val="0"/>
                  <w:marRight w:val="0"/>
                  <w:marTop w:val="0"/>
                  <w:marBottom w:val="0"/>
                  <w:divBdr>
                    <w:top w:val="none" w:sz="0" w:space="0" w:color="auto"/>
                    <w:left w:val="none" w:sz="0" w:space="0" w:color="auto"/>
                    <w:bottom w:val="none" w:sz="0" w:space="0" w:color="auto"/>
                    <w:right w:val="none" w:sz="0" w:space="0" w:color="auto"/>
                  </w:divBdr>
                  <w:divsChild>
                    <w:div w:id="1629161103">
                      <w:marLeft w:val="0"/>
                      <w:marRight w:val="0"/>
                      <w:marTop w:val="0"/>
                      <w:marBottom w:val="0"/>
                      <w:divBdr>
                        <w:top w:val="none" w:sz="0" w:space="0" w:color="auto"/>
                        <w:left w:val="none" w:sz="0" w:space="0" w:color="auto"/>
                        <w:bottom w:val="none" w:sz="0" w:space="0" w:color="auto"/>
                        <w:right w:val="none" w:sz="0" w:space="0" w:color="auto"/>
                      </w:divBdr>
                    </w:div>
                  </w:divsChild>
                </w:div>
                <w:div w:id="419109231">
                  <w:marLeft w:val="0"/>
                  <w:marRight w:val="0"/>
                  <w:marTop w:val="0"/>
                  <w:marBottom w:val="0"/>
                  <w:divBdr>
                    <w:top w:val="none" w:sz="0" w:space="0" w:color="auto"/>
                    <w:left w:val="none" w:sz="0" w:space="0" w:color="auto"/>
                    <w:bottom w:val="none" w:sz="0" w:space="0" w:color="auto"/>
                    <w:right w:val="none" w:sz="0" w:space="0" w:color="auto"/>
                  </w:divBdr>
                  <w:divsChild>
                    <w:div w:id="1052729685">
                      <w:marLeft w:val="0"/>
                      <w:marRight w:val="0"/>
                      <w:marTop w:val="0"/>
                      <w:marBottom w:val="0"/>
                      <w:divBdr>
                        <w:top w:val="none" w:sz="0" w:space="0" w:color="auto"/>
                        <w:left w:val="none" w:sz="0" w:space="0" w:color="auto"/>
                        <w:bottom w:val="none" w:sz="0" w:space="0" w:color="auto"/>
                        <w:right w:val="none" w:sz="0" w:space="0" w:color="auto"/>
                      </w:divBdr>
                    </w:div>
                  </w:divsChild>
                </w:div>
                <w:div w:id="452209742">
                  <w:marLeft w:val="0"/>
                  <w:marRight w:val="0"/>
                  <w:marTop w:val="0"/>
                  <w:marBottom w:val="0"/>
                  <w:divBdr>
                    <w:top w:val="none" w:sz="0" w:space="0" w:color="auto"/>
                    <w:left w:val="none" w:sz="0" w:space="0" w:color="auto"/>
                    <w:bottom w:val="none" w:sz="0" w:space="0" w:color="auto"/>
                    <w:right w:val="none" w:sz="0" w:space="0" w:color="auto"/>
                  </w:divBdr>
                  <w:divsChild>
                    <w:div w:id="74863943">
                      <w:marLeft w:val="0"/>
                      <w:marRight w:val="0"/>
                      <w:marTop w:val="0"/>
                      <w:marBottom w:val="0"/>
                      <w:divBdr>
                        <w:top w:val="none" w:sz="0" w:space="0" w:color="auto"/>
                        <w:left w:val="none" w:sz="0" w:space="0" w:color="auto"/>
                        <w:bottom w:val="none" w:sz="0" w:space="0" w:color="auto"/>
                        <w:right w:val="none" w:sz="0" w:space="0" w:color="auto"/>
                      </w:divBdr>
                    </w:div>
                  </w:divsChild>
                </w:div>
                <w:div w:id="453451064">
                  <w:marLeft w:val="0"/>
                  <w:marRight w:val="0"/>
                  <w:marTop w:val="0"/>
                  <w:marBottom w:val="0"/>
                  <w:divBdr>
                    <w:top w:val="none" w:sz="0" w:space="0" w:color="auto"/>
                    <w:left w:val="none" w:sz="0" w:space="0" w:color="auto"/>
                    <w:bottom w:val="none" w:sz="0" w:space="0" w:color="auto"/>
                    <w:right w:val="none" w:sz="0" w:space="0" w:color="auto"/>
                  </w:divBdr>
                  <w:divsChild>
                    <w:div w:id="455758027">
                      <w:marLeft w:val="0"/>
                      <w:marRight w:val="0"/>
                      <w:marTop w:val="0"/>
                      <w:marBottom w:val="0"/>
                      <w:divBdr>
                        <w:top w:val="none" w:sz="0" w:space="0" w:color="auto"/>
                        <w:left w:val="none" w:sz="0" w:space="0" w:color="auto"/>
                        <w:bottom w:val="none" w:sz="0" w:space="0" w:color="auto"/>
                        <w:right w:val="none" w:sz="0" w:space="0" w:color="auto"/>
                      </w:divBdr>
                    </w:div>
                  </w:divsChild>
                </w:div>
                <w:div w:id="455491895">
                  <w:marLeft w:val="0"/>
                  <w:marRight w:val="0"/>
                  <w:marTop w:val="0"/>
                  <w:marBottom w:val="0"/>
                  <w:divBdr>
                    <w:top w:val="none" w:sz="0" w:space="0" w:color="auto"/>
                    <w:left w:val="none" w:sz="0" w:space="0" w:color="auto"/>
                    <w:bottom w:val="none" w:sz="0" w:space="0" w:color="auto"/>
                    <w:right w:val="none" w:sz="0" w:space="0" w:color="auto"/>
                  </w:divBdr>
                  <w:divsChild>
                    <w:div w:id="533353288">
                      <w:marLeft w:val="0"/>
                      <w:marRight w:val="0"/>
                      <w:marTop w:val="0"/>
                      <w:marBottom w:val="0"/>
                      <w:divBdr>
                        <w:top w:val="none" w:sz="0" w:space="0" w:color="auto"/>
                        <w:left w:val="none" w:sz="0" w:space="0" w:color="auto"/>
                        <w:bottom w:val="none" w:sz="0" w:space="0" w:color="auto"/>
                        <w:right w:val="none" w:sz="0" w:space="0" w:color="auto"/>
                      </w:divBdr>
                    </w:div>
                  </w:divsChild>
                </w:div>
                <w:div w:id="456602077">
                  <w:marLeft w:val="0"/>
                  <w:marRight w:val="0"/>
                  <w:marTop w:val="0"/>
                  <w:marBottom w:val="0"/>
                  <w:divBdr>
                    <w:top w:val="none" w:sz="0" w:space="0" w:color="auto"/>
                    <w:left w:val="none" w:sz="0" w:space="0" w:color="auto"/>
                    <w:bottom w:val="none" w:sz="0" w:space="0" w:color="auto"/>
                    <w:right w:val="none" w:sz="0" w:space="0" w:color="auto"/>
                  </w:divBdr>
                  <w:divsChild>
                    <w:div w:id="1397630569">
                      <w:marLeft w:val="0"/>
                      <w:marRight w:val="0"/>
                      <w:marTop w:val="0"/>
                      <w:marBottom w:val="0"/>
                      <w:divBdr>
                        <w:top w:val="none" w:sz="0" w:space="0" w:color="auto"/>
                        <w:left w:val="none" w:sz="0" w:space="0" w:color="auto"/>
                        <w:bottom w:val="none" w:sz="0" w:space="0" w:color="auto"/>
                        <w:right w:val="none" w:sz="0" w:space="0" w:color="auto"/>
                      </w:divBdr>
                    </w:div>
                  </w:divsChild>
                </w:div>
                <w:div w:id="466363822">
                  <w:marLeft w:val="0"/>
                  <w:marRight w:val="0"/>
                  <w:marTop w:val="0"/>
                  <w:marBottom w:val="0"/>
                  <w:divBdr>
                    <w:top w:val="none" w:sz="0" w:space="0" w:color="auto"/>
                    <w:left w:val="none" w:sz="0" w:space="0" w:color="auto"/>
                    <w:bottom w:val="none" w:sz="0" w:space="0" w:color="auto"/>
                    <w:right w:val="none" w:sz="0" w:space="0" w:color="auto"/>
                  </w:divBdr>
                  <w:divsChild>
                    <w:div w:id="487554177">
                      <w:marLeft w:val="0"/>
                      <w:marRight w:val="0"/>
                      <w:marTop w:val="0"/>
                      <w:marBottom w:val="0"/>
                      <w:divBdr>
                        <w:top w:val="none" w:sz="0" w:space="0" w:color="auto"/>
                        <w:left w:val="none" w:sz="0" w:space="0" w:color="auto"/>
                        <w:bottom w:val="none" w:sz="0" w:space="0" w:color="auto"/>
                        <w:right w:val="none" w:sz="0" w:space="0" w:color="auto"/>
                      </w:divBdr>
                    </w:div>
                  </w:divsChild>
                </w:div>
                <w:div w:id="466893322">
                  <w:marLeft w:val="0"/>
                  <w:marRight w:val="0"/>
                  <w:marTop w:val="0"/>
                  <w:marBottom w:val="0"/>
                  <w:divBdr>
                    <w:top w:val="none" w:sz="0" w:space="0" w:color="auto"/>
                    <w:left w:val="none" w:sz="0" w:space="0" w:color="auto"/>
                    <w:bottom w:val="none" w:sz="0" w:space="0" w:color="auto"/>
                    <w:right w:val="none" w:sz="0" w:space="0" w:color="auto"/>
                  </w:divBdr>
                  <w:divsChild>
                    <w:div w:id="1028600199">
                      <w:marLeft w:val="0"/>
                      <w:marRight w:val="0"/>
                      <w:marTop w:val="0"/>
                      <w:marBottom w:val="0"/>
                      <w:divBdr>
                        <w:top w:val="none" w:sz="0" w:space="0" w:color="auto"/>
                        <w:left w:val="none" w:sz="0" w:space="0" w:color="auto"/>
                        <w:bottom w:val="none" w:sz="0" w:space="0" w:color="auto"/>
                        <w:right w:val="none" w:sz="0" w:space="0" w:color="auto"/>
                      </w:divBdr>
                    </w:div>
                  </w:divsChild>
                </w:div>
                <w:div w:id="470632499">
                  <w:marLeft w:val="0"/>
                  <w:marRight w:val="0"/>
                  <w:marTop w:val="0"/>
                  <w:marBottom w:val="0"/>
                  <w:divBdr>
                    <w:top w:val="none" w:sz="0" w:space="0" w:color="auto"/>
                    <w:left w:val="none" w:sz="0" w:space="0" w:color="auto"/>
                    <w:bottom w:val="none" w:sz="0" w:space="0" w:color="auto"/>
                    <w:right w:val="none" w:sz="0" w:space="0" w:color="auto"/>
                  </w:divBdr>
                  <w:divsChild>
                    <w:div w:id="1454591492">
                      <w:marLeft w:val="0"/>
                      <w:marRight w:val="0"/>
                      <w:marTop w:val="0"/>
                      <w:marBottom w:val="0"/>
                      <w:divBdr>
                        <w:top w:val="none" w:sz="0" w:space="0" w:color="auto"/>
                        <w:left w:val="none" w:sz="0" w:space="0" w:color="auto"/>
                        <w:bottom w:val="none" w:sz="0" w:space="0" w:color="auto"/>
                        <w:right w:val="none" w:sz="0" w:space="0" w:color="auto"/>
                      </w:divBdr>
                    </w:div>
                  </w:divsChild>
                </w:div>
                <w:div w:id="477845470">
                  <w:marLeft w:val="0"/>
                  <w:marRight w:val="0"/>
                  <w:marTop w:val="0"/>
                  <w:marBottom w:val="0"/>
                  <w:divBdr>
                    <w:top w:val="none" w:sz="0" w:space="0" w:color="auto"/>
                    <w:left w:val="none" w:sz="0" w:space="0" w:color="auto"/>
                    <w:bottom w:val="none" w:sz="0" w:space="0" w:color="auto"/>
                    <w:right w:val="none" w:sz="0" w:space="0" w:color="auto"/>
                  </w:divBdr>
                  <w:divsChild>
                    <w:div w:id="2061857604">
                      <w:marLeft w:val="0"/>
                      <w:marRight w:val="0"/>
                      <w:marTop w:val="0"/>
                      <w:marBottom w:val="0"/>
                      <w:divBdr>
                        <w:top w:val="none" w:sz="0" w:space="0" w:color="auto"/>
                        <w:left w:val="none" w:sz="0" w:space="0" w:color="auto"/>
                        <w:bottom w:val="none" w:sz="0" w:space="0" w:color="auto"/>
                        <w:right w:val="none" w:sz="0" w:space="0" w:color="auto"/>
                      </w:divBdr>
                    </w:div>
                  </w:divsChild>
                </w:div>
                <w:div w:id="491530020">
                  <w:marLeft w:val="0"/>
                  <w:marRight w:val="0"/>
                  <w:marTop w:val="0"/>
                  <w:marBottom w:val="0"/>
                  <w:divBdr>
                    <w:top w:val="none" w:sz="0" w:space="0" w:color="auto"/>
                    <w:left w:val="none" w:sz="0" w:space="0" w:color="auto"/>
                    <w:bottom w:val="none" w:sz="0" w:space="0" w:color="auto"/>
                    <w:right w:val="none" w:sz="0" w:space="0" w:color="auto"/>
                  </w:divBdr>
                  <w:divsChild>
                    <w:div w:id="1976831651">
                      <w:marLeft w:val="0"/>
                      <w:marRight w:val="0"/>
                      <w:marTop w:val="0"/>
                      <w:marBottom w:val="0"/>
                      <w:divBdr>
                        <w:top w:val="none" w:sz="0" w:space="0" w:color="auto"/>
                        <w:left w:val="none" w:sz="0" w:space="0" w:color="auto"/>
                        <w:bottom w:val="none" w:sz="0" w:space="0" w:color="auto"/>
                        <w:right w:val="none" w:sz="0" w:space="0" w:color="auto"/>
                      </w:divBdr>
                    </w:div>
                  </w:divsChild>
                </w:div>
                <w:div w:id="492717289">
                  <w:marLeft w:val="0"/>
                  <w:marRight w:val="0"/>
                  <w:marTop w:val="0"/>
                  <w:marBottom w:val="0"/>
                  <w:divBdr>
                    <w:top w:val="none" w:sz="0" w:space="0" w:color="auto"/>
                    <w:left w:val="none" w:sz="0" w:space="0" w:color="auto"/>
                    <w:bottom w:val="none" w:sz="0" w:space="0" w:color="auto"/>
                    <w:right w:val="none" w:sz="0" w:space="0" w:color="auto"/>
                  </w:divBdr>
                  <w:divsChild>
                    <w:div w:id="195428733">
                      <w:marLeft w:val="0"/>
                      <w:marRight w:val="0"/>
                      <w:marTop w:val="0"/>
                      <w:marBottom w:val="0"/>
                      <w:divBdr>
                        <w:top w:val="none" w:sz="0" w:space="0" w:color="auto"/>
                        <w:left w:val="none" w:sz="0" w:space="0" w:color="auto"/>
                        <w:bottom w:val="none" w:sz="0" w:space="0" w:color="auto"/>
                        <w:right w:val="none" w:sz="0" w:space="0" w:color="auto"/>
                      </w:divBdr>
                    </w:div>
                  </w:divsChild>
                </w:div>
                <w:div w:id="508132541">
                  <w:marLeft w:val="0"/>
                  <w:marRight w:val="0"/>
                  <w:marTop w:val="0"/>
                  <w:marBottom w:val="0"/>
                  <w:divBdr>
                    <w:top w:val="none" w:sz="0" w:space="0" w:color="auto"/>
                    <w:left w:val="none" w:sz="0" w:space="0" w:color="auto"/>
                    <w:bottom w:val="none" w:sz="0" w:space="0" w:color="auto"/>
                    <w:right w:val="none" w:sz="0" w:space="0" w:color="auto"/>
                  </w:divBdr>
                  <w:divsChild>
                    <w:div w:id="1038091111">
                      <w:marLeft w:val="0"/>
                      <w:marRight w:val="0"/>
                      <w:marTop w:val="0"/>
                      <w:marBottom w:val="0"/>
                      <w:divBdr>
                        <w:top w:val="none" w:sz="0" w:space="0" w:color="auto"/>
                        <w:left w:val="none" w:sz="0" w:space="0" w:color="auto"/>
                        <w:bottom w:val="none" w:sz="0" w:space="0" w:color="auto"/>
                        <w:right w:val="none" w:sz="0" w:space="0" w:color="auto"/>
                      </w:divBdr>
                    </w:div>
                  </w:divsChild>
                </w:div>
                <w:div w:id="523520175">
                  <w:marLeft w:val="0"/>
                  <w:marRight w:val="0"/>
                  <w:marTop w:val="0"/>
                  <w:marBottom w:val="0"/>
                  <w:divBdr>
                    <w:top w:val="none" w:sz="0" w:space="0" w:color="auto"/>
                    <w:left w:val="none" w:sz="0" w:space="0" w:color="auto"/>
                    <w:bottom w:val="none" w:sz="0" w:space="0" w:color="auto"/>
                    <w:right w:val="none" w:sz="0" w:space="0" w:color="auto"/>
                  </w:divBdr>
                  <w:divsChild>
                    <w:div w:id="1271745228">
                      <w:marLeft w:val="0"/>
                      <w:marRight w:val="0"/>
                      <w:marTop w:val="0"/>
                      <w:marBottom w:val="0"/>
                      <w:divBdr>
                        <w:top w:val="none" w:sz="0" w:space="0" w:color="auto"/>
                        <w:left w:val="none" w:sz="0" w:space="0" w:color="auto"/>
                        <w:bottom w:val="none" w:sz="0" w:space="0" w:color="auto"/>
                        <w:right w:val="none" w:sz="0" w:space="0" w:color="auto"/>
                      </w:divBdr>
                    </w:div>
                  </w:divsChild>
                </w:div>
                <w:div w:id="534734376">
                  <w:marLeft w:val="0"/>
                  <w:marRight w:val="0"/>
                  <w:marTop w:val="0"/>
                  <w:marBottom w:val="0"/>
                  <w:divBdr>
                    <w:top w:val="none" w:sz="0" w:space="0" w:color="auto"/>
                    <w:left w:val="none" w:sz="0" w:space="0" w:color="auto"/>
                    <w:bottom w:val="none" w:sz="0" w:space="0" w:color="auto"/>
                    <w:right w:val="none" w:sz="0" w:space="0" w:color="auto"/>
                  </w:divBdr>
                  <w:divsChild>
                    <w:div w:id="1356924259">
                      <w:marLeft w:val="0"/>
                      <w:marRight w:val="0"/>
                      <w:marTop w:val="0"/>
                      <w:marBottom w:val="0"/>
                      <w:divBdr>
                        <w:top w:val="none" w:sz="0" w:space="0" w:color="auto"/>
                        <w:left w:val="none" w:sz="0" w:space="0" w:color="auto"/>
                        <w:bottom w:val="none" w:sz="0" w:space="0" w:color="auto"/>
                        <w:right w:val="none" w:sz="0" w:space="0" w:color="auto"/>
                      </w:divBdr>
                    </w:div>
                  </w:divsChild>
                </w:div>
                <w:div w:id="538399900">
                  <w:marLeft w:val="0"/>
                  <w:marRight w:val="0"/>
                  <w:marTop w:val="0"/>
                  <w:marBottom w:val="0"/>
                  <w:divBdr>
                    <w:top w:val="none" w:sz="0" w:space="0" w:color="auto"/>
                    <w:left w:val="none" w:sz="0" w:space="0" w:color="auto"/>
                    <w:bottom w:val="none" w:sz="0" w:space="0" w:color="auto"/>
                    <w:right w:val="none" w:sz="0" w:space="0" w:color="auto"/>
                  </w:divBdr>
                  <w:divsChild>
                    <w:div w:id="1304844802">
                      <w:marLeft w:val="0"/>
                      <w:marRight w:val="0"/>
                      <w:marTop w:val="0"/>
                      <w:marBottom w:val="0"/>
                      <w:divBdr>
                        <w:top w:val="none" w:sz="0" w:space="0" w:color="auto"/>
                        <w:left w:val="none" w:sz="0" w:space="0" w:color="auto"/>
                        <w:bottom w:val="none" w:sz="0" w:space="0" w:color="auto"/>
                        <w:right w:val="none" w:sz="0" w:space="0" w:color="auto"/>
                      </w:divBdr>
                    </w:div>
                  </w:divsChild>
                </w:div>
                <w:div w:id="545920957">
                  <w:marLeft w:val="0"/>
                  <w:marRight w:val="0"/>
                  <w:marTop w:val="0"/>
                  <w:marBottom w:val="0"/>
                  <w:divBdr>
                    <w:top w:val="none" w:sz="0" w:space="0" w:color="auto"/>
                    <w:left w:val="none" w:sz="0" w:space="0" w:color="auto"/>
                    <w:bottom w:val="none" w:sz="0" w:space="0" w:color="auto"/>
                    <w:right w:val="none" w:sz="0" w:space="0" w:color="auto"/>
                  </w:divBdr>
                  <w:divsChild>
                    <w:div w:id="216548661">
                      <w:marLeft w:val="0"/>
                      <w:marRight w:val="0"/>
                      <w:marTop w:val="0"/>
                      <w:marBottom w:val="0"/>
                      <w:divBdr>
                        <w:top w:val="none" w:sz="0" w:space="0" w:color="auto"/>
                        <w:left w:val="none" w:sz="0" w:space="0" w:color="auto"/>
                        <w:bottom w:val="none" w:sz="0" w:space="0" w:color="auto"/>
                        <w:right w:val="none" w:sz="0" w:space="0" w:color="auto"/>
                      </w:divBdr>
                    </w:div>
                  </w:divsChild>
                </w:div>
                <w:div w:id="546450033">
                  <w:marLeft w:val="0"/>
                  <w:marRight w:val="0"/>
                  <w:marTop w:val="0"/>
                  <w:marBottom w:val="0"/>
                  <w:divBdr>
                    <w:top w:val="none" w:sz="0" w:space="0" w:color="auto"/>
                    <w:left w:val="none" w:sz="0" w:space="0" w:color="auto"/>
                    <w:bottom w:val="none" w:sz="0" w:space="0" w:color="auto"/>
                    <w:right w:val="none" w:sz="0" w:space="0" w:color="auto"/>
                  </w:divBdr>
                  <w:divsChild>
                    <w:div w:id="1082526898">
                      <w:marLeft w:val="0"/>
                      <w:marRight w:val="0"/>
                      <w:marTop w:val="0"/>
                      <w:marBottom w:val="0"/>
                      <w:divBdr>
                        <w:top w:val="none" w:sz="0" w:space="0" w:color="auto"/>
                        <w:left w:val="none" w:sz="0" w:space="0" w:color="auto"/>
                        <w:bottom w:val="none" w:sz="0" w:space="0" w:color="auto"/>
                        <w:right w:val="none" w:sz="0" w:space="0" w:color="auto"/>
                      </w:divBdr>
                    </w:div>
                  </w:divsChild>
                </w:div>
                <w:div w:id="555506291">
                  <w:marLeft w:val="0"/>
                  <w:marRight w:val="0"/>
                  <w:marTop w:val="0"/>
                  <w:marBottom w:val="0"/>
                  <w:divBdr>
                    <w:top w:val="none" w:sz="0" w:space="0" w:color="auto"/>
                    <w:left w:val="none" w:sz="0" w:space="0" w:color="auto"/>
                    <w:bottom w:val="none" w:sz="0" w:space="0" w:color="auto"/>
                    <w:right w:val="none" w:sz="0" w:space="0" w:color="auto"/>
                  </w:divBdr>
                  <w:divsChild>
                    <w:div w:id="1780638027">
                      <w:marLeft w:val="0"/>
                      <w:marRight w:val="0"/>
                      <w:marTop w:val="0"/>
                      <w:marBottom w:val="0"/>
                      <w:divBdr>
                        <w:top w:val="none" w:sz="0" w:space="0" w:color="auto"/>
                        <w:left w:val="none" w:sz="0" w:space="0" w:color="auto"/>
                        <w:bottom w:val="none" w:sz="0" w:space="0" w:color="auto"/>
                        <w:right w:val="none" w:sz="0" w:space="0" w:color="auto"/>
                      </w:divBdr>
                    </w:div>
                  </w:divsChild>
                </w:div>
                <w:div w:id="559945353">
                  <w:marLeft w:val="0"/>
                  <w:marRight w:val="0"/>
                  <w:marTop w:val="0"/>
                  <w:marBottom w:val="0"/>
                  <w:divBdr>
                    <w:top w:val="none" w:sz="0" w:space="0" w:color="auto"/>
                    <w:left w:val="none" w:sz="0" w:space="0" w:color="auto"/>
                    <w:bottom w:val="none" w:sz="0" w:space="0" w:color="auto"/>
                    <w:right w:val="none" w:sz="0" w:space="0" w:color="auto"/>
                  </w:divBdr>
                  <w:divsChild>
                    <w:div w:id="2097476">
                      <w:marLeft w:val="0"/>
                      <w:marRight w:val="0"/>
                      <w:marTop w:val="0"/>
                      <w:marBottom w:val="0"/>
                      <w:divBdr>
                        <w:top w:val="none" w:sz="0" w:space="0" w:color="auto"/>
                        <w:left w:val="none" w:sz="0" w:space="0" w:color="auto"/>
                        <w:bottom w:val="none" w:sz="0" w:space="0" w:color="auto"/>
                        <w:right w:val="none" w:sz="0" w:space="0" w:color="auto"/>
                      </w:divBdr>
                    </w:div>
                  </w:divsChild>
                </w:div>
                <w:div w:id="571474424">
                  <w:marLeft w:val="0"/>
                  <w:marRight w:val="0"/>
                  <w:marTop w:val="0"/>
                  <w:marBottom w:val="0"/>
                  <w:divBdr>
                    <w:top w:val="none" w:sz="0" w:space="0" w:color="auto"/>
                    <w:left w:val="none" w:sz="0" w:space="0" w:color="auto"/>
                    <w:bottom w:val="none" w:sz="0" w:space="0" w:color="auto"/>
                    <w:right w:val="none" w:sz="0" w:space="0" w:color="auto"/>
                  </w:divBdr>
                  <w:divsChild>
                    <w:div w:id="209541537">
                      <w:marLeft w:val="0"/>
                      <w:marRight w:val="0"/>
                      <w:marTop w:val="0"/>
                      <w:marBottom w:val="0"/>
                      <w:divBdr>
                        <w:top w:val="none" w:sz="0" w:space="0" w:color="auto"/>
                        <w:left w:val="none" w:sz="0" w:space="0" w:color="auto"/>
                        <w:bottom w:val="none" w:sz="0" w:space="0" w:color="auto"/>
                        <w:right w:val="none" w:sz="0" w:space="0" w:color="auto"/>
                      </w:divBdr>
                    </w:div>
                  </w:divsChild>
                </w:div>
                <w:div w:id="576869079">
                  <w:marLeft w:val="0"/>
                  <w:marRight w:val="0"/>
                  <w:marTop w:val="0"/>
                  <w:marBottom w:val="0"/>
                  <w:divBdr>
                    <w:top w:val="none" w:sz="0" w:space="0" w:color="auto"/>
                    <w:left w:val="none" w:sz="0" w:space="0" w:color="auto"/>
                    <w:bottom w:val="none" w:sz="0" w:space="0" w:color="auto"/>
                    <w:right w:val="none" w:sz="0" w:space="0" w:color="auto"/>
                  </w:divBdr>
                  <w:divsChild>
                    <w:div w:id="1077558260">
                      <w:marLeft w:val="0"/>
                      <w:marRight w:val="0"/>
                      <w:marTop w:val="0"/>
                      <w:marBottom w:val="0"/>
                      <w:divBdr>
                        <w:top w:val="none" w:sz="0" w:space="0" w:color="auto"/>
                        <w:left w:val="none" w:sz="0" w:space="0" w:color="auto"/>
                        <w:bottom w:val="none" w:sz="0" w:space="0" w:color="auto"/>
                        <w:right w:val="none" w:sz="0" w:space="0" w:color="auto"/>
                      </w:divBdr>
                    </w:div>
                  </w:divsChild>
                </w:div>
                <w:div w:id="585043812">
                  <w:marLeft w:val="0"/>
                  <w:marRight w:val="0"/>
                  <w:marTop w:val="0"/>
                  <w:marBottom w:val="0"/>
                  <w:divBdr>
                    <w:top w:val="none" w:sz="0" w:space="0" w:color="auto"/>
                    <w:left w:val="none" w:sz="0" w:space="0" w:color="auto"/>
                    <w:bottom w:val="none" w:sz="0" w:space="0" w:color="auto"/>
                    <w:right w:val="none" w:sz="0" w:space="0" w:color="auto"/>
                  </w:divBdr>
                  <w:divsChild>
                    <w:div w:id="259728421">
                      <w:marLeft w:val="0"/>
                      <w:marRight w:val="0"/>
                      <w:marTop w:val="0"/>
                      <w:marBottom w:val="0"/>
                      <w:divBdr>
                        <w:top w:val="none" w:sz="0" w:space="0" w:color="auto"/>
                        <w:left w:val="none" w:sz="0" w:space="0" w:color="auto"/>
                        <w:bottom w:val="none" w:sz="0" w:space="0" w:color="auto"/>
                        <w:right w:val="none" w:sz="0" w:space="0" w:color="auto"/>
                      </w:divBdr>
                    </w:div>
                  </w:divsChild>
                </w:div>
                <w:div w:id="598217503">
                  <w:marLeft w:val="0"/>
                  <w:marRight w:val="0"/>
                  <w:marTop w:val="0"/>
                  <w:marBottom w:val="0"/>
                  <w:divBdr>
                    <w:top w:val="none" w:sz="0" w:space="0" w:color="auto"/>
                    <w:left w:val="none" w:sz="0" w:space="0" w:color="auto"/>
                    <w:bottom w:val="none" w:sz="0" w:space="0" w:color="auto"/>
                    <w:right w:val="none" w:sz="0" w:space="0" w:color="auto"/>
                  </w:divBdr>
                  <w:divsChild>
                    <w:div w:id="417213751">
                      <w:marLeft w:val="0"/>
                      <w:marRight w:val="0"/>
                      <w:marTop w:val="0"/>
                      <w:marBottom w:val="0"/>
                      <w:divBdr>
                        <w:top w:val="none" w:sz="0" w:space="0" w:color="auto"/>
                        <w:left w:val="none" w:sz="0" w:space="0" w:color="auto"/>
                        <w:bottom w:val="none" w:sz="0" w:space="0" w:color="auto"/>
                        <w:right w:val="none" w:sz="0" w:space="0" w:color="auto"/>
                      </w:divBdr>
                    </w:div>
                  </w:divsChild>
                </w:div>
                <w:div w:id="601835789">
                  <w:marLeft w:val="0"/>
                  <w:marRight w:val="0"/>
                  <w:marTop w:val="0"/>
                  <w:marBottom w:val="0"/>
                  <w:divBdr>
                    <w:top w:val="none" w:sz="0" w:space="0" w:color="auto"/>
                    <w:left w:val="none" w:sz="0" w:space="0" w:color="auto"/>
                    <w:bottom w:val="none" w:sz="0" w:space="0" w:color="auto"/>
                    <w:right w:val="none" w:sz="0" w:space="0" w:color="auto"/>
                  </w:divBdr>
                  <w:divsChild>
                    <w:div w:id="102458025">
                      <w:marLeft w:val="0"/>
                      <w:marRight w:val="0"/>
                      <w:marTop w:val="0"/>
                      <w:marBottom w:val="0"/>
                      <w:divBdr>
                        <w:top w:val="none" w:sz="0" w:space="0" w:color="auto"/>
                        <w:left w:val="none" w:sz="0" w:space="0" w:color="auto"/>
                        <w:bottom w:val="none" w:sz="0" w:space="0" w:color="auto"/>
                        <w:right w:val="none" w:sz="0" w:space="0" w:color="auto"/>
                      </w:divBdr>
                    </w:div>
                  </w:divsChild>
                </w:div>
                <w:div w:id="610553857">
                  <w:marLeft w:val="0"/>
                  <w:marRight w:val="0"/>
                  <w:marTop w:val="0"/>
                  <w:marBottom w:val="0"/>
                  <w:divBdr>
                    <w:top w:val="none" w:sz="0" w:space="0" w:color="auto"/>
                    <w:left w:val="none" w:sz="0" w:space="0" w:color="auto"/>
                    <w:bottom w:val="none" w:sz="0" w:space="0" w:color="auto"/>
                    <w:right w:val="none" w:sz="0" w:space="0" w:color="auto"/>
                  </w:divBdr>
                  <w:divsChild>
                    <w:div w:id="1042243548">
                      <w:marLeft w:val="0"/>
                      <w:marRight w:val="0"/>
                      <w:marTop w:val="0"/>
                      <w:marBottom w:val="0"/>
                      <w:divBdr>
                        <w:top w:val="none" w:sz="0" w:space="0" w:color="auto"/>
                        <w:left w:val="none" w:sz="0" w:space="0" w:color="auto"/>
                        <w:bottom w:val="none" w:sz="0" w:space="0" w:color="auto"/>
                        <w:right w:val="none" w:sz="0" w:space="0" w:color="auto"/>
                      </w:divBdr>
                    </w:div>
                  </w:divsChild>
                </w:div>
                <w:div w:id="625695655">
                  <w:marLeft w:val="0"/>
                  <w:marRight w:val="0"/>
                  <w:marTop w:val="0"/>
                  <w:marBottom w:val="0"/>
                  <w:divBdr>
                    <w:top w:val="none" w:sz="0" w:space="0" w:color="auto"/>
                    <w:left w:val="none" w:sz="0" w:space="0" w:color="auto"/>
                    <w:bottom w:val="none" w:sz="0" w:space="0" w:color="auto"/>
                    <w:right w:val="none" w:sz="0" w:space="0" w:color="auto"/>
                  </w:divBdr>
                  <w:divsChild>
                    <w:div w:id="978194497">
                      <w:marLeft w:val="0"/>
                      <w:marRight w:val="0"/>
                      <w:marTop w:val="0"/>
                      <w:marBottom w:val="0"/>
                      <w:divBdr>
                        <w:top w:val="none" w:sz="0" w:space="0" w:color="auto"/>
                        <w:left w:val="none" w:sz="0" w:space="0" w:color="auto"/>
                        <w:bottom w:val="none" w:sz="0" w:space="0" w:color="auto"/>
                        <w:right w:val="none" w:sz="0" w:space="0" w:color="auto"/>
                      </w:divBdr>
                    </w:div>
                  </w:divsChild>
                </w:div>
                <w:div w:id="632754256">
                  <w:marLeft w:val="0"/>
                  <w:marRight w:val="0"/>
                  <w:marTop w:val="0"/>
                  <w:marBottom w:val="0"/>
                  <w:divBdr>
                    <w:top w:val="none" w:sz="0" w:space="0" w:color="auto"/>
                    <w:left w:val="none" w:sz="0" w:space="0" w:color="auto"/>
                    <w:bottom w:val="none" w:sz="0" w:space="0" w:color="auto"/>
                    <w:right w:val="none" w:sz="0" w:space="0" w:color="auto"/>
                  </w:divBdr>
                  <w:divsChild>
                    <w:div w:id="677274362">
                      <w:marLeft w:val="0"/>
                      <w:marRight w:val="0"/>
                      <w:marTop w:val="0"/>
                      <w:marBottom w:val="0"/>
                      <w:divBdr>
                        <w:top w:val="none" w:sz="0" w:space="0" w:color="auto"/>
                        <w:left w:val="none" w:sz="0" w:space="0" w:color="auto"/>
                        <w:bottom w:val="none" w:sz="0" w:space="0" w:color="auto"/>
                        <w:right w:val="none" w:sz="0" w:space="0" w:color="auto"/>
                      </w:divBdr>
                    </w:div>
                  </w:divsChild>
                </w:div>
                <w:div w:id="642319023">
                  <w:marLeft w:val="0"/>
                  <w:marRight w:val="0"/>
                  <w:marTop w:val="0"/>
                  <w:marBottom w:val="0"/>
                  <w:divBdr>
                    <w:top w:val="none" w:sz="0" w:space="0" w:color="auto"/>
                    <w:left w:val="none" w:sz="0" w:space="0" w:color="auto"/>
                    <w:bottom w:val="none" w:sz="0" w:space="0" w:color="auto"/>
                    <w:right w:val="none" w:sz="0" w:space="0" w:color="auto"/>
                  </w:divBdr>
                  <w:divsChild>
                    <w:div w:id="1146093952">
                      <w:marLeft w:val="0"/>
                      <w:marRight w:val="0"/>
                      <w:marTop w:val="0"/>
                      <w:marBottom w:val="0"/>
                      <w:divBdr>
                        <w:top w:val="none" w:sz="0" w:space="0" w:color="auto"/>
                        <w:left w:val="none" w:sz="0" w:space="0" w:color="auto"/>
                        <w:bottom w:val="none" w:sz="0" w:space="0" w:color="auto"/>
                        <w:right w:val="none" w:sz="0" w:space="0" w:color="auto"/>
                      </w:divBdr>
                    </w:div>
                  </w:divsChild>
                </w:div>
                <w:div w:id="643703016">
                  <w:marLeft w:val="0"/>
                  <w:marRight w:val="0"/>
                  <w:marTop w:val="0"/>
                  <w:marBottom w:val="0"/>
                  <w:divBdr>
                    <w:top w:val="none" w:sz="0" w:space="0" w:color="auto"/>
                    <w:left w:val="none" w:sz="0" w:space="0" w:color="auto"/>
                    <w:bottom w:val="none" w:sz="0" w:space="0" w:color="auto"/>
                    <w:right w:val="none" w:sz="0" w:space="0" w:color="auto"/>
                  </w:divBdr>
                  <w:divsChild>
                    <w:div w:id="200824929">
                      <w:marLeft w:val="0"/>
                      <w:marRight w:val="0"/>
                      <w:marTop w:val="0"/>
                      <w:marBottom w:val="0"/>
                      <w:divBdr>
                        <w:top w:val="none" w:sz="0" w:space="0" w:color="auto"/>
                        <w:left w:val="none" w:sz="0" w:space="0" w:color="auto"/>
                        <w:bottom w:val="none" w:sz="0" w:space="0" w:color="auto"/>
                        <w:right w:val="none" w:sz="0" w:space="0" w:color="auto"/>
                      </w:divBdr>
                    </w:div>
                  </w:divsChild>
                </w:div>
                <w:div w:id="651568837">
                  <w:marLeft w:val="0"/>
                  <w:marRight w:val="0"/>
                  <w:marTop w:val="0"/>
                  <w:marBottom w:val="0"/>
                  <w:divBdr>
                    <w:top w:val="none" w:sz="0" w:space="0" w:color="auto"/>
                    <w:left w:val="none" w:sz="0" w:space="0" w:color="auto"/>
                    <w:bottom w:val="none" w:sz="0" w:space="0" w:color="auto"/>
                    <w:right w:val="none" w:sz="0" w:space="0" w:color="auto"/>
                  </w:divBdr>
                  <w:divsChild>
                    <w:div w:id="74085208">
                      <w:marLeft w:val="0"/>
                      <w:marRight w:val="0"/>
                      <w:marTop w:val="0"/>
                      <w:marBottom w:val="0"/>
                      <w:divBdr>
                        <w:top w:val="none" w:sz="0" w:space="0" w:color="auto"/>
                        <w:left w:val="none" w:sz="0" w:space="0" w:color="auto"/>
                        <w:bottom w:val="none" w:sz="0" w:space="0" w:color="auto"/>
                        <w:right w:val="none" w:sz="0" w:space="0" w:color="auto"/>
                      </w:divBdr>
                    </w:div>
                  </w:divsChild>
                </w:div>
                <w:div w:id="651643761">
                  <w:marLeft w:val="0"/>
                  <w:marRight w:val="0"/>
                  <w:marTop w:val="0"/>
                  <w:marBottom w:val="0"/>
                  <w:divBdr>
                    <w:top w:val="none" w:sz="0" w:space="0" w:color="auto"/>
                    <w:left w:val="none" w:sz="0" w:space="0" w:color="auto"/>
                    <w:bottom w:val="none" w:sz="0" w:space="0" w:color="auto"/>
                    <w:right w:val="none" w:sz="0" w:space="0" w:color="auto"/>
                  </w:divBdr>
                  <w:divsChild>
                    <w:div w:id="182325941">
                      <w:marLeft w:val="0"/>
                      <w:marRight w:val="0"/>
                      <w:marTop w:val="0"/>
                      <w:marBottom w:val="0"/>
                      <w:divBdr>
                        <w:top w:val="none" w:sz="0" w:space="0" w:color="auto"/>
                        <w:left w:val="none" w:sz="0" w:space="0" w:color="auto"/>
                        <w:bottom w:val="none" w:sz="0" w:space="0" w:color="auto"/>
                        <w:right w:val="none" w:sz="0" w:space="0" w:color="auto"/>
                      </w:divBdr>
                    </w:div>
                  </w:divsChild>
                </w:div>
                <w:div w:id="658075138">
                  <w:marLeft w:val="0"/>
                  <w:marRight w:val="0"/>
                  <w:marTop w:val="0"/>
                  <w:marBottom w:val="0"/>
                  <w:divBdr>
                    <w:top w:val="none" w:sz="0" w:space="0" w:color="auto"/>
                    <w:left w:val="none" w:sz="0" w:space="0" w:color="auto"/>
                    <w:bottom w:val="none" w:sz="0" w:space="0" w:color="auto"/>
                    <w:right w:val="none" w:sz="0" w:space="0" w:color="auto"/>
                  </w:divBdr>
                  <w:divsChild>
                    <w:div w:id="26608798">
                      <w:marLeft w:val="0"/>
                      <w:marRight w:val="0"/>
                      <w:marTop w:val="0"/>
                      <w:marBottom w:val="0"/>
                      <w:divBdr>
                        <w:top w:val="none" w:sz="0" w:space="0" w:color="auto"/>
                        <w:left w:val="none" w:sz="0" w:space="0" w:color="auto"/>
                        <w:bottom w:val="none" w:sz="0" w:space="0" w:color="auto"/>
                        <w:right w:val="none" w:sz="0" w:space="0" w:color="auto"/>
                      </w:divBdr>
                    </w:div>
                  </w:divsChild>
                </w:div>
                <w:div w:id="680669159">
                  <w:marLeft w:val="0"/>
                  <w:marRight w:val="0"/>
                  <w:marTop w:val="0"/>
                  <w:marBottom w:val="0"/>
                  <w:divBdr>
                    <w:top w:val="none" w:sz="0" w:space="0" w:color="auto"/>
                    <w:left w:val="none" w:sz="0" w:space="0" w:color="auto"/>
                    <w:bottom w:val="none" w:sz="0" w:space="0" w:color="auto"/>
                    <w:right w:val="none" w:sz="0" w:space="0" w:color="auto"/>
                  </w:divBdr>
                  <w:divsChild>
                    <w:div w:id="792750205">
                      <w:marLeft w:val="0"/>
                      <w:marRight w:val="0"/>
                      <w:marTop w:val="0"/>
                      <w:marBottom w:val="0"/>
                      <w:divBdr>
                        <w:top w:val="none" w:sz="0" w:space="0" w:color="auto"/>
                        <w:left w:val="none" w:sz="0" w:space="0" w:color="auto"/>
                        <w:bottom w:val="none" w:sz="0" w:space="0" w:color="auto"/>
                        <w:right w:val="none" w:sz="0" w:space="0" w:color="auto"/>
                      </w:divBdr>
                    </w:div>
                  </w:divsChild>
                </w:div>
                <w:div w:id="701171516">
                  <w:marLeft w:val="0"/>
                  <w:marRight w:val="0"/>
                  <w:marTop w:val="0"/>
                  <w:marBottom w:val="0"/>
                  <w:divBdr>
                    <w:top w:val="none" w:sz="0" w:space="0" w:color="auto"/>
                    <w:left w:val="none" w:sz="0" w:space="0" w:color="auto"/>
                    <w:bottom w:val="none" w:sz="0" w:space="0" w:color="auto"/>
                    <w:right w:val="none" w:sz="0" w:space="0" w:color="auto"/>
                  </w:divBdr>
                  <w:divsChild>
                    <w:div w:id="760754654">
                      <w:marLeft w:val="0"/>
                      <w:marRight w:val="0"/>
                      <w:marTop w:val="0"/>
                      <w:marBottom w:val="0"/>
                      <w:divBdr>
                        <w:top w:val="none" w:sz="0" w:space="0" w:color="auto"/>
                        <w:left w:val="none" w:sz="0" w:space="0" w:color="auto"/>
                        <w:bottom w:val="none" w:sz="0" w:space="0" w:color="auto"/>
                        <w:right w:val="none" w:sz="0" w:space="0" w:color="auto"/>
                      </w:divBdr>
                    </w:div>
                  </w:divsChild>
                </w:div>
                <w:div w:id="705103394">
                  <w:marLeft w:val="0"/>
                  <w:marRight w:val="0"/>
                  <w:marTop w:val="0"/>
                  <w:marBottom w:val="0"/>
                  <w:divBdr>
                    <w:top w:val="none" w:sz="0" w:space="0" w:color="auto"/>
                    <w:left w:val="none" w:sz="0" w:space="0" w:color="auto"/>
                    <w:bottom w:val="none" w:sz="0" w:space="0" w:color="auto"/>
                    <w:right w:val="none" w:sz="0" w:space="0" w:color="auto"/>
                  </w:divBdr>
                  <w:divsChild>
                    <w:div w:id="1697389838">
                      <w:marLeft w:val="0"/>
                      <w:marRight w:val="0"/>
                      <w:marTop w:val="0"/>
                      <w:marBottom w:val="0"/>
                      <w:divBdr>
                        <w:top w:val="none" w:sz="0" w:space="0" w:color="auto"/>
                        <w:left w:val="none" w:sz="0" w:space="0" w:color="auto"/>
                        <w:bottom w:val="none" w:sz="0" w:space="0" w:color="auto"/>
                        <w:right w:val="none" w:sz="0" w:space="0" w:color="auto"/>
                      </w:divBdr>
                    </w:div>
                  </w:divsChild>
                </w:div>
                <w:div w:id="708913191">
                  <w:marLeft w:val="0"/>
                  <w:marRight w:val="0"/>
                  <w:marTop w:val="0"/>
                  <w:marBottom w:val="0"/>
                  <w:divBdr>
                    <w:top w:val="none" w:sz="0" w:space="0" w:color="auto"/>
                    <w:left w:val="none" w:sz="0" w:space="0" w:color="auto"/>
                    <w:bottom w:val="none" w:sz="0" w:space="0" w:color="auto"/>
                    <w:right w:val="none" w:sz="0" w:space="0" w:color="auto"/>
                  </w:divBdr>
                  <w:divsChild>
                    <w:div w:id="1838382844">
                      <w:marLeft w:val="0"/>
                      <w:marRight w:val="0"/>
                      <w:marTop w:val="0"/>
                      <w:marBottom w:val="0"/>
                      <w:divBdr>
                        <w:top w:val="none" w:sz="0" w:space="0" w:color="auto"/>
                        <w:left w:val="none" w:sz="0" w:space="0" w:color="auto"/>
                        <w:bottom w:val="none" w:sz="0" w:space="0" w:color="auto"/>
                        <w:right w:val="none" w:sz="0" w:space="0" w:color="auto"/>
                      </w:divBdr>
                    </w:div>
                  </w:divsChild>
                </w:div>
                <w:div w:id="712311007">
                  <w:marLeft w:val="0"/>
                  <w:marRight w:val="0"/>
                  <w:marTop w:val="0"/>
                  <w:marBottom w:val="0"/>
                  <w:divBdr>
                    <w:top w:val="none" w:sz="0" w:space="0" w:color="auto"/>
                    <w:left w:val="none" w:sz="0" w:space="0" w:color="auto"/>
                    <w:bottom w:val="none" w:sz="0" w:space="0" w:color="auto"/>
                    <w:right w:val="none" w:sz="0" w:space="0" w:color="auto"/>
                  </w:divBdr>
                  <w:divsChild>
                    <w:div w:id="1449621173">
                      <w:marLeft w:val="0"/>
                      <w:marRight w:val="0"/>
                      <w:marTop w:val="0"/>
                      <w:marBottom w:val="0"/>
                      <w:divBdr>
                        <w:top w:val="none" w:sz="0" w:space="0" w:color="auto"/>
                        <w:left w:val="none" w:sz="0" w:space="0" w:color="auto"/>
                        <w:bottom w:val="none" w:sz="0" w:space="0" w:color="auto"/>
                        <w:right w:val="none" w:sz="0" w:space="0" w:color="auto"/>
                      </w:divBdr>
                    </w:div>
                  </w:divsChild>
                </w:div>
                <w:div w:id="716930557">
                  <w:marLeft w:val="0"/>
                  <w:marRight w:val="0"/>
                  <w:marTop w:val="0"/>
                  <w:marBottom w:val="0"/>
                  <w:divBdr>
                    <w:top w:val="none" w:sz="0" w:space="0" w:color="auto"/>
                    <w:left w:val="none" w:sz="0" w:space="0" w:color="auto"/>
                    <w:bottom w:val="none" w:sz="0" w:space="0" w:color="auto"/>
                    <w:right w:val="none" w:sz="0" w:space="0" w:color="auto"/>
                  </w:divBdr>
                  <w:divsChild>
                    <w:div w:id="391663909">
                      <w:marLeft w:val="0"/>
                      <w:marRight w:val="0"/>
                      <w:marTop w:val="0"/>
                      <w:marBottom w:val="0"/>
                      <w:divBdr>
                        <w:top w:val="none" w:sz="0" w:space="0" w:color="auto"/>
                        <w:left w:val="none" w:sz="0" w:space="0" w:color="auto"/>
                        <w:bottom w:val="none" w:sz="0" w:space="0" w:color="auto"/>
                        <w:right w:val="none" w:sz="0" w:space="0" w:color="auto"/>
                      </w:divBdr>
                    </w:div>
                  </w:divsChild>
                </w:div>
                <w:div w:id="717170191">
                  <w:marLeft w:val="0"/>
                  <w:marRight w:val="0"/>
                  <w:marTop w:val="0"/>
                  <w:marBottom w:val="0"/>
                  <w:divBdr>
                    <w:top w:val="none" w:sz="0" w:space="0" w:color="auto"/>
                    <w:left w:val="none" w:sz="0" w:space="0" w:color="auto"/>
                    <w:bottom w:val="none" w:sz="0" w:space="0" w:color="auto"/>
                    <w:right w:val="none" w:sz="0" w:space="0" w:color="auto"/>
                  </w:divBdr>
                  <w:divsChild>
                    <w:div w:id="938752195">
                      <w:marLeft w:val="0"/>
                      <w:marRight w:val="0"/>
                      <w:marTop w:val="0"/>
                      <w:marBottom w:val="0"/>
                      <w:divBdr>
                        <w:top w:val="none" w:sz="0" w:space="0" w:color="auto"/>
                        <w:left w:val="none" w:sz="0" w:space="0" w:color="auto"/>
                        <w:bottom w:val="none" w:sz="0" w:space="0" w:color="auto"/>
                        <w:right w:val="none" w:sz="0" w:space="0" w:color="auto"/>
                      </w:divBdr>
                    </w:div>
                  </w:divsChild>
                </w:div>
                <w:div w:id="723720777">
                  <w:marLeft w:val="0"/>
                  <w:marRight w:val="0"/>
                  <w:marTop w:val="0"/>
                  <w:marBottom w:val="0"/>
                  <w:divBdr>
                    <w:top w:val="none" w:sz="0" w:space="0" w:color="auto"/>
                    <w:left w:val="none" w:sz="0" w:space="0" w:color="auto"/>
                    <w:bottom w:val="none" w:sz="0" w:space="0" w:color="auto"/>
                    <w:right w:val="none" w:sz="0" w:space="0" w:color="auto"/>
                  </w:divBdr>
                  <w:divsChild>
                    <w:div w:id="1009983611">
                      <w:marLeft w:val="0"/>
                      <w:marRight w:val="0"/>
                      <w:marTop w:val="0"/>
                      <w:marBottom w:val="0"/>
                      <w:divBdr>
                        <w:top w:val="none" w:sz="0" w:space="0" w:color="auto"/>
                        <w:left w:val="none" w:sz="0" w:space="0" w:color="auto"/>
                        <w:bottom w:val="none" w:sz="0" w:space="0" w:color="auto"/>
                        <w:right w:val="none" w:sz="0" w:space="0" w:color="auto"/>
                      </w:divBdr>
                    </w:div>
                  </w:divsChild>
                </w:div>
                <w:div w:id="728923587">
                  <w:marLeft w:val="0"/>
                  <w:marRight w:val="0"/>
                  <w:marTop w:val="0"/>
                  <w:marBottom w:val="0"/>
                  <w:divBdr>
                    <w:top w:val="none" w:sz="0" w:space="0" w:color="auto"/>
                    <w:left w:val="none" w:sz="0" w:space="0" w:color="auto"/>
                    <w:bottom w:val="none" w:sz="0" w:space="0" w:color="auto"/>
                    <w:right w:val="none" w:sz="0" w:space="0" w:color="auto"/>
                  </w:divBdr>
                  <w:divsChild>
                    <w:div w:id="1581909674">
                      <w:marLeft w:val="0"/>
                      <w:marRight w:val="0"/>
                      <w:marTop w:val="0"/>
                      <w:marBottom w:val="0"/>
                      <w:divBdr>
                        <w:top w:val="none" w:sz="0" w:space="0" w:color="auto"/>
                        <w:left w:val="none" w:sz="0" w:space="0" w:color="auto"/>
                        <w:bottom w:val="none" w:sz="0" w:space="0" w:color="auto"/>
                        <w:right w:val="none" w:sz="0" w:space="0" w:color="auto"/>
                      </w:divBdr>
                    </w:div>
                  </w:divsChild>
                </w:div>
                <w:div w:id="736974497">
                  <w:marLeft w:val="0"/>
                  <w:marRight w:val="0"/>
                  <w:marTop w:val="0"/>
                  <w:marBottom w:val="0"/>
                  <w:divBdr>
                    <w:top w:val="none" w:sz="0" w:space="0" w:color="auto"/>
                    <w:left w:val="none" w:sz="0" w:space="0" w:color="auto"/>
                    <w:bottom w:val="none" w:sz="0" w:space="0" w:color="auto"/>
                    <w:right w:val="none" w:sz="0" w:space="0" w:color="auto"/>
                  </w:divBdr>
                  <w:divsChild>
                    <w:div w:id="1654217152">
                      <w:marLeft w:val="0"/>
                      <w:marRight w:val="0"/>
                      <w:marTop w:val="0"/>
                      <w:marBottom w:val="0"/>
                      <w:divBdr>
                        <w:top w:val="none" w:sz="0" w:space="0" w:color="auto"/>
                        <w:left w:val="none" w:sz="0" w:space="0" w:color="auto"/>
                        <w:bottom w:val="none" w:sz="0" w:space="0" w:color="auto"/>
                        <w:right w:val="none" w:sz="0" w:space="0" w:color="auto"/>
                      </w:divBdr>
                    </w:div>
                  </w:divsChild>
                </w:div>
                <w:div w:id="740101341">
                  <w:marLeft w:val="0"/>
                  <w:marRight w:val="0"/>
                  <w:marTop w:val="0"/>
                  <w:marBottom w:val="0"/>
                  <w:divBdr>
                    <w:top w:val="none" w:sz="0" w:space="0" w:color="auto"/>
                    <w:left w:val="none" w:sz="0" w:space="0" w:color="auto"/>
                    <w:bottom w:val="none" w:sz="0" w:space="0" w:color="auto"/>
                    <w:right w:val="none" w:sz="0" w:space="0" w:color="auto"/>
                  </w:divBdr>
                  <w:divsChild>
                    <w:div w:id="1464542642">
                      <w:marLeft w:val="0"/>
                      <w:marRight w:val="0"/>
                      <w:marTop w:val="0"/>
                      <w:marBottom w:val="0"/>
                      <w:divBdr>
                        <w:top w:val="none" w:sz="0" w:space="0" w:color="auto"/>
                        <w:left w:val="none" w:sz="0" w:space="0" w:color="auto"/>
                        <w:bottom w:val="none" w:sz="0" w:space="0" w:color="auto"/>
                        <w:right w:val="none" w:sz="0" w:space="0" w:color="auto"/>
                      </w:divBdr>
                    </w:div>
                  </w:divsChild>
                </w:div>
                <w:div w:id="742991207">
                  <w:marLeft w:val="0"/>
                  <w:marRight w:val="0"/>
                  <w:marTop w:val="0"/>
                  <w:marBottom w:val="0"/>
                  <w:divBdr>
                    <w:top w:val="none" w:sz="0" w:space="0" w:color="auto"/>
                    <w:left w:val="none" w:sz="0" w:space="0" w:color="auto"/>
                    <w:bottom w:val="none" w:sz="0" w:space="0" w:color="auto"/>
                    <w:right w:val="none" w:sz="0" w:space="0" w:color="auto"/>
                  </w:divBdr>
                  <w:divsChild>
                    <w:div w:id="1437866767">
                      <w:marLeft w:val="0"/>
                      <w:marRight w:val="0"/>
                      <w:marTop w:val="0"/>
                      <w:marBottom w:val="0"/>
                      <w:divBdr>
                        <w:top w:val="none" w:sz="0" w:space="0" w:color="auto"/>
                        <w:left w:val="none" w:sz="0" w:space="0" w:color="auto"/>
                        <w:bottom w:val="none" w:sz="0" w:space="0" w:color="auto"/>
                        <w:right w:val="none" w:sz="0" w:space="0" w:color="auto"/>
                      </w:divBdr>
                    </w:div>
                  </w:divsChild>
                </w:div>
                <w:div w:id="750389650">
                  <w:marLeft w:val="0"/>
                  <w:marRight w:val="0"/>
                  <w:marTop w:val="0"/>
                  <w:marBottom w:val="0"/>
                  <w:divBdr>
                    <w:top w:val="none" w:sz="0" w:space="0" w:color="auto"/>
                    <w:left w:val="none" w:sz="0" w:space="0" w:color="auto"/>
                    <w:bottom w:val="none" w:sz="0" w:space="0" w:color="auto"/>
                    <w:right w:val="none" w:sz="0" w:space="0" w:color="auto"/>
                  </w:divBdr>
                  <w:divsChild>
                    <w:div w:id="1970091456">
                      <w:marLeft w:val="0"/>
                      <w:marRight w:val="0"/>
                      <w:marTop w:val="0"/>
                      <w:marBottom w:val="0"/>
                      <w:divBdr>
                        <w:top w:val="none" w:sz="0" w:space="0" w:color="auto"/>
                        <w:left w:val="none" w:sz="0" w:space="0" w:color="auto"/>
                        <w:bottom w:val="none" w:sz="0" w:space="0" w:color="auto"/>
                        <w:right w:val="none" w:sz="0" w:space="0" w:color="auto"/>
                      </w:divBdr>
                    </w:div>
                  </w:divsChild>
                </w:div>
                <w:div w:id="754280030">
                  <w:marLeft w:val="0"/>
                  <w:marRight w:val="0"/>
                  <w:marTop w:val="0"/>
                  <w:marBottom w:val="0"/>
                  <w:divBdr>
                    <w:top w:val="none" w:sz="0" w:space="0" w:color="auto"/>
                    <w:left w:val="none" w:sz="0" w:space="0" w:color="auto"/>
                    <w:bottom w:val="none" w:sz="0" w:space="0" w:color="auto"/>
                    <w:right w:val="none" w:sz="0" w:space="0" w:color="auto"/>
                  </w:divBdr>
                  <w:divsChild>
                    <w:div w:id="1469468749">
                      <w:marLeft w:val="0"/>
                      <w:marRight w:val="0"/>
                      <w:marTop w:val="0"/>
                      <w:marBottom w:val="0"/>
                      <w:divBdr>
                        <w:top w:val="none" w:sz="0" w:space="0" w:color="auto"/>
                        <w:left w:val="none" w:sz="0" w:space="0" w:color="auto"/>
                        <w:bottom w:val="none" w:sz="0" w:space="0" w:color="auto"/>
                        <w:right w:val="none" w:sz="0" w:space="0" w:color="auto"/>
                      </w:divBdr>
                    </w:div>
                  </w:divsChild>
                </w:div>
                <w:div w:id="779371256">
                  <w:marLeft w:val="0"/>
                  <w:marRight w:val="0"/>
                  <w:marTop w:val="0"/>
                  <w:marBottom w:val="0"/>
                  <w:divBdr>
                    <w:top w:val="none" w:sz="0" w:space="0" w:color="auto"/>
                    <w:left w:val="none" w:sz="0" w:space="0" w:color="auto"/>
                    <w:bottom w:val="none" w:sz="0" w:space="0" w:color="auto"/>
                    <w:right w:val="none" w:sz="0" w:space="0" w:color="auto"/>
                  </w:divBdr>
                  <w:divsChild>
                    <w:div w:id="1019965986">
                      <w:marLeft w:val="0"/>
                      <w:marRight w:val="0"/>
                      <w:marTop w:val="0"/>
                      <w:marBottom w:val="0"/>
                      <w:divBdr>
                        <w:top w:val="none" w:sz="0" w:space="0" w:color="auto"/>
                        <w:left w:val="none" w:sz="0" w:space="0" w:color="auto"/>
                        <w:bottom w:val="none" w:sz="0" w:space="0" w:color="auto"/>
                        <w:right w:val="none" w:sz="0" w:space="0" w:color="auto"/>
                      </w:divBdr>
                    </w:div>
                  </w:divsChild>
                </w:div>
                <w:div w:id="783378008">
                  <w:marLeft w:val="0"/>
                  <w:marRight w:val="0"/>
                  <w:marTop w:val="0"/>
                  <w:marBottom w:val="0"/>
                  <w:divBdr>
                    <w:top w:val="none" w:sz="0" w:space="0" w:color="auto"/>
                    <w:left w:val="none" w:sz="0" w:space="0" w:color="auto"/>
                    <w:bottom w:val="none" w:sz="0" w:space="0" w:color="auto"/>
                    <w:right w:val="none" w:sz="0" w:space="0" w:color="auto"/>
                  </w:divBdr>
                  <w:divsChild>
                    <w:div w:id="461920704">
                      <w:marLeft w:val="0"/>
                      <w:marRight w:val="0"/>
                      <w:marTop w:val="0"/>
                      <w:marBottom w:val="0"/>
                      <w:divBdr>
                        <w:top w:val="none" w:sz="0" w:space="0" w:color="auto"/>
                        <w:left w:val="none" w:sz="0" w:space="0" w:color="auto"/>
                        <w:bottom w:val="none" w:sz="0" w:space="0" w:color="auto"/>
                        <w:right w:val="none" w:sz="0" w:space="0" w:color="auto"/>
                      </w:divBdr>
                    </w:div>
                  </w:divsChild>
                </w:div>
                <w:div w:id="799570070">
                  <w:marLeft w:val="0"/>
                  <w:marRight w:val="0"/>
                  <w:marTop w:val="0"/>
                  <w:marBottom w:val="0"/>
                  <w:divBdr>
                    <w:top w:val="none" w:sz="0" w:space="0" w:color="auto"/>
                    <w:left w:val="none" w:sz="0" w:space="0" w:color="auto"/>
                    <w:bottom w:val="none" w:sz="0" w:space="0" w:color="auto"/>
                    <w:right w:val="none" w:sz="0" w:space="0" w:color="auto"/>
                  </w:divBdr>
                  <w:divsChild>
                    <w:div w:id="1775710443">
                      <w:marLeft w:val="0"/>
                      <w:marRight w:val="0"/>
                      <w:marTop w:val="0"/>
                      <w:marBottom w:val="0"/>
                      <w:divBdr>
                        <w:top w:val="none" w:sz="0" w:space="0" w:color="auto"/>
                        <w:left w:val="none" w:sz="0" w:space="0" w:color="auto"/>
                        <w:bottom w:val="none" w:sz="0" w:space="0" w:color="auto"/>
                        <w:right w:val="none" w:sz="0" w:space="0" w:color="auto"/>
                      </w:divBdr>
                    </w:div>
                  </w:divsChild>
                </w:div>
                <w:div w:id="809900147">
                  <w:marLeft w:val="0"/>
                  <w:marRight w:val="0"/>
                  <w:marTop w:val="0"/>
                  <w:marBottom w:val="0"/>
                  <w:divBdr>
                    <w:top w:val="none" w:sz="0" w:space="0" w:color="auto"/>
                    <w:left w:val="none" w:sz="0" w:space="0" w:color="auto"/>
                    <w:bottom w:val="none" w:sz="0" w:space="0" w:color="auto"/>
                    <w:right w:val="none" w:sz="0" w:space="0" w:color="auto"/>
                  </w:divBdr>
                  <w:divsChild>
                    <w:div w:id="1282496519">
                      <w:marLeft w:val="0"/>
                      <w:marRight w:val="0"/>
                      <w:marTop w:val="0"/>
                      <w:marBottom w:val="0"/>
                      <w:divBdr>
                        <w:top w:val="none" w:sz="0" w:space="0" w:color="auto"/>
                        <w:left w:val="none" w:sz="0" w:space="0" w:color="auto"/>
                        <w:bottom w:val="none" w:sz="0" w:space="0" w:color="auto"/>
                        <w:right w:val="none" w:sz="0" w:space="0" w:color="auto"/>
                      </w:divBdr>
                    </w:div>
                  </w:divsChild>
                </w:div>
                <w:div w:id="811407656">
                  <w:marLeft w:val="0"/>
                  <w:marRight w:val="0"/>
                  <w:marTop w:val="0"/>
                  <w:marBottom w:val="0"/>
                  <w:divBdr>
                    <w:top w:val="none" w:sz="0" w:space="0" w:color="auto"/>
                    <w:left w:val="none" w:sz="0" w:space="0" w:color="auto"/>
                    <w:bottom w:val="none" w:sz="0" w:space="0" w:color="auto"/>
                    <w:right w:val="none" w:sz="0" w:space="0" w:color="auto"/>
                  </w:divBdr>
                  <w:divsChild>
                    <w:div w:id="15160474">
                      <w:marLeft w:val="0"/>
                      <w:marRight w:val="0"/>
                      <w:marTop w:val="0"/>
                      <w:marBottom w:val="0"/>
                      <w:divBdr>
                        <w:top w:val="none" w:sz="0" w:space="0" w:color="auto"/>
                        <w:left w:val="none" w:sz="0" w:space="0" w:color="auto"/>
                        <w:bottom w:val="none" w:sz="0" w:space="0" w:color="auto"/>
                        <w:right w:val="none" w:sz="0" w:space="0" w:color="auto"/>
                      </w:divBdr>
                    </w:div>
                  </w:divsChild>
                </w:div>
                <w:div w:id="812068576">
                  <w:marLeft w:val="0"/>
                  <w:marRight w:val="0"/>
                  <w:marTop w:val="0"/>
                  <w:marBottom w:val="0"/>
                  <w:divBdr>
                    <w:top w:val="none" w:sz="0" w:space="0" w:color="auto"/>
                    <w:left w:val="none" w:sz="0" w:space="0" w:color="auto"/>
                    <w:bottom w:val="none" w:sz="0" w:space="0" w:color="auto"/>
                    <w:right w:val="none" w:sz="0" w:space="0" w:color="auto"/>
                  </w:divBdr>
                  <w:divsChild>
                    <w:div w:id="171653826">
                      <w:marLeft w:val="0"/>
                      <w:marRight w:val="0"/>
                      <w:marTop w:val="0"/>
                      <w:marBottom w:val="0"/>
                      <w:divBdr>
                        <w:top w:val="none" w:sz="0" w:space="0" w:color="auto"/>
                        <w:left w:val="none" w:sz="0" w:space="0" w:color="auto"/>
                        <w:bottom w:val="none" w:sz="0" w:space="0" w:color="auto"/>
                        <w:right w:val="none" w:sz="0" w:space="0" w:color="auto"/>
                      </w:divBdr>
                    </w:div>
                  </w:divsChild>
                </w:div>
                <w:div w:id="815687924">
                  <w:marLeft w:val="0"/>
                  <w:marRight w:val="0"/>
                  <w:marTop w:val="0"/>
                  <w:marBottom w:val="0"/>
                  <w:divBdr>
                    <w:top w:val="none" w:sz="0" w:space="0" w:color="auto"/>
                    <w:left w:val="none" w:sz="0" w:space="0" w:color="auto"/>
                    <w:bottom w:val="none" w:sz="0" w:space="0" w:color="auto"/>
                    <w:right w:val="none" w:sz="0" w:space="0" w:color="auto"/>
                  </w:divBdr>
                  <w:divsChild>
                    <w:div w:id="1684939202">
                      <w:marLeft w:val="0"/>
                      <w:marRight w:val="0"/>
                      <w:marTop w:val="0"/>
                      <w:marBottom w:val="0"/>
                      <w:divBdr>
                        <w:top w:val="none" w:sz="0" w:space="0" w:color="auto"/>
                        <w:left w:val="none" w:sz="0" w:space="0" w:color="auto"/>
                        <w:bottom w:val="none" w:sz="0" w:space="0" w:color="auto"/>
                        <w:right w:val="none" w:sz="0" w:space="0" w:color="auto"/>
                      </w:divBdr>
                    </w:div>
                  </w:divsChild>
                </w:div>
                <w:div w:id="839931537">
                  <w:marLeft w:val="0"/>
                  <w:marRight w:val="0"/>
                  <w:marTop w:val="0"/>
                  <w:marBottom w:val="0"/>
                  <w:divBdr>
                    <w:top w:val="none" w:sz="0" w:space="0" w:color="auto"/>
                    <w:left w:val="none" w:sz="0" w:space="0" w:color="auto"/>
                    <w:bottom w:val="none" w:sz="0" w:space="0" w:color="auto"/>
                    <w:right w:val="none" w:sz="0" w:space="0" w:color="auto"/>
                  </w:divBdr>
                  <w:divsChild>
                    <w:div w:id="465853861">
                      <w:marLeft w:val="0"/>
                      <w:marRight w:val="0"/>
                      <w:marTop w:val="0"/>
                      <w:marBottom w:val="0"/>
                      <w:divBdr>
                        <w:top w:val="none" w:sz="0" w:space="0" w:color="auto"/>
                        <w:left w:val="none" w:sz="0" w:space="0" w:color="auto"/>
                        <w:bottom w:val="none" w:sz="0" w:space="0" w:color="auto"/>
                        <w:right w:val="none" w:sz="0" w:space="0" w:color="auto"/>
                      </w:divBdr>
                    </w:div>
                  </w:divsChild>
                </w:div>
                <w:div w:id="840313864">
                  <w:marLeft w:val="0"/>
                  <w:marRight w:val="0"/>
                  <w:marTop w:val="0"/>
                  <w:marBottom w:val="0"/>
                  <w:divBdr>
                    <w:top w:val="none" w:sz="0" w:space="0" w:color="auto"/>
                    <w:left w:val="none" w:sz="0" w:space="0" w:color="auto"/>
                    <w:bottom w:val="none" w:sz="0" w:space="0" w:color="auto"/>
                    <w:right w:val="none" w:sz="0" w:space="0" w:color="auto"/>
                  </w:divBdr>
                  <w:divsChild>
                    <w:div w:id="930938924">
                      <w:marLeft w:val="0"/>
                      <w:marRight w:val="0"/>
                      <w:marTop w:val="0"/>
                      <w:marBottom w:val="0"/>
                      <w:divBdr>
                        <w:top w:val="none" w:sz="0" w:space="0" w:color="auto"/>
                        <w:left w:val="none" w:sz="0" w:space="0" w:color="auto"/>
                        <w:bottom w:val="none" w:sz="0" w:space="0" w:color="auto"/>
                        <w:right w:val="none" w:sz="0" w:space="0" w:color="auto"/>
                      </w:divBdr>
                    </w:div>
                  </w:divsChild>
                </w:div>
                <w:div w:id="850416126">
                  <w:marLeft w:val="0"/>
                  <w:marRight w:val="0"/>
                  <w:marTop w:val="0"/>
                  <w:marBottom w:val="0"/>
                  <w:divBdr>
                    <w:top w:val="none" w:sz="0" w:space="0" w:color="auto"/>
                    <w:left w:val="none" w:sz="0" w:space="0" w:color="auto"/>
                    <w:bottom w:val="none" w:sz="0" w:space="0" w:color="auto"/>
                    <w:right w:val="none" w:sz="0" w:space="0" w:color="auto"/>
                  </w:divBdr>
                  <w:divsChild>
                    <w:div w:id="85153472">
                      <w:marLeft w:val="0"/>
                      <w:marRight w:val="0"/>
                      <w:marTop w:val="0"/>
                      <w:marBottom w:val="0"/>
                      <w:divBdr>
                        <w:top w:val="none" w:sz="0" w:space="0" w:color="auto"/>
                        <w:left w:val="none" w:sz="0" w:space="0" w:color="auto"/>
                        <w:bottom w:val="none" w:sz="0" w:space="0" w:color="auto"/>
                        <w:right w:val="none" w:sz="0" w:space="0" w:color="auto"/>
                      </w:divBdr>
                    </w:div>
                  </w:divsChild>
                </w:div>
                <w:div w:id="857546206">
                  <w:marLeft w:val="0"/>
                  <w:marRight w:val="0"/>
                  <w:marTop w:val="0"/>
                  <w:marBottom w:val="0"/>
                  <w:divBdr>
                    <w:top w:val="none" w:sz="0" w:space="0" w:color="auto"/>
                    <w:left w:val="none" w:sz="0" w:space="0" w:color="auto"/>
                    <w:bottom w:val="none" w:sz="0" w:space="0" w:color="auto"/>
                    <w:right w:val="none" w:sz="0" w:space="0" w:color="auto"/>
                  </w:divBdr>
                  <w:divsChild>
                    <w:div w:id="1491017578">
                      <w:marLeft w:val="0"/>
                      <w:marRight w:val="0"/>
                      <w:marTop w:val="0"/>
                      <w:marBottom w:val="0"/>
                      <w:divBdr>
                        <w:top w:val="none" w:sz="0" w:space="0" w:color="auto"/>
                        <w:left w:val="none" w:sz="0" w:space="0" w:color="auto"/>
                        <w:bottom w:val="none" w:sz="0" w:space="0" w:color="auto"/>
                        <w:right w:val="none" w:sz="0" w:space="0" w:color="auto"/>
                      </w:divBdr>
                    </w:div>
                  </w:divsChild>
                </w:div>
                <w:div w:id="875855180">
                  <w:marLeft w:val="0"/>
                  <w:marRight w:val="0"/>
                  <w:marTop w:val="0"/>
                  <w:marBottom w:val="0"/>
                  <w:divBdr>
                    <w:top w:val="none" w:sz="0" w:space="0" w:color="auto"/>
                    <w:left w:val="none" w:sz="0" w:space="0" w:color="auto"/>
                    <w:bottom w:val="none" w:sz="0" w:space="0" w:color="auto"/>
                    <w:right w:val="none" w:sz="0" w:space="0" w:color="auto"/>
                  </w:divBdr>
                  <w:divsChild>
                    <w:div w:id="405302908">
                      <w:marLeft w:val="0"/>
                      <w:marRight w:val="0"/>
                      <w:marTop w:val="0"/>
                      <w:marBottom w:val="0"/>
                      <w:divBdr>
                        <w:top w:val="none" w:sz="0" w:space="0" w:color="auto"/>
                        <w:left w:val="none" w:sz="0" w:space="0" w:color="auto"/>
                        <w:bottom w:val="none" w:sz="0" w:space="0" w:color="auto"/>
                        <w:right w:val="none" w:sz="0" w:space="0" w:color="auto"/>
                      </w:divBdr>
                    </w:div>
                  </w:divsChild>
                </w:div>
                <w:div w:id="882523417">
                  <w:marLeft w:val="0"/>
                  <w:marRight w:val="0"/>
                  <w:marTop w:val="0"/>
                  <w:marBottom w:val="0"/>
                  <w:divBdr>
                    <w:top w:val="none" w:sz="0" w:space="0" w:color="auto"/>
                    <w:left w:val="none" w:sz="0" w:space="0" w:color="auto"/>
                    <w:bottom w:val="none" w:sz="0" w:space="0" w:color="auto"/>
                    <w:right w:val="none" w:sz="0" w:space="0" w:color="auto"/>
                  </w:divBdr>
                  <w:divsChild>
                    <w:div w:id="88039849">
                      <w:marLeft w:val="0"/>
                      <w:marRight w:val="0"/>
                      <w:marTop w:val="0"/>
                      <w:marBottom w:val="0"/>
                      <w:divBdr>
                        <w:top w:val="none" w:sz="0" w:space="0" w:color="auto"/>
                        <w:left w:val="none" w:sz="0" w:space="0" w:color="auto"/>
                        <w:bottom w:val="none" w:sz="0" w:space="0" w:color="auto"/>
                        <w:right w:val="none" w:sz="0" w:space="0" w:color="auto"/>
                      </w:divBdr>
                    </w:div>
                  </w:divsChild>
                </w:div>
                <w:div w:id="882787529">
                  <w:marLeft w:val="0"/>
                  <w:marRight w:val="0"/>
                  <w:marTop w:val="0"/>
                  <w:marBottom w:val="0"/>
                  <w:divBdr>
                    <w:top w:val="none" w:sz="0" w:space="0" w:color="auto"/>
                    <w:left w:val="none" w:sz="0" w:space="0" w:color="auto"/>
                    <w:bottom w:val="none" w:sz="0" w:space="0" w:color="auto"/>
                    <w:right w:val="none" w:sz="0" w:space="0" w:color="auto"/>
                  </w:divBdr>
                  <w:divsChild>
                    <w:div w:id="558438226">
                      <w:marLeft w:val="0"/>
                      <w:marRight w:val="0"/>
                      <w:marTop w:val="0"/>
                      <w:marBottom w:val="0"/>
                      <w:divBdr>
                        <w:top w:val="none" w:sz="0" w:space="0" w:color="auto"/>
                        <w:left w:val="none" w:sz="0" w:space="0" w:color="auto"/>
                        <w:bottom w:val="none" w:sz="0" w:space="0" w:color="auto"/>
                        <w:right w:val="none" w:sz="0" w:space="0" w:color="auto"/>
                      </w:divBdr>
                    </w:div>
                  </w:divsChild>
                </w:div>
                <w:div w:id="891118164">
                  <w:marLeft w:val="0"/>
                  <w:marRight w:val="0"/>
                  <w:marTop w:val="0"/>
                  <w:marBottom w:val="0"/>
                  <w:divBdr>
                    <w:top w:val="none" w:sz="0" w:space="0" w:color="auto"/>
                    <w:left w:val="none" w:sz="0" w:space="0" w:color="auto"/>
                    <w:bottom w:val="none" w:sz="0" w:space="0" w:color="auto"/>
                    <w:right w:val="none" w:sz="0" w:space="0" w:color="auto"/>
                  </w:divBdr>
                  <w:divsChild>
                    <w:div w:id="436606115">
                      <w:marLeft w:val="0"/>
                      <w:marRight w:val="0"/>
                      <w:marTop w:val="0"/>
                      <w:marBottom w:val="0"/>
                      <w:divBdr>
                        <w:top w:val="none" w:sz="0" w:space="0" w:color="auto"/>
                        <w:left w:val="none" w:sz="0" w:space="0" w:color="auto"/>
                        <w:bottom w:val="none" w:sz="0" w:space="0" w:color="auto"/>
                        <w:right w:val="none" w:sz="0" w:space="0" w:color="auto"/>
                      </w:divBdr>
                    </w:div>
                  </w:divsChild>
                </w:div>
                <w:div w:id="914558851">
                  <w:marLeft w:val="0"/>
                  <w:marRight w:val="0"/>
                  <w:marTop w:val="0"/>
                  <w:marBottom w:val="0"/>
                  <w:divBdr>
                    <w:top w:val="none" w:sz="0" w:space="0" w:color="auto"/>
                    <w:left w:val="none" w:sz="0" w:space="0" w:color="auto"/>
                    <w:bottom w:val="none" w:sz="0" w:space="0" w:color="auto"/>
                    <w:right w:val="none" w:sz="0" w:space="0" w:color="auto"/>
                  </w:divBdr>
                  <w:divsChild>
                    <w:div w:id="90393927">
                      <w:marLeft w:val="0"/>
                      <w:marRight w:val="0"/>
                      <w:marTop w:val="0"/>
                      <w:marBottom w:val="0"/>
                      <w:divBdr>
                        <w:top w:val="none" w:sz="0" w:space="0" w:color="auto"/>
                        <w:left w:val="none" w:sz="0" w:space="0" w:color="auto"/>
                        <w:bottom w:val="none" w:sz="0" w:space="0" w:color="auto"/>
                        <w:right w:val="none" w:sz="0" w:space="0" w:color="auto"/>
                      </w:divBdr>
                    </w:div>
                  </w:divsChild>
                </w:div>
                <w:div w:id="918708866">
                  <w:marLeft w:val="0"/>
                  <w:marRight w:val="0"/>
                  <w:marTop w:val="0"/>
                  <w:marBottom w:val="0"/>
                  <w:divBdr>
                    <w:top w:val="none" w:sz="0" w:space="0" w:color="auto"/>
                    <w:left w:val="none" w:sz="0" w:space="0" w:color="auto"/>
                    <w:bottom w:val="none" w:sz="0" w:space="0" w:color="auto"/>
                    <w:right w:val="none" w:sz="0" w:space="0" w:color="auto"/>
                  </w:divBdr>
                  <w:divsChild>
                    <w:div w:id="1735203443">
                      <w:marLeft w:val="0"/>
                      <w:marRight w:val="0"/>
                      <w:marTop w:val="0"/>
                      <w:marBottom w:val="0"/>
                      <w:divBdr>
                        <w:top w:val="none" w:sz="0" w:space="0" w:color="auto"/>
                        <w:left w:val="none" w:sz="0" w:space="0" w:color="auto"/>
                        <w:bottom w:val="none" w:sz="0" w:space="0" w:color="auto"/>
                        <w:right w:val="none" w:sz="0" w:space="0" w:color="auto"/>
                      </w:divBdr>
                    </w:div>
                  </w:divsChild>
                </w:div>
                <w:div w:id="936910855">
                  <w:marLeft w:val="0"/>
                  <w:marRight w:val="0"/>
                  <w:marTop w:val="0"/>
                  <w:marBottom w:val="0"/>
                  <w:divBdr>
                    <w:top w:val="none" w:sz="0" w:space="0" w:color="auto"/>
                    <w:left w:val="none" w:sz="0" w:space="0" w:color="auto"/>
                    <w:bottom w:val="none" w:sz="0" w:space="0" w:color="auto"/>
                    <w:right w:val="none" w:sz="0" w:space="0" w:color="auto"/>
                  </w:divBdr>
                  <w:divsChild>
                    <w:div w:id="1529677325">
                      <w:marLeft w:val="0"/>
                      <w:marRight w:val="0"/>
                      <w:marTop w:val="0"/>
                      <w:marBottom w:val="0"/>
                      <w:divBdr>
                        <w:top w:val="none" w:sz="0" w:space="0" w:color="auto"/>
                        <w:left w:val="none" w:sz="0" w:space="0" w:color="auto"/>
                        <w:bottom w:val="none" w:sz="0" w:space="0" w:color="auto"/>
                        <w:right w:val="none" w:sz="0" w:space="0" w:color="auto"/>
                      </w:divBdr>
                    </w:div>
                  </w:divsChild>
                </w:div>
                <w:div w:id="949707803">
                  <w:marLeft w:val="0"/>
                  <w:marRight w:val="0"/>
                  <w:marTop w:val="0"/>
                  <w:marBottom w:val="0"/>
                  <w:divBdr>
                    <w:top w:val="none" w:sz="0" w:space="0" w:color="auto"/>
                    <w:left w:val="none" w:sz="0" w:space="0" w:color="auto"/>
                    <w:bottom w:val="none" w:sz="0" w:space="0" w:color="auto"/>
                    <w:right w:val="none" w:sz="0" w:space="0" w:color="auto"/>
                  </w:divBdr>
                  <w:divsChild>
                    <w:div w:id="559944089">
                      <w:marLeft w:val="0"/>
                      <w:marRight w:val="0"/>
                      <w:marTop w:val="0"/>
                      <w:marBottom w:val="0"/>
                      <w:divBdr>
                        <w:top w:val="none" w:sz="0" w:space="0" w:color="auto"/>
                        <w:left w:val="none" w:sz="0" w:space="0" w:color="auto"/>
                        <w:bottom w:val="none" w:sz="0" w:space="0" w:color="auto"/>
                        <w:right w:val="none" w:sz="0" w:space="0" w:color="auto"/>
                      </w:divBdr>
                    </w:div>
                  </w:divsChild>
                </w:div>
                <w:div w:id="950209852">
                  <w:marLeft w:val="0"/>
                  <w:marRight w:val="0"/>
                  <w:marTop w:val="0"/>
                  <w:marBottom w:val="0"/>
                  <w:divBdr>
                    <w:top w:val="none" w:sz="0" w:space="0" w:color="auto"/>
                    <w:left w:val="none" w:sz="0" w:space="0" w:color="auto"/>
                    <w:bottom w:val="none" w:sz="0" w:space="0" w:color="auto"/>
                    <w:right w:val="none" w:sz="0" w:space="0" w:color="auto"/>
                  </w:divBdr>
                  <w:divsChild>
                    <w:div w:id="894242168">
                      <w:marLeft w:val="0"/>
                      <w:marRight w:val="0"/>
                      <w:marTop w:val="0"/>
                      <w:marBottom w:val="0"/>
                      <w:divBdr>
                        <w:top w:val="none" w:sz="0" w:space="0" w:color="auto"/>
                        <w:left w:val="none" w:sz="0" w:space="0" w:color="auto"/>
                        <w:bottom w:val="none" w:sz="0" w:space="0" w:color="auto"/>
                        <w:right w:val="none" w:sz="0" w:space="0" w:color="auto"/>
                      </w:divBdr>
                    </w:div>
                  </w:divsChild>
                </w:div>
                <w:div w:id="956105648">
                  <w:marLeft w:val="0"/>
                  <w:marRight w:val="0"/>
                  <w:marTop w:val="0"/>
                  <w:marBottom w:val="0"/>
                  <w:divBdr>
                    <w:top w:val="none" w:sz="0" w:space="0" w:color="auto"/>
                    <w:left w:val="none" w:sz="0" w:space="0" w:color="auto"/>
                    <w:bottom w:val="none" w:sz="0" w:space="0" w:color="auto"/>
                    <w:right w:val="none" w:sz="0" w:space="0" w:color="auto"/>
                  </w:divBdr>
                  <w:divsChild>
                    <w:div w:id="1470397236">
                      <w:marLeft w:val="0"/>
                      <w:marRight w:val="0"/>
                      <w:marTop w:val="0"/>
                      <w:marBottom w:val="0"/>
                      <w:divBdr>
                        <w:top w:val="none" w:sz="0" w:space="0" w:color="auto"/>
                        <w:left w:val="none" w:sz="0" w:space="0" w:color="auto"/>
                        <w:bottom w:val="none" w:sz="0" w:space="0" w:color="auto"/>
                        <w:right w:val="none" w:sz="0" w:space="0" w:color="auto"/>
                      </w:divBdr>
                    </w:div>
                  </w:divsChild>
                </w:div>
                <w:div w:id="970982068">
                  <w:marLeft w:val="0"/>
                  <w:marRight w:val="0"/>
                  <w:marTop w:val="0"/>
                  <w:marBottom w:val="0"/>
                  <w:divBdr>
                    <w:top w:val="none" w:sz="0" w:space="0" w:color="auto"/>
                    <w:left w:val="none" w:sz="0" w:space="0" w:color="auto"/>
                    <w:bottom w:val="none" w:sz="0" w:space="0" w:color="auto"/>
                    <w:right w:val="none" w:sz="0" w:space="0" w:color="auto"/>
                  </w:divBdr>
                  <w:divsChild>
                    <w:div w:id="2041279457">
                      <w:marLeft w:val="0"/>
                      <w:marRight w:val="0"/>
                      <w:marTop w:val="0"/>
                      <w:marBottom w:val="0"/>
                      <w:divBdr>
                        <w:top w:val="none" w:sz="0" w:space="0" w:color="auto"/>
                        <w:left w:val="none" w:sz="0" w:space="0" w:color="auto"/>
                        <w:bottom w:val="none" w:sz="0" w:space="0" w:color="auto"/>
                        <w:right w:val="none" w:sz="0" w:space="0" w:color="auto"/>
                      </w:divBdr>
                    </w:div>
                  </w:divsChild>
                </w:div>
                <w:div w:id="973563873">
                  <w:marLeft w:val="0"/>
                  <w:marRight w:val="0"/>
                  <w:marTop w:val="0"/>
                  <w:marBottom w:val="0"/>
                  <w:divBdr>
                    <w:top w:val="none" w:sz="0" w:space="0" w:color="auto"/>
                    <w:left w:val="none" w:sz="0" w:space="0" w:color="auto"/>
                    <w:bottom w:val="none" w:sz="0" w:space="0" w:color="auto"/>
                    <w:right w:val="none" w:sz="0" w:space="0" w:color="auto"/>
                  </w:divBdr>
                  <w:divsChild>
                    <w:div w:id="335037940">
                      <w:marLeft w:val="0"/>
                      <w:marRight w:val="0"/>
                      <w:marTop w:val="0"/>
                      <w:marBottom w:val="0"/>
                      <w:divBdr>
                        <w:top w:val="none" w:sz="0" w:space="0" w:color="auto"/>
                        <w:left w:val="none" w:sz="0" w:space="0" w:color="auto"/>
                        <w:bottom w:val="none" w:sz="0" w:space="0" w:color="auto"/>
                        <w:right w:val="none" w:sz="0" w:space="0" w:color="auto"/>
                      </w:divBdr>
                    </w:div>
                  </w:divsChild>
                </w:div>
                <w:div w:id="976229567">
                  <w:marLeft w:val="0"/>
                  <w:marRight w:val="0"/>
                  <w:marTop w:val="0"/>
                  <w:marBottom w:val="0"/>
                  <w:divBdr>
                    <w:top w:val="none" w:sz="0" w:space="0" w:color="auto"/>
                    <w:left w:val="none" w:sz="0" w:space="0" w:color="auto"/>
                    <w:bottom w:val="none" w:sz="0" w:space="0" w:color="auto"/>
                    <w:right w:val="none" w:sz="0" w:space="0" w:color="auto"/>
                  </w:divBdr>
                  <w:divsChild>
                    <w:div w:id="1238589999">
                      <w:marLeft w:val="0"/>
                      <w:marRight w:val="0"/>
                      <w:marTop w:val="0"/>
                      <w:marBottom w:val="0"/>
                      <w:divBdr>
                        <w:top w:val="none" w:sz="0" w:space="0" w:color="auto"/>
                        <w:left w:val="none" w:sz="0" w:space="0" w:color="auto"/>
                        <w:bottom w:val="none" w:sz="0" w:space="0" w:color="auto"/>
                        <w:right w:val="none" w:sz="0" w:space="0" w:color="auto"/>
                      </w:divBdr>
                    </w:div>
                  </w:divsChild>
                </w:div>
                <w:div w:id="981422182">
                  <w:marLeft w:val="0"/>
                  <w:marRight w:val="0"/>
                  <w:marTop w:val="0"/>
                  <w:marBottom w:val="0"/>
                  <w:divBdr>
                    <w:top w:val="none" w:sz="0" w:space="0" w:color="auto"/>
                    <w:left w:val="none" w:sz="0" w:space="0" w:color="auto"/>
                    <w:bottom w:val="none" w:sz="0" w:space="0" w:color="auto"/>
                    <w:right w:val="none" w:sz="0" w:space="0" w:color="auto"/>
                  </w:divBdr>
                  <w:divsChild>
                    <w:div w:id="748038609">
                      <w:marLeft w:val="0"/>
                      <w:marRight w:val="0"/>
                      <w:marTop w:val="0"/>
                      <w:marBottom w:val="0"/>
                      <w:divBdr>
                        <w:top w:val="none" w:sz="0" w:space="0" w:color="auto"/>
                        <w:left w:val="none" w:sz="0" w:space="0" w:color="auto"/>
                        <w:bottom w:val="none" w:sz="0" w:space="0" w:color="auto"/>
                        <w:right w:val="none" w:sz="0" w:space="0" w:color="auto"/>
                      </w:divBdr>
                    </w:div>
                  </w:divsChild>
                </w:div>
                <w:div w:id="983703098">
                  <w:marLeft w:val="0"/>
                  <w:marRight w:val="0"/>
                  <w:marTop w:val="0"/>
                  <w:marBottom w:val="0"/>
                  <w:divBdr>
                    <w:top w:val="none" w:sz="0" w:space="0" w:color="auto"/>
                    <w:left w:val="none" w:sz="0" w:space="0" w:color="auto"/>
                    <w:bottom w:val="none" w:sz="0" w:space="0" w:color="auto"/>
                    <w:right w:val="none" w:sz="0" w:space="0" w:color="auto"/>
                  </w:divBdr>
                  <w:divsChild>
                    <w:div w:id="1528327557">
                      <w:marLeft w:val="0"/>
                      <w:marRight w:val="0"/>
                      <w:marTop w:val="0"/>
                      <w:marBottom w:val="0"/>
                      <w:divBdr>
                        <w:top w:val="none" w:sz="0" w:space="0" w:color="auto"/>
                        <w:left w:val="none" w:sz="0" w:space="0" w:color="auto"/>
                        <w:bottom w:val="none" w:sz="0" w:space="0" w:color="auto"/>
                        <w:right w:val="none" w:sz="0" w:space="0" w:color="auto"/>
                      </w:divBdr>
                    </w:div>
                  </w:divsChild>
                </w:div>
                <w:div w:id="987169161">
                  <w:marLeft w:val="0"/>
                  <w:marRight w:val="0"/>
                  <w:marTop w:val="0"/>
                  <w:marBottom w:val="0"/>
                  <w:divBdr>
                    <w:top w:val="none" w:sz="0" w:space="0" w:color="auto"/>
                    <w:left w:val="none" w:sz="0" w:space="0" w:color="auto"/>
                    <w:bottom w:val="none" w:sz="0" w:space="0" w:color="auto"/>
                    <w:right w:val="none" w:sz="0" w:space="0" w:color="auto"/>
                  </w:divBdr>
                  <w:divsChild>
                    <w:div w:id="467169740">
                      <w:marLeft w:val="0"/>
                      <w:marRight w:val="0"/>
                      <w:marTop w:val="0"/>
                      <w:marBottom w:val="0"/>
                      <w:divBdr>
                        <w:top w:val="none" w:sz="0" w:space="0" w:color="auto"/>
                        <w:left w:val="none" w:sz="0" w:space="0" w:color="auto"/>
                        <w:bottom w:val="none" w:sz="0" w:space="0" w:color="auto"/>
                        <w:right w:val="none" w:sz="0" w:space="0" w:color="auto"/>
                      </w:divBdr>
                    </w:div>
                  </w:divsChild>
                </w:div>
                <w:div w:id="996880019">
                  <w:marLeft w:val="0"/>
                  <w:marRight w:val="0"/>
                  <w:marTop w:val="0"/>
                  <w:marBottom w:val="0"/>
                  <w:divBdr>
                    <w:top w:val="none" w:sz="0" w:space="0" w:color="auto"/>
                    <w:left w:val="none" w:sz="0" w:space="0" w:color="auto"/>
                    <w:bottom w:val="none" w:sz="0" w:space="0" w:color="auto"/>
                    <w:right w:val="none" w:sz="0" w:space="0" w:color="auto"/>
                  </w:divBdr>
                  <w:divsChild>
                    <w:div w:id="1480614547">
                      <w:marLeft w:val="0"/>
                      <w:marRight w:val="0"/>
                      <w:marTop w:val="0"/>
                      <w:marBottom w:val="0"/>
                      <w:divBdr>
                        <w:top w:val="none" w:sz="0" w:space="0" w:color="auto"/>
                        <w:left w:val="none" w:sz="0" w:space="0" w:color="auto"/>
                        <w:bottom w:val="none" w:sz="0" w:space="0" w:color="auto"/>
                        <w:right w:val="none" w:sz="0" w:space="0" w:color="auto"/>
                      </w:divBdr>
                    </w:div>
                  </w:divsChild>
                </w:div>
                <w:div w:id="1003818252">
                  <w:marLeft w:val="0"/>
                  <w:marRight w:val="0"/>
                  <w:marTop w:val="0"/>
                  <w:marBottom w:val="0"/>
                  <w:divBdr>
                    <w:top w:val="none" w:sz="0" w:space="0" w:color="auto"/>
                    <w:left w:val="none" w:sz="0" w:space="0" w:color="auto"/>
                    <w:bottom w:val="none" w:sz="0" w:space="0" w:color="auto"/>
                    <w:right w:val="none" w:sz="0" w:space="0" w:color="auto"/>
                  </w:divBdr>
                  <w:divsChild>
                    <w:div w:id="302586129">
                      <w:marLeft w:val="0"/>
                      <w:marRight w:val="0"/>
                      <w:marTop w:val="0"/>
                      <w:marBottom w:val="0"/>
                      <w:divBdr>
                        <w:top w:val="none" w:sz="0" w:space="0" w:color="auto"/>
                        <w:left w:val="none" w:sz="0" w:space="0" w:color="auto"/>
                        <w:bottom w:val="none" w:sz="0" w:space="0" w:color="auto"/>
                        <w:right w:val="none" w:sz="0" w:space="0" w:color="auto"/>
                      </w:divBdr>
                    </w:div>
                  </w:divsChild>
                </w:div>
                <w:div w:id="1007748851">
                  <w:marLeft w:val="0"/>
                  <w:marRight w:val="0"/>
                  <w:marTop w:val="0"/>
                  <w:marBottom w:val="0"/>
                  <w:divBdr>
                    <w:top w:val="none" w:sz="0" w:space="0" w:color="auto"/>
                    <w:left w:val="none" w:sz="0" w:space="0" w:color="auto"/>
                    <w:bottom w:val="none" w:sz="0" w:space="0" w:color="auto"/>
                    <w:right w:val="none" w:sz="0" w:space="0" w:color="auto"/>
                  </w:divBdr>
                  <w:divsChild>
                    <w:div w:id="886378482">
                      <w:marLeft w:val="0"/>
                      <w:marRight w:val="0"/>
                      <w:marTop w:val="0"/>
                      <w:marBottom w:val="0"/>
                      <w:divBdr>
                        <w:top w:val="none" w:sz="0" w:space="0" w:color="auto"/>
                        <w:left w:val="none" w:sz="0" w:space="0" w:color="auto"/>
                        <w:bottom w:val="none" w:sz="0" w:space="0" w:color="auto"/>
                        <w:right w:val="none" w:sz="0" w:space="0" w:color="auto"/>
                      </w:divBdr>
                    </w:div>
                  </w:divsChild>
                </w:div>
                <w:div w:id="1018847198">
                  <w:marLeft w:val="0"/>
                  <w:marRight w:val="0"/>
                  <w:marTop w:val="0"/>
                  <w:marBottom w:val="0"/>
                  <w:divBdr>
                    <w:top w:val="none" w:sz="0" w:space="0" w:color="auto"/>
                    <w:left w:val="none" w:sz="0" w:space="0" w:color="auto"/>
                    <w:bottom w:val="none" w:sz="0" w:space="0" w:color="auto"/>
                    <w:right w:val="none" w:sz="0" w:space="0" w:color="auto"/>
                  </w:divBdr>
                  <w:divsChild>
                    <w:div w:id="762653440">
                      <w:marLeft w:val="0"/>
                      <w:marRight w:val="0"/>
                      <w:marTop w:val="0"/>
                      <w:marBottom w:val="0"/>
                      <w:divBdr>
                        <w:top w:val="none" w:sz="0" w:space="0" w:color="auto"/>
                        <w:left w:val="none" w:sz="0" w:space="0" w:color="auto"/>
                        <w:bottom w:val="none" w:sz="0" w:space="0" w:color="auto"/>
                        <w:right w:val="none" w:sz="0" w:space="0" w:color="auto"/>
                      </w:divBdr>
                    </w:div>
                  </w:divsChild>
                </w:div>
                <w:div w:id="1023938148">
                  <w:marLeft w:val="0"/>
                  <w:marRight w:val="0"/>
                  <w:marTop w:val="0"/>
                  <w:marBottom w:val="0"/>
                  <w:divBdr>
                    <w:top w:val="none" w:sz="0" w:space="0" w:color="auto"/>
                    <w:left w:val="none" w:sz="0" w:space="0" w:color="auto"/>
                    <w:bottom w:val="none" w:sz="0" w:space="0" w:color="auto"/>
                    <w:right w:val="none" w:sz="0" w:space="0" w:color="auto"/>
                  </w:divBdr>
                  <w:divsChild>
                    <w:div w:id="1913929300">
                      <w:marLeft w:val="0"/>
                      <w:marRight w:val="0"/>
                      <w:marTop w:val="0"/>
                      <w:marBottom w:val="0"/>
                      <w:divBdr>
                        <w:top w:val="none" w:sz="0" w:space="0" w:color="auto"/>
                        <w:left w:val="none" w:sz="0" w:space="0" w:color="auto"/>
                        <w:bottom w:val="none" w:sz="0" w:space="0" w:color="auto"/>
                        <w:right w:val="none" w:sz="0" w:space="0" w:color="auto"/>
                      </w:divBdr>
                    </w:div>
                  </w:divsChild>
                </w:div>
                <w:div w:id="1026559530">
                  <w:marLeft w:val="0"/>
                  <w:marRight w:val="0"/>
                  <w:marTop w:val="0"/>
                  <w:marBottom w:val="0"/>
                  <w:divBdr>
                    <w:top w:val="none" w:sz="0" w:space="0" w:color="auto"/>
                    <w:left w:val="none" w:sz="0" w:space="0" w:color="auto"/>
                    <w:bottom w:val="none" w:sz="0" w:space="0" w:color="auto"/>
                    <w:right w:val="none" w:sz="0" w:space="0" w:color="auto"/>
                  </w:divBdr>
                  <w:divsChild>
                    <w:div w:id="775835108">
                      <w:marLeft w:val="0"/>
                      <w:marRight w:val="0"/>
                      <w:marTop w:val="0"/>
                      <w:marBottom w:val="0"/>
                      <w:divBdr>
                        <w:top w:val="none" w:sz="0" w:space="0" w:color="auto"/>
                        <w:left w:val="none" w:sz="0" w:space="0" w:color="auto"/>
                        <w:bottom w:val="none" w:sz="0" w:space="0" w:color="auto"/>
                        <w:right w:val="none" w:sz="0" w:space="0" w:color="auto"/>
                      </w:divBdr>
                    </w:div>
                  </w:divsChild>
                </w:div>
                <w:div w:id="1039432693">
                  <w:marLeft w:val="0"/>
                  <w:marRight w:val="0"/>
                  <w:marTop w:val="0"/>
                  <w:marBottom w:val="0"/>
                  <w:divBdr>
                    <w:top w:val="none" w:sz="0" w:space="0" w:color="auto"/>
                    <w:left w:val="none" w:sz="0" w:space="0" w:color="auto"/>
                    <w:bottom w:val="none" w:sz="0" w:space="0" w:color="auto"/>
                    <w:right w:val="none" w:sz="0" w:space="0" w:color="auto"/>
                  </w:divBdr>
                  <w:divsChild>
                    <w:div w:id="166291962">
                      <w:marLeft w:val="0"/>
                      <w:marRight w:val="0"/>
                      <w:marTop w:val="0"/>
                      <w:marBottom w:val="0"/>
                      <w:divBdr>
                        <w:top w:val="none" w:sz="0" w:space="0" w:color="auto"/>
                        <w:left w:val="none" w:sz="0" w:space="0" w:color="auto"/>
                        <w:bottom w:val="none" w:sz="0" w:space="0" w:color="auto"/>
                        <w:right w:val="none" w:sz="0" w:space="0" w:color="auto"/>
                      </w:divBdr>
                    </w:div>
                  </w:divsChild>
                </w:div>
                <w:div w:id="1040670885">
                  <w:marLeft w:val="0"/>
                  <w:marRight w:val="0"/>
                  <w:marTop w:val="0"/>
                  <w:marBottom w:val="0"/>
                  <w:divBdr>
                    <w:top w:val="none" w:sz="0" w:space="0" w:color="auto"/>
                    <w:left w:val="none" w:sz="0" w:space="0" w:color="auto"/>
                    <w:bottom w:val="none" w:sz="0" w:space="0" w:color="auto"/>
                    <w:right w:val="none" w:sz="0" w:space="0" w:color="auto"/>
                  </w:divBdr>
                  <w:divsChild>
                    <w:div w:id="291598512">
                      <w:marLeft w:val="0"/>
                      <w:marRight w:val="0"/>
                      <w:marTop w:val="0"/>
                      <w:marBottom w:val="0"/>
                      <w:divBdr>
                        <w:top w:val="none" w:sz="0" w:space="0" w:color="auto"/>
                        <w:left w:val="none" w:sz="0" w:space="0" w:color="auto"/>
                        <w:bottom w:val="none" w:sz="0" w:space="0" w:color="auto"/>
                        <w:right w:val="none" w:sz="0" w:space="0" w:color="auto"/>
                      </w:divBdr>
                    </w:div>
                  </w:divsChild>
                </w:div>
                <w:div w:id="1045182383">
                  <w:marLeft w:val="0"/>
                  <w:marRight w:val="0"/>
                  <w:marTop w:val="0"/>
                  <w:marBottom w:val="0"/>
                  <w:divBdr>
                    <w:top w:val="none" w:sz="0" w:space="0" w:color="auto"/>
                    <w:left w:val="none" w:sz="0" w:space="0" w:color="auto"/>
                    <w:bottom w:val="none" w:sz="0" w:space="0" w:color="auto"/>
                    <w:right w:val="none" w:sz="0" w:space="0" w:color="auto"/>
                  </w:divBdr>
                  <w:divsChild>
                    <w:div w:id="59716550">
                      <w:marLeft w:val="0"/>
                      <w:marRight w:val="0"/>
                      <w:marTop w:val="0"/>
                      <w:marBottom w:val="0"/>
                      <w:divBdr>
                        <w:top w:val="none" w:sz="0" w:space="0" w:color="auto"/>
                        <w:left w:val="none" w:sz="0" w:space="0" w:color="auto"/>
                        <w:bottom w:val="none" w:sz="0" w:space="0" w:color="auto"/>
                        <w:right w:val="none" w:sz="0" w:space="0" w:color="auto"/>
                      </w:divBdr>
                    </w:div>
                  </w:divsChild>
                </w:div>
                <w:div w:id="1059087580">
                  <w:marLeft w:val="0"/>
                  <w:marRight w:val="0"/>
                  <w:marTop w:val="0"/>
                  <w:marBottom w:val="0"/>
                  <w:divBdr>
                    <w:top w:val="none" w:sz="0" w:space="0" w:color="auto"/>
                    <w:left w:val="none" w:sz="0" w:space="0" w:color="auto"/>
                    <w:bottom w:val="none" w:sz="0" w:space="0" w:color="auto"/>
                    <w:right w:val="none" w:sz="0" w:space="0" w:color="auto"/>
                  </w:divBdr>
                  <w:divsChild>
                    <w:div w:id="2056272058">
                      <w:marLeft w:val="0"/>
                      <w:marRight w:val="0"/>
                      <w:marTop w:val="0"/>
                      <w:marBottom w:val="0"/>
                      <w:divBdr>
                        <w:top w:val="none" w:sz="0" w:space="0" w:color="auto"/>
                        <w:left w:val="none" w:sz="0" w:space="0" w:color="auto"/>
                        <w:bottom w:val="none" w:sz="0" w:space="0" w:color="auto"/>
                        <w:right w:val="none" w:sz="0" w:space="0" w:color="auto"/>
                      </w:divBdr>
                    </w:div>
                  </w:divsChild>
                </w:div>
                <w:div w:id="1086150601">
                  <w:marLeft w:val="0"/>
                  <w:marRight w:val="0"/>
                  <w:marTop w:val="0"/>
                  <w:marBottom w:val="0"/>
                  <w:divBdr>
                    <w:top w:val="none" w:sz="0" w:space="0" w:color="auto"/>
                    <w:left w:val="none" w:sz="0" w:space="0" w:color="auto"/>
                    <w:bottom w:val="none" w:sz="0" w:space="0" w:color="auto"/>
                    <w:right w:val="none" w:sz="0" w:space="0" w:color="auto"/>
                  </w:divBdr>
                  <w:divsChild>
                    <w:div w:id="1148863975">
                      <w:marLeft w:val="0"/>
                      <w:marRight w:val="0"/>
                      <w:marTop w:val="0"/>
                      <w:marBottom w:val="0"/>
                      <w:divBdr>
                        <w:top w:val="none" w:sz="0" w:space="0" w:color="auto"/>
                        <w:left w:val="none" w:sz="0" w:space="0" w:color="auto"/>
                        <w:bottom w:val="none" w:sz="0" w:space="0" w:color="auto"/>
                        <w:right w:val="none" w:sz="0" w:space="0" w:color="auto"/>
                      </w:divBdr>
                    </w:div>
                  </w:divsChild>
                </w:div>
                <w:div w:id="1094014414">
                  <w:marLeft w:val="0"/>
                  <w:marRight w:val="0"/>
                  <w:marTop w:val="0"/>
                  <w:marBottom w:val="0"/>
                  <w:divBdr>
                    <w:top w:val="none" w:sz="0" w:space="0" w:color="auto"/>
                    <w:left w:val="none" w:sz="0" w:space="0" w:color="auto"/>
                    <w:bottom w:val="none" w:sz="0" w:space="0" w:color="auto"/>
                    <w:right w:val="none" w:sz="0" w:space="0" w:color="auto"/>
                  </w:divBdr>
                  <w:divsChild>
                    <w:div w:id="1777092071">
                      <w:marLeft w:val="0"/>
                      <w:marRight w:val="0"/>
                      <w:marTop w:val="0"/>
                      <w:marBottom w:val="0"/>
                      <w:divBdr>
                        <w:top w:val="none" w:sz="0" w:space="0" w:color="auto"/>
                        <w:left w:val="none" w:sz="0" w:space="0" w:color="auto"/>
                        <w:bottom w:val="none" w:sz="0" w:space="0" w:color="auto"/>
                        <w:right w:val="none" w:sz="0" w:space="0" w:color="auto"/>
                      </w:divBdr>
                    </w:div>
                  </w:divsChild>
                </w:div>
                <w:div w:id="1097022123">
                  <w:marLeft w:val="0"/>
                  <w:marRight w:val="0"/>
                  <w:marTop w:val="0"/>
                  <w:marBottom w:val="0"/>
                  <w:divBdr>
                    <w:top w:val="none" w:sz="0" w:space="0" w:color="auto"/>
                    <w:left w:val="none" w:sz="0" w:space="0" w:color="auto"/>
                    <w:bottom w:val="none" w:sz="0" w:space="0" w:color="auto"/>
                    <w:right w:val="none" w:sz="0" w:space="0" w:color="auto"/>
                  </w:divBdr>
                  <w:divsChild>
                    <w:div w:id="847864811">
                      <w:marLeft w:val="0"/>
                      <w:marRight w:val="0"/>
                      <w:marTop w:val="0"/>
                      <w:marBottom w:val="0"/>
                      <w:divBdr>
                        <w:top w:val="none" w:sz="0" w:space="0" w:color="auto"/>
                        <w:left w:val="none" w:sz="0" w:space="0" w:color="auto"/>
                        <w:bottom w:val="none" w:sz="0" w:space="0" w:color="auto"/>
                        <w:right w:val="none" w:sz="0" w:space="0" w:color="auto"/>
                      </w:divBdr>
                    </w:div>
                  </w:divsChild>
                </w:div>
                <w:div w:id="1123380492">
                  <w:marLeft w:val="0"/>
                  <w:marRight w:val="0"/>
                  <w:marTop w:val="0"/>
                  <w:marBottom w:val="0"/>
                  <w:divBdr>
                    <w:top w:val="none" w:sz="0" w:space="0" w:color="auto"/>
                    <w:left w:val="none" w:sz="0" w:space="0" w:color="auto"/>
                    <w:bottom w:val="none" w:sz="0" w:space="0" w:color="auto"/>
                    <w:right w:val="none" w:sz="0" w:space="0" w:color="auto"/>
                  </w:divBdr>
                  <w:divsChild>
                    <w:div w:id="495000216">
                      <w:marLeft w:val="0"/>
                      <w:marRight w:val="0"/>
                      <w:marTop w:val="0"/>
                      <w:marBottom w:val="0"/>
                      <w:divBdr>
                        <w:top w:val="none" w:sz="0" w:space="0" w:color="auto"/>
                        <w:left w:val="none" w:sz="0" w:space="0" w:color="auto"/>
                        <w:bottom w:val="none" w:sz="0" w:space="0" w:color="auto"/>
                        <w:right w:val="none" w:sz="0" w:space="0" w:color="auto"/>
                      </w:divBdr>
                    </w:div>
                  </w:divsChild>
                </w:div>
                <w:div w:id="1127234506">
                  <w:marLeft w:val="0"/>
                  <w:marRight w:val="0"/>
                  <w:marTop w:val="0"/>
                  <w:marBottom w:val="0"/>
                  <w:divBdr>
                    <w:top w:val="none" w:sz="0" w:space="0" w:color="auto"/>
                    <w:left w:val="none" w:sz="0" w:space="0" w:color="auto"/>
                    <w:bottom w:val="none" w:sz="0" w:space="0" w:color="auto"/>
                    <w:right w:val="none" w:sz="0" w:space="0" w:color="auto"/>
                  </w:divBdr>
                  <w:divsChild>
                    <w:div w:id="1869484752">
                      <w:marLeft w:val="0"/>
                      <w:marRight w:val="0"/>
                      <w:marTop w:val="0"/>
                      <w:marBottom w:val="0"/>
                      <w:divBdr>
                        <w:top w:val="none" w:sz="0" w:space="0" w:color="auto"/>
                        <w:left w:val="none" w:sz="0" w:space="0" w:color="auto"/>
                        <w:bottom w:val="none" w:sz="0" w:space="0" w:color="auto"/>
                        <w:right w:val="none" w:sz="0" w:space="0" w:color="auto"/>
                      </w:divBdr>
                    </w:div>
                  </w:divsChild>
                </w:div>
                <w:div w:id="1137727216">
                  <w:marLeft w:val="0"/>
                  <w:marRight w:val="0"/>
                  <w:marTop w:val="0"/>
                  <w:marBottom w:val="0"/>
                  <w:divBdr>
                    <w:top w:val="none" w:sz="0" w:space="0" w:color="auto"/>
                    <w:left w:val="none" w:sz="0" w:space="0" w:color="auto"/>
                    <w:bottom w:val="none" w:sz="0" w:space="0" w:color="auto"/>
                    <w:right w:val="none" w:sz="0" w:space="0" w:color="auto"/>
                  </w:divBdr>
                  <w:divsChild>
                    <w:div w:id="1125538998">
                      <w:marLeft w:val="0"/>
                      <w:marRight w:val="0"/>
                      <w:marTop w:val="0"/>
                      <w:marBottom w:val="0"/>
                      <w:divBdr>
                        <w:top w:val="none" w:sz="0" w:space="0" w:color="auto"/>
                        <w:left w:val="none" w:sz="0" w:space="0" w:color="auto"/>
                        <w:bottom w:val="none" w:sz="0" w:space="0" w:color="auto"/>
                        <w:right w:val="none" w:sz="0" w:space="0" w:color="auto"/>
                      </w:divBdr>
                    </w:div>
                  </w:divsChild>
                </w:div>
                <w:div w:id="1145774651">
                  <w:marLeft w:val="0"/>
                  <w:marRight w:val="0"/>
                  <w:marTop w:val="0"/>
                  <w:marBottom w:val="0"/>
                  <w:divBdr>
                    <w:top w:val="none" w:sz="0" w:space="0" w:color="auto"/>
                    <w:left w:val="none" w:sz="0" w:space="0" w:color="auto"/>
                    <w:bottom w:val="none" w:sz="0" w:space="0" w:color="auto"/>
                    <w:right w:val="none" w:sz="0" w:space="0" w:color="auto"/>
                  </w:divBdr>
                  <w:divsChild>
                    <w:div w:id="281619414">
                      <w:marLeft w:val="0"/>
                      <w:marRight w:val="0"/>
                      <w:marTop w:val="0"/>
                      <w:marBottom w:val="0"/>
                      <w:divBdr>
                        <w:top w:val="none" w:sz="0" w:space="0" w:color="auto"/>
                        <w:left w:val="none" w:sz="0" w:space="0" w:color="auto"/>
                        <w:bottom w:val="none" w:sz="0" w:space="0" w:color="auto"/>
                        <w:right w:val="none" w:sz="0" w:space="0" w:color="auto"/>
                      </w:divBdr>
                    </w:div>
                  </w:divsChild>
                </w:div>
                <w:div w:id="1148018550">
                  <w:marLeft w:val="0"/>
                  <w:marRight w:val="0"/>
                  <w:marTop w:val="0"/>
                  <w:marBottom w:val="0"/>
                  <w:divBdr>
                    <w:top w:val="none" w:sz="0" w:space="0" w:color="auto"/>
                    <w:left w:val="none" w:sz="0" w:space="0" w:color="auto"/>
                    <w:bottom w:val="none" w:sz="0" w:space="0" w:color="auto"/>
                    <w:right w:val="none" w:sz="0" w:space="0" w:color="auto"/>
                  </w:divBdr>
                  <w:divsChild>
                    <w:div w:id="369497101">
                      <w:marLeft w:val="0"/>
                      <w:marRight w:val="0"/>
                      <w:marTop w:val="0"/>
                      <w:marBottom w:val="0"/>
                      <w:divBdr>
                        <w:top w:val="none" w:sz="0" w:space="0" w:color="auto"/>
                        <w:left w:val="none" w:sz="0" w:space="0" w:color="auto"/>
                        <w:bottom w:val="none" w:sz="0" w:space="0" w:color="auto"/>
                        <w:right w:val="none" w:sz="0" w:space="0" w:color="auto"/>
                      </w:divBdr>
                    </w:div>
                  </w:divsChild>
                </w:div>
                <w:div w:id="1159930979">
                  <w:marLeft w:val="0"/>
                  <w:marRight w:val="0"/>
                  <w:marTop w:val="0"/>
                  <w:marBottom w:val="0"/>
                  <w:divBdr>
                    <w:top w:val="none" w:sz="0" w:space="0" w:color="auto"/>
                    <w:left w:val="none" w:sz="0" w:space="0" w:color="auto"/>
                    <w:bottom w:val="none" w:sz="0" w:space="0" w:color="auto"/>
                    <w:right w:val="none" w:sz="0" w:space="0" w:color="auto"/>
                  </w:divBdr>
                  <w:divsChild>
                    <w:div w:id="89858976">
                      <w:marLeft w:val="0"/>
                      <w:marRight w:val="0"/>
                      <w:marTop w:val="0"/>
                      <w:marBottom w:val="0"/>
                      <w:divBdr>
                        <w:top w:val="none" w:sz="0" w:space="0" w:color="auto"/>
                        <w:left w:val="none" w:sz="0" w:space="0" w:color="auto"/>
                        <w:bottom w:val="none" w:sz="0" w:space="0" w:color="auto"/>
                        <w:right w:val="none" w:sz="0" w:space="0" w:color="auto"/>
                      </w:divBdr>
                    </w:div>
                  </w:divsChild>
                </w:div>
                <w:div w:id="1170025352">
                  <w:marLeft w:val="0"/>
                  <w:marRight w:val="0"/>
                  <w:marTop w:val="0"/>
                  <w:marBottom w:val="0"/>
                  <w:divBdr>
                    <w:top w:val="none" w:sz="0" w:space="0" w:color="auto"/>
                    <w:left w:val="none" w:sz="0" w:space="0" w:color="auto"/>
                    <w:bottom w:val="none" w:sz="0" w:space="0" w:color="auto"/>
                    <w:right w:val="none" w:sz="0" w:space="0" w:color="auto"/>
                  </w:divBdr>
                  <w:divsChild>
                    <w:div w:id="1847749718">
                      <w:marLeft w:val="0"/>
                      <w:marRight w:val="0"/>
                      <w:marTop w:val="0"/>
                      <w:marBottom w:val="0"/>
                      <w:divBdr>
                        <w:top w:val="none" w:sz="0" w:space="0" w:color="auto"/>
                        <w:left w:val="none" w:sz="0" w:space="0" w:color="auto"/>
                        <w:bottom w:val="none" w:sz="0" w:space="0" w:color="auto"/>
                        <w:right w:val="none" w:sz="0" w:space="0" w:color="auto"/>
                      </w:divBdr>
                    </w:div>
                  </w:divsChild>
                </w:div>
                <w:div w:id="1171678535">
                  <w:marLeft w:val="0"/>
                  <w:marRight w:val="0"/>
                  <w:marTop w:val="0"/>
                  <w:marBottom w:val="0"/>
                  <w:divBdr>
                    <w:top w:val="none" w:sz="0" w:space="0" w:color="auto"/>
                    <w:left w:val="none" w:sz="0" w:space="0" w:color="auto"/>
                    <w:bottom w:val="none" w:sz="0" w:space="0" w:color="auto"/>
                    <w:right w:val="none" w:sz="0" w:space="0" w:color="auto"/>
                  </w:divBdr>
                  <w:divsChild>
                    <w:div w:id="241573782">
                      <w:marLeft w:val="0"/>
                      <w:marRight w:val="0"/>
                      <w:marTop w:val="0"/>
                      <w:marBottom w:val="0"/>
                      <w:divBdr>
                        <w:top w:val="none" w:sz="0" w:space="0" w:color="auto"/>
                        <w:left w:val="none" w:sz="0" w:space="0" w:color="auto"/>
                        <w:bottom w:val="none" w:sz="0" w:space="0" w:color="auto"/>
                        <w:right w:val="none" w:sz="0" w:space="0" w:color="auto"/>
                      </w:divBdr>
                    </w:div>
                  </w:divsChild>
                </w:div>
                <w:div w:id="1179738980">
                  <w:marLeft w:val="0"/>
                  <w:marRight w:val="0"/>
                  <w:marTop w:val="0"/>
                  <w:marBottom w:val="0"/>
                  <w:divBdr>
                    <w:top w:val="none" w:sz="0" w:space="0" w:color="auto"/>
                    <w:left w:val="none" w:sz="0" w:space="0" w:color="auto"/>
                    <w:bottom w:val="none" w:sz="0" w:space="0" w:color="auto"/>
                    <w:right w:val="none" w:sz="0" w:space="0" w:color="auto"/>
                  </w:divBdr>
                  <w:divsChild>
                    <w:div w:id="1949385641">
                      <w:marLeft w:val="0"/>
                      <w:marRight w:val="0"/>
                      <w:marTop w:val="0"/>
                      <w:marBottom w:val="0"/>
                      <w:divBdr>
                        <w:top w:val="none" w:sz="0" w:space="0" w:color="auto"/>
                        <w:left w:val="none" w:sz="0" w:space="0" w:color="auto"/>
                        <w:bottom w:val="none" w:sz="0" w:space="0" w:color="auto"/>
                        <w:right w:val="none" w:sz="0" w:space="0" w:color="auto"/>
                      </w:divBdr>
                    </w:div>
                  </w:divsChild>
                </w:div>
                <w:div w:id="1182816080">
                  <w:marLeft w:val="0"/>
                  <w:marRight w:val="0"/>
                  <w:marTop w:val="0"/>
                  <w:marBottom w:val="0"/>
                  <w:divBdr>
                    <w:top w:val="none" w:sz="0" w:space="0" w:color="auto"/>
                    <w:left w:val="none" w:sz="0" w:space="0" w:color="auto"/>
                    <w:bottom w:val="none" w:sz="0" w:space="0" w:color="auto"/>
                    <w:right w:val="none" w:sz="0" w:space="0" w:color="auto"/>
                  </w:divBdr>
                  <w:divsChild>
                    <w:div w:id="888807154">
                      <w:marLeft w:val="0"/>
                      <w:marRight w:val="0"/>
                      <w:marTop w:val="0"/>
                      <w:marBottom w:val="0"/>
                      <w:divBdr>
                        <w:top w:val="none" w:sz="0" w:space="0" w:color="auto"/>
                        <w:left w:val="none" w:sz="0" w:space="0" w:color="auto"/>
                        <w:bottom w:val="none" w:sz="0" w:space="0" w:color="auto"/>
                        <w:right w:val="none" w:sz="0" w:space="0" w:color="auto"/>
                      </w:divBdr>
                    </w:div>
                  </w:divsChild>
                </w:div>
                <w:div w:id="1183470749">
                  <w:marLeft w:val="0"/>
                  <w:marRight w:val="0"/>
                  <w:marTop w:val="0"/>
                  <w:marBottom w:val="0"/>
                  <w:divBdr>
                    <w:top w:val="none" w:sz="0" w:space="0" w:color="auto"/>
                    <w:left w:val="none" w:sz="0" w:space="0" w:color="auto"/>
                    <w:bottom w:val="none" w:sz="0" w:space="0" w:color="auto"/>
                    <w:right w:val="none" w:sz="0" w:space="0" w:color="auto"/>
                  </w:divBdr>
                  <w:divsChild>
                    <w:div w:id="1575971732">
                      <w:marLeft w:val="0"/>
                      <w:marRight w:val="0"/>
                      <w:marTop w:val="0"/>
                      <w:marBottom w:val="0"/>
                      <w:divBdr>
                        <w:top w:val="none" w:sz="0" w:space="0" w:color="auto"/>
                        <w:left w:val="none" w:sz="0" w:space="0" w:color="auto"/>
                        <w:bottom w:val="none" w:sz="0" w:space="0" w:color="auto"/>
                        <w:right w:val="none" w:sz="0" w:space="0" w:color="auto"/>
                      </w:divBdr>
                    </w:div>
                  </w:divsChild>
                </w:div>
                <w:div w:id="1190951209">
                  <w:marLeft w:val="0"/>
                  <w:marRight w:val="0"/>
                  <w:marTop w:val="0"/>
                  <w:marBottom w:val="0"/>
                  <w:divBdr>
                    <w:top w:val="none" w:sz="0" w:space="0" w:color="auto"/>
                    <w:left w:val="none" w:sz="0" w:space="0" w:color="auto"/>
                    <w:bottom w:val="none" w:sz="0" w:space="0" w:color="auto"/>
                    <w:right w:val="none" w:sz="0" w:space="0" w:color="auto"/>
                  </w:divBdr>
                  <w:divsChild>
                    <w:div w:id="1509170940">
                      <w:marLeft w:val="0"/>
                      <w:marRight w:val="0"/>
                      <w:marTop w:val="0"/>
                      <w:marBottom w:val="0"/>
                      <w:divBdr>
                        <w:top w:val="none" w:sz="0" w:space="0" w:color="auto"/>
                        <w:left w:val="none" w:sz="0" w:space="0" w:color="auto"/>
                        <w:bottom w:val="none" w:sz="0" w:space="0" w:color="auto"/>
                        <w:right w:val="none" w:sz="0" w:space="0" w:color="auto"/>
                      </w:divBdr>
                    </w:div>
                  </w:divsChild>
                </w:div>
                <w:div w:id="1200321479">
                  <w:marLeft w:val="0"/>
                  <w:marRight w:val="0"/>
                  <w:marTop w:val="0"/>
                  <w:marBottom w:val="0"/>
                  <w:divBdr>
                    <w:top w:val="none" w:sz="0" w:space="0" w:color="auto"/>
                    <w:left w:val="none" w:sz="0" w:space="0" w:color="auto"/>
                    <w:bottom w:val="none" w:sz="0" w:space="0" w:color="auto"/>
                    <w:right w:val="none" w:sz="0" w:space="0" w:color="auto"/>
                  </w:divBdr>
                  <w:divsChild>
                    <w:div w:id="1111439963">
                      <w:marLeft w:val="0"/>
                      <w:marRight w:val="0"/>
                      <w:marTop w:val="0"/>
                      <w:marBottom w:val="0"/>
                      <w:divBdr>
                        <w:top w:val="none" w:sz="0" w:space="0" w:color="auto"/>
                        <w:left w:val="none" w:sz="0" w:space="0" w:color="auto"/>
                        <w:bottom w:val="none" w:sz="0" w:space="0" w:color="auto"/>
                        <w:right w:val="none" w:sz="0" w:space="0" w:color="auto"/>
                      </w:divBdr>
                    </w:div>
                  </w:divsChild>
                </w:div>
                <w:div w:id="1228304595">
                  <w:marLeft w:val="0"/>
                  <w:marRight w:val="0"/>
                  <w:marTop w:val="0"/>
                  <w:marBottom w:val="0"/>
                  <w:divBdr>
                    <w:top w:val="none" w:sz="0" w:space="0" w:color="auto"/>
                    <w:left w:val="none" w:sz="0" w:space="0" w:color="auto"/>
                    <w:bottom w:val="none" w:sz="0" w:space="0" w:color="auto"/>
                    <w:right w:val="none" w:sz="0" w:space="0" w:color="auto"/>
                  </w:divBdr>
                  <w:divsChild>
                    <w:div w:id="201598710">
                      <w:marLeft w:val="0"/>
                      <w:marRight w:val="0"/>
                      <w:marTop w:val="0"/>
                      <w:marBottom w:val="0"/>
                      <w:divBdr>
                        <w:top w:val="none" w:sz="0" w:space="0" w:color="auto"/>
                        <w:left w:val="none" w:sz="0" w:space="0" w:color="auto"/>
                        <w:bottom w:val="none" w:sz="0" w:space="0" w:color="auto"/>
                        <w:right w:val="none" w:sz="0" w:space="0" w:color="auto"/>
                      </w:divBdr>
                    </w:div>
                  </w:divsChild>
                </w:div>
                <w:div w:id="1241870064">
                  <w:marLeft w:val="0"/>
                  <w:marRight w:val="0"/>
                  <w:marTop w:val="0"/>
                  <w:marBottom w:val="0"/>
                  <w:divBdr>
                    <w:top w:val="none" w:sz="0" w:space="0" w:color="auto"/>
                    <w:left w:val="none" w:sz="0" w:space="0" w:color="auto"/>
                    <w:bottom w:val="none" w:sz="0" w:space="0" w:color="auto"/>
                    <w:right w:val="none" w:sz="0" w:space="0" w:color="auto"/>
                  </w:divBdr>
                  <w:divsChild>
                    <w:div w:id="168713067">
                      <w:marLeft w:val="0"/>
                      <w:marRight w:val="0"/>
                      <w:marTop w:val="0"/>
                      <w:marBottom w:val="0"/>
                      <w:divBdr>
                        <w:top w:val="none" w:sz="0" w:space="0" w:color="auto"/>
                        <w:left w:val="none" w:sz="0" w:space="0" w:color="auto"/>
                        <w:bottom w:val="none" w:sz="0" w:space="0" w:color="auto"/>
                        <w:right w:val="none" w:sz="0" w:space="0" w:color="auto"/>
                      </w:divBdr>
                    </w:div>
                  </w:divsChild>
                </w:div>
                <w:div w:id="1248463198">
                  <w:marLeft w:val="0"/>
                  <w:marRight w:val="0"/>
                  <w:marTop w:val="0"/>
                  <w:marBottom w:val="0"/>
                  <w:divBdr>
                    <w:top w:val="none" w:sz="0" w:space="0" w:color="auto"/>
                    <w:left w:val="none" w:sz="0" w:space="0" w:color="auto"/>
                    <w:bottom w:val="none" w:sz="0" w:space="0" w:color="auto"/>
                    <w:right w:val="none" w:sz="0" w:space="0" w:color="auto"/>
                  </w:divBdr>
                  <w:divsChild>
                    <w:div w:id="40714847">
                      <w:marLeft w:val="0"/>
                      <w:marRight w:val="0"/>
                      <w:marTop w:val="0"/>
                      <w:marBottom w:val="0"/>
                      <w:divBdr>
                        <w:top w:val="none" w:sz="0" w:space="0" w:color="auto"/>
                        <w:left w:val="none" w:sz="0" w:space="0" w:color="auto"/>
                        <w:bottom w:val="none" w:sz="0" w:space="0" w:color="auto"/>
                        <w:right w:val="none" w:sz="0" w:space="0" w:color="auto"/>
                      </w:divBdr>
                    </w:div>
                  </w:divsChild>
                </w:div>
                <w:div w:id="1252813124">
                  <w:marLeft w:val="0"/>
                  <w:marRight w:val="0"/>
                  <w:marTop w:val="0"/>
                  <w:marBottom w:val="0"/>
                  <w:divBdr>
                    <w:top w:val="none" w:sz="0" w:space="0" w:color="auto"/>
                    <w:left w:val="none" w:sz="0" w:space="0" w:color="auto"/>
                    <w:bottom w:val="none" w:sz="0" w:space="0" w:color="auto"/>
                    <w:right w:val="none" w:sz="0" w:space="0" w:color="auto"/>
                  </w:divBdr>
                  <w:divsChild>
                    <w:div w:id="2029870308">
                      <w:marLeft w:val="0"/>
                      <w:marRight w:val="0"/>
                      <w:marTop w:val="0"/>
                      <w:marBottom w:val="0"/>
                      <w:divBdr>
                        <w:top w:val="none" w:sz="0" w:space="0" w:color="auto"/>
                        <w:left w:val="none" w:sz="0" w:space="0" w:color="auto"/>
                        <w:bottom w:val="none" w:sz="0" w:space="0" w:color="auto"/>
                        <w:right w:val="none" w:sz="0" w:space="0" w:color="auto"/>
                      </w:divBdr>
                    </w:div>
                  </w:divsChild>
                </w:div>
                <w:div w:id="1253078923">
                  <w:marLeft w:val="0"/>
                  <w:marRight w:val="0"/>
                  <w:marTop w:val="0"/>
                  <w:marBottom w:val="0"/>
                  <w:divBdr>
                    <w:top w:val="none" w:sz="0" w:space="0" w:color="auto"/>
                    <w:left w:val="none" w:sz="0" w:space="0" w:color="auto"/>
                    <w:bottom w:val="none" w:sz="0" w:space="0" w:color="auto"/>
                    <w:right w:val="none" w:sz="0" w:space="0" w:color="auto"/>
                  </w:divBdr>
                  <w:divsChild>
                    <w:div w:id="1927378177">
                      <w:marLeft w:val="0"/>
                      <w:marRight w:val="0"/>
                      <w:marTop w:val="0"/>
                      <w:marBottom w:val="0"/>
                      <w:divBdr>
                        <w:top w:val="none" w:sz="0" w:space="0" w:color="auto"/>
                        <w:left w:val="none" w:sz="0" w:space="0" w:color="auto"/>
                        <w:bottom w:val="none" w:sz="0" w:space="0" w:color="auto"/>
                        <w:right w:val="none" w:sz="0" w:space="0" w:color="auto"/>
                      </w:divBdr>
                    </w:div>
                  </w:divsChild>
                </w:div>
                <w:div w:id="1255044972">
                  <w:marLeft w:val="0"/>
                  <w:marRight w:val="0"/>
                  <w:marTop w:val="0"/>
                  <w:marBottom w:val="0"/>
                  <w:divBdr>
                    <w:top w:val="none" w:sz="0" w:space="0" w:color="auto"/>
                    <w:left w:val="none" w:sz="0" w:space="0" w:color="auto"/>
                    <w:bottom w:val="none" w:sz="0" w:space="0" w:color="auto"/>
                    <w:right w:val="none" w:sz="0" w:space="0" w:color="auto"/>
                  </w:divBdr>
                  <w:divsChild>
                    <w:div w:id="1650087073">
                      <w:marLeft w:val="0"/>
                      <w:marRight w:val="0"/>
                      <w:marTop w:val="0"/>
                      <w:marBottom w:val="0"/>
                      <w:divBdr>
                        <w:top w:val="none" w:sz="0" w:space="0" w:color="auto"/>
                        <w:left w:val="none" w:sz="0" w:space="0" w:color="auto"/>
                        <w:bottom w:val="none" w:sz="0" w:space="0" w:color="auto"/>
                        <w:right w:val="none" w:sz="0" w:space="0" w:color="auto"/>
                      </w:divBdr>
                    </w:div>
                  </w:divsChild>
                </w:div>
                <w:div w:id="1258487975">
                  <w:marLeft w:val="0"/>
                  <w:marRight w:val="0"/>
                  <w:marTop w:val="0"/>
                  <w:marBottom w:val="0"/>
                  <w:divBdr>
                    <w:top w:val="none" w:sz="0" w:space="0" w:color="auto"/>
                    <w:left w:val="none" w:sz="0" w:space="0" w:color="auto"/>
                    <w:bottom w:val="none" w:sz="0" w:space="0" w:color="auto"/>
                    <w:right w:val="none" w:sz="0" w:space="0" w:color="auto"/>
                  </w:divBdr>
                  <w:divsChild>
                    <w:div w:id="1186362064">
                      <w:marLeft w:val="0"/>
                      <w:marRight w:val="0"/>
                      <w:marTop w:val="0"/>
                      <w:marBottom w:val="0"/>
                      <w:divBdr>
                        <w:top w:val="none" w:sz="0" w:space="0" w:color="auto"/>
                        <w:left w:val="none" w:sz="0" w:space="0" w:color="auto"/>
                        <w:bottom w:val="none" w:sz="0" w:space="0" w:color="auto"/>
                        <w:right w:val="none" w:sz="0" w:space="0" w:color="auto"/>
                      </w:divBdr>
                    </w:div>
                  </w:divsChild>
                </w:div>
                <w:div w:id="1280181642">
                  <w:marLeft w:val="0"/>
                  <w:marRight w:val="0"/>
                  <w:marTop w:val="0"/>
                  <w:marBottom w:val="0"/>
                  <w:divBdr>
                    <w:top w:val="none" w:sz="0" w:space="0" w:color="auto"/>
                    <w:left w:val="none" w:sz="0" w:space="0" w:color="auto"/>
                    <w:bottom w:val="none" w:sz="0" w:space="0" w:color="auto"/>
                    <w:right w:val="none" w:sz="0" w:space="0" w:color="auto"/>
                  </w:divBdr>
                  <w:divsChild>
                    <w:div w:id="2034376004">
                      <w:marLeft w:val="0"/>
                      <w:marRight w:val="0"/>
                      <w:marTop w:val="0"/>
                      <w:marBottom w:val="0"/>
                      <w:divBdr>
                        <w:top w:val="none" w:sz="0" w:space="0" w:color="auto"/>
                        <w:left w:val="none" w:sz="0" w:space="0" w:color="auto"/>
                        <w:bottom w:val="none" w:sz="0" w:space="0" w:color="auto"/>
                        <w:right w:val="none" w:sz="0" w:space="0" w:color="auto"/>
                      </w:divBdr>
                    </w:div>
                  </w:divsChild>
                </w:div>
                <w:div w:id="1288125936">
                  <w:marLeft w:val="0"/>
                  <w:marRight w:val="0"/>
                  <w:marTop w:val="0"/>
                  <w:marBottom w:val="0"/>
                  <w:divBdr>
                    <w:top w:val="none" w:sz="0" w:space="0" w:color="auto"/>
                    <w:left w:val="none" w:sz="0" w:space="0" w:color="auto"/>
                    <w:bottom w:val="none" w:sz="0" w:space="0" w:color="auto"/>
                    <w:right w:val="none" w:sz="0" w:space="0" w:color="auto"/>
                  </w:divBdr>
                  <w:divsChild>
                    <w:div w:id="130950609">
                      <w:marLeft w:val="0"/>
                      <w:marRight w:val="0"/>
                      <w:marTop w:val="0"/>
                      <w:marBottom w:val="0"/>
                      <w:divBdr>
                        <w:top w:val="none" w:sz="0" w:space="0" w:color="auto"/>
                        <w:left w:val="none" w:sz="0" w:space="0" w:color="auto"/>
                        <w:bottom w:val="none" w:sz="0" w:space="0" w:color="auto"/>
                        <w:right w:val="none" w:sz="0" w:space="0" w:color="auto"/>
                      </w:divBdr>
                    </w:div>
                  </w:divsChild>
                </w:div>
                <w:div w:id="1288782239">
                  <w:marLeft w:val="0"/>
                  <w:marRight w:val="0"/>
                  <w:marTop w:val="0"/>
                  <w:marBottom w:val="0"/>
                  <w:divBdr>
                    <w:top w:val="none" w:sz="0" w:space="0" w:color="auto"/>
                    <w:left w:val="none" w:sz="0" w:space="0" w:color="auto"/>
                    <w:bottom w:val="none" w:sz="0" w:space="0" w:color="auto"/>
                    <w:right w:val="none" w:sz="0" w:space="0" w:color="auto"/>
                  </w:divBdr>
                  <w:divsChild>
                    <w:div w:id="856963024">
                      <w:marLeft w:val="0"/>
                      <w:marRight w:val="0"/>
                      <w:marTop w:val="0"/>
                      <w:marBottom w:val="0"/>
                      <w:divBdr>
                        <w:top w:val="none" w:sz="0" w:space="0" w:color="auto"/>
                        <w:left w:val="none" w:sz="0" w:space="0" w:color="auto"/>
                        <w:bottom w:val="none" w:sz="0" w:space="0" w:color="auto"/>
                        <w:right w:val="none" w:sz="0" w:space="0" w:color="auto"/>
                      </w:divBdr>
                    </w:div>
                  </w:divsChild>
                </w:div>
                <w:div w:id="1298148424">
                  <w:marLeft w:val="0"/>
                  <w:marRight w:val="0"/>
                  <w:marTop w:val="0"/>
                  <w:marBottom w:val="0"/>
                  <w:divBdr>
                    <w:top w:val="none" w:sz="0" w:space="0" w:color="auto"/>
                    <w:left w:val="none" w:sz="0" w:space="0" w:color="auto"/>
                    <w:bottom w:val="none" w:sz="0" w:space="0" w:color="auto"/>
                    <w:right w:val="none" w:sz="0" w:space="0" w:color="auto"/>
                  </w:divBdr>
                  <w:divsChild>
                    <w:div w:id="2040542150">
                      <w:marLeft w:val="0"/>
                      <w:marRight w:val="0"/>
                      <w:marTop w:val="0"/>
                      <w:marBottom w:val="0"/>
                      <w:divBdr>
                        <w:top w:val="none" w:sz="0" w:space="0" w:color="auto"/>
                        <w:left w:val="none" w:sz="0" w:space="0" w:color="auto"/>
                        <w:bottom w:val="none" w:sz="0" w:space="0" w:color="auto"/>
                        <w:right w:val="none" w:sz="0" w:space="0" w:color="auto"/>
                      </w:divBdr>
                    </w:div>
                  </w:divsChild>
                </w:div>
                <w:div w:id="1304047896">
                  <w:marLeft w:val="0"/>
                  <w:marRight w:val="0"/>
                  <w:marTop w:val="0"/>
                  <w:marBottom w:val="0"/>
                  <w:divBdr>
                    <w:top w:val="none" w:sz="0" w:space="0" w:color="auto"/>
                    <w:left w:val="none" w:sz="0" w:space="0" w:color="auto"/>
                    <w:bottom w:val="none" w:sz="0" w:space="0" w:color="auto"/>
                    <w:right w:val="none" w:sz="0" w:space="0" w:color="auto"/>
                  </w:divBdr>
                  <w:divsChild>
                    <w:div w:id="1849060001">
                      <w:marLeft w:val="0"/>
                      <w:marRight w:val="0"/>
                      <w:marTop w:val="0"/>
                      <w:marBottom w:val="0"/>
                      <w:divBdr>
                        <w:top w:val="none" w:sz="0" w:space="0" w:color="auto"/>
                        <w:left w:val="none" w:sz="0" w:space="0" w:color="auto"/>
                        <w:bottom w:val="none" w:sz="0" w:space="0" w:color="auto"/>
                        <w:right w:val="none" w:sz="0" w:space="0" w:color="auto"/>
                      </w:divBdr>
                    </w:div>
                  </w:divsChild>
                </w:div>
                <w:div w:id="1305231903">
                  <w:marLeft w:val="0"/>
                  <w:marRight w:val="0"/>
                  <w:marTop w:val="0"/>
                  <w:marBottom w:val="0"/>
                  <w:divBdr>
                    <w:top w:val="none" w:sz="0" w:space="0" w:color="auto"/>
                    <w:left w:val="none" w:sz="0" w:space="0" w:color="auto"/>
                    <w:bottom w:val="none" w:sz="0" w:space="0" w:color="auto"/>
                    <w:right w:val="none" w:sz="0" w:space="0" w:color="auto"/>
                  </w:divBdr>
                  <w:divsChild>
                    <w:div w:id="2079665767">
                      <w:marLeft w:val="0"/>
                      <w:marRight w:val="0"/>
                      <w:marTop w:val="0"/>
                      <w:marBottom w:val="0"/>
                      <w:divBdr>
                        <w:top w:val="none" w:sz="0" w:space="0" w:color="auto"/>
                        <w:left w:val="none" w:sz="0" w:space="0" w:color="auto"/>
                        <w:bottom w:val="none" w:sz="0" w:space="0" w:color="auto"/>
                        <w:right w:val="none" w:sz="0" w:space="0" w:color="auto"/>
                      </w:divBdr>
                    </w:div>
                  </w:divsChild>
                </w:div>
                <w:div w:id="1316105300">
                  <w:marLeft w:val="0"/>
                  <w:marRight w:val="0"/>
                  <w:marTop w:val="0"/>
                  <w:marBottom w:val="0"/>
                  <w:divBdr>
                    <w:top w:val="none" w:sz="0" w:space="0" w:color="auto"/>
                    <w:left w:val="none" w:sz="0" w:space="0" w:color="auto"/>
                    <w:bottom w:val="none" w:sz="0" w:space="0" w:color="auto"/>
                    <w:right w:val="none" w:sz="0" w:space="0" w:color="auto"/>
                  </w:divBdr>
                  <w:divsChild>
                    <w:div w:id="1233543841">
                      <w:marLeft w:val="0"/>
                      <w:marRight w:val="0"/>
                      <w:marTop w:val="0"/>
                      <w:marBottom w:val="0"/>
                      <w:divBdr>
                        <w:top w:val="none" w:sz="0" w:space="0" w:color="auto"/>
                        <w:left w:val="none" w:sz="0" w:space="0" w:color="auto"/>
                        <w:bottom w:val="none" w:sz="0" w:space="0" w:color="auto"/>
                        <w:right w:val="none" w:sz="0" w:space="0" w:color="auto"/>
                      </w:divBdr>
                    </w:div>
                  </w:divsChild>
                </w:div>
                <w:div w:id="1316225815">
                  <w:marLeft w:val="0"/>
                  <w:marRight w:val="0"/>
                  <w:marTop w:val="0"/>
                  <w:marBottom w:val="0"/>
                  <w:divBdr>
                    <w:top w:val="none" w:sz="0" w:space="0" w:color="auto"/>
                    <w:left w:val="none" w:sz="0" w:space="0" w:color="auto"/>
                    <w:bottom w:val="none" w:sz="0" w:space="0" w:color="auto"/>
                    <w:right w:val="none" w:sz="0" w:space="0" w:color="auto"/>
                  </w:divBdr>
                  <w:divsChild>
                    <w:div w:id="329989333">
                      <w:marLeft w:val="0"/>
                      <w:marRight w:val="0"/>
                      <w:marTop w:val="0"/>
                      <w:marBottom w:val="0"/>
                      <w:divBdr>
                        <w:top w:val="none" w:sz="0" w:space="0" w:color="auto"/>
                        <w:left w:val="none" w:sz="0" w:space="0" w:color="auto"/>
                        <w:bottom w:val="none" w:sz="0" w:space="0" w:color="auto"/>
                        <w:right w:val="none" w:sz="0" w:space="0" w:color="auto"/>
                      </w:divBdr>
                    </w:div>
                  </w:divsChild>
                </w:div>
                <w:div w:id="1336421327">
                  <w:marLeft w:val="0"/>
                  <w:marRight w:val="0"/>
                  <w:marTop w:val="0"/>
                  <w:marBottom w:val="0"/>
                  <w:divBdr>
                    <w:top w:val="none" w:sz="0" w:space="0" w:color="auto"/>
                    <w:left w:val="none" w:sz="0" w:space="0" w:color="auto"/>
                    <w:bottom w:val="none" w:sz="0" w:space="0" w:color="auto"/>
                    <w:right w:val="none" w:sz="0" w:space="0" w:color="auto"/>
                  </w:divBdr>
                  <w:divsChild>
                    <w:div w:id="1085956518">
                      <w:marLeft w:val="0"/>
                      <w:marRight w:val="0"/>
                      <w:marTop w:val="0"/>
                      <w:marBottom w:val="0"/>
                      <w:divBdr>
                        <w:top w:val="none" w:sz="0" w:space="0" w:color="auto"/>
                        <w:left w:val="none" w:sz="0" w:space="0" w:color="auto"/>
                        <w:bottom w:val="none" w:sz="0" w:space="0" w:color="auto"/>
                        <w:right w:val="none" w:sz="0" w:space="0" w:color="auto"/>
                      </w:divBdr>
                    </w:div>
                  </w:divsChild>
                </w:div>
                <w:div w:id="1336570260">
                  <w:marLeft w:val="0"/>
                  <w:marRight w:val="0"/>
                  <w:marTop w:val="0"/>
                  <w:marBottom w:val="0"/>
                  <w:divBdr>
                    <w:top w:val="none" w:sz="0" w:space="0" w:color="auto"/>
                    <w:left w:val="none" w:sz="0" w:space="0" w:color="auto"/>
                    <w:bottom w:val="none" w:sz="0" w:space="0" w:color="auto"/>
                    <w:right w:val="none" w:sz="0" w:space="0" w:color="auto"/>
                  </w:divBdr>
                  <w:divsChild>
                    <w:div w:id="867715446">
                      <w:marLeft w:val="0"/>
                      <w:marRight w:val="0"/>
                      <w:marTop w:val="0"/>
                      <w:marBottom w:val="0"/>
                      <w:divBdr>
                        <w:top w:val="none" w:sz="0" w:space="0" w:color="auto"/>
                        <w:left w:val="none" w:sz="0" w:space="0" w:color="auto"/>
                        <w:bottom w:val="none" w:sz="0" w:space="0" w:color="auto"/>
                        <w:right w:val="none" w:sz="0" w:space="0" w:color="auto"/>
                      </w:divBdr>
                    </w:div>
                  </w:divsChild>
                </w:div>
                <w:div w:id="1349723237">
                  <w:marLeft w:val="0"/>
                  <w:marRight w:val="0"/>
                  <w:marTop w:val="0"/>
                  <w:marBottom w:val="0"/>
                  <w:divBdr>
                    <w:top w:val="none" w:sz="0" w:space="0" w:color="auto"/>
                    <w:left w:val="none" w:sz="0" w:space="0" w:color="auto"/>
                    <w:bottom w:val="none" w:sz="0" w:space="0" w:color="auto"/>
                    <w:right w:val="none" w:sz="0" w:space="0" w:color="auto"/>
                  </w:divBdr>
                  <w:divsChild>
                    <w:div w:id="1750469595">
                      <w:marLeft w:val="0"/>
                      <w:marRight w:val="0"/>
                      <w:marTop w:val="0"/>
                      <w:marBottom w:val="0"/>
                      <w:divBdr>
                        <w:top w:val="none" w:sz="0" w:space="0" w:color="auto"/>
                        <w:left w:val="none" w:sz="0" w:space="0" w:color="auto"/>
                        <w:bottom w:val="none" w:sz="0" w:space="0" w:color="auto"/>
                        <w:right w:val="none" w:sz="0" w:space="0" w:color="auto"/>
                      </w:divBdr>
                    </w:div>
                  </w:divsChild>
                </w:div>
                <w:div w:id="1349866588">
                  <w:marLeft w:val="0"/>
                  <w:marRight w:val="0"/>
                  <w:marTop w:val="0"/>
                  <w:marBottom w:val="0"/>
                  <w:divBdr>
                    <w:top w:val="none" w:sz="0" w:space="0" w:color="auto"/>
                    <w:left w:val="none" w:sz="0" w:space="0" w:color="auto"/>
                    <w:bottom w:val="none" w:sz="0" w:space="0" w:color="auto"/>
                    <w:right w:val="none" w:sz="0" w:space="0" w:color="auto"/>
                  </w:divBdr>
                  <w:divsChild>
                    <w:div w:id="1130978706">
                      <w:marLeft w:val="0"/>
                      <w:marRight w:val="0"/>
                      <w:marTop w:val="0"/>
                      <w:marBottom w:val="0"/>
                      <w:divBdr>
                        <w:top w:val="none" w:sz="0" w:space="0" w:color="auto"/>
                        <w:left w:val="none" w:sz="0" w:space="0" w:color="auto"/>
                        <w:bottom w:val="none" w:sz="0" w:space="0" w:color="auto"/>
                        <w:right w:val="none" w:sz="0" w:space="0" w:color="auto"/>
                      </w:divBdr>
                    </w:div>
                  </w:divsChild>
                </w:div>
                <w:div w:id="1365250988">
                  <w:marLeft w:val="0"/>
                  <w:marRight w:val="0"/>
                  <w:marTop w:val="0"/>
                  <w:marBottom w:val="0"/>
                  <w:divBdr>
                    <w:top w:val="none" w:sz="0" w:space="0" w:color="auto"/>
                    <w:left w:val="none" w:sz="0" w:space="0" w:color="auto"/>
                    <w:bottom w:val="none" w:sz="0" w:space="0" w:color="auto"/>
                    <w:right w:val="none" w:sz="0" w:space="0" w:color="auto"/>
                  </w:divBdr>
                  <w:divsChild>
                    <w:div w:id="317538791">
                      <w:marLeft w:val="0"/>
                      <w:marRight w:val="0"/>
                      <w:marTop w:val="0"/>
                      <w:marBottom w:val="0"/>
                      <w:divBdr>
                        <w:top w:val="none" w:sz="0" w:space="0" w:color="auto"/>
                        <w:left w:val="none" w:sz="0" w:space="0" w:color="auto"/>
                        <w:bottom w:val="none" w:sz="0" w:space="0" w:color="auto"/>
                        <w:right w:val="none" w:sz="0" w:space="0" w:color="auto"/>
                      </w:divBdr>
                    </w:div>
                  </w:divsChild>
                </w:div>
                <w:div w:id="1367100882">
                  <w:marLeft w:val="0"/>
                  <w:marRight w:val="0"/>
                  <w:marTop w:val="0"/>
                  <w:marBottom w:val="0"/>
                  <w:divBdr>
                    <w:top w:val="none" w:sz="0" w:space="0" w:color="auto"/>
                    <w:left w:val="none" w:sz="0" w:space="0" w:color="auto"/>
                    <w:bottom w:val="none" w:sz="0" w:space="0" w:color="auto"/>
                    <w:right w:val="none" w:sz="0" w:space="0" w:color="auto"/>
                  </w:divBdr>
                  <w:divsChild>
                    <w:div w:id="850921094">
                      <w:marLeft w:val="0"/>
                      <w:marRight w:val="0"/>
                      <w:marTop w:val="0"/>
                      <w:marBottom w:val="0"/>
                      <w:divBdr>
                        <w:top w:val="none" w:sz="0" w:space="0" w:color="auto"/>
                        <w:left w:val="none" w:sz="0" w:space="0" w:color="auto"/>
                        <w:bottom w:val="none" w:sz="0" w:space="0" w:color="auto"/>
                        <w:right w:val="none" w:sz="0" w:space="0" w:color="auto"/>
                      </w:divBdr>
                    </w:div>
                  </w:divsChild>
                </w:div>
                <w:div w:id="1377586275">
                  <w:marLeft w:val="0"/>
                  <w:marRight w:val="0"/>
                  <w:marTop w:val="0"/>
                  <w:marBottom w:val="0"/>
                  <w:divBdr>
                    <w:top w:val="none" w:sz="0" w:space="0" w:color="auto"/>
                    <w:left w:val="none" w:sz="0" w:space="0" w:color="auto"/>
                    <w:bottom w:val="none" w:sz="0" w:space="0" w:color="auto"/>
                    <w:right w:val="none" w:sz="0" w:space="0" w:color="auto"/>
                  </w:divBdr>
                  <w:divsChild>
                    <w:div w:id="613902165">
                      <w:marLeft w:val="0"/>
                      <w:marRight w:val="0"/>
                      <w:marTop w:val="0"/>
                      <w:marBottom w:val="0"/>
                      <w:divBdr>
                        <w:top w:val="none" w:sz="0" w:space="0" w:color="auto"/>
                        <w:left w:val="none" w:sz="0" w:space="0" w:color="auto"/>
                        <w:bottom w:val="none" w:sz="0" w:space="0" w:color="auto"/>
                        <w:right w:val="none" w:sz="0" w:space="0" w:color="auto"/>
                      </w:divBdr>
                    </w:div>
                  </w:divsChild>
                </w:div>
                <w:div w:id="1378436932">
                  <w:marLeft w:val="0"/>
                  <w:marRight w:val="0"/>
                  <w:marTop w:val="0"/>
                  <w:marBottom w:val="0"/>
                  <w:divBdr>
                    <w:top w:val="none" w:sz="0" w:space="0" w:color="auto"/>
                    <w:left w:val="none" w:sz="0" w:space="0" w:color="auto"/>
                    <w:bottom w:val="none" w:sz="0" w:space="0" w:color="auto"/>
                    <w:right w:val="none" w:sz="0" w:space="0" w:color="auto"/>
                  </w:divBdr>
                  <w:divsChild>
                    <w:div w:id="222759288">
                      <w:marLeft w:val="0"/>
                      <w:marRight w:val="0"/>
                      <w:marTop w:val="0"/>
                      <w:marBottom w:val="0"/>
                      <w:divBdr>
                        <w:top w:val="none" w:sz="0" w:space="0" w:color="auto"/>
                        <w:left w:val="none" w:sz="0" w:space="0" w:color="auto"/>
                        <w:bottom w:val="none" w:sz="0" w:space="0" w:color="auto"/>
                        <w:right w:val="none" w:sz="0" w:space="0" w:color="auto"/>
                      </w:divBdr>
                    </w:div>
                  </w:divsChild>
                </w:div>
                <w:div w:id="1394548418">
                  <w:marLeft w:val="0"/>
                  <w:marRight w:val="0"/>
                  <w:marTop w:val="0"/>
                  <w:marBottom w:val="0"/>
                  <w:divBdr>
                    <w:top w:val="none" w:sz="0" w:space="0" w:color="auto"/>
                    <w:left w:val="none" w:sz="0" w:space="0" w:color="auto"/>
                    <w:bottom w:val="none" w:sz="0" w:space="0" w:color="auto"/>
                    <w:right w:val="none" w:sz="0" w:space="0" w:color="auto"/>
                  </w:divBdr>
                  <w:divsChild>
                    <w:div w:id="905380082">
                      <w:marLeft w:val="0"/>
                      <w:marRight w:val="0"/>
                      <w:marTop w:val="0"/>
                      <w:marBottom w:val="0"/>
                      <w:divBdr>
                        <w:top w:val="none" w:sz="0" w:space="0" w:color="auto"/>
                        <w:left w:val="none" w:sz="0" w:space="0" w:color="auto"/>
                        <w:bottom w:val="none" w:sz="0" w:space="0" w:color="auto"/>
                        <w:right w:val="none" w:sz="0" w:space="0" w:color="auto"/>
                      </w:divBdr>
                    </w:div>
                  </w:divsChild>
                </w:div>
                <w:div w:id="1405101777">
                  <w:marLeft w:val="0"/>
                  <w:marRight w:val="0"/>
                  <w:marTop w:val="0"/>
                  <w:marBottom w:val="0"/>
                  <w:divBdr>
                    <w:top w:val="none" w:sz="0" w:space="0" w:color="auto"/>
                    <w:left w:val="none" w:sz="0" w:space="0" w:color="auto"/>
                    <w:bottom w:val="none" w:sz="0" w:space="0" w:color="auto"/>
                    <w:right w:val="none" w:sz="0" w:space="0" w:color="auto"/>
                  </w:divBdr>
                  <w:divsChild>
                    <w:div w:id="1928073436">
                      <w:marLeft w:val="0"/>
                      <w:marRight w:val="0"/>
                      <w:marTop w:val="0"/>
                      <w:marBottom w:val="0"/>
                      <w:divBdr>
                        <w:top w:val="none" w:sz="0" w:space="0" w:color="auto"/>
                        <w:left w:val="none" w:sz="0" w:space="0" w:color="auto"/>
                        <w:bottom w:val="none" w:sz="0" w:space="0" w:color="auto"/>
                        <w:right w:val="none" w:sz="0" w:space="0" w:color="auto"/>
                      </w:divBdr>
                    </w:div>
                  </w:divsChild>
                </w:div>
                <w:div w:id="1409959089">
                  <w:marLeft w:val="0"/>
                  <w:marRight w:val="0"/>
                  <w:marTop w:val="0"/>
                  <w:marBottom w:val="0"/>
                  <w:divBdr>
                    <w:top w:val="none" w:sz="0" w:space="0" w:color="auto"/>
                    <w:left w:val="none" w:sz="0" w:space="0" w:color="auto"/>
                    <w:bottom w:val="none" w:sz="0" w:space="0" w:color="auto"/>
                    <w:right w:val="none" w:sz="0" w:space="0" w:color="auto"/>
                  </w:divBdr>
                  <w:divsChild>
                    <w:div w:id="148983005">
                      <w:marLeft w:val="0"/>
                      <w:marRight w:val="0"/>
                      <w:marTop w:val="0"/>
                      <w:marBottom w:val="0"/>
                      <w:divBdr>
                        <w:top w:val="none" w:sz="0" w:space="0" w:color="auto"/>
                        <w:left w:val="none" w:sz="0" w:space="0" w:color="auto"/>
                        <w:bottom w:val="none" w:sz="0" w:space="0" w:color="auto"/>
                        <w:right w:val="none" w:sz="0" w:space="0" w:color="auto"/>
                      </w:divBdr>
                    </w:div>
                  </w:divsChild>
                </w:div>
                <w:div w:id="1432163485">
                  <w:marLeft w:val="0"/>
                  <w:marRight w:val="0"/>
                  <w:marTop w:val="0"/>
                  <w:marBottom w:val="0"/>
                  <w:divBdr>
                    <w:top w:val="none" w:sz="0" w:space="0" w:color="auto"/>
                    <w:left w:val="none" w:sz="0" w:space="0" w:color="auto"/>
                    <w:bottom w:val="none" w:sz="0" w:space="0" w:color="auto"/>
                    <w:right w:val="none" w:sz="0" w:space="0" w:color="auto"/>
                  </w:divBdr>
                  <w:divsChild>
                    <w:div w:id="225143868">
                      <w:marLeft w:val="0"/>
                      <w:marRight w:val="0"/>
                      <w:marTop w:val="0"/>
                      <w:marBottom w:val="0"/>
                      <w:divBdr>
                        <w:top w:val="none" w:sz="0" w:space="0" w:color="auto"/>
                        <w:left w:val="none" w:sz="0" w:space="0" w:color="auto"/>
                        <w:bottom w:val="none" w:sz="0" w:space="0" w:color="auto"/>
                        <w:right w:val="none" w:sz="0" w:space="0" w:color="auto"/>
                      </w:divBdr>
                    </w:div>
                  </w:divsChild>
                </w:div>
                <w:div w:id="1435200347">
                  <w:marLeft w:val="0"/>
                  <w:marRight w:val="0"/>
                  <w:marTop w:val="0"/>
                  <w:marBottom w:val="0"/>
                  <w:divBdr>
                    <w:top w:val="none" w:sz="0" w:space="0" w:color="auto"/>
                    <w:left w:val="none" w:sz="0" w:space="0" w:color="auto"/>
                    <w:bottom w:val="none" w:sz="0" w:space="0" w:color="auto"/>
                    <w:right w:val="none" w:sz="0" w:space="0" w:color="auto"/>
                  </w:divBdr>
                  <w:divsChild>
                    <w:div w:id="883709677">
                      <w:marLeft w:val="0"/>
                      <w:marRight w:val="0"/>
                      <w:marTop w:val="0"/>
                      <w:marBottom w:val="0"/>
                      <w:divBdr>
                        <w:top w:val="none" w:sz="0" w:space="0" w:color="auto"/>
                        <w:left w:val="none" w:sz="0" w:space="0" w:color="auto"/>
                        <w:bottom w:val="none" w:sz="0" w:space="0" w:color="auto"/>
                        <w:right w:val="none" w:sz="0" w:space="0" w:color="auto"/>
                      </w:divBdr>
                    </w:div>
                  </w:divsChild>
                </w:div>
                <w:div w:id="1436946702">
                  <w:marLeft w:val="0"/>
                  <w:marRight w:val="0"/>
                  <w:marTop w:val="0"/>
                  <w:marBottom w:val="0"/>
                  <w:divBdr>
                    <w:top w:val="none" w:sz="0" w:space="0" w:color="auto"/>
                    <w:left w:val="none" w:sz="0" w:space="0" w:color="auto"/>
                    <w:bottom w:val="none" w:sz="0" w:space="0" w:color="auto"/>
                    <w:right w:val="none" w:sz="0" w:space="0" w:color="auto"/>
                  </w:divBdr>
                  <w:divsChild>
                    <w:div w:id="273678675">
                      <w:marLeft w:val="0"/>
                      <w:marRight w:val="0"/>
                      <w:marTop w:val="0"/>
                      <w:marBottom w:val="0"/>
                      <w:divBdr>
                        <w:top w:val="none" w:sz="0" w:space="0" w:color="auto"/>
                        <w:left w:val="none" w:sz="0" w:space="0" w:color="auto"/>
                        <w:bottom w:val="none" w:sz="0" w:space="0" w:color="auto"/>
                        <w:right w:val="none" w:sz="0" w:space="0" w:color="auto"/>
                      </w:divBdr>
                    </w:div>
                  </w:divsChild>
                </w:div>
                <w:div w:id="1444764281">
                  <w:marLeft w:val="0"/>
                  <w:marRight w:val="0"/>
                  <w:marTop w:val="0"/>
                  <w:marBottom w:val="0"/>
                  <w:divBdr>
                    <w:top w:val="none" w:sz="0" w:space="0" w:color="auto"/>
                    <w:left w:val="none" w:sz="0" w:space="0" w:color="auto"/>
                    <w:bottom w:val="none" w:sz="0" w:space="0" w:color="auto"/>
                    <w:right w:val="none" w:sz="0" w:space="0" w:color="auto"/>
                  </w:divBdr>
                  <w:divsChild>
                    <w:div w:id="891505695">
                      <w:marLeft w:val="0"/>
                      <w:marRight w:val="0"/>
                      <w:marTop w:val="0"/>
                      <w:marBottom w:val="0"/>
                      <w:divBdr>
                        <w:top w:val="none" w:sz="0" w:space="0" w:color="auto"/>
                        <w:left w:val="none" w:sz="0" w:space="0" w:color="auto"/>
                        <w:bottom w:val="none" w:sz="0" w:space="0" w:color="auto"/>
                        <w:right w:val="none" w:sz="0" w:space="0" w:color="auto"/>
                      </w:divBdr>
                    </w:div>
                  </w:divsChild>
                </w:div>
                <w:div w:id="1446803583">
                  <w:marLeft w:val="0"/>
                  <w:marRight w:val="0"/>
                  <w:marTop w:val="0"/>
                  <w:marBottom w:val="0"/>
                  <w:divBdr>
                    <w:top w:val="none" w:sz="0" w:space="0" w:color="auto"/>
                    <w:left w:val="none" w:sz="0" w:space="0" w:color="auto"/>
                    <w:bottom w:val="none" w:sz="0" w:space="0" w:color="auto"/>
                    <w:right w:val="none" w:sz="0" w:space="0" w:color="auto"/>
                  </w:divBdr>
                  <w:divsChild>
                    <w:div w:id="1269003678">
                      <w:marLeft w:val="0"/>
                      <w:marRight w:val="0"/>
                      <w:marTop w:val="0"/>
                      <w:marBottom w:val="0"/>
                      <w:divBdr>
                        <w:top w:val="none" w:sz="0" w:space="0" w:color="auto"/>
                        <w:left w:val="none" w:sz="0" w:space="0" w:color="auto"/>
                        <w:bottom w:val="none" w:sz="0" w:space="0" w:color="auto"/>
                        <w:right w:val="none" w:sz="0" w:space="0" w:color="auto"/>
                      </w:divBdr>
                    </w:div>
                  </w:divsChild>
                </w:div>
                <w:div w:id="1465729412">
                  <w:marLeft w:val="0"/>
                  <w:marRight w:val="0"/>
                  <w:marTop w:val="0"/>
                  <w:marBottom w:val="0"/>
                  <w:divBdr>
                    <w:top w:val="none" w:sz="0" w:space="0" w:color="auto"/>
                    <w:left w:val="none" w:sz="0" w:space="0" w:color="auto"/>
                    <w:bottom w:val="none" w:sz="0" w:space="0" w:color="auto"/>
                    <w:right w:val="none" w:sz="0" w:space="0" w:color="auto"/>
                  </w:divBdr>
                  <w:divsChild>
                    <w:div w:id="1103763817">
                      <w:marLeft w:val="0"/>
                      <w:marRight w:val="0"/>
                      <w:marTop w:val="0"/>
                      <w:marBottom w:val="0"/>
                      <w:divBdr>
                        <w:top w:val="none" w:sz="0" w:space="0" w:color="auto"/>
                        <w:left w:val="none" w:sz="0" w:space="0" w:color="auto"/>
                        <w:bottom w:val="none" w:sz="0" w:space="0" w:color="auto"/>
                        <w:right w:val="none" w:sz="0" w:space="0" w:color="auto"/>
                      </w:divBdr>
                    </w:div>
                  </w:divsChild>
                </w:div>
                <w:div w:id="1475223484">
                  <w:marLeft w:val="0"/>
                  <w:marRight w:val="0"/>
                  <w:marTop w:val="0"/>
                  <w:marBottom w:val="0"/>
                  <w:divBdr>
                    <w:top w:val="none" w:sz="0" w:space="0" w:color="auto"/>
                    <w:left w:val="none" w:sz="0" w:space="0" w:color="auto"/>
                    <w:bottom w:val="none" w:sz="0" w:space="0" w:color="auto"/>
                    <w:right w:val="none" w:sz="0" w:space="0" w:color="auto"/>
                  </w:divBdr>
                  <w:divsChild>
                    <w:div w:id="418603190">
                      <w:marLeft w:val="0"/>
                      <w:marRight w:val="0"/>
                      <w:marTop w:val="0"/>
                      <w:marBottom w:val="0"/>
                      <w:divBdr>
                        <w:top w:val="none" w:sz="0" w:space="0" w:color="auto"/>
                        <w:left w:val="none" w:sz="0" w:space="0" w:color="auto"/>
                        <w:bottom w:val="none" w:sz="0" w:space="0" w:color="auto"/>
                        <w:right w:val="none" w:sz="0" w:space="0" w:color="auto"/>
                      </w:divBdr>
                    </w:div>
                  </w:divsChild>
                </w:div>
                <w:div w:id="1478182170">
                  <w:marLeft w:val="0"/>
                  <w:marRight w:val="0"/>
                  <w:marTop w:val="0"/>
                  <w:marBottom w:val="0"/>
                  <w:divBdr>
                    <w:top w:val="none" w:sz="0" w:space="0" w:color="auto"/>
                    <w:left w:val="none" w:sz="0" w:space="0" w:color="auto"/>
                    <w:bottom w:val="none" w:sz="0" w:space="0" w:color="auto"/>
                    <w:right w:val="none" w:sz="0" w:space="0" w:color="auto"/>
                  </w:divBdr>
                  <w:divsChild>
                    <w:div w:id="371615396">
                      <w:marLeft w:val="0"/>
                      <w:marRight w:val="0"/>
                      <w:marTop w:val="0"/>
                      <w:marBottom w:val="0"/>
                      <w:divBdr>
                        <w:top w:val="none" w:sz="0" w:space="0" w:color="auto"/>
                        <w:left w:val="none" w:sz="0" w:space="0" w:color="auto"/>
                        <w:bottom w:val="none" w:sz="0" w:space="0" w:color="auto"/>
                        <w:right w:val="none" w:sz="0" w:space="0" w:color="auto"/>
                      </w:divBdr>
                    </w:div>
                  </w:divsChild>
                </w:div>
                <w:div w:id="1478524393">
                  <w:marLeft w:val="0"/>
                  <w:marRight w:val="0"/>
                  <w:marTop w:val="0"/>
                  <w:marBottom w:val="0"/>
                  <w:divBdr>
                    <w:top w:val="none" w:sz="0" w:space="0" w:color="auto"/>
                    <w:left w:val="none" w:sz="0" w:space="0" w:color="auto"/>
                    <w:bottom w:val="none" w:sz="0" w:space="0" w:color="auto"/>
                    <w:right w:val="none" w:sz="0" w:space="0" w:color="auto"/>
                  </w:divBdr>
                  <w:divsChild>
                    <w:div w:id="1736276312">
                      <w:marLeft w:val="0"/>
                      <w:marRight w:val="0"/>
                      <w:marTop w:val="0"/>
                      <w:marBottom w:val="0"/>
                      <w:divBdr>
                        <w:top w:val="none" w:sz="0" w:space="0" w:color="auto"/>
                        <w:left w:val="none" w:sz="0" w:space="0" w:color="auto"/>
                        <w:bottom w:val="none" w:sz="0" w:space="0" w:color="auto"/>
                        <w:right w:val="none" w:sz="0" w:space="0" w:color="auto"/>
                      </w:divBdr>
                    </w:div>
                  </w:divsChild>
                </w:div>
                <w:div w:id="1489904058">
                  <w:marLeft w:val="0"/>
                  <w:marRight w:val="0"/>
                  <w:marTop w:val="0"/>
                  <w:marBottom w:val="0"/>
                  <w:divBdr>
                    <w:top w:val="none" w:sz="0" w:space="0" w:color="auto"/>
                    <w:left w:val="none" w:sz="0" w:space="0" w:color="auto"/>
                    <w:bottom w:val="none" w:sz="0" w:space="0" w:color="auto"/>
                    <w:right w:val="none" w:sz="0" w:space="0" w:color="auto"/>
                  </w:divBdr>
                  <w:divsChild>
                    <w:div w:id="366758346">
                      <w:marLeft w:val="0"/>
                      <w:marRight w:val="0"/>
                      <w:marTop w:val="0"/>
                      <w:marBottom w:val="0"/>
                      <w:divBdr>
                        <w:top w:val="none" w:sz="0" w:space="0" w:color="auto"/>
                        <w:left w:val="none" w:sz="0" w:space="0" w:color="auto"/>
                        <w:bottom w:val="none" w:sz="0" w:space="0" w:color="auto"/>
                        <w:right w:val="none" w:sz="0" w:space="0" w:color="auto"/>
                      </w:divBdr>
                    </w:div>
                  </w:divsChild>
                </w:div>
                <w:div w:id="1492479338">
                  <w:marLeft w:val="0"/>
                  <w:marRight w:val="0"/>
                  <w:marTop w:val="0"/>
                  <w:marBottom w:val="0"/>
                  <w:divBdr>
                    <w:top w:val="none" w:sz="0" w:space="0" w:color="auto"/>
                    <w:left w:val="none" w:sz="0" w:space="0" w:color="auto"/>
                    <w:bottom w:val="none" w:sz="0" w:space="0" w:color="auto"/>
                    <w:right w:val="none" w:sz="0" w:space="0" w:color="auto"/>
                  </w:divBdr>
                  <w:divsChild>
                    <w:div w:id="1842236564">
                      <w:marLeft w:val="0"/>
                      <w:marRight w:val="0"/>
                      <w:marTop w:val="0"/>
                      <w:marBottom w:val="0"/>
                      <w:divBdr>
                        <w:top w:val="none" w:sz="0" w:space="0" w:color="auto"/>
                        <w:left w:val="none" w:sz="0" w:space="0" w:color="auto"/>
                        <w:bottom w:val="none" w:sz="0" w:space="0" w:color="auto"/>
                        <w:right w:val="none" w:sz="0" w:space="0" w:color="auto"/>
                      </w:divBdr>
                    </w:div>
                  </w:divsChild>
                </w:div>
                <w:div w:id="1497572606">
                  <w:marLeft w:val="0"/>
                  <w:marRight w:val="0"/>
                  <w:marTop w:val="0"/>
                  <w:marBottom w:val="0"/>
                  <w:divBdr>
                    <w:top w:val="none" w:sz="0" w:space="0" w:color="auto"/>
                    <w:left w:val="none" w:sz="0" w:space="0" w:color="auto"/>
                    <w:bottom w:val="none" w:sz="0" w:space="0" w:color="auto"/>
                    <w:right w:val="none" w:sz="0" w:space="0" w:color="auto"/>
                  </w:divBdr>
                  <w:divsChild>
                    <w:div w:id="1612660569">
                      <w:marLeft w:val="0"/>
                      <w:marRight w:val="0"/>
                      <w:marTop w:val="0"/>
                      <w:marBottom w:val="0"/>
                      <w:divBdr>
                        <w:top w:val="none" w:sz="0" w:space="0" w:color="auto"/>
                        <w:left w:val="none" w:sz="0" w:space="0" w:color="auto"/>
                        <w:bottom w:val="none" w:sz="0" w:space="0" w:color="auto"/>
                        <w:right w:val="none" w:sz="0" w:space="0" w:color="auto"/>
                      </w:divBdr>
                    </w:div>
                  </w:divsChild>
                </w:div>
                <w:div w:id="1497841384">
                  <w:marLeft w:val="0"/>
                  <w:marRight w:val="0"/>
                  <w:marTop w:val="0"/>
                  <w:marBottom w:val="0"/>
                  <w:divBdr>
                    <w:top w:val="none" w:sz="0" w:space="0" w:color="auto"/>
                    <w:left w:val="none" w:sz="0" w:space="0" w:color="auto"/>
                    <w:bottom w:val="none" w:sz="0" w:space="0" w:color="auto"/>
                    <w:right w:val="none" w:sz="0" w:space="0" w:color="auto"/>
                  </w:divBdr>
                  <w:divsChild>
                    <w:div w:id="426465872">
                      <w:marLeft w:val="0"/>
                      <w:marRight w:val="0"/>
                      <w:marTop w:val="0"/>
                      <w:marBottom w:val="0"/>
                      <w:divBdr>
                        <w:top w:val="none" w:sz="0" w:space="0" w:color="auto"/>
                        <w:left w:val="none" w:sz="0" w:space="0" w:color="auto"/>
                        <w:bottom w:val="none" w:sz="0" w:space="0" w:color="auto"/>
                        <w:right w:val="none" w:sz="0" w:space="0" w:color="auto"/>
                      </w:divBdr>
                    </w:div>
                  </w:divsChild>
                </w:div>
                <w:div w:id="1500660644">
                  <w:marLeft w:val="0"/>
                  <w:marRight w:val="0"/>
                  <w:marTop w:val="0"/>
                  <w:marBottom w:val="0"/>
                  <w:divBdr>
                    <w:top w:val="none" w:sz="0" w:space="0" w:color="auto"/>
                    <w:left w:val="none" w:sz="0" w:space="0" w:color="auto"/>
                    <w:bottom w:val="none" w:sz="0" w:space="0" w:color="auto"/>
                    <w:right w:val="none" w:sz="0" w:space="0" w:color="auto"/>
                  </w:divBdr>
                  <w:divsChild>
                    <w:div w:id="393627108">
                      <w:marLeft w:val="0"/>
                      <w:marRight w:val="0"/>
                      <w:marTop w:val="0"/>
                      <w:marBottom w:val="0"/>
                      <w:divBdr>
                        <w:top w:val="none" w:sz="0" w:space="0" w:color="auto"/>
                        <w:left w:val="none" w:sz="0" w:space="0" w:color="auto"/>
                        <w:bottom w:val="none" w:sz="0" w:space="0" w:color="auto"/>
                        <w:right w:val="none" w:sz="0" w:space="0" w:color="auto"/>
                      </w:divBdr>
                    </w:div>
                  </w:divsChild>
                </w:div>
                <w:div w:id="1511408796">
                  <w:marLeft w:val="0"/>
                  <w:marRight w:val="0"/>
                  <w:marTop w:val="0"/>
                  <w:marBottom w:val="0"/>
                  <w:divBdr>
                    <w:top w:val="none" w:sz="0" w:space="0" w:color="auto"/>
                    <w:left w:val="none" w:sz="0" w:space="0" w:color="auto"/>
                    <w:bottom w:val="none" w:sz="0" w:space="0" w:color="auto"/>
                    <w:right w:val="none" w:sz="0" w:space="0" w:color="auto"/>
                  </w:divBdr>
                  <w:divsChild>
                    <w:div w:id="859395664">
                      <w:marLeft w:val="0"/>
                      <w:marRight w:val="0"/>
                      <w:marTop w:val="0"/>
                      <w:marBottom w:val="0"/>
                      <w:divBdr>
                        <w:top w:val="none" w:sz="0" w:space="0" w:color="auto"/>
                        <w:left w:val="none" w:sz="0" w:space="0" w:color="auto"/>
                        <w:bottom w:val="none" w:sz="0" w:space="0" w:color="auto"/>
                        <w:right w:val="none" w:sz="0" w:space="0" w:color="auto"/>
                      </w:divBdr>
                    </w:div>
                  </w:divsChild>
                </w:div>
                <w:div w:id="1515533036">
                  <w:marLeft w:val="0"/>
                  <w:marRight w:val="0"/>
                  <w:marTop w:val="0"/>
                  <w:marBottom w:val="0"/>
                  <w:divBdr>
                    <w:top w:val="none" w:sz="0" w:space="0" w:color="auto"/>
                    <w:left w:val="none" w:sz="0" w:space="0" w:color="auto"/>
                    <w:bottom w:val="none" w:sz="0" w:space="0" w:color="auto"/>
                    <w:right w:val="none" w:sz="0" w:space="0" w:color="auto"/>
                  </w:divBdr>
                  <w:divsChild>
                    <w:div w:id="1893232630">
                      <w:marLeft w:val="0"/>
                      <w:marRight w:val="0"/>
                      <w:marTop w:val="0"/>
                      <w:marBottom w:val="0"/>
                      <w:divBdr>
                        <w:top w:val="none" w:sz="0" w:space="0" w:color="auto"/>
                        <w:left w:val="none" w:sz="0" w:space="0" w:color="auto"/>
                        <w:bottom w:val="none" w:sz="0" w:space="0" w:color="auto"/>
                        <w:right w:val="none" w:sz="0" w:space="0" w:color="auto"/>
                      </w:divBdr>
                    </w:div>
                  </w:divsChild>
                </w:div>
                <w:div w:id="1529756064">
                  <w:marLeft w:val="0"/>
                  <w:marRight w:val="0"/>
                  <w:marTop w:val="0"/>
                  <w:marBottom w:val="0"/>
                  <w:divBdr>
                    <w:top w:val="none" w:sz="0" w:space="0" w:color="auto"/>
                    <w:left w:val="none" w:sz="0" w:space="0" w:color="auto"/>
                    <w:bottom w:val="none" w:sz="0" w:space="0" w:color="auto"/>
                    <w:right w:val="none" w:sz="0" w:space="0" w:color="auto"/>
                  </w:divBdr>
                  <w:divsChild>
                    <w:div w:id="1778716315">
                      <w:marLeft w:val="0"/>
                      <w:marRight w:val="0"/>
                      <w:marTop w:val="0"/>
                      <w:marBottom w:val="0"/>
                      <w:divBdr>
                        <w:top w:val="none" w:sz="0" w:space="0" w:color="auto"/>
                        <w:left w:val="none" w:sz="0" w:space="0" w:color="auto"/>
                        <w:bottom w:val="none" w:sz="0" w:space="0" w:color="auto"/>
                        <w:right w:val="none" w:sz="0" w:space="0" w:color="auto"/>
                      </w:divBdr>
                    </w:div>
                  </w:divsChild>
                </w:div>
                <w:div w:id="1541044539">
                  <w:marLeft w:val="0"/>
                  <w:marRight w:val="0"/>
                  <w:marTop w:val="0"/>
                  <w:marBottom w:val="0"/>
                  <w:divBdr>
                    <w:top w:val="none" w:sz="0" w:space="0" w:color="auto"/>
                    <w:left w:val="none" w:sz="0" w:space="0" w:color="auto"/>
                    <w:bottom w:val="none" w:sz="0" w:space="0" w:color="auto"/>
                    <w:right w:val="none" w:sz="0" w:space="0" w:color="auto"/>
                  </w:divBdr>
                  <w:divsChild>
                    <w:div w:id="1636443331">
                      <w:marLeft w:val="0"/>
                      <w:marRight w:val="0"/>
                      <w:marTop w:val="0"/>
                      <w:marBottom w:val="0"/>
                      <w:divBdr>
                        <w:top w:val="none" w:sz="0" w:space="0" w:color="auto"/>
                        <w:left w:val="none" w:sz="0" w:space="0" w:color="auto"/>
                        <w:bottom w:val="none" w:sz="0" w:space="0" w:color="auto"/>
                        <w:right w:val="none" w:sz="0" w:space="0" w:color="auto"/>
                      </w:divBdr>
                    </w:div>
                  </w:divsChild>
                </w:div>
                <w:div w:id="1547065801">
                  <w:marLeft w:val="0"/>
                  <w:marRight w:val="0"/>
                  <w:marTop w:val="0"/>
                  <w:marBottom w:val="0"/>
                  <w:divBdr>
                    <w:top w:val="none" w:sz="0" w:space="0" w:color="auto"/>
                    <w:left w:val="none" w:sz="0" w:space="0" w:color="auto"/>
                    <w:bottom w:val="none" w:sz="0" w:space="0" w:color="auto"/>
                    <w:right w:val="none" w:sz="0" w:space="0" w:color="auto"/>
                  </w:divBdr>
                  <w:divsChild>
                    <w:div w:id="688917981">
                      <w:marLeft w:val="0"/>
                      <w:marRight w:val="0"/>
                      <w:marTop w:val="0"/>
                      <w:marBottom w:val="0"/>
                      <w:divBdr>
                        <w:top w:val="none" w:sz="0" w:space="0" w:color="auto"/>
                        <w:left w:val="none" w:sz="0" w:space="0" w:color="auto"/>
                        <w:bottom w:val="none" w:sz="0" w:space="0" w:color="auto"/>
                        <w:right w:val="none" w:sz="0" w:space="0" w:color="auto"/>
                      </w:divBdr>
                    </w:div>
                  </w:divsChild>
                </w:div>
                <w:div w:id="1548224967">
                  <w:marLeft w:val="0"/>
                  <w:marRight w:val="0"/>
                  <w:marTop w:val="0"/>
                  <w:marBottom w:val="0"/>
                  <w:divBdr>
                    <w:top w:val="none" w:sz="0" w:space="0" w:color="auto"/>
                    <w:left w:val="none" w:sz="0" w:space="0" w:color="auto"/>
                    <w:bottom w:val="none" w:sz="0" w:space="0" w:color="auto"/>
                    <w:right w:val="none" w:sz="0" w:space="0" w:color="auto"/>
                  </w:divBdr>
                  <w:divsChild>
                    <w:div w:id="309286680">
                      <w:marLeft w:val="0"/>
                      <w:marRight w:val="0"/>
                      <w:marTop w:val="0"/>
                      <w:marBottom w:val="0"/>
                      <w:divBdr>
                        <w:top w:val="none" w:sz="0" w:space="0" w:color="auto"/>
                        <w:left w:val="none" w:sz="0" w:space="0" w:color="auto"/>
                        <w:bottom w:val="none" w:sz="0" w:space="0" w:color="auto"/>
                        <w:right w:val="none" w:sz="0" w:space="0" w:color="auto"/>
                      </w:divBdr>
                    </w:div>
                  </w:divsChild>
                </w:div>
                <w:div w:id="1561283235">
                  <w:marLeft w:val="0"/>
                  <w:marRight w:val="0"/>
                  <w:marTop w:val="0"/>
                  <w:marBottom w:val="0"/>
                  <w:divBdr>
                    <w:top w:val="none" w:sz="0" w:space="0" w:color="auto"/>
                    <w:left w:val="none" w:sz="0" w:space="0" w:color="auto"/>
                    <w:bottom w:val="none" w:sz="0" w:space="0" w:color="auto"/>
                    <w:right w:val="none" w:sz="0" w:space="0" w:color="auto"/>
                  </w:divBdr>
                  <w:divsChild>
                    <w:div w:id="789474391">
                      <w:marLeft w:val="0"/>
                      <w:marRight w:val="0"/>
                      <w:marTop w:val="0"/>
                      <w:marBottom w:val="0"/>
                      <w:divBdr>
                        <w:top w:val="none" w:sz="0" w:space="0" w:color="auto"/>
                        <w:left w:val="none" w:sz="0" w:space="0" w:color="auto"/>
                        <w:bottom w:val="none" w:sz="0" w:space="0" w:color="auto"/>
                        <w:right w:val="none" w:sz="0" w:space="0" w:color="auto"/>
                      </w:divBdr>
                    </w:div>
                  </w:divsChild>
                </w:div>
                <w:div w:id="1562325309">
                  <w:marLeft w:val="0"/>
                  <w:marRight w:val="0"/>
                  <w:marTop w:val="0"/>
                  <w:marBottom w:val="0"/>
                  <w:divBdr>
                    <w:top w:val="none" w:sz="0" w:space="0" w:color="auto"/>
                    <w:left w:val="none" w:sz="0" w:space="0" w:color="auto"/>
                    <w:bottom w:val="none" w:sz="0" w:space="0" w:color="auto"/>
                    <w:right w:val="none" w:sz="0" w:space="0" w:color="auto"/>
                  </w:divBdr>
                  <w:divsChild>
                    <w:div w:id="1557426536">
                      <w:marLeft w:val="0"/>
                      <w:marRight w:val="0"/>
                      <w:marTop w:val="0"/>
                      <w:marBottom w:val="0"/>
                      <w:divBdr>
                        <w:top w:val="none" w:sz="0" w:space="0" w:color="auto"/>
                        <w:left w:val="none" w:sz="0" w:space="0" w:color="auto"/>
                        <w:bottom w:val="none" w:sz="0" w:space="0" w:color="auto"/>
                        <w:right w:val="none" w:sz="0" w:space="0" w:color="auto"/>
                      </w:divBdr>
                    </w:div>
                  </w:divsChild>
                </w:div>
                <w:div w:id="1574776583">
                  <w:marLeft w:val="0"/>
                  <w:marRight w:val="0"/>
                  <w:marTop w:val="0"/>
                  <w:marBottom w:val="0"/>
                  <w:divBdr>
                    <w:top w:val="none" w:sz="0" w:space="0" w:color="auto"/>
                    <w:left w:val="none" w:sz="0" w:space="0" w:color="auto"/>
                    <w:bottom w:val="none" w:sz="0" w:space="0" w:color="auto"/>
                    <w:right w:val="none" w:sz="0" w:space="0" w:color="auto"/>
                  </w:divBdr>
                  <w:divsChild>
                    <w:div w:id="728924048">
                      <w:marLeft w:val="0"/>
                      <w:marRight w:val="0"/>
                      <w:marTop w:val="0"/>
                      <w:marBottom w:val="0"/>
                      <w:divBdr>
                        <w:top w:val="none" w:sz="0" w:space="0" w:color="auto"/>
                        <w:left w:val="none" w:sz="0" w:space="0" w:color="auto"/>
                        <w:bottom w:val="none" w:sz="0" w:space="0" w:color="auto"/>
                        <w:right w:val="none" w:sz="0" w:space="0" w:color="auto"/>
                      </w:divBdr>
                    </w:div>
                  </w:divsChild>
                </w:div>
                <w:div w:id="1575318118">
                  <w:marLeft w:val="0"/>
                  <w:marRight w:val="0"/>
                  <w:marTop w:val="0"/>
                  <w:marBottom w:val="0"/>
                  <w:divBdr>
                    <w:top w:val="none" w:sz="0" w:space="0" w:color="auto"/>
                    <w:left w:val="none" w:sz="0" w:space="0" w:color="auto"/>
                    <w:bottom w:val="none" w:sz="0" w:space="0" w:color="auto"/>
                    <w:right w:val="none" w:sz="0" w:space="0" w:color="auto"/>
                  </w:divBdr>
                  <w:divsChild>
                    <w:div w:id="139932685">
                      <w:marLeft w:val="0"/>
                      <w:marRight w:val="0"/>
                      <w:marTop w:val="0"/>
                      <w:marBottom w:val="0"/>
                      <w:divBdr>
                        <w:top w:val="none" w:sz="0" w:space="0" w:color="auto"/>
                        <w:left w:val="none" w:sz="0" w:space="0" w:color="auto"/>
                        <w:bottom w:val="none" w:sz="0" w:space="0" w:color="auto"/>
                        <w:right w:val="none" w:sz="0" w:space="0" w:color="auto"/>
                      </w:divBdr>
                    </w:div>
                  </w:divsChild>
                </w:div>
                <w:div w:id="1579829787">
                  <w:marLeft w:val="0"/>
                  <w:marRight w:val="0"/>
                  <w:marTop w:val="0"/>
                  <w:marBottom w:val="0"/>
                  <w:divBdr>
                    <w:top w:val="none" w:sz="0" w:space="0" w:color="auto"/>
                    <w:left w:val="none" w:sz="0" w:space="0" w:color="auto"/>
                    <w:bottom w:val="none" w:sz="0" w:space="0" w:color="auto"/>
                    <w:right w:val="none" w:sz="0" w:space="0" w:color="auto"/>
                  </w:divBdr>
                  <w:divsChild>
                    <w:div w:id="170949323">
                      <w:marLeft w:val="0"/>
                      <w:marRight w:val="0"/>
                      <w:marTop w:val="0"/>
                      <w:marBottom w:val="0"/>
                      <w:divBdr>
                        <w:top w:val="none" w:sz="0" w:space="0" w:color="auto"/>
                        <w:left w:val="none" w:sz="0" w:space="0" w:color="auto"/>
                        <w:bottom w:val="none" w:sz="0" w:space="0" w:color="auto"/>
                        <w:right w:val="none" w:sz="0" w:space="0" w:color="auto"/>
                      </w:divBdr>
                    </w:div>
                  </w:divsChild>
                </w:div>
                <w:div w:id="1593784272">
                  <w:marLeft w:val="0"/>
                  <w:marRight w:val="0"/>
                  <w:marTop w:val="0"/>
                  <w:marBottom w:val="0"/>
                  <w:divBdr>
                    <w:top w:val="none" w:sz="0" w:space="0" w:color="auto"/>
                    <w:left w:val="none" w:sz="0" w:space="0" w:color="auto"/>
                    <w:bottom w:val="none" w:sz="0" w:space="0" w:color="auto"/>
                    <w:right w:val="none" w:sz="0" w:space="0" w:color="auto"/>
                  </w:divBdr>
                  <w:divsChild>
                    <w:div w:id="1183666628">
                      <w:marLeft w:val="0"/>
                      <w:marRight w:val="0"/>
                      <w:marTop w:val="0"/>
                      <w:marBottom w:val="0"/>
                      <w:divBdr>
                        <w:top w:val="none" w:sz="0" w:space="0" w:color="auto"/>
                        <w:left w:val="none" w:sz="0" w:space="0" w:color="auto"/>
                        <w:bottom w:val="none" w:sz="0" w:space="0" w:color="auto"/>
                        <w:right w:val="none" w:sz="0" w:space="0" w:color="auto"/>
                      </w:divBdr>
                    </w:div>
                  </w:divsChild>
                </w:div>
                <w:div w:id="1595436718">
                  <w:marLeft w:val="0"/>
                  <w:marRight w:val="0"/>
                  <w:marTop w:val="0"/>
                  <w:marBottom w:val="0"/>
                  <w:divBdr>
                    <w:top w:val="none" w:sz="0" w:space="0" w:color="auto"/>
                    <w:left w:val="none" w:sz="0" w:space="0" w:color="auto"/>
                    <w:bottom w:val="none" w:sz="0" w:space="0" w:color="auto"/>
                    <w:right w:val="none" w:sz="0" w:space="0" w:color="auto"/>
                  </w:divBdr>
                  <w:divsChild>
                    <w:div w:id="152573823">
                      <w:marLeft w:val="0"/>
                      <w:marRight w:val="0"/>
                      <w:marTop w:val="0"/>
                      <w:marBottom w:val="0"/>
                      <w:divBdr>
                        <w:top w:val="none" w:sz="0" w:space="0" w:color="auto"/>
                        <w:left w:val="none" w:sz="0" w:space="0" w:color="auto"/>
                        <w:bottom w:val="none" w:sz="0" w:space="0" w:color="auto"/>
                        <w:right w:val="none" w:sz="0" w:space="0" w:color="auto"/>
                      </w:divBdr>
                    </w:div>
                  </w:divsChild>
                </w:div>
                <w:div w:id="1608804396">
                  <w:marLeft w:val="0"/>
                  <w:marRight w:val="0"/>
                  <w:marTop w:val="0"/>
                  <w:marBottom w:val="0"/>
                  <w:divBdr>
                    <w:top w:val="none" w:sz="0" w:space="0" w:color="auto"/>
                    <w:left w:val="none" w:sz="0" w:space="0" w:color="auto"/>
                    <w:bottom w:val="none" w:sz="0" w:space="0" w:color="auto"/>
                    <w:right w:val="none" w:sz="0" w:space="0" w:color="auto"/>
                  </w:divBdr>
                  <w:divsChild>
                    <w:div w:id="1886335179">
                      <w:marLeft w:val="0"/>
                      <w:marRight w:val="0"/>
                      <w:marTop w:val="0"/>
                      <w:marBottom w:val="0"/>
                      <w:divBdr>
                        <w:top w:val="none" w:sz="0" w:space="0" w:color="auto"/>
                        <w:left w:val="none" w:sz="0" w:space="0" w:color="auto"/>
                        <w:bottom w:val="none" w:sz="0" w:space="0" w:color="auto"/>
                        <w:right w:val="none" w:sz="0" w:space="0" w:color="auto"/>
                      </w:divBdr>
                    </w:div>
                  </w:divsChild>
                </w:div>
                <w:div w:id="1616591665">
                  <w:marLeft w:val="0"/>
                  <w:marRight w:val="0"/>
                  <w:marTop w:val="0"/>
                  <w:marBottom w:val="0"/>
                  <w:divBdr>
                    <w:top w:val="none" w:sz="0" w:space="0" w:color="auto"/>
                    <w:left w:val="none" w:sz="0" w:space="0" w:color="auto"/>
                    <w:bottom w:val="none" w:sz="0" w:space="0" w:color="auto"/>
                    <w:right w:val="none" w:sz="0" w:space="0" w:color="auto"/>
                  </w:divBdr>
                  <w:divsChild>
                    <w:div w:id="782189939">
                      <w:marLeft w:val="0"/>
                      <w:marRight w:val="0"/>
                      <w:marTop w:val="0"/>
                      <w:marBottom w:val="0"/>
                      <w:divBdr>
                        <w:top w:val="none" w:sz="0" w:space="0" w:color="auto"/>
                        <w:left w:val="none" w:sz="0" w:space="0" w:color="auto"/>
                        <w:bottom w:val="none" w:sz="0" w:space="0" w:color="auto"/>
                        <w:right w:val="none" w:sz="0" w:space="0" w:color="auto"/>
                      </w:divBdr>
                    </w:div>
                  </w:divsChild>
                </w:div>
                <w:div w:id="1626499821">
                  <w:marLeft w:val="0"/>
                  <w:marRight w:val="0"/>
                  <w:marTop w:val="0"/>
                  <w:marBottom w:val="0"/>
                  <w:divBdr>
                    <w:top w:val="none" w:sz="0" w:space="0" w:color="auto"/>
                    <w:left w:val="none" w:sz="0" w:space="0" w:color="auto"/>
                    <w:bottom w:val="none" w:sz="0" w:space="0" w:color="auto"/>
                    <w:right w:val="none" w:sz="0" w:space="0" w:color="auto"/>
                  </w:divBdr>
                  <w:divsChild>
                    <w:div w:id="1807968229">
                      <w:marLeft w:val="0"/>
                      <w:marRight w:val="0"/>
                      <w:marTop w:val="0"/>
                      <w:marBottom w:val="0"/>
                      <w:divBdr>
                        <w:top w:val="none" w:sz="0" w:space="0" w:color="auto"/>
                        <w:left w:val="none" w:sz="0" w:space="0" w:color="auto"/>
                        <w:bottom w:val="none" w:sz="0" w:space="0" w:color="auto"/>
                        <w:right w:val="none" w:sz="0" w:space="0" w:color="auto"/>
                      </w:divBdr>
                    </w:div>
                  </w:divsChild>
                </w:div>
                <w:div w:id="1630086186">
                  <w:marLeft w:val="0"/>
                  <w:marRight w:val="0"/>
                  <w:marTop w:val="0"/>
                  <w:marBottom w:val="0"/>
                  <w:divBdr>
                    <w:top w:val="none" w:sz="0" w:space="0" w:color="auto"/>
                    <w:left w:val="none" w:sz="0" w:space="0" w:color="auto"/>
                    <w:bottom w:val="none" w:sz="0" w:space="0" w:color="auto"/>
                    <w:right w:val="none" w:sz="0" w:space="0" w:color="auto"/>
                  </w:divBdr>
                  <w:divsChild>
                    <w:div w:id="25955661">
                      <w:marLeft w:val="0"/>
                      <w:marRight w:val="0"/>
                      <w:marTop w:val="0"/>
                      <w:marBottom w:val="0"/>
                      <w:divBdr>
                        <w:top w:val="none" w:sz="0" w:space="0" w:color="auto"/>
                        <w:left w:val="none" w:sz="0" w:space="0" w:color="auto"/>
                        <w:bottom w:val="none" w:sz="0" w:space="0" w:color="auto"/>
                        <w:right w:val="none" w:sz="0" w:space="0" w:color="auto"/>
                      </w:divBdr>
                    </w:div>
                  </w:divsChild>
                </w:div>
                <w:div w:id="1656061734">
                  <w:marLeft w:val="0"/>
                  <w:marRight w:val="0"/>
                  <w:marTop w:val="0"/>
                  <w:marBottom w:val="0"/>
                  <w:divBdr>
                    <w:top w:val="none" w:sz="0" w:space="0" w:color="auto"/>
                    <w:left w:val="none" w:sz="0" w:space="0" w:color="auto"/>
                    <w:bottom w:val="none" w:sz="0" w:space="0" w:color="auto"/>
                    <w:right w:val="none" w:sz="0" w:space="0" w:color="auto"/>
                  </w:divBdr>
                  <w:divsChild>
                    <w:div w:id="306057650">
                      <w:marLeft w:val="0"/>
                      <w:marRight w:val="0"/>
                      <w:marTop w:val="0"/>
                      <w:marBottom w:val="0"/>
                      <w:divBdr>
                        <w:top w:val="none" w:sz="0" w:space="0" w:color="auto"/>
                        <w:left w:val="none" w:sz="0" w:space="0" w:color="auto"/>
                        <w:bottom w:val="none" w:sz="0" w:space="0" w:color="auto"/>
                        <w:right w:val="none" w:sz="0" w:space="0" w:color="auto"/>
                      </w:divBdr>
                    </w:div>
                  </w:divsChild>
                </w:div>
                <w:div w:id="1663459814">
                  <w:marLeft w:val="0"/>
                  <w:marRight w:val="0"/>
                  <w:marTop w:val="0"/>
                  <w:marBottom w:val="0"/>
                  <w:divBdr>
                    <w:top w:val="none" w:sz="0" w:space="0" w:color="auto"/>
                    <w:left w:val="none" w:sz="0" w:space="0" w:color="auto"/>
                    <w:bottom w:val="none" w:sz="0" w:space="0" w:color="auto"/>
                    <w:right w:val="none" w:sz="0" w:space="0" w:color="auto"/>
                  </w:divBdr>
                  <w:divsChild>
                    <w:div w:id="463818136">
                      <w:marLeft w:val="0"/>
                      <w:marRight w:val="0"/>
                      <w:marTop w:val="0"/>
                      <w:marBottom w:val="0"/>
                      <w:divBdr>
                        <w:top w:val="none" w:sz="0" w:space="0" w:color="auto"/>
                        <w:left w:val="none" w:sz="0" w:space="0" w:color="auto"/>
                        <w:bottom w:val="none" w:sz="0" w:space="0" w:color="auto"/>
                        <w:right w:val="none" w:sz="0" w:space="0" w:color="auto"/>
                      </w:divBdr>
                    </w:div>
                  </w:divsChild>
                </w:div>
                <w:div w:id="1669669375">
                  <w:marLeft w:val="0"/>
                  <w:marRight w:val="0"/>
                  <w:marTop w:val="0"/>
                  <w:marBottom w:val="0"/>
                  <w:divBdr>
                    <w:top w:val="none" w:sz="0" w:space="0" w:color="auto"/>
                    <w:left w:val="none" w:sz="0" w:space="0" w:color="auto"/>
                    <w:bottom w:val="none" w:sz="0" w:space="0" w:color="auto"/>
                    <w:right w:val="none" w:sz="0" w:space="0" w:color="auto"/>
                  </w:divBdr>
                  <w:divsChild>
                    <w:div w:id="2074966818">
                      <w:marLeft w:val="0"/>
                      <w:marRight w:val="0"/>
                      <w:marTop w:val="0"/>
                      <w:marBottom w:val="0"/>
                      <w:divBdr>
                        <w:top w:val="none" w:sz="0" w:space="0" w:color="auto"/>
                        <w:left w:val="none" w:sz="0" w:space="0" w:color="auto"/>
                        <w:bottom w:val="none" w:sz="0" w:space="0" w:color="auto"/>
                        <w:right w:val="none" w:sz="0" w:space="0" w:color="auto"/>
                      </w:divBdr>
                    </w:div>
                  </w:divsChild>
                </w:div>
                <w:div w:id="1671523430">
                  <w:marLeft w:val="0"/>
                  <w:marRight w:val="0"/>
                  <w:marTop w:val="0"/>
                  <w:marBottom w:val="0"/>
                  <w:divBdr>
                    <w:top w:val="none" w:sz="0" w:space="0" w:color="auto"/>
                    <w:left w:val="none" w:sz="0" w:space="0" w:color="auto"/>
                    <w:bottom w:val="none" w:sz="0" w:space="0" w:color="auto"/>
                    <w:right w:val="none" w:sz="0" w:space="0" w:color="auto"/>
                  </w:divBdr>
                  <w:divsChild>
                    <w:div w:id="287899767">
                      <w:marLeft w:val="0"/>
                      <w:marRight w:val="0"/>
                      <w:marTop w:val="0"/>
                      <w:marBottom w:val="0"/>
                      <w:divBdr>
                        <w:top w:val="none" w:sz="0" w:space="0" w:color="auto"/>
                        <w:left w:val="none" w:sz="0" w:space="0" w:color="auto"/>
                        <w:bottom w:val="none" w:sz="0" w:space="0" w:color="auto"/>
                        <w:right w:val="none" w:sz="0" w:space="0" w:color="auto"/>
                      </w:divBdr>
                    </w:div>
                  </w:divsChild>
                </w:div>
                <w:div w:id="1676300436">
                  <w:marLeft w:val="0"/>
                  <w:marRight w:val="0"/>
                  <w:marTop w:val="0"/>
                  <w:marBottom w:val="0"/>
                  <w:divBdr>
                    <w:top w:val="none" w:sz="0" w:space="0" w:color="auto"/>
                    <w:left w:val="none" w:sz="0" w:space="0" w:color="auto"/>
                    <w:bottom w:val="none" w:sz="0" w:space="0" w:color="auto"/>
                    <w:right w:val="none" w:sz="0" w:space="0" w:color="auto"/>
                  </w:divBdr>
                  <w:divsChild>
                    <w:div w:id="1566187208">
                      <w:marLeft w:val="0"/>
                      <w:marRight w:val="0"/>
                      <w:marTop w:val="0"/>
                      <w:marBottom w:val="0"/>
                      <w:divBdr>
                        <w:top w:val="none" w:sz="0" w:space="0" w:color="auto"/>
                        <w:left w:val="none" w:sz="0" w:space="0" w:color="auto"/>
                        <w:bottom w:val="none" w:sz="0" w:space="0" w:color="auto"/>
                        <w:right w:val="none" w:sz="0" w:space="0" w:color="auto"/>
                      </w:divBdr>
                    </w:div>
                  </w:divsChild>
                </w:div>
                <w:div w:id="1712343962">
                  <w:marLeft w:val="0"/>
                  <w:marRight w:val="0"/>
                  <w:marTop w:val="0"/>
                  <w:marBottom w:val="0"/>
                  <w:divBdr>
                    <w:top w:val="none" w:sz="0" w:space="0" w:color="auto"/>
                    <w:left w:val="none" w:sz="0" w:space="0" w:color="auto"/>
                    <w:bottom w:val="none" w:sz="0" w:space="0" w:color="auto"/>
                    <w:right w:val="none" w:sz="0" w:space="0" w:color="auto"/>
                  </w:divBdr>
                  <w:divsChild>
                    <w:div w:id="2091735956">
                      <w:marLeft w:val="0"/>
                      <w:marRight w:val="0"/>
                      <w:marTop w:val="0"/>
                      <w:marBottom w:val="0"/>
                      <w:divBdr>
                        <w:top w:val="none" w:sz="0" w:space="0" w:color="auto"/>
                        <w:left w:val="none" w:sz="0" w:space="0" w:color="auto"/>
                        <w:bottom w:val="none" w:sz="0" w:space="0" w:color="auto"/>
                        <w:right w:val="none" w:sz="0" w:space="0" w:color="auto"/>
                      </w:divBdr>
                    </w:div>
                  </w:divsChild>
                </w:div>
                <w:div w:id="1720744059">
                  <w:marLeft w:val="0"/>
                  <w:marRight w:val="0"/>
                  <w:marTop w:val="0"/>
                  <w:marBottom w:val="0"/>
                  <w:divBdr>
                    <w:top w:val="none" w:sz="0" w:space="0" w:color="auto"/>
                    <w:left w:val="none" w:sz="0" w:space="0" w:color="auto"/>
                    <w:bottom w:val="none" w:sz="0" w:space="0" w:color="auto"/>
                    <w:right w:val="none" w:sz="0" w:space="0" w:color="auto"/>
                  </w:divBdr>
                  <w:divsChild>
                    <w:div w:id="1655915661">
                      <w:marLeft w:val="0"/>
                      <w:marRight w:val="0"/>
                      <w:marTop w:val="0"/>
                      <w:marBottom w:val="0"/>
                      <w:divBdr>
                        <w:top w:val="none" w:sz="0" w:space="0" w:color="auto"/>
                        <w:left w:val="none" w:sz="0" w:space="0" w:color="auto"/>
                        <w:bottom w:val="none" w:sz="0" w:space="0" w:color="auto"/>
                        <w:right w:val="none" w:sz="0" w:space="0" w:color="auto"/>
                      </w:divBdr>
                    </w:div>
                  </w:divsChild>
                </w:div>
                <w:div w:id="1732002289">
                  <w:marLeft w:val="0"/>
                  <w:marRight w:val="0"/>
                  <w:marTop w:val="0"/>
                  <w:marBottom w:val="0"/>
                  <w:divBdr>
                    <w:top w:val="none" w:sz="0" w:space="0" w:color="auto"/>
                    <w:left w:val="none" w:sz="0" w:space="0" w:color="auto"/>
                    <w:bottom w:val="none" w:sz="0" w:space="0" w:color="auto"/>
                    <w:right w:val="none" w:sz="0" w:space="0" w:color="auto"/>
                  </w:divBdr>
                  <w:divsChild>
                    <w:div w:id="1097366649">
                      <w:marLeft w:val="0"/>
                      <w:marRight w:val="0"/>
                      <w:marTop w:val="0"/>
                      <w:marBottom w:val="0"/>
                      <w:divBdr>
                        <w:top w:val="none" w:sz="0" w:space="0" w:color="auto"/>
                        <w:left w:val="none" w:sz="0" w:space="0" w:color="auto"/>
                        <w:bottom w:val="none" w:sz="0" w:space="0" w:color="auto"/>
                        <w:right w:val="none" w:sz="0" w:space="0" w:color="auto"/>
                      </w:divBdr>
                    </w:div>
                  </w:divsChild>
                </w:div>
                <w:div w:id="1737243715">
                  <w:marLeft w:val="0"/>
                  <w:marRight w:val="0"/>
                  <w:marTop w:val="0"/>
                  <w:marBottom w:val="0"/>
                  <w:divBdr>
                    <w:top w:val="none" w:sz="0" w:space="0" w:color="auto"/>
                    <w:left w:val="none" w:sz="0" w:space="0" w:color="auto"/>
                    <w:bottom w:val="none" w:sz="0" w:space="0" w:color="auto"/>
                    <w:right w:val="none" w:sz="0" w:space="0" w:color="auto"/>
                  </w:divBdr>
                  <w:divsChild>
                    <w:div w:id="1144856077">
                      <w:marLeft w:val="0"/>
                      <w:marRight w:val="0"/>
                      <w:marTop w:val="0"/>
                      <w:marBottom w:val="0"/>
                      <w:divBdr>
                        <w:top w:val="none" w:sz="0" w:space="0" w:color="auto"/>
                        <w:left w:val="none" w:sz="0" w:space="0" w:color="auto"/>
                        <w:bottom w:val="none" w:sz="0" w:space="0" w:color="auto"/>
                        <w:right w:val="none" w:sz="0" w:space="0" w:color="auto"/>
                      </w:divBdr>
                    </w:div>
                  </w:divsChild>
                </w:div>
                <w:div w:id="1775899958">
                  <w:marLeft w:val="0"/>
                  <w:marRight w:val="0"/>
                  <w:marTop w:val="0"/>
                  <w:marBottom w:val="0"/>
                  <w:divBdr>
                    <w:top w:val="none" w:sz="0" w:space="0" w:color="auto"/>
                    <w:left w:val="none" w:sz="0" w:space="0" w:color="auto"/>
                    <w:bottom w:val="none" w:sz="0" w:space="0" w:color="auto"/>
                    <w:right w:val="none" w:sz="0" w:space="0" w:color="auto"/>
                  </w:divBdr>
                  <w:divsChild>
                    <w:div w:id="1328098743">
                      <w:marLeft w:val="0"/>
                      <w:marRight w:val="0"/>
                      <w:marTop w:val="0"/>
                      <w:marBottom w:val="0"/>
                      <w:divBdr>
                        <w:top w:val="none" w:sz="0" w:space="0" w:color="auto"/>
                        <w:left w:val="none" w:sz="0" w:space="0" w:color="auto"/>
                        <w:bottom w:val="none" w:sz="0" w:space="0" w:color="auto"/>
                        <w:right w:val="none" w:sz="0" w:space="0" w:color="auto"/>
                      </w:divBdr>
                    </w:div>
                  </w:divsChild>
                </w:div>
                <w:div w:id="1776974225">
                  <w:marLeft w:val="0"/>
                  <w:marRight w:val="0"/>
                  <w:marTop w:val="0"/>
                  <w:marBottom w:val="0"/>
                  <w:divBdr>
                    <w:top w:val="none" w:sz="0" w:space="0" w:color="auto"/>
                    <w:left w:val="none" w:sz="0" w:space="0" w:color="auto"/>
                    <w:bottom w:val="none" w:sz="0" w:space="0" w:color="auto"/>
                    <w:right w:val="none" w:sz="0" w:space="0" w:color="auto"/>
                  </w:divBdr>
                  <w:divsChild>
                    <w:div w:id="1365133476">
                      <w:marLeft w:val="0"/>
                      <w:marRight w:val="0"/>
                      <w:marTop w:val="0"/>
                      <w:marBottom w:val="0"/>
                      <w:divBdr>
                        <w:top w:val="none" w:sz="0" w:space="0" w:color="auto"/>
                        <w:left w:val="none" w:sz="0" w:space="0" w:color="auto"/>
                        <w:bottom w:val="none" w:sz="0" w:space="0" w:color="auto"/>
                        <w:right w:val="none" w:sz="0" w:space="0" w:color="auto"/>
                      </w:divBdr>
                    </w:div>
                  </w:divsChild>
                </w:div>
                <w:div w:id="1785419884">
                  <w:marLeft w:val="0"/>
                  <w:marRight w:val="0"/>
                  <w:marTop w:val="0"/>
                  <w:marBottom w:val="0"/>
                  <w:divBdr>
                    <w:top w:val="none" w:sz="0" w:space="0" w:color="auto"/>
                    <w:left w:val="none" w:sz="0" w:space="0" w:color="auto"/>
                    <w:bottom w:val="none" w:sz="0" w:space="0" w:color="auto"/>
                    <w:right w:val="none" w:sz="0" w:space="0" w:color="auto"/>
                  </w:divBdr>
                  <w:divsChild>
                    <w:div w:id="576984552">
                      <w:marLeft w:val="0"/>
                      <w:marRight w:val="0"/>
                      <w:marTop w:val="0"/>
                      <w:marBottom w:val="0"/>
                      <w:divBdr>
                        <w:top w:val="none" w:sz="0" w:space="0" w:color="auto"/>
                        <w:left w:val="none" w:sz="0" w:space="0" w:color="auto"/>
                        <w:bottom w:val="none" w:sz="0" w:space="0" w:color="auto"/>
                        <w:right w:val="none" w:sz="0" w:space="0" w:color="auto"/>
                      </w:divBdr>
                    </w:div>
                  </w:divsChild>
                </w:div>
                <w:div w:id="1821656068">
                  <w:marLeft w:val="0"/>
                  <w:marRight w:val="0"/>
                  <w:marTop w:val="0"/>
                  <w:marBottom w:val="0"/>
                  <w:divBdr>
                    <w:top w:val="none" w:sz="0" w:space="0" w:color="auto"/>
                    <w:left w:val="none" w:sz="0" w:space="0" w:color="auto"/>
                    <w:bottom w:val="none" w:sz="0" w:space="0" w:color="auto"/>
                    <w:right w:val="none" w:sz="0" w:space="0" w:color="auto"/>
                  </w:divBdr>
                  <w:divsChild>
                    <w:div w:id="1779643188">
                      <w:marLeft w:val="0"/>
                      <w:marRight w:val="0"/>
                      <w:marTop w:val="0"/>
                      <w:marBottom w:val="0"/>
                      <w:divBdr>
                        <w:top w:val="none" w:sz="0" w:space="0" w:color="auto"/>
                        <w:left w:val="none" w:sz="0" w:space="0" w:color="auto"/>
                        <w:bottom w:val="none" w:sz="0" w:space="0" w:color="auto"/>
                        <w:right w:val="none" w:sz="0" w:space="0" w:color="auto"/>
                      </w:divBdr>
                    </w:div>
                  </w:divsChild>
                </w:div>
                <w:div w:id="1838957665">
                  <w:marLeft w:val="0"/>
                  <w:marRight w:val="0"/>
                  <w:marTop w:val="0"/>
                  <w:marBottom w:val="0"/>
                  <w:divBdr>
                    <w:top w:val="none" w:sz="0" w:space="0" w:color="auto"/>
                    <w:left w:val="none" w:sz="0" w:space="0" w:color="auto"/>
                    <w:bottom w:val="none" w:sz="0" w:space="0" w:color="auto"/>
                    <w:right w:val="none" w:sz="0" w:space="0" w:color="auto"/>
                  </w:divBdr>
                  <w:divsChild>
                    <w:div w:id="158930358">
                      <w:marLeft w:val="0"/>
                      <w:marRight w:val="0"/>
                      <w:marTop w:val="0"/>
                      <w:marBottom w:val="0"/>
                      <w:divBdr>
                        <w:top w:val="none" w:sz="0" w:space="0" w:color="auto"/>
                        <w:left w:val="none" w:sz="0" w:space="0" w:color="auto"/>
                        <w:bottom w:val="none" w:sz="0" w:space="0" w:color="auto"/>
                        <w:right w:val="none" w:sz="0" w:space="0" w:color="auto"/>
                      </w:divBdr>
                    </w:div>
                  </w:divsChild>
                </w:div>
                <w:div w:id="1842355577">
                  <w:marLeft w:val="0"/>
                  <w:marRight w:val="0"/>
                  <w:marTop w:val="0"/>
                  <w:marBottom w:val="0"/>
                  <w:divBdr>
                    <w:top w:val="none" w:sz="0" w:space="0" w:color="auto"/>
                    <w:left w:val="none" w:sz="0" w:space="0" w:color="auto"/>
                    <w:bottom w:val="none" w:sz="0" w:space="0" w:color="auto"/>
                    <w:right w:val="none" w:sz="0" w:space="0" w:color="auto"/>
                  </w:divBdr>
                  <w:divsChild>
                    <w:div w:id="1159543705">
                      <w:marLeft w:val="0"/>
                      <w:marRight w:val="0"/>
                      <w:marTop w:val="0"/>
                      <w:marBottom w:val="0"/>
                      <w:divBdr>
                        <w:top w:val="none" w:sz="0" w:space="0" w:color="auto"/>
                        <w:left w:val="none" w:sz="0" w:space="0" w:color="auto"/>
                        <w:bottom w:val="none" w:sz="0" w:space="0" w:color="auto"/>
                        <w:right w:val="none" w:sz="0" w:space="0" w:color="auto"/>
                      </w:divBdr>
                    </w:div>
                  </w:divsChild>
                </w:div>
                <w:div w:id="1849757447">
                  <w:marLeft w:val="0"/>
                  <w:marRight w:val="0"/>
                  <w:marTop w:val="0"/>
                  <w:marBottom w:val="0"/>
                  <w:divBdr>
                    <w:top w:val="none" w:sz="0" w:space="0" w:color="auto"/>
                    <w:left w:val="none" w:sz="0" w:space="0" w:color="auto"/>
                    <w:bottom w:val="none" w:sz="0" w:space="0" w:color="auto"/>
                    <w:right w:val="none" w:sz="0" w:space="0" w:color="auto"/>
                  </w:divBdr>
                  <w:divsChild>
                    <w:div w:id="265622115">
                      <w:marLeft w:val="0"/>
                      <w:marRight w:val="0"/>
                      <w:marTop w:val="0"/>
                      <w:marBottom w:val="0"/>
                      <w:divBdr>
                        <w:top w:val="none" w:sz="0" w:space="0" w:color="auto"/>
                        <w:left w:val="none" w:sz="0" w:space="0" w:color="auto"/>
                        <w:bottom w:val="none" w:sz="0" w:space="0" w:color="auto"/>
                        <w:right w:val="none" w:sz="0" w:space="0" w:color="auto"/>
                      </w:divBdr>
                    </w:div>
                  </w:divsChild>
                </w:div>
                <w:div w:id="1853567725">
                  <w:marLeft w:val="0"/>
                  <w:marRight w:val="0"/>
                  <w:marTop w:val="0"/>
                  <w:marBottom w:val="0"/>
                  <w:divBdr>
                    <w:top w:val="none" w:sz="0" w:space="0" w:color="auto"/>
                    <w:left w:val="none" w:sz="0" w:space="0" w:color="auto"/>
                    <w:bottom w:val="none" w:sz="0" w:space="0" w:color="auto"/>
                    <w:right w:val="none" w:sz="0" w:space="0" w:color="auto"/>
                  </w:divBdr>
                  <w:divsChild>
                    <w:div w:id="1803452354">
                      <w:marLeft w:val="0"/>
                      <w:marRight w:val="0"/>
                      <w:marTop w:val="0"/>
                      <w:marBottom w:val="0"/>
                      <w:divBdr>
                        <w:top w:val="none" w:sz="0" w:space="0" w:color="auto"/>
                        <w:left w:val="none" w:sz="0" w:space="0" w:color="auto"/>
                        <w:bottom w:val="none" w:sz="0" w:space="0" w:color="auto"/>
                        <w:right w:val="none" w:sz="0" w:space="0" w:color="auto"/>
                      </w:divBdr>
                    </w:div>
                  </w:divsChild>
                </w:div>
                <w:div w:id="1870332133">
                  <w:marLeft w:val="0"/>
                  <w:marRight w:val="0"/>
                  <w:marTop w:val="0"/>
                  <w:marBottom w:val="0"/>
                  <w:divBdr>
                    <w:top w:val="none" w:sz="0" w:space="0" w:color="auto"/>
                    <w:left w:val="none" w:sz="0" w:space="0" w:color="auto"/>
                    <w:bottom w:val="none" w:sz="0" w:space="0" w:color="auto"/>
                    <w:right w:val="none" w:sz="0" w:space="0" w:color="auto"/>
                  </w:divBdr>
                  <w:divsChild>
                    <w:div w:id="2091654906">
                      <w:marLeft w:val="0"/>
                      <w:marRight w:val="0"/>
                      <w:marTop w:val="0"/>
                      <w:marBottom w:val="0"/>
                      <w:divBdr>
                        <w:top w:val="none" w:sz="0" w:space="0" w:color="auto"/>
                        <w:left w:val="none" w:sz="0" w:space="0" w:color="auto"/>
                        <w:bottom w:val="none" w:sz="0" w:space="0" w:color="auto"/>
                        <w:right w:val="none" w:sz="0" w:space="0" w:color="auto"/>
                      </w:divBdr>
                    </w:div>
                  </w:divsChild>
                </w:div>
                <w:div w:id="1872105709">
                  <w:marLeft w:val="0"/>
                  <w:marRight w:val="0"/>
                  <w:marTop w:val="0"/>
                  <w:marBottom w:val="0"/>
                  <w:divBdr>
                    <w:top w:val="none" w:sz="0" w:space="0" w:color="auto"/>
                    <w:left w:val="none" w:sz="0" w:space="0" w:color="auto"/>
                    <w:bottom w:val="none" w:sz="0" w:space="0" w:color="auto"/>
                    <w:right w:val="none" w:sz="0" w:space="0" w:color="auto"/>
                  </w:divBdr>
                  <w:divsChild>
                    <w:div w:id="1832788624">
                      <w:marLeft w:val="0"/>
                      <w:marRight w:val="0"/>
                      <w:marTop w:val="0"/>
                      <w:marBottom w:val="0"/>
                      <w:divBdr>
                        <w:top w:val="none" w:sz="0" w:space="0" w:color="auto"/>
                        <w:left w:val="none" w:sz="0" w:space="0" w:color="auto"/>
                        <w:bottom w:val="none" w:sz="0" w:space="0" w:color="auto"/>
                        <w:right w:val="none" w:sz="0" w:space="0" w:color="auto"/>
                      </w:divBdr>
                    </w:div>
                  </w:divsChild>
                </w:div>
                <w:div w:id="1876233543">
                  <w:marLeft w:val="0"/>
                  <w:marRight w:val="0"/>
                  <w:marTop w:val="0"/>
                  <w:marBottom w:val="0"/>
                  <w:divBdr>
                    <w:top w:val="none" w:sz="0" w:space="0" w:color="auto"/>
                    <w:left w:val="none" w:sz="0" w:space="0" w:color="auto"/>
                    <w:bottom w:val="none" w:sz="0" w:space="0" w:color="auto"/>
                    <w:right w:val="none" w:sz="0" w:space="0" w:color="auto"/>
                  </w:divBdr>
                  <w:divsChild>
                    <w:div w:id="1527794126">
                      <w:marLeft w:val="0"/>
                      <w:marRight w:val="0"/>
                      <w:marTop w:val="0"/>
                      <w:marBottom w:val="0"/>
                      <w:divBdr>
                        <w:top w:val="none" w:sz="0" w:space="0" w:color="auto"/>
                        <w:left w:val="none" w:sz="0" w:space="0" w:color="auto"/>
                        <w:bottom w:val="none" w:sz="0" w:space="0" w:color="auto"/>
                        <w:right w:val="none" w:sz="0" w:space="0" w:color="auto"/>
                      </w:divBdr>
                    </w:div>
                  </w:divsChild>
                </w:div>
                <w:div w:id="1877544457">
                  <w:marLeft w:val="0"/>
                  <w:marRight w:val="0"/>
                  <w:marTop w:val="0"/>
                  <w:marBottom w:val="0"/>
                  <w:divBdr>
                    <w:top w:val="none" w:sz="0" w:space="0" w:color="auto"/>
                    <w:left w:val="none" w:sz="0" w:space="0" w:color="auto"/>
                    <w:bottom w:val="none" w:sz="0" w:space="0" w:color="auto"/>
                    <w:right w:val="none" w:sz="0" w:space="0" w:color="auto"/>
                  </w:divBdr>
                  <w:divsChild>
                    <w:div w:id="2006590750">
                      <w:marLeft w:val="0"/>
                      <w:marRight w:val="0"/>
                      <w:marTop w:val="0"/>
                      <w:marBottom w:val="0"/>
                      <w:divBdr>
                        <w:top w:val="none" w:sz="0" w:space="0" w:color="auto"/>
                        <w:left w:val="none" w:sz="0" w:space="0" w:color="auto"/>
                        <w:bottom w:val="none" w:sz="0" w:space="0" w:color="auto"/>
                        <w:right w:val="none" w:sz="0" w:space="0" w:color="auto"/>
                      </w:divBdr>
                    </w:div>
                  </w:divsChild>
                </w:div>
                <w:div w:id="1884176023">
                  <w:marLeft w:val="0"/>
                  <w:marRight w:val="0"/>
                  <w:marTop w:val="0"/>
                  <w:marBottom w:val="0"/>
                  <w:divBdr>
                    <w:top w:val="none" w:sz="0" w:space="0" w:color="auto"/>
                    <w:left w:val="none" w:sz="0" w:space="0" w:color="auto"/>
                    <w:bottom w:val="none" w:sz="0" w:space="0" w:color="auto"/>
                    <w:right w:val="none" w:sz="0" w:space="0" w:color="auto"/>
                  </w:divBdr>
                  <w:divsChild>
                    <w:div w:id="1228957850">
                      <w:marLeft w:val="0"/>
                      <w:marRight w:val="0"/>
                      <w:marTop w:val="0"/>
                      <w:marBottom w:val="0"/>
                      <w:divBdr>
                        <w:top w:val="none" w:sz="0" w:space="0" w:color="auto"/>
                        <w:left w:val="none" w:sz="0" w:space="0" w:color="auto"/>
                        <w:bottom w:val="none" w:sz="0" w:space="0" w:color="auto"/>
                        <w:right w:val="none" w:sz="0" w:space="0" w:color="auto"/>
                      </w:divBdr>
                    </w:div>
                  </w:divsChild>
                </w:div>
                <w:div w:id="1898007338">
                  <w:marLeft w:val="0"/>
                  <w:marRight w:val="0"/>
                  <w:marTop w:val="0"/>
                  <w:marBottom w:val="0"/>
                  <w:divBdr>
                    <w:top w:val="none" w:sz="0" w:space="0" w:color="auto"/>
                    <w:left w:val="none" w:sz="0" w:space="0" w:color="auto"/>
                    <w:bottom w:val="none" w:sz="0" w:space="0" w:color="auto"/>
                    <w:right w:val="none" w:sz="0" w:space="0" w:color="auto"/>
                  </w:divBdr>
                  <w:divsChild>
                    <w:div w:id="1132557366">
                      <w:marLeft w:val="0"/>
                      <w:marRight w:val="0"/>
                      <w:marTop w:val="0"/>
                      <w:marBottom w:val="0"/>
                      <w:divBdr>
                        <w:top w:val="none" w:sz="0" w:space="0" w:color="auto"/>
                        <w:left w:val="none" w:sz="0" w:space="0" w:color="auto"/>
                        <w:bottom w:val="none" w:sz="0" w:space="0" w:color="auto"/>
                        <w:right w:val="none" w:sz="0" w:space="0" w:color="auto"/>
                      </w:divBdr>
                    </w:div>
                  </w:divsChild>
                </w:div>
                <w:div w:id="1898199153">
                  <w:marLeft w:val="0"/>
                  <w:marRight w:val="0"/>
                  <w:marTop w:val="0"/>
                  <w:marBottom w:val="0"/>
                  <w:divBdr>
                    <w:top w:val="none" w:sz="0" w:space="0" w:color="auto"/>
                    <w:left w:val="none" w:sz="0" w:space="0" w:color="auto"/>
                    <w:bottom w:val="none" w:sz="0" w:space="0" w:color="auto"/>
                    <w:right w:val="none" w:sz="0" w:space="0" w:color="auto"/>
                  </w:divBdr>
                  <w:divsChild>
                    <w:div w:id="1611355528">
                      <w:marLeft w:val="0"/>
                      <w:marRight w:val="0"/>
                      <w:marTop w:val="0"/>
                      <w:marBottom w:val="0"/>
                      <w:divBdr>
                        <w:top w:val="none" w:sz="0" w:space="0" w:color="auto"/>
                        <w:left w:val="none" w:sz="0" w:space="0" w:color="auto"/>
                        <w:bottom w:val="none" w:sz="0" w:space="0" w:color="auto"/>
                        <w:right w:val="none" w:sz="0" w:space="0" w:color="auto"/>
                      </w:divBdr>
                    </w:div>
                  </w:divsChild>
                </w:div>
                <w:div w:id="1898320832">
                  <w:marLeft w:val="0"/>
                  <w:marRight w:val="0"/>
                  <w:marTop w:val="0"/>
                  <w:marBottom w:val="0"/>
                  <w:divBdr>
                    <w:top w:val="none" w:sz="0" w:space="0" w:color="auto"/>
                    <w:left w:val="none" w:sz="0" w:space="0" w:color="auto"/>
                    <w:bottom w:val="none" w:sz="0" w:space="0" w:color="auto"/>
                    <w:right w:val="none" w:sz="0" w:space="0" w:color="auto"/>
                  </w:divBdr>
                  <w:divsChild>
                    <w:div w:id="954018972">
                      <w:marLeft w:val="0"/>
                      <w:marRight w:val="0"/>
                      <w:marTop w:val="0"/>
                      <w:marBottom w:val="0"/>
                      <w:divBdr>
                        <w:top w:val="none" w:sz="0" w:space="0" w:color="auto"/>
                        <w:left w:val="none" w:sz="0" w:space="0" w:color="auto"/>
                        <w:bottom w:val="none" w:sz="0" w:space="0" w:color="auto"/>
                        <w:right w:val="none" w:sz="0" w:space="0" w:color="auto"/>
                      </w:divBdr>
                    </w:div>
                  </w:divsChild>
                </w:div>
                <w:div w:id="1910143894">
                  <w:marLeft w:val="0"/>
                  <w:marRight w:val="0"/>
                  <w:marTop w:val="0"/>
                  <w:marBottom w:val="0"/>
                  <w:divBdr>
                    <w:top w:val="none" w:sz="0" w:space="0" w:color="auto"/>
                    <w:left w:val="none" w:sz="0" w:space="0" w:color="auto"/>
                    <w:bottom w:val="none" w:sz="0" w:space="0" w:color="auto"/>
                    <w:right w:val="none" w:sz="0" w:space="0" w:color="auto"/>
                  </w:divBdr>
                  <w:divsChild>
                    <w:div w:id="1676304704">
                      <w:marLeft w:val="0"/>
                      <w:marRight w:val="0"/>
                      <w:marTop w:val="0"/>
                      <w:marBottom w:val="0"/>
                      <w:divBdr>
                        <w:top w:val="none" w:sz="0" w:space="0" w:color="auto"/>
                        <w:left w:val="none" w:sz="0" w:space="0" w:color="auto"/>
                        <w:bottom w:val="none" w:sz="0" w:space="0" w:color="auto"/>
                        <w:right w:val="none" w:sz="0" w:space="0" w:color="auto"/>
                      </w:divBdr>
                    </w:div>
                  </w:divsChild>
                </w:div>
                <w:div w:id="1915122889">
                  <w:marLeft w:val="0"/>
                  <w:marRight w:val="0"/>
                  <w:marTop w:val="0"/>
                  <w:marBottom w:val="0"/>
                  <w:divBdr>
                    <w:top w:val="none" w:sz="0" w:space="0" w:color="auto"/>
                    <w:left w:val="none" w:sz="0" w:space="0" w:color="auto"/>
                    <w:bottom w:val="none" w:sz="0" w:space="0" w:color="auto"/>
                    <w:right w:val="none" w:sz="0" w:space="0" w:color="auto"/>
                  </w:divBdr>
                  <w:divsChild>
                    <w:div w:id="933248731">
                      <w:marLeft w:val="0"/>
                      <w:marRight w:val="0"/>
                      <w:marTop w:val="0"/>
                      <w:marBottom w:val="0"/>
                      <w:divBdr>
                        <w:top w:val="none" w:sz="0" w:space="0" w:color="auto"/>
                        <w:left w:val="none" w:sz="0" w:space="0" w:color="auto"/>
                        <w:bottom w:val="none" w:sz="0" w:space="0" w:color="auto"/>
                        <w:right w:val="none" w:sz="0" w:space="0" w:color="auto"/>
                      </w:divBdr>
                    </w:div>
                  </w:divsChild>
                </w:div>
                <w:div w:id="1942830593">
                  <w:marLeft w:val="0"/>
                  <w:marRight w:val="0"/>
                  <w:marTop w:val="0"/>
                  <w:marBottom w:val="0"/>
                  <w:divBdr>
                    <w:top w:val="none" w:sz="0" w:space="0" w:color="auto"/>
                    <w:left w:val="none" w:sz="0" w:space="0" w:color="auto"/>
                    <w:bottom w:val="none" w:sz="0" w:space="0" w:color="auto"/>
                    <w:right w:val="none" w:sz="0" w:space="0" w:color="auto"/>
                  </w:divBdr>
                  <w:divsChild>
                    <w:div w:id="1297881610">
                      <w:marLeft w:val="0"/>
                      <w:marRight w:val="0"/>
                      <w:marTop w:val="0"/>
                      <w:marBottom w:val="0"/>
                      <w:divBdr>
                        <w:top w:val="none" w:sz="0" w:space="0" w:color="auto"/>
                        <w:left w:val="none" w:sz="0" w:space="0" w:color="auto"/>
                        <w:bottom w:val="none" w:sz="0" w:space="0" w:color="auto"/>
                        <w:right w:val="none" w:sz="0" w:space="0" w:color="auto"/>
                      </w:divBdr>
                    </w:div>
                  </w:divsChild>
                </w:div>
                <w:div w:id="1944070258">
                  <w:marLeft w:val="0"/>
                  <w:marRight w:val="0"/>
                  <w:marTop w:val="0"/>
                  <w:marBottom w:val="0"/>
                  <w:divBdr>
                    <w:top w:val="none" w:sz="0" w:space="0" w:color="auto"/>
                    <w:left w:val="none" w:sz="0" w:space="0" w:color="auto"/>
                    <w:bottom w:val="none" w:sz="0" w:space="0" w:color="auto"/>
                    <w:right w:val="none" w:sz="0" w:space="0" w:color="auto"/>
                  </w:divBdr>
                  <w:divsChild>
                    <w:div w:id="1678147042">
                      <w:marLeft w:val="0"/>
                      <w:marRight w:val="0"/>
                      <w:marTop w:val="0"/>
                      <w:marBottom w:val="0"/>
                      <w:divBdr>
                        <w:top w:val="none" w:sz="0" w:space="0" w:color="auto"/>
                        <w:left w:val="none" w:sz="0" w:space="0" w:color="auto"/>
                        <w:bottom w:val="none" w:sz="0" w:space="0" w:color="auto"/>
                        <w:right w:val="none" w:sz="0" w:space="0" w:color="auto"/>
                      </w:divBdr>
                    </w:div>
                  </w:divsChild>
                </w:div>
                <w:div w:id="1952395149">
                  <w:marLeft w:val="0"/>
                  <w:marRight w:val="0"/>
                  <w:marTop w:val="0"/>
                  <w:marBottom w:val="0"/>
                  <w:divBdr>
                    <w:top w:val="none" w:sz="0" w:space="0" w:color="auto"/>
                    <w:left w:val="none" w:sz="0" w:space="0" w:color="auto"/>
                    <w:bottom w:val="none" w:sz="0" w:space="0" w:color="auto"/>
                    <w:right w:val="none" w:sz="0" w:space="0" w:color="auto"/>
                  </w:divBdr>
                  <w:divsChild>
                    <w:div w:id="1026754186">
                      <w:marLeft w:val="0"/>
                      <w:marRight w:val="0"/>
                      <w:marTop w:val="0"/>
                      <w:marBottom w:val="0"/>
                      <w:divBdr>
                        <w:top w:val="none" w:sz="0" w:space="0" w:color="auto"/>
                        <w:left w:val="none" w:sz="0" w:space="0" w:color="auto"/>
                        <w:bottom w:val="none" w:sz="0" w:space="0" w:color="auto"/>
                        <w:right w:val="none" w:sz="0" w:space="0" w:color="auto"/>
                      </w:divBdr>
                    </w:div>
                  </w:divsChild>
                </w:div>
                <w:div w:id="1963804628">
                  <w:marLeft w:val="0"/>
                  <w:marRight w:val="0"/>
                  <w:marTop w:val="0"/>
                  <w:marBottom w:val="0"/>
                  <w:divBdr>
                    <w:top w:val="none" w:sz="0" w:space="0" w:color="auto"/>
                    <w:left w:val="none" w:sz="0" w:space="0" w:color="auto"/>
                    <w:bottom w:val="none" w:sz="0" w:space="0" w:color="auto"/>
                    <w:right w:val="none" w:sz="0" w:space="0" w:color="auto"/>
                  </w:divBdr>
                  <w:divsChild>
                    <w:div w:id="261231600">
                      <w:marLeft w:val="0"/>
                      <w:marRight w:val="0"/>
                      <w:marTop w:val="0"/>
                      <w:marBottom w:val="0"/>
                      <w:divBdr>
                        <w:top w:val="none" w:sz="0" w:space="0" w:color="auto"/>
                        <w:left w:val="none" w:sz="0" w:space="0" w:color="auto"/>
                        <w:bottom w:val="none" w:sz="0" w:space="0" w:color="auto"/>
                        <w:right w:val="none" w:sz="0" w:space="0" w:color="auto"/>
                      </w:divBdr>
                    </w:div>
                  </w:divsChild>
                </w:div>
                <w:div w:id="1966306529">
                  <w:marLeft w:val="0"/>
                  <w:marRight w:val="0"/>
                  <w:marTop w:val="0"/>
                  <w:marBottom w:val="0"/>
                  <w:divBdr>
                    <w:top w:val="none" w:sz="0" w:space="0" w:color="auto"/>
                    <w:left w:val="none" w:sz="0" w:space="0" w:color="auto"/>
                    <w:bottom w:val="none" w:sz="0" w:space="0" w:color="auto"/>
                    <w:right w:val="none" w:sz="0" w:space="0" w:color="auto"/>
                  </w:divBdr>
                  <w:divsChild>
                    <w:div w:id="1290430311">
                      <w:marLeft w:val="0"/>
                      <w:marRight w:val="0"/>
                      <w:marTop w:val="0"/>
                      <w:marBottom w:val="0"/>
                      <w:divBdr>
                        <w:top w:val="none" w:sz="0" w:space="0" w:color="auto"/>
                        <w:left w:val="none" w:sz="0" w:space="0" w:color="auto"/>
                        <w:bottom w:val="none" w:sz="0" w:space="0" w:color="auto"/>
                        <w:right w:val="none" w:sz="0" w:space="0" w:color="auto"/>
                      </w:divBdr>
                    </w:div>
                  </w:divsChild>
                </w:div>
                <w:div w:id="1978993422">
                  <w:marLeft w:val="0"/>
                  <w:marRight w:val="0"/>
                  <w:marTop w:val="0"/>
                  <w:marBottom w:val="0"/>
                  <w:divBdr>
                    <w:top w:val="none" w:sz="0" w:space="0" w:color="auto"/>
                    <w:left w:val="none" w:sz="0" w:space="0" w:color="auto"/>
                    <w:bottom w:val="none" w:sz="0" w:space="0" w:color="auto"/>
                    <w:right w:val="none" w:sz="0" w:space="0" w:color="auto"/>
                  </w:divBdr>
                  <w:divsChild>
                    <w:div w:id="1753355268">
                      <w:marLeft w:val="0"/>
                      <w:marRight w:val="0"/>
                      <w:marTop w:val="0"/>
                      <w:marBottom w:val="0"/>
                      <w:divBdr>
                        <w:top w:val="none" w:sz="0" w:space="0" w:color="auto"/>
                        <w:left w:val="none" w:sz="0" w:space="0" w:color="auto"/>
                        <w:bottom w:val="none" w:sz="0" w:space="0" w:color="auto"/>
                        <w:right w:val="none" w:sz="0" w:space="0" w:color="auto"/>
                      </w:divBdr>
                    </w:div>
                  </w:divsChild>
                </w:div>
                <w:div w:id="1991444517">
                  <w:marLeft w:val="0"/>
                  <w:marRight w:val="0"/>
                  <w:marTop w:val="0"/>
                  <w:marBottom w:val="0"/>
                  <w:divBdr>
                    <w:top w:val="none" w:sz="0" w:space="0" w:color="auto"/>
                    <w:left w:val="none" w:sz="0" w:space="0" w:color="auto"/>
                    <w:bottom w:val="none" w:sz="0" w:space="0" w:color="auto"/>
                    <w:right w:val="none" w:sz="0" w:space="0" w:color="auto"/>
                  </w:divBdr>
                  <w:divsChild>
                    <w:div w:id="124929626">
                      <w:marLeft w:val="0"/>
                      <w:marRight w:val="0"/>
                      <w:marTop w:val="0"/>
                      <w:marBottom w:val="0"/>
                      <w:divBdr>
                        <w:top w:val="none" w:sz="0" w:space="0" w:color="auto"/>
                        <w:left w:val="none" w:sz="0" w:space="0" w:color="auto"/>
                        <w:bottom w:val="none" w:sz="0" w:space="0" w:color="auto"/>
                        <w:right w:val="none" w:sz="0" w:space="0" w:color="auto"/>
                      </w:divBdr>
                    </w:div>
                  </w:divsChild>
                </w:div>
                <w:div w:id="1998259804">
                  <w:marLeft w:val="0"/>
                  <w:marRight w:val="0"/>
                  <w:marTop w:val="0"/>
                  <w:marBottom w:val="0"/>
                  <w:divBdr>
                    <w:top w:val="none" w:sz="0" w:space="0" w:color="auto"/>
                    <w:left w:val="none" w:sz="0" w:space="0" w:color="auto"/>
                    <w:bottom w:val="none" w:sz="0" w:space="0" w:color="auto"/>
                    <w:right w:val="none" w:sz="0" w:space="0" w:color="auto"/>
                  </w:divBdr>
                  <w:divsChild>
                    <w:div w:id="774637798">
                      <w:marLeft w:val="0"/>
                      <w:marRight w:val="0"/>
                      <w:marTop w:val="0"/>
                      <w:marBottom w:val="0"/>
                      <w:divBdr>
                        <w:top w:val="none" w:sz="0" w:space="0" w:color="auto"/>
                        <w:left w:val="none" w:sz="0" w:space="0" w:color="auto"/>
                        <w:bottom w:val="none" w:sz="0" w:space="0" w:color="auto"/>
                        <w:right w:val="none" w:sz="0" w:space="0" w:color="auto"/>
                      </w:divBdr>
                    </w:div>
                  </w:divsChild>
                </w:div>
                <w:div w:id="1998461000">
                  <w:marLeft w:val="0"/>
                  <w:marRight w:val="0"/>
                  <w:marTop w:val="0"/>
                  <w:marBottom w:val="0"/>
                  <w:divBdr>
                    <w:top w:val="none" w:sz="0" w:space="0" w:color="auto"/>
                    <w:left w:val="none" w:sz="0" w:space="0" w:color="auto"/>
                    <w:bottom w:val="none" w:sz="0" w:space="0" w:color="auto"/>
                    <w:right w:val="none" w:sz="0" w:space="0" w:color="auto"/>
                  </w:divBdr>
                  <w:divsChild>
                    <w:div w:id="2032683476">
                      <w:marLeft w:val="0"/>
                      <w:marRight w:val="0"/>
                      <w:marTop w:val="0"/>
                      <w:marBottom w:val="0"/>
                      <w:divBdr>
                        <w:top w:val="none" w:sz="0" w:space="0" w:color="auto"/>
                        <w:left w:val="none" w:sz="0" w:space="0" w:color="auto"/>
                        <w:bottom w:val="none" w:sz="0" w:space="0" w:color="auto"/>
                        <w:right w:val="none" w:sz="0" w:space="0" w:color="auto"/>
                      </w:divBdr>
                    </w:div>
                  </w:divsChild>
                </w:div>
                <w:div w:id="2012171237">
                  <w:marLeft w:val="0"/>
                  <w:marRight w:val="0"/>
                  <w:marTop w:val="0"/>
                  <w:marBottom w:val="0"/>
                  <w:divBdr>
                    <w:top w:val="none" w:sz="0" w:space="0" w:color="auto"/>
                    <w:left w:val="none" w:sz="0" w:space="0" w:color="auto"/>
                    <w:bottom w:val="none" w:sz="0" w:space="0" w:color="auto"/>
                    <w:right w:val="none" w:sz="0" w:space="0" w:color="auto"/>
                  </w:divBdr>
                  <w:divsChild>
                    <w:div w:id="1906455632">
                      <w:marLeft w:val="0"/>
                      <w:marRight w:val="0"/>
                      <w:marTop w:val="0"/>
                      <w:marBottom w:val="0"/>
                      <w:divBdr>
                        <w:top w:val="none" w:sz="0" w:space="0" w:color="auto"/>
                        <w:left w:val="none" w:sz="0" w:space="0" w:color="auto"/>
                        <w:bottom w:val="none" w:sz="0" w:space="0" w:color="auto"/>
                        <w:right w:val="none" w:sz="0" w:space="0" w:color="auto"/>
                      </w:divBdr>
                    </w:div>
                  </w:divsChild>
                </w:div>
                <w:div w:id="2017612552">
                  <w:marLeft w:val="0"/>
                  <w:marRight w:val="0"/>
                  <w:marTop w:val="0"/>
                  <w:marBottom w:val="0"/>
                  <w:divBdr>
                    <w:top w:val="none" w:sz="0" w:space="0" w:color="auto"/>
                    <w:left w:val="none" w:sz="0" w:space="0" w:color="auto"/>
                    <w:bottom w:val="none" w:sz="0" w:space="0" w:color="auto"/>
                    <w:right w:val="none" w:sz="0" w:space="0" w:color="auto"/>
                  </w:divBdr>
                  <w:divsChild>
                    <w:div w:id="2069378201">
                      <w:marLeft w:val="0"/>
                      <w:marRight w:val="0"/>
                      <w:marTop w:val="0"/>
                      <w:marBottom w:val="0"/>
                      <w:divBdr>
                        <w:top w:val="none" w:sz="0" w:space="0" w:color="auto"/>
                        <w:left w:val="none" w:sz="0" w:space="0" w:color="auto"/>
                        <w:bottom w:val="none" w:sz="0" w:space="0" w:color="auto"/>
                        <w:right w:val="none" w:sz="0" w:space="0" w:color="auto"/>
                      </w:divBdr>
                    </w:div>
                  </w:divsChild>
                </w:div>
                <w:div w:id="2024237016">
                  <w:marLeft w:val="0"/>
                  <w:marRight w:val="0"/>
                  <w:marTop w:val="0"/>
                  <w:marBottom w:val="0"/>
                  <w:divBdr>
                    <w:top w:val="none" w:sz="0" w:space="0" w:color="auto"/>
                    <w:left w:val="none" w:sz="0" w:space="0" w:color="auto"/>
                    <w:bottom w:val="none" w:sz="0" w:space="0" w:color="auto"/>
                    <w:right w:val="none" w:sz="0" w:space="0" w:color="auto"/>
                  </w:divBdr>
                  <w:divsChild>
                    <w:div w:id="1961448677">
                      <w:marLeft w:val="0"/>
                      <w:marRight w:val="0"/>
                      <w:marTop w:val="0"/>
                      <w:marBottom w:val="0"/>
                      <w:divBdr>
                        <w:top w:val="none" w:sz="0" w:space="0" w:color="auto"/>
                        <w:left w:val="none" w:sz="0" w:space="0" w:color="auto"/>
                        <w:bottom w:val="none" w:sz="0" w:space="0" w:color="auto"/>
                        <w:right w:val="none" w:sz="0" w:space="0" w:color="auto"/>
                      </w:divBdr>
                    </w:div>
                  </w:divsChild>
                </w:div>
                <w:div w:id="2035307301">
                  <w:marLeft w:val="0"/>
                  <w:marRight w:val="0"/>
                  <w:marTop w:val="0"/>
                  <w:marBottom w:val="0"/>
                  <w:divBdr>
                    <w:top w:val="none" w:sz="0" w:space="0" w:color="auto"/>
                    <w:left w:val="none" w:sz="0" w:space="0" w:color="auto"/>
                    <w:bottom w:val="none" w:sz="0" w:space="0" w:color="auto"/>
                    <w:right w:val="none" w:sz="0" w:space="0" w:color="auto"/>
                  </w:divBdr>
                  <w:divsChild>
                    <w:div w:id="927426107">
                      <w:marLeft w:val="0"/>
                      <w:marRight w:val="0"/>
                      <w:marTop w:val="0"/>
                      <w:marBottom w:val="0"/>
                      <w:divBdr>
                        <w:top w:val="none" w:sz="0" w:space="0" w:color="auto"/>
                        <w:left w:val="none" w:sz="0" w:space="0" w:color="auto"/>
                        <w:bottom w:val="none" w:sz="0" w:space="0" w:color="auto"/>
                        <w:right w:val="none" w:sz="0" w:space="0" w:color="auto"/>
                      </w:divBdr>
                    </w:div>
                  </w:divsChild>
                </w:div>
                <w:div w:id="2039351412">
                  <w:marLeft w:val="0"/>
                  <w:marRight w:val="0"/>
                  <w:marTop w:val="0"/>
                  <w:marBottom w:val="0"/>
                  <w:divBdr>
                    <w:top w:val="none" w:sz="0" w:space="0" w:color="auto"/>
                    <w:left w:val="none" w:sz="0" w:space="0" w:color="auto"/>
                    <w:bottom w:val="none" w:sz="0" w:space="0" w:color="auto"/>
                    <w:right w:val="none" w:sz="0" w:space="0" w:color="auto"/>
                  </w:divBdr>
                  <w:divsChild>
                    <w:div w:id="565527410">
                      <w:marLeft w:val="0"/>
                      <w:marRight w:val="0"/>
                      <w:marTop w:val="0"/>
                      <w:marBottom w:val="0"/>
                      <w:divBdr>
                        <w:top w:val="none" w:sz="0" w:space="0" w:color="auto"/>
                        <w:left w:val="none" w:sz="0" w:space="0" w:color="auto"/>
                        <w:bottom w:val="none" w:sz="0" w:space="0" w:color="auto"/>
                        <w:right w:val="none" w:sz="0" w:space="0" w:color="auto"/>
                      </w:divBdr>
                    </w:div>
                  </w:divsChild>
                </w:div>
                <w:div w:id="2048069624">
                  <w:marLeft w:val="0"/>
                  <w:marRight w:val="0"/>
                  <w:marTop w:val="0"/>
                  <w:marBottom w:val="0"/>
                  <w:divBdr>
                    <w:top w:val="none" w:sz="0" w:space="0" w:color="auto"/>
                    <w:left w:val="none" w:sz="0" w:space="0" w:color="auto"/>
                    <w:bottom w:val="none" w:sz="0" w:space="0" w:color="auto"/>
                    <w:right w:val="none" w:sz="0" w:space="0" w:color="auto"/>
                  </w:divBdr>
                  <w:divsChild>
                    <w:div w:id="1162509364">
                      <w:marLeft w:val="0"/>
                      <w:marRight w:val="0"/>
                      <w:marTop w:val="0"/>
                      <w:marBottom w:val="0"/>
                      <w:divBdr>
                        <w:top w:val="none" w:sz="0" w:space="0" w:color="auto"/>
                        <w:left w:val="none" w:sz="0" w:space="0" w:color="auto"/>
                        <w:bottom w:val="none" w:sz="0" w:space="0" w:color="auto"/>
                        <w:right w:val="none" w:sz="0" w:space="0" w:color="auto"/>
                      </w:divBdr>
                    </w:div>
                  </w:divsChild>
                </w:div>
                <w:div w:id="2061901905">
                  <w:marLeft w:val="0"/>
                  <w:marRight w:val="0"/>
                  <w:marTop w:val="0"/>
                  <w:marBottom w:val="0"/>
                  <w:divBdr>
                    <w:top w:val="none" w:sz="0" w:space="0" w:color="auto"/>
                    <w:left w:val="none" w:sz="0" w:space="0" w:color="auto"/>
                    <w:bottom w:val="none" w:sz="0" w:space="0" w:color="auto"/>
                    <w:right w:val="none" w:sz="0" w:space="0" w:color="auto"/>
                  </w:divBdr>
                  <w:divsChild>
                    <w:div w:id="1872112539">
                      <w:marLeft w:val="0"/>
                      <w:marRight w:val="0"/>
                      <w:marTop w:val="0"/>
                      <w:marBottom w:val="0"/>
                      <w:divBdr>
                        <w:top w:val="none" w:sz="0" w:space="0" w:color="auto"/>
                        <w:left w:val="none" w:sz="0" w:space="0" w:color="auto"/>
                        <w:bottom w:val="none" w:sz="0" w:space="0" w:color="auto"/>
                        <w:right w:val="none" w:sz="0" w:space="0" w:color="auto"/>
                      </w:divBdr>
                    </w:div>
                  </w:divsChild>
                </w:div>
                <w:div w:id="2075662718">
                  <w:marLeft w:val="0"/>
                  <w:marRight w:val="0"/>
                  <w:marTop w:val="0"/>
                  <w:marBottom w:val="0"/>
                  <w:divBdr>
                    <w:top w:val="none" w:sz="0" w:space="0" w:color="auto"/>
                    <w:left w:val="none" w:sz="0" w:space="0" w:color="auto"/>
                    <w:bottom w:val="none" w:sz="0" w:space="0" w:color="auto"/>
                    <w:right w:val="none" w:sz="0" w:space="0" w:color="auto"/>
                  </w:divBdr>
                  <w:divsChild>
                    <w:div w:id="1215847117">
                      <w:marLeft w:val="0"/>
                      <w:marRight w:val="0"/>
                      <w:marTop w:val="0"/>
                      <w:marBottom w:val="0"/>
                      <w:divBdr>
                        <w:top w:val="none" w:sz="0" w:space="0" w:color="auto"/>
                        <w:left w:val="none" w:sz="0" w:space="0" w:color="auto"/>
                        <w:bottom w:val="none" w:sz="0" w:space="0" w:color="auto"/>
                        <w:right w:val="none" w:sz="0" w:space="0" w:color="auto"/>
                      </w:divBdr>
                    </w:div>
                  </w:divsChild>
                </w:div>
                <w:div w:id="2093893460">
                  <w:marLeft w:val="0"/>
                  <w:marRight w:val="0"/>
                  <w:marTop w:val="0"/>
                  <w:marBottom w:val="0"/>
                  <w:divBdr>
                    <w:top w:val="none" w:sz="0" w:space="0" w:color="auto"/>
                    <w:left w:val="none" w:sz="0" w:space="0" w:color="auto"/>
                    <w:bottom w:val="none" w:sz="0" w:space="0" w:color="auto"/>
                    <w:right w:val="none" w:sz="0" w:space="0" w:color="auto"/>
                  </w:divBdr>
                  <w:divsChild>
                    <w:div w:id="1316253206">
                      <w:marLeft w:val="0"/>
                      <w:marRight w:val="0"/>
                      <w:marTop w:val="0"/>
                      <w:marBottom w:val="0"/>
                      <w:divBdr>
                        <w:top w:val="none" w:sz="0" w:space="0" w:color="auto"/>
                        <w:left w:val="none" w:sz="0" w:space="0" w:color="auto"/>
                        <w:bottom w:val="none" w:sz="0" w:space="0" w:color="auto"/>
                        <w:right w:val="none" w:sz="0" w:space="0" w:color="auto"/>
                      </w:divBdr>
                    </w:div>
                  </w:divsChild>
                </w:div>
                <w:div w:id="2100714592">
                  <w:marLeft w:val="0"/>
                  <w:marRight w:val="0"/>
                  <w:marTop w:val="0"/>
                  <w:marBottom w:val="0"/>
                  <w:divBdr>
                    <w:top w:val="none" w:sz="0" w:space="0" w:color="auto"/>
                    <w:left w:val="none" w:sz="0" w:space="0" w:color="auto"/>
                    <w:bottom w:val="none" w:sz="0" w:space="0" w:color="auto"/>
                    <w:right w:val="none" w:sz="0" w:space="0" w:color="auto"/>
                  </w:divBdr>
                  <w:divsChild>
                    <w:div w:id="233787107">
                      <w:marLeft w:val="0"/>
                      <w:marRight w:val="0"/>
                      <w:marTop w:val="0"/>
                      <w:marBottom w:val="0"/>
                      <w:divBdr>
                        <w:top w:val="none" w:sz="0" w:space="0" w:color="auto"/>
                        <w:left w:val="none" w:sz="0" w:space="0" w:color="auto"/>
                        <w:bottom w:val="none" w:sz="0" w:space="0" w:color="auto"/>
                        <w:right w:val="none" w:sz="0" w:space="0" w:color="auto"/>
                      </w:divBdr>
                    </w:div>
                  </w:divsChild>
                </w:div>
                <w:div w:id="2104448426">
                  <w:marLeft w:val="0"/>
                  <w:marRight w:val="0"/>
                  <w:marTop w:val="0"/>
                  <w:marBottom w:val="0"/>
                  <w:divBdr>
                    <w:top w:val="none" w:sz="0" w:space="0" w:color="auto"/>
                    <w:left w:val="none" w:sz="0" w:space="0" w:color="auto"/>
                    <w:bottom w:val="none" w:sz="0" w:space="0" w:color="auto"/>
                    <w:right w:val="none" w:sz="0" w:space="0" w:color="auto"/>
                  </w:divBdr>
                  <w:divsChild>
                    <w:div w:id="1569194351">
                      <w:marLeft w:val="0"/>
                      <w:marRight w:val="0"/>
                      <w:marTop w:val="0"/>
                      <w:marBottom w:val="0"/>
                      <w:divBdr>
                        <w:top w:val="none" w:sz="0" w:space="0" w:color="auto"/>
                        <w:left w:val="none" w:sz="0" w:space="0" w:color="auto"/>
                        <w:bottom w:val="none" w:sz="0" w:space="0" w:color="auto"/>
                        <w:right w:val="none" w:sz="0" w:space="0" w:color="auto"/>
                      </w:divBdr>
                    </w:div>
                  </w:divsChild>
                </w:div>
                <w:div w:id="2110200197">
                  <w:marLeft w:val="0"/>
                  <w:marRight w:val="0"/>
                  <w:marTop w:val="0"/>
                  <w:marBottom w:val="0"/>
                  <w:divBdr>
                    <w:top w:val="none" w:sz="0" w:space="0" w:color="auto"/>
                    <w:left w:val="none" w:sz="0" w:space="0" w:color="auto"/>
                    <w:bottom w:val="none" w:sz="0" w:space="0" w:color="auto"/>
                    <w:right w:val="none" w:sz="0" w:space="0" w:color="auto"/>
                  </w:divBdr>
                  <w:divsChild>
                    <w:div w:id="118450327">
                      <w:marLeft w:val="0"/>
                      <w:marRight w:val="0"/>
                      <w:marTop w:val="0"/>
                      <w:marBottom w:val="0"/>
                      <w:divBdr>
                        <w:top w:val="none" w:sz="0" w:space="0" w:color="auto"/>
                        <w:left w:val="none" w:sz="0" w:space="0" w:color="auto"/>
                        <w:bottom w:val="none" w:sz="0" w:space="0" w:color="auto"/>
                        <w:right w:val="none" w:sz="0" w:space="0" w:color="auto"/>
                      </w:divBdr>
                    </w:div>
                  </w:divsChild>
                </w:div>
                <w:div w:id="2135441279">
                  <w:marLeft w:val="0"/>
                  <w:marRight w:val="0"/>
                  <w:marTop w:val="0"/>
                  <w:marBottom w:val="0"/>
                  <w:divBdr>
                    <w:top w:val="none" w:sz="0" w:space="0" w:color="auto"/>
                    <w:left w:val="none" w:sz="0" w:space="0" w:color="auto"/>
                    <w:bottom w:val="none" w:sz="0" w:space="0" w:color="auto"/>
                    <w:right w:val="none" w:sz="0" w:space="0" w:color="auto"/>
                  </w:divBdr>
                  <w:divsChild>
                    <w:div w:id="206047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315682">
          <w:marLeft w:val="0"/>
          <w:marRight w:val="0"/>
          <w:marTop w:val="0"/>
          <w:marBottom w:val="0"/>
          <w:divBdr>
            <w:top w:val="none" w:sz="0" w:space="0" w:color="auto"/>
            <w:left w:val="none" w:sz="0" w:space="0" w:color="auto"/>
            <w:bottom w:val="none" w:sz="0" w:space="0" w:color="auto"/>
            <w:right w:val="none" w:sz="0" w:space="0" w:color="auto"/>
          </w:divBdr>
        </w:div>
        <w:div w:id="1841575868">
          <w:marLeft w:val="0"/>
          <w:marRight w:val="0"/>
          <w:marTop w:val="0"/>
          <w:marBottom w:val="0"/>
          <w:divBdr>
            <w:top w:val="none" w:sz="0" w:space="0" w:color="auto"/>
            <w:left w:val="none" w:sz="0" w:space="0" w:color="auto"/>
            <w:bottom w:val="none" w:sz="0" w:space="0" w:color="auto"/>
            <w:right w:val="none" w:sz="0" w:space="0" w:color="auto"/>
          </w:divBdr>
          <w:divsChild>
            <w:div w:id="360058707">
              <w:marLeft w:val="0"/>
              <w:marRight w:val="0"/>
              <w:marTop w:val="30"/>
              <w:marBottom w:val="30"/>
              <w:divBdr>
                <w:top w:val="none" w:sz="0" w:space="0" w:color="auto"/>
                <w:left w:val="none" w:sz="0" w:space="0" w:color="auto"/>
                <w:bottom w:val="none" w:sz="0" w:space="0" w:color="auto"/>
                <w:right w:val="none" w:sz="0" w:space="0" w:color="auto"/>
              </w:divBdr>
              <w:divsChild>
                <w:div w:id="27684567">
                  <w:marLeft w:val="0"/>
                  <w:marRight w:val="0"/>
                  <w:marTop w:val="0"/>
                  <w:marBottom w:val="0"/>
                  <w:divBdr>
                    <w:top w:val="none" w:sz="0" w:space="0" w:color="auto"/>
                    <w:left w:val="none" w:sz="0" w:space="0" w:color="auto"/>
                    <w:bottom w:val="none" w:sz="0" w:space="0" w:color="auto"/>
                    <w:right w:val="none" w:sz="0" w:space="0" w:color="auto"/>
                  </w:divBdr>
                  <w:divsChild>
                    <w:div w:id="895161666">
                      <w:marLeft w:val="0"/>
                      <w:marRight w:val="0"/>
                      <w:marTop w:val="0"/>
                      <w:marBottom w:val="0"/>
                      <w:divBdr>
                        <w:top w:val="none" w:sz="0" w:space="0" w:color="auto"/>
                        <w:left w:val="none" w:sz="0" w:space="0" w:color="auto"/>
                        <w:bottom w:val="none" w:sz="0" w:space="0" w:color="auto"/>
                        <w:right w:val="none" w:sz="0" w:space="0" w:color="auto"/>
                      </w:divBdr>
                    </w:div>
                  </w:divsChild>
                </w:div>
                <w:div w:id="82149030">
                  <w:marLeft w:val="0"/>
                  <w:marRight w:val="0"/>
                  <w:marTop w:val="0"/>
                  <w:marBottom w:val="0"/>
                  <w:divBdr>
                    <w:top w:val="none" w:sz="0" w:space="0" w:color="auto"/>
                    <w:left w:val="none" w:sz="0" w:space="0" w:color="auto"/>
                    <w:bottom w:val="none" w:sz="0" w:space="0" w:color="auto"/>
                    <w:right w:val="none" w:sz="0" w:space="0" w:color="auto"/>
                  </w:divBdr>
                  <w:divsChild>
                    <w:div w:id="636834108">
                      <w:marLeft w:val="0"/>
                      <w:marRight w:val="0"/>
                      <w:marTop w:val="0"/>
                      <w:marBottom w:val="0"/>
                      <w:divBdr>
                        <w:top w:val="none" w:sz="0" w:space="0" w:color="auto"/>
                        <w:left w:val="none" w:sz="0" w:space="0" w:color="auto"/>
                        <w:bottom w:val="none" w:sz="0" w:space="0" w:color="auto"/>
                        <w:right w:val="none" w:sz="0" w:space="0" w:color="auto"/>
                      </w:divBdr>
                    </w:div>
                  </w:divsChild>
                </w:div>
                <w:div w:id="161548149">
                  <w:marLeft w:val="0"/>
                  <w:marRight w:val="0"/>
                  <w:marTop w:val="0"/>
                  <w:marBottom w:val="0"/>
                  <w:divBdr>
                    <w:top w:val="none" w:sz="0" w:space="0" w:color="auto"/>
                    <w:left w:val="none" w:sz="0" w:space="0" w:color="auto"/>
                    <w:bottom w:val="none" w:sz="0" w:space="0" w:color="auto"/>
                    <w:right w:val="none" w:sz="0" w:space="0" w:color="auto"/>
                  </w:divBdr>
                  <w:divsChild>
                    <w:div w:id="1199121127">
                      <w:marLeft w:val="0"/>
                      <w:marRight w:val="0"/>
                      <w:marTop w:val="0"/>
                      <w:marBottom w:val="0"/>
                      <w:divBdr>
                        <w:top w:val="none" w:sz="0" w:space="0" w:color="auto"/>
                        <w:left w:val="none" w:sz="0" w:space="0" w:color="auto"/>
                        <w:bottom w:val="none" w:sz="0" w:space="0" w:color="auto"/>
                        <w:right w:val="none" w:sz="0" w:space="0" w:color="auto"/>
                      </w:divBdr>
                    </w:div>
                  </w:divsChild>
                </w:div>
                <w:div w:id="286816005">
                  <w:marLeft w:val="0"/>
                  <w:marRight w:val="0"/>
                  <w:marTop w:val="0"/>
                  <w:marBottom w:val="0"/>
                  <w:divBdr>
                    <w:top w:val="none" w:sz="0" w:space="0" w:color="auto"/>
                    <w:left w:val="none" w:sz="0" w:space="0" w:color="auto"/>
                    <w:bottom w:val="none" w:sz="0" w:space="0" w:color="auto"/>
                    <w:right w:val="none" w:sz="0" w:space="0" w:color="auto"/>
                  </w:divBdr>
                  <w:divsChild>
                    <w:div w:id="1568615874">
                      <w:marLeft w:val="0"/>
                      <w:marRight w:val="0"/>
                      <w:marTop w:val="0"/>
                      <w:marBottom w:val="0"/>
                      <w:divBdr>
                        <w:top w:val="none" w:sz="0" w:space="0" w:color="auto"/>
                        <w:left w:val="none" w:sz="0" w:space="0" w:color="auto"/>
                        <w:bottom w:val="none" w:sz="0" w:space="0" w:color="auto"/>
                        <w:right w:val="none" w:sz="0" w:space="0" w:color="auto"/>
                      </w:divBdr>
                    </w:div>
                  </w:divsChild>
                </w:div>
                <w:div w:id="357515100">
                  <w:marLeft w:val="0"/>
                  <w:marRight w:val="0"/>
                  <w:marTop w:val="0"/>
                  <w:marBottom w:val="0"/>
                  <w:divBdr>
                    <w:top w:val="none" w:sz="0" w:space="0" w:color="auto"/>
                    <w:left w:val="none" w:sz="0" w:space="0" w:color="auto"/>
                    <w:bottom w:val="none" w:sz="0" w:space="0" w:color="auto"/>
                    <w:right w:val="none" w:sz="0" w:space="0" w:color="auto"/>
                  </w:divBdr>
                  <w:divsChild>
                    <w:div w:id="1337683883">
                      <w:marLeft w:val="0"/>
                      <w:marRight w:val="0"/>
                      <w:marTop w:val="0"/>
                      <w:marBottom w:val="0"/>
                      <w:divBdr>
                        <w:top w:val="none" w:sz="0" w:space="0" w:color="auto"/>
                        <w:left w:val="none" w:sz="0" w:space="0" w:color="auto"/>
                        <w:bottom w:val="none" w:sz="0" w:space="0" w:color="auto"/>
                        <w:right w:val="none" w:sz="0" w:space="0" w:color="auto"/>
                      </w:divBdr>
                    </w:div>
                  </w:divsChild>
                </w:div>
                <w:div w:id="414980807">
                  <w:marLeft w:val="0"/>
                  <w:marRight w:val="0"/>
                  <w:marTop w:val="0"/>
                  <w:marBottom w:val="0"/>
                  <w:divBdr>
                    <w:top w:val="none" w:sz="0" w:space="0" w:color="auto"/>
                    <w:left w:val="none" w:sz="0" w:space="0" w:color="auto"/>
                    <w:bottom w:val="none" w:sz="0" w:space="0" w:color="auto"/>
                    <w:right w:val="none" w:sz="0" w:space="0" w:color="auto"/>
                  </w:divBdr>
                  <w:divsChild>
                    <w:div w:id="1426414522">
                      <w:marLeft w:val="0"/>
                      <w:marRight w:val="0"/>
                      <w:marTop w:val="0"/>
                      <w:marBottom w:val="0"/>
                      <w:divBdr>
                        <w:top w:val="none" w:sz="0" w:space="0" w:color="auto"/>
                        <w:left w:val="none" w:sz="0" w:space="0" w:color="auto"/>
                        <w:bottom w:val="none" w:sz="0" w:space="0" w:color="auto"/>
                        <w:right w:val="none" w:sz="0" w:space="0" w:color="auto"/>
                      </w:divBdr>
                    </w:div>
                  </w:divsChild>
                </w:div>
                <w:div w:id="426584551">
                  <w:marLeft w:val="0"/>
                  <w:marRight w:val="0"/>
                  <w:marTop w:val="0"/>
                  <w:marBottom w:val="0"/>
                  <w:divBdr>
                    <w:top w:val="none" w:sz="0" w:space="0" w:color="auto"/>
                    <w:left w:val="none" w:sz="0" w:space="0" w:color="auto"/>
                    <w:bottom w:val="none" w:sz="0" w:space="0" w:color="auto"/>
                    <w:right w:val="none" w:sz="0" w:space="0" w:color="auto"/>
                  </w:divBdr>
                  <w:divsChild>
                    <w:div w:id="576406166">
                      <w:marLeft w:val="0"/>
                      <w:marRight w:val="0"/>
                      <w:marTop w:val="0"/>
                      <w:marBottom w:val="0"/>
                      <w:divBdr>
                        <w:top w:val="none" w:sz="0" w:space="0" w:color="auto"/>
                        <w:left w:val="none" w:sz="0" w:space="0" w:color="auto"/>
                        <w:bottom w:val="none" w:sz="0" w:space="0" w:color="auto"/>
                        <w:right w:val="none" w:sz="0" w:space="0" w:color="auto"/>
                      </w:divBdr>
                    </w:div>
                  </w:divsChild>
                </w:div>
                <w:div w:id="457145180">
                  <w:marLeft w:val="0"/>
                  <w:marRight w:val="0"/>
                  <w:marTop w:val="0"/>
                  <w:marBottom w:val="0"/>
                  <w:divBdr>
                    <w:top w:val="none" w:sz="0" w:space="0" w:color="auto"/>
                    <w:left w:val="none" w:sz="0" w:space="0" w:color="auto"/>
                    <w:bottom w:val="none" w:sz="0" w:space="0" w:color="auto"/>
                    <w:right w:val="none" w:sz="0" w:space="0" w:color="auto"/>
                  </w:divBdr>
                  <w:divsChild>
                    <w:div w:id="1681853975">
                      <w:marLeft w:val="0"/>
                      <w:marRight w:val="0"/>
                      <w:marTop w:val="0"/>
                      <w:marBottom w:val="0"/>
                      <w:divBdr>
                        <w:top w:val="none" w:sz="0" w:space="0" w:color="auto"/>
                        <w:left w:val="none" w:sz="0" w:space="0" w:color="auto"/>
                        <w:bottom w:val="none" w:sz="0" w:space="0" w:color="auto"/>
                        <w:right w:val="none" w:sz="0" w:space="0" w:color="auto"/>
                      </w:divBdr>
                    </w:div>
                  </w:divsChild>
                </w:div>
                <w:div w:id="510292775">
                  <w:marLeft w:val="0"/>
                  <w:marRight w:val="0"/>
                  <w:marTop w:val="0"/>
                  <w:marBottom w:val="0"/>
                  <w:divBdr>
                    <w:top w:val="none" w:sz="0" w:space="0" w:color="auto"/>
                    <w:left w:val="none" w:sz="0" w:space="0" w:color="auto"/>
                    <w:bottom w:val="none" w:sz="0" w:space="0" w:color="auto"/>
                    <w:right w:val="none" w:sz="0" w:space="0" w:color="auto"/>
                  </w:divBdr>
                  <w:divsChild>
                    <w:div w:id="85227596">
                      <w:marLeft w:val="0"/>
                      <w:marRight w:val="0"/>
                      <w:marTop w:val="0"/>
                      <w:marBottom w:val="0"/>
                      <w:divBdr>
                        <w:top w:val="none" w:sz="0" w:space="0" w:color="auto"/>
                        <w:left w:val="none" w:sz="0" w:space="0" w:color="auto"/>
                        <w:bottom w:val="none" w:sz="0" w:space="0" w:color="auto"/>
                        <w:right w:val="none" w:sz="0" w:space="0" w:color="auto"/>
                      </w:divBdr>
                    </w:div>
                  </w:divsChild>
                </w:div>
                <w:div w:id="644510664">
                  <w:marLeft w:val="0"/>
                  <w:marRight w:val="0"/>
                  <w:marTop w:val="0"/>
                  <w:marBottom w:val="0"/>
                  <w:divBdr>
                    <w:top w:val="none" w:sz="0" w:space="0" w:color="auto"/>
                    <w:left w:val="none" w:sz="0" w:space="0" w:color="auto"/>
                    <w:bottom w:val="none" w:sz="0" w:space="0" w:color="auto"/>
                    <w:right w:val="none" w:sz="0" w:space="0" w:color="auto"/>
                  </w:divBdr>
                  <w:divsChild>
                    <w:div w:id="1294750593">
                      <w:marLeft w:val="0"/>
                      <w:marRight w:val="0"/>
                      <w:marTop w:val="0"/>
                      <w:marBottom w:val="0"/>
                      <w:divBdr>
                        <w:top w:val="none" w:sz="0" w:space="0" w:color="auto"/>
                        <w:left w:val="none" w:sz="0" w:space="0" w:color="auto"/>
                        <w:bottom w:val="none" w:sz="0" w:space="0" w:color="auto"/>
                        <w:right w:val="none" w:sz="0" w:space="0" w:color="auto"/>
                      </w:divBdr>
                    </w:div>
                  </w:divsChild>
                </w:div>
                <w:div w:id="712190667">
                  <w:marLeft w:val="0"/>
                  <w:marRight w:val="0"/>
                  <w:marTop w:val="0"/>
                  <w:marBottom w:val="0"/>
                  <w:divBdr>
                    <w:top w:val="none" w:sz="0" w:space="0" w:color="auto"/>
                    <w:left w:val="none" w:sz="0" w:space="0" w:color="auto"/>
                    <w:bottom w:val="none" w:sz="0" w:space="0" w:color="auto"/>
                    <w:right w:val="none" w:sz="0" w:space="0" w:color="auto"/>
                  </w:divBdr>
                  <w:divsChild>
                    <w:div w:id="1360204545">
                      <w:marLeft w:val="0"/>
                      <w:marRight w:val="0"/>
                      <w:marTop w:val="0"/>
                      <w:marBottom w:val="0"/>
                      <w:divBdr>
                        <w:top w:val="none" w:sz="0" w:space="0" w:color="auto"/>
                        <w:left w:val="none" w:sz="0" w:space="0" w:color="auto"/>
                        <w:bottom w:val="none" w:sz="0" w:space="0" w:color="auto"/>
                        <w:right w:val="none" w:sz="0" w:space="0" w:color="auto"/>
                      </w:divBdr>
                    </w:div>
                  </w:divsChild>
                </w:div>
                <w:div w:id="815954786">
                  <w:marLeft w:val="0"/>
                  <w:marRight w:val="0"/>
                  <w:marTop w:val="0"/>
                  <w:marBottom w:val="0"/>
                  <w:divBdr>
                    <w:top w:val="none" w:sz="0" w:space="0" w:color="auto"/>
                    <w:left w:val="none" w:sz="0" w:space="0" w:color="auto"/>
                    <w:bottom w:val="none" w:sz="0" w:space="0" w:color="auto"/>
                    <w:right w:val="none" w:sz="0" w:space="0" w:color="auto"/>
                  </w:divBdr>
                  <w:divsChild>
                    <w:div w:id="1168254349">
                      <w:marLeft w:val="0"/>
                      <w:marRight w:val="0"/>
                      <w:marTop w:val="0"/>
                      <w:marBottom w:val="0"/>
                      <w:divBdr>
                        <w:top w:val="none" w:sz="0" w:space="0" w:color="auto"/>
                        <w:left w:val="none" w:sz="0" w:space="0" w:color="auto"/>
                        <w:bottom w:val="none" w:sz="0" w:space="0" w:color="auto"/>
                        <w:right w:val="none" w:sz="0" w:space="0" w:color="auto"/>
                      </w:divBdr>
                    </w:div>
                  </w:divsChild>
                </w:div>
                <w:div w:id="824931447">
                  <w:marLeft w:val="0"/>
                  <w:marRight w:val="0"/>
                  <w:marTop w:val="0"/>
                  <w:marBottom w:val="0"/>
                  <w:divBdr>
                    <w:top w:val="none" w:sz="0" w:space="0" w:color="auto"/>
                    <w:left w:val="none" w:sz="0" w:space="0" w:color="auto"/>
                    <w:bottom w:val="none" w:sz="0" w:space="0" w:color="auto"/>
                    <w:right w:val="none" w:sz="0" w:space="0" w:color="auto"/>
                  </w:divBdr>
                  <w:divsChild>
                    <w:div w:id="1099716555">
                      <w:marLeft w:val="0"/>
                      <w:marRight w:val="0"/>
                      <w:marTop w:val="0"/>
                      <w:marBottom w:val="0"/>
                      <w:divBdr>
                        <w:top w:val="none" w:sz="0" w:space="0" w:color="auto"/>
                        <w:left w:val="none" w:sz="0" w:space="0" w:color="auto"/>
                        <w:bottom w:val="none" w:sz="0" w:space="0" w:color="auto"/>
                        <w:right w:val="none" w:sz="0" w:space="0" w:color="auto"/>
                      </w:divBdr>
                    </w:div>
                  </w:divsChild>
                </w:div>
                <w:div w:id="1120763187">
                  <w:marLeft w:val="0"/>
                  <w:marRight w:val="0"/>
                  <w:marTop w:val="0"/>
                  <w:marBottom w:val="0"/>
                  <w:divBdr>
                    <w:top w:val="none" w:sz="0" w:space="0" w:color="auto"/>
                    <w:left w:val="none" w:sz="0" w:space="0" w:color="auto"/>
                    <w:bottom w:val="none" w:sz="0" w:space="0" w:color="auto"/>
                    <w:right w:val="none" w:sz="0" w:space="0" w:color="auto"/>
                  </w:divBdr>
                  <w:divsChild>
                    <w:div w:id="720859282">
                      <w:marLeft w:val="0"/>
                      <w:marRight w:val="0"/>
                      <w:marTop w:val="0"/>
                      <w:marBottom w:val="0"/>
                      <w:divBdr>
                        <w:top w:val="none" w:sz="0" w:space="0" w:color="auto"/>
                        <w:left w:val="none" w:sz="0" w:space="0" w:color="auto"/>
                        <w:bottom w:val="none" w:sz="0" w:space="0" w:color="auto"/>
                        <w:right w:val="none" w:sz="0" w:space="0" w:color="auto"/>
                      </w:divBdr>
                    </w:div>
                  </w:divsChild>
                </w:div>
                <w:div w:id="1163594275">
                  <w:marLeft w:val="0"/>
                  <w:marRight w:val="0"/>
                  <w:marTop w:val="0"/>
                  <w:marBottom w:val="0"/>
                  <w:divBdr>
                    <w:top w:val="none" w:sz="0" w:space="0" w:color="auto"/>
                    <w:left w:val="none" w:sz="0" w:space="0" w:color="auto"/>
                    <w:bottom w:val="none" w:sz="0" w:space="0" w:color="auto"/>
                    <w:right w:val="none" w:sz="0" w:space="0" w:color="auto"/>
                  </w:divBdr>
                  <w:divsChild>
                    <w:div w:id="1622833309">
                      <w:marLeft w:val="0"/>
                      <w:marRight w:val="0"/>
                      <w:marTop w:val="0"/>
                      <w:marBottom w:val="0"/>
                      <w:divBdr>
                        <w:top w:val="none" w:sz="0" w:space="0" w:color="auto"/>
                        <w:left w:val="none" w:sz="0" w:space="0" w:color="auto"/>
                        <w:bottom w:val="none" w:sz="0" w:space="0" w:color="auto"/>
                        <w:right w:val="none" w:sz="0" w:space="0" w:color="auto"/>
                      </w:divBdr>
                    </w:div>
                  </w:divsChild>
                </w:div>
                <w:div w:id="1267033324">
                  <w:marLeft w:val="0"/>
                  <w:marRight w:val="0"/>
                  <w:marTop w:val="0"/>
                  <w:marBottom w:val="0"/>
                  <w:divBdr>
                    <w:top w:val="none" w:sz="0" w:space="0" w:color="auto"/>
                    <w:left w:val="none" w:sz="0" w:space="0" w:color="auto"/>
                    <w:bottom w:val="none" w:sz="0" w:space="0" w:color="auto"/>
                    <w:right w:val="none" w:sz="0" w:space="0" w:color="auto"/>
                  </w:divBdr>
                  <w:divsChild>
                    <w:div w:id="1610701612">
                      <w:marLeft w:val="0"/>
                      <w:marRight w:val="0"/>
                      <w:marTop w:val="0"/>
                      <w:marBottom w:val="0"/>
                      <w:divBdr>
                        <w:top w:val="none" w:sz="0" w:space="0" w:color="auto"/>
                        <w:left w:val="none" w:sz="0" w:space="0" w:color="auto"/>
                        <w:bottom w:val="none" w:sz="0" w:space="0" w:color="auto"/>
                        <w:right w:val="none" w:sz="0" w:space="0" w:color="auto"/>
                      </w:divBdr>
                    </w:div>
                  </w:divsChild>
                </w:div>
                <w:div w:id="1276904106">
                  <w:marLeft w:val="0"/>
                  <w:marRight w:val="0"/>
                  <w:marTop w:val="0"/>
                  <w:marBottom w:val="0"/>
                  <w:divBdr>
                    <w:top w:val="none" w:sz="0" w:space="0" w:color="auto"/>
                    <w:left w:val="none" w:sz="0" w:space="0" w:color="auto"/>
                    <w:bottom w:val="none" w:sz="0" w:space="0" w:color="auto"/>
                    <w:right w:val="none" w:sz="0" w:space="0" w:color="auto"/>
                  </w:divBdr>
                  <w:divsChild>
                    <w:div w:id="101074474">
                      <w:marLeft w:val="0"/>
                      <w:marRight w:val="0"/>
                      <w:marTop w:val="0"/>
                      <w:marBottom w:val="0"/>
                      <w:divBdr>
                        <w:top w:val="none" w:sz="0" w:space="0" w:color="auto"/>
                        <w:left w:val="none" w:sz="0" w:space="0" w:color="auto"/>
                        <w:bottom w:val="none" w:sz="0" w:space="0" w:color="auto"/>
                        <w:right w:val="none" w:sz="0" w:space="0" w:color="auto"/>
                      </w:divBdr>
                    </w:div>
                  </w:divsChild>
                </w:div>
                <w:div w:id="1301232077">
                  <w:marLeft w:val="0"/>
                  <w:marRight w:val="0"/>
                  <w:marTop w:val="0"/>
                  <w:marBottom w:val="0"/>
                  <w:divBdr>
                    <w:top w:val="none" w:sz="0" w:space="0" w:color="auto"/>
                    <w:left w:val="none" w:sz="0" w:space="0" w:color="auto"/>
                    <w:bottom w:val="none" w:sz="0" w:space="0" w:color="auto"/>
                    <w:right w:val="none" w:sz="0" w:space="0" w:color="auto"/>
                  </w:divBdr>
                  <w:divsChild>
                    <w:div w:id="962494205">
                      <w:marLeft w:val="0"/>
                      <w:marRight w:val="0"/>
                      <w:marTop w:val="0"/>
                      <w:marBottom w:val="0"/>
                      <w:divBdr>
                        <w:top w:val="none" w:sz="0" w:space="0" w:color="auto"/>
                        <w:left w:val="none" w:sz="0" w:space="0" w:color="auto"/>
                        <w:bottom w:val="none" w:sz="0" w:space="0" w:color="auto"/>
                        <w:right w:val="none" w:sz="0" w:space="0" w:color="auto"/>
                      </w:divBdr>
                    </w:div>
                  </w:divsChild>
                </w:div>
                <w:div w:id="1350985598">
                  <w:marLeft w:val="0"/>
                  <w:marRight w:val="0"/>
                  <w:marTop w:val="0"/>
                  <w:marBottom w:val="0"/>
                  <w:divBdr>
                    <w:top w:val="none" w:sz="0" w:space="0" w:color="auto"/>
                    <w:left w:val="none" w:sz="0" w:space="0" w:color="auto"/>
                    <w:bottom w:val="none" w:sz="0" w:space="0" w:color="auto"/>
                    <w:right w:val="none" w:sz="0" w:space="0" w:color="auto"/>
                  </w:divBdr>
                  <w:divsChild>
                    <w:div w:id="1183593354">
                      <w:marLeft w:val="0"/>
                      <w:marRight w:val="0"/>
                      <w:marTop w:val="0"/>
                      <w:marBottom w:val="0"/>
                      <w:divBdr>
                        <w:top w:val="none" w:sz="0" w:space="0" w:color="auto"/>
                        <w:left w:val="none" w:sz="0" w:space="0" w:color="auto"/>
                        <w:bottom w:val="none" w:sz="0" w:space="0" w:color="auto"/>
                        <w:right w:val="none" w:sz="0" w:space="0" w:color="auto"/>
                      </w:divBdr>
                    </w:div>
                  </w:divsChild>
                </w:div>
                <w:div w:id="1512723834">
                  <w:marLeft w:val="0"/>
                  <w:marRight w:val="0"/>
                  <w:marTop w:val="0"/>
                  <w:marBottom w:val="0"/>
                  <w:divBdr>
                    <w:top w:val="none" w:sz="0" w:space="0" w:color="auto"/>
                    <w:left w:val="none" w:sz="0" w:space="0" w:color="auto"/>
                    <w:bottom w:val="none" w:sz="0" w:space="0" w:color="auto"/>
                    <w:right w:val="none" w:sz="0" w:space="0" w:color="auto"/>
                  </w:divBdr>
                  <w:divsChild>
                    <w:div w:id="2039037752">
                      <w:marLeft w:val="0"/>
                      <w:marRight w:val="0"/>
                      <w:marTop w:val="0"/>
                      <w:marBottom w:val="0"/>
                      <w:divBdr>
                        <w:top w:val="none" w:sz="0" w:space="0" w:color="auto"/>
                        <w:left w:val="none" w:sz="0" w:space="0" w:color="auto"/>
                        <w:bottom w:val="none" w:sz="0" w:space="0" w:color="auto"/>
                        <w:right w:val="none" w:sz="0" w:space="0" w:color="auto"/>
                      </w:divBdr>
                    </w:div>
                  </w:divsChild>
                </w:div>
                <w:div w:id="1547716504">
                  <w:marLeft w:val="0"/>
                  <w:marRight w:val="0"/>
                  <w:marTop w:val="0"/>
                  <w:marBottom w:val="0"/>
                  <w:divBdr>
                    <w:top w:val="none" w:sz="0" w:space="0" w:color="auto"/>
                    <w:left w:val="none" w:sz="0" w:space="0" w:color="auto"/>
                    <w:bottom w:val="none" w:sz="0" w:space="0" w:color="auto"/>
                    <w:right w:val="none" w:sz="0" w:space="0" w:color="auto"/>
                  </w:divBdr>
                  <w:divsChild>
                    <w:div w:id="1802992574">
                      <w:marLeft w:val="0"/>
                      <w:marRight w:val="0"/>
                      <w:marTop w:val="0"/>
                      <w:marBottom w:val="0"/>
                      <w:divBdr>
                        <w:top w:val="none" w:sz="0" w:space="0" w:color="auto"/>
                        <w:left w:val="none" w:sz="0" w:space="0" w:color="auto"/>
                        <w:bottom w:val="none" w:sz="0" w:space="0" w:color="auto"/>
                        <w:right w:val="none" w:sz="0" w:space="0" w:color="auto"/>
                      </w:divBdr>
                    </w:div>
                  </w:divsChild>
                </w:div>
                <w:div w:id="1865092812">
                  <w:marLeft w:val="0"/>
                  <w:marRight w:val="0"/>
                  <w:marTop w:val="0"/>
                  <w:marBottom w:val="0"/>
                  <w:divBdr>
                    <w:top w:val="none" w:sz="0" w:space="0" w:color="auto"/>
                    <w:left w:val="none" w:sz="0" w:space="0" w:color="auto"/>
                    <w:bottom w:val="none" w:sz="0" w:space="0" w:color="auto"/>
                    <w:right w:val="none" w:sz="0" w:space="0" w:color="auto"/>
                  </w:divBdr>
                  <w:divsChild>
                    <w:div w:id="144930991">
                      <w:marLeft w:val="0"/>
                      <w:marRight w:val="0"/>
                      <w:marTop w:val="0"/>
                      <w:marBottom w:val="0"/>
                      <w:divBdr>
                        <w:top w:val="none" w:sz="0" w:space="0" w:color="auto"/>
                        <w:left w:val="none" w:sz="0" w:space="0" w:color="auto"/>
                        <w:bottom w:val="none" w:sz="0" w:space="0" w:color="auto"/>
                        <w:right w:val="none" w:sz="0" w:space="0" w:color="auto"/>
                      </w:divBdr>
                    </w:div>
                  </w:divsChild>
                </w:div>
                <w:div w:id="1873033910">
                  <w:marLeft w:val="0"/>
                  <w:marRight w:val="0"/>
                  <w:marTop w:val="0"/>
                  <w:marBottom w:val="0"/>
                  <w:divBdr>
                    <w:top w:val="none" w:sz="0" w:space="0" w:color="auto"/>
                    <w:left w:val="none" w:sz="0" w:space="0" w:color="auto"/>
                    <w:bottom w:val="none" w:sz="0" w:space="0" w:color="auto"/>
                    <w:right w:val="none" w:sz="0" w:space="0" w:color="auto"/>
                  </w:divBdr>
                  <w:divsChild>
                    <w:div w:id="1415126248">
                      <w:marLeft w:val="0"/>
                      <w:marRight w:val="0"/>
                      <w:marTop w:val="0"/>
                      <w:marBottom w:val="0"/>
                      <w:divBdr>
                        <w:top w:val="none" w:sz="0" w:space="0" w:color="auto"/>
                        <w:left w:val="none" w:sz="0" w:space="0" w:color="auto"/>
                        <w:bottom w:val="none" w:sz="0" w:space="0" w:color="auto"/>
                        <w:right w:val="none" w:sz="0" w:space="0" w:color="auto"/>
                      </w:divBdr>
                    </w:div>
                  </w:divsChild>
                </w:div>
                <w:div w:id="1966691533">
                  <w:marLeft w:val="0"/>
                  <w:marRight w:val="0"/>
                  <w:marTop w:val="0"/>
                  <w:marBottom w:val="0"/>
                  <w:divBdr>
                    <w:top w:val="none" w:sz="0" w:space="0" w:color="auto"/>
                    <w:left w:val="none" w:sz="0" w:space="0" w:color="auto"/>
                    <w:bottom w:val="none" w:sz="0" w:space="0" w:color="auto"/>
                    <w:right w:val="none" w:sz="0" w:space="0" w:color="auto"/>
                  </w:divBdr>
                  <w:divsChild>
                    <w:div w:id="575672080">
                      <w:marLeft w:val="0"/>
                      <w:marRight w:val="0"/>
                      <w:marTop w:val="0"/>
                      <w:marBottom w:val="0"/>
                      <w:divBdr>
                        <w:top w:val="none" w:sz="0" w:space="0" w:color="auto"/>
                        <w:left w:val="none" w:sz="0" w:space="0" w:color="auto"/>
                        <w:bottom w:val="none" w:sz="0" w:space="0" w:color="auto"/>
                        <w:right w:val="none" w:sz="0" w:space="0" w:color="auto"/>
                      </w:divBdr>
                    </w:div>
                  </w:divsChild>
                </w:div>
                <w:div w:id="2024159855">
                  <w:marLeft w:val="0"/>
                  <w:marRight w:val="0"/>
                  <w:marTop w:val="0"/>
                  <w:marBottom w:val="0"/>
                  <w:divBdr>
                    <w:top w:val="none" w:sz="0" w:space="0" w:color="auto"/>
                    <w:left w:val="none" w:sz="0" w:space="0" w:color="auto"/>
                    <w:bottom w:val="none" w:sz="0" w:space="0" w:color="auto"/>
                    <w:right w:val="none" w:sz="0" w:space="0" w:color="auto"/>
                  </w:divBdr>
                  <w:divsChild>
                    <w:div w:id="2010981638">
                      <w:marLeft w:val="0"/>
                      <w:marRight w:val="0"/>
                      <w:marTop w:val="0"/>
                      <w:marBottom w:val="0"/>
                      <w:divBdr>
                        <w:top w:val="none" w:sz="0" w:space="0" w:color="auto"/>
                        <w:left w:val="none" w:sz="0" w:space="0" w:color="auto"/>
                        <w:bottom w:val="none" w:sz="0" w:space="0" w:color="auto"/>
                        <w:right w:val="none" w:sz="0" w:space="0" w:color="auto"/>
                      </w:divBdr>
                    </w:div>
                  </w:divsChild>
                </w:div>
                <w:div w:id="2032218956">
                  <w:marLeft w:val="0"/>
                  <w:marRight w:val="0"/>
                  <w:marTop w:val="0"/>
                  <w:marBottom w:val="0"/>
                  <w:divBdr>
                    <w:top w:val="none" w:sz="0" w:space="0" w:color="auto"/>
                    <w:left w:val="none" w:sz="0" w:space="0" w:color="auto"/>
                    <w:bottom w:val="none" w:sz="0" w:space="0" w:color="auto"/>
                    <w:right w:val="none" w:sz="0" w:space="0" w:color="auto"/>
                  </w:divBdr>
                  <w:divsChild>
                    <w:div w:id="55982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778326">
          <w:marLeft w:val="0"/>
          <w:marRight w:val="0"/>
          <w:marTop w:val="0"/>
          <w:marBottom w:val="0"/>
          <w:divBdr>
            <w:top w:val="none" w:sz="0" w:space="0" w:color="auto"/>
            <w:left w:val="none" w:sz="0" w:space="0" w:color="auto"/>
            <w:bottom w:val="none" w:sz="0" w:space="0" w:color="auto"/>
            <w:right w:val="none" w:sz="0" w:space="0" w:color="auto"/>
          </w:divBdr>
        </w:div>
      </w:divsChild>
    </w:div>
    <w:div w:id="1099836125">
      <w:bodyDiv w:val="1"/>
      <w:marLeft w:val="0"/>
      <w:marRight w:val="0"/>
      <w:marTop w:val="0"/>
      <w:marBottom w:val="0"/>
      <w:divBdr>
        <w:top w:val="none" w:sz="0" w:space="0" w:color="auto"/>
        <w:left w:val="none" w:sz="0" w:space="0" w:color="auto"/>
        <w:bottom w:val="none" w:sz="0" w:space="0" w:color="auto"/>
        <w:right w:val="none" w:sz="0" w:space="0" w:color="auto"/>
      </w:divBdr>
    </w:div>
    <w:div w:id="1104108632">
      <w:bodyDiv w:val="1"/>
      <w:marLeft w:val="0"/>
      <w:marRight w:val="0"/>
      <w:marTop w:val="0"/>
      <w:marBottom w:val="0"/>
      <w:divBdr>
        <w:top w:val="none" w:sz="0" w:space="0" w:color="auto"/>
        <w:left w:val="none" w:sz="0" w:space="0" w:color="auto"/>
        <w:bottom w:val="none" w:sz="0" w:space="0" w:color="auto"/>
        <w:right w:val="none" w:sz="0" w:space="0" w:color="auto"/>
      </w:divBdr>
    </w:div>
    <w:div w:id="1107120644">
      <w:bodyDiv w:val="1"/>
      <w:marLeft w:val="0"/>
      <w:marRight w:val="0"/>
      <w:marTop w:val="0"/>
      <w:marBottom w:val="0"/>
      <w:divBdr>
        <w:top w:val="none" w:sz="0" w:space="0" w:color="auto"/>
        <w:left w:val="none" w:sz="0" w:space="0" w:color="auto"/>
        <w:bottom w:val="none" w:sz="0" w:space="0" w:color="auto"/>
        <w:right w:val="none" w:sz="0" w:space="0" w:color="auto"/>
      </w:divBdr>
      <w:divsChild>
        <w:div w:id="1497764203">
          <w:marLeft w:val="0"/>
          <w:marRight w:val="0"/>
          <w:marTop w:val="0"/>
          <w:marBottom w:val="0"/>
          <w:divBdr>
            <w:top w:val="none" w:sz="0" w:space="0" w:color="auto"/>
            <w:left w:val="none" w:sz="0" w:space="0" w:color="auto"/>
            <w:bottom w:val="none" w:sz="0" w:space="0" w:color="auto"/>
            <w:right w:val="none" w:sz="0" w:space="0" w:color="auto"/>
          </w:divBdr>
        </w:div>
      </w:divsChild>
    </w:div>
    <w:div w:id="1108504466">
      <w:bodyDiv w:val="1"/>
      <w:marLeft w:val="0"/>
      <w:marRight w:val="0"/>
      <w:marTop w:val="0"/>
      <w:marBottom w:val="0"/>
      <w:divBdr>
        <w:top w:val="none" w:sz="0" w:space="0" w:color="auto"/>
        <w:left w:val="none" w:sz="0" w:space="0" w:color="auto"/>
        <w:bottom w:val="none" w:sz="0" w:space="0" w:color="auto"/>
        <w:right w:val="none" w:sz="0" w:space="0" w:color="auto"/>
      </w:divBdr>
      <w:divsChild>
        <w:div w:id="299697155">
          <w:marLeft w:val="0"/>
          <w:marRight w:val="0"/>
          <w:marTop w:val="0"/>
          <w:marBottom w:val="0"/>
          <w:divBdr>
            <w:top w:val="none" w:sz="0" w:space="0" w:color="auto"/>
            <w:left w:val="none" w:sz="0" w:space="0" w:color="auto"/>
            <w:bottom w:val="none" w:sz="0" w:space="0" w:color="auto"/>
            <w:right w:val="none" w:sz="0" w:space="0" w:color="auto"/>
          </w:divBdr>
          <w:divsChild>
            <w:div w:id="2146968756">
              <w:marLeft w:val="0"/>
              <w:marRight w:val="0"/>
              <w:marTop w:val="0"/>
              <w:marBottom w:val="0"/>
              <w:divBdr>
                <w:top w:val="none" w:sz="0" w:space="0" w:color="auto"/>
                <w:left w:val="none" w:sz="0" w:space="0" w:color="auto"/>
                <w:bottom w:val="none" w:sz="0" w:space="0" w:color="auto"/>
                <w:right w:val="none" w:sz="0" w:space="0" w:color="auto"/>
              </w:divBdr>
            </w:div>
          </w:divsChild>
        </w:div>
        <w:div w:id="336199853">
          <w:marLeft w:val="0"/>
          <w:marRight w:val="0"/>
          <w:marTop w:val="0"/>
          <w:marBottom w:val="0"/>
          <w:divBdr>
            <w:top w:val="none" w:sz="0" w:space="0" w:color="auto"/>
            <w:left w:val="none" w:sz="0" w:space="0" w:color="auto"/>
            <w:bottom w:val="none" w:sz="0" w:space="0" w:color="auto"/>
            <w:right w:val="none" w:sz="0" w:space="0" w:color="auto"/>
          </w:divBdr>
          <w:divsChild>
            <w:div w:id="1605265829">
              <w:marLeft w:val="0"/>
              <w:marRight w:val="0"/>
              <w:marTop w:val="0"/>
              <w:marBottom w:val="0"/>
              <w:divBdr>
                <w:top w:val="none" w:sz="0" w:space="0" w:color="auto"/>
                <w:left w:val="none" w:sz="0" w:space="0" w:color="auto"/>
                <w:bottom w:val="none" w:sz="0" w:space="0" w:color="auto"/>
                <w:right w:val="none" w:sz="0" w:space="0" w:color="auto"/>
              </w:divBdr>
            </w:div>
            <w:div w:id="2130472037">
              <w:marLeft w:val="0"/>
              <w:marRight w:val="0"/>
              <w:marTop w:val="0"/>
              <w:marBottom w:val="0"/>
              <w:divBdr>
                <w:top w:val="none" w:sz="0" w:space="0" w:color="auto"/>
                <w:left w:val="none" w:sz="0" w:space="0" w:color="auto"/>
                <w:bottom w:val="none" w:sz="0" w:space="0" w:color="auto"/>
                <w:right w:val="none" w:sz="0" w:space="0" w:color="auto"/>
              </w:divBdr>
            </w:div>
          </w:divsChild>
        </w:div>
        <w:div w:id="529683096">
          <w:marLeft w:val="0"/>
          <w:marRight w:val="0"/>
          <w:marTop w:val="0"/>
          <w:marBottom w:val="0"/>
          <w:divBdr>
            <w:top w:val="none" w:sz="0" w:space="0" w:color="auto"/>
            <w:left w:val="none" w:sz="0" w:space="0" w:color="auto"/>
            <w:bottom w:val="none" w:sz="0" w:space="0" w:color="auto"/>
            <w:right w:val="none" w:sz="0" w:space="0" w:color="auto"/>
          </w:divBdr>
          <w:divsChild>
            <w:div w:id="486435661">
              <w:marLeft w:val="0"/>
              <w:marRight w:val="0"/>
              <w:marTop w:val="0"/>
              <w:marBottom w:val="0"/>
              <w:divBdr>
                <w:top w:val="none" w:sz="0" w:space="0" w:color="auto"/>
                <w:left w:val="none" w:sz="0" w:space="0" w:color="auto"/>
                <w:bottom w:val="none" w:sz="0" w:space="0" w:color="auto"/>
                <w:right w:val="none" w:sz="0" w:space="0" w:color="auto"/>
              </w:divBdr>
            </w:div>
            <w:div w:id="1720468542">
              <w:marLeft w:val="0"/>
              <w:marRight w:val="0"/>
              <w:marTop w:val="0"/>
              <w:marBottom w:val="0"/>
              <w:divBdr>
                <w:top w:val="none" w:sz="0" w:space="0" w:color="auto"/>
                <w:left w:val="none" w:sz="0" w:space="0" w:color="auto"/>
                <w:bottom w:val="none" w:sz="0" w:space="0" w:color="auto"/>
                <w:right w:val="none" w:sz="0" w:space="0" w:color="auto"/>
              </w:divBdr>
            </w:div>
          </w:divsChild>
        </w:div>
        <w:div w:id="558907550">
          <w:marLeft w:val="0"/>
          <w:marRight w:val="0"/>
          <w:marTop w:val="0"/>
          <w:marBottom w:val="0"/>
          <w:divBdr>
            <w:top w:val="none" w:sz="0" w:space="0" w:color="auto"/>
            <w:left w:val="none" w:sz="0" w:space="0" w:color="auto"/>
            <w:bottom w:val="none" w:sz="0" w:space="0" w:color="auto"/>
            <w:right w:val="none" w:sz="0" w:space="0" w:color="auto"/>
          </w:divBdr>
          <w:divsChild>
            <w:div w:id="1525247048">
              <w:marLeft w:val="0"/>
              <w:marRight w:val="0"/>
              <w:marTop w:val="0"/>
              <w:marBottom w:val="0"/>
              <w:divBdr>
                <w:top w:val="none" w:sz="0" w:space="0" w:color="auto"/>
                <w:left w:val="none" w:sz="0" w:space="0" w:color="auto"/>
                <w:bottom w:val="none" w:sz="0" w:space="0" w:color="auto"/>
                <w:right w:val="none" w:sz="0" w:space="0" w:color="auto"/>
              </w:divBdr>
            </w:div>
            <w:div w:id="1755277879">
              <w:marLeft w:val="0"/>
              <w:marRight w:val="0"/>
              <w:marTop w:val="0"/>
              <w:marBottom w:val="0"/>
              <w:divBdr>
                <w:top w:val="none" w:sz="0" w:space="0" w:color="auto"/>
                <w:left w:val="none" w:sz="0" w:space="0" w:color="auto"/>
                <w:bottom w:val="none" w:sz="0" w:space="0" w:color="auto"/>
                <w:right w:val="none" w:sz="0" w:space="0" w:color="auto"/>
              </w:divBdr>
            </w:div>
          </w:divsChild>
        </w:div>
        <w:div w:id="595284380">
          <w:marLeft w:val="0"/>
          <w:marRight w:val="0"/>
          <w:marTop w:val="0"/>
          <w:marBottom w:val="0"/>
          <w:divBdr>
            <w:top w:val="none" w:sz="0" w:space="0" w:color="auto"/>
            <w:left w:val="none" w:sz="0" w:space="0" w:color="auto"/>
            <w:bottom w:val="none" w:sz="0" w:space="0" w:color="auto"/>
            <w:right w:val="none" w:sz="0" w:space="0" w:color="auto"/>
          </w:divBdr>
          <w:divsChild>
            <w:div w:id="1036008993">
              <w:marLeft w:val="0"/>
              <w:marRight w:val="0"/>
              <w:marTop w:val="0"/>
              <w:marBottom w:val="0"/>
              <w:divBdr>
                <w:top w:val="none" w:sz="0" w:space="0" w:color="auto"/>
                <w:left w:val="none" w:sz="0" w:space="0" w:color="auto"/>
                <w:bottom w:val="none" w:sz="0" w:space="0" w:color="auto"/>
                <w:right w:val="none" w:sz="0" w:space="0" w:color="auto"/>
              </w:divBdr>
            </w:div>
            <w:div w:id="1815903639">
              <w:marLeft w:val="0"/>
              <w:marRight w:val="0"/>
              <w:marTop w:val="0"/>
              <w:marBottom w:val="0"/>
              <w:divBdr>
                <w:top w:val="none" w:sz="0" w:space="0" w:color="auto"/>
                <w:left w:val="none" w:sz="0" w:space="0" w:color="auto"/>
                <w:bottom w:val="none" w:sz="0" w:space="0" w:color="auto"/>
                <w:right w:val="none" w:sz="0" w:space="0" w:color="auto"/>
              </w:divBdr>
            </w:div>
          </w:divsChild>
        </w:div>
        <w:div w:id="702677706">
          <w:marLeft w:val="0"/>
          <w:marRight w:val="0"/>
          <w:marTop w:val="0"/>
          <w:marBottom w:val="0"/>
          <w:divBdr>
            <w:top w:val="none" w:sz="0" w:space="0" w:color="auto"/>
            <w:left w:val="none" w:sz="0" w:space="0" w:color="auto"/>
            <w:bottom w:val="none" w:sz="0" w:space="0" w:color="auto"/>
            <w:right w:val="none" w:sz="0" w:space="0" w:color="auto"/>
          </w:divBdr>
          <w:divsChild>
            <w:div w:id="308094076">
              <w:marLeft w:val="0"/>
              <w:marRight w:val="0"/>
              <w:marTop w:val="0"/>
              <w:marBottom w:val="0"/>
              <w:divBdr>
                <w:top w:val="none" w:sz="0" w:space="0" w:color="auto"/>
                <w:left w:val="none" w:sz="0" w:space="0" w:color="auto"/>
                <w:bottom w:val="none" w:sz="0" w:space="0" w:color="auto"/>
                <w:right w:val="none" w:sz="0" w:space="0" w:color="auto"/>
              </w:divBdr>
            </w:div>
          </w:divsChild>
        </w:div>
        <w:div w:id="760839330">
          <w:marLeft w:val="0"/>
          <w:marRight w:val="0"/>
          <w:marTop w:val="0"/>
          <w:marBottom w:val="0"/>
          <w:divBdr>
            <w:top w:val="none" w:sz="0" w:space="0" w:color="auto"/>
            <w:left w:val="none" w:sz="0" w:space="0" w:color="auto"/>
            <w:bottom w:val="none" w:sz="0" w:space="0" w:color="auto"/>
            <w:right w:val="none" w:sz="0" w:space="0" w:color="auto"/>
          </w:divBdr>
          <w:divsChild>
            <w:div w:id="325086500">
              <w:marLeft w:val="0"/>
              <w:marRight w:val="0"/>
              <w:marTop w:val="0"/>
              <w:marBottom w:val="0"/>
              <w:divBdr>
                <w:top w:val="none" w:sz="0" w:space="0" w:color="auto"/>
                <w:left w:val="none" w:sz="0" w:space="0" w:color="auto"/>
                <w:bottom w:val="none" w:sz="0" w:space="0" w:color="auto"/>
                <w:right w:val="none" w:sz="0" w:space="0" w:color="auto"/>
              </w:divBdr>
            </w:div>
            <w:div w:id="1129787983">
              <w:marLeft w:val="0"/>
              <w:marRight w:val="0"/>
              <w:marTop w:val="0"/>
              <w:marBottom w:val="0"/>
              <w:divBdr>
                <w:top w:val="none" w:sz="0" w:space="0" w:color="auto"/>
                <w:left w:val="none" w:sz="0" w:space="0" w:color="auto"/>
                <w:bottom w:val="none" w:sz="0" w:space="0" w:color="auto"/>
                <w:right w:val="none" w:sz="0" w:space="0" w:color="auto"/>
              </w:divBdr>
            </w:div>
            <w:div w:id="1914316731">
              <w:marLeft w:val="0"/>
              <w:marRight w:val="0"/>
              <w:marTop w:val="0"/>
              <w:marBottom w:val="0"/>
              <w:divBdr>
                <w:top w:val="none" w:sz="0" w:space="0" w:color="auto"/>
                <w:left w:val="none" w:sz="0" w:space="0" w:color="auto"/>
                <w:bottom w:val="none" w:sz="0" w:space="0" w:color="auto"/>
                <w:right w:val="none" w:sz="0" w:space="0" w:color="auto"/>
              </w:divBdr>
            </w:div>
          </w:divsChild>
        </w:div>
        <w:div w:id="767972201">
          <w:marLeft w:val="0"/>
          <w:marRight w:val="0"/>
          <w:marTop w:val="0"/>
          <w:marBottom w:val="0"/>
          <w:divBdr>
            <w:top w:val="none" w:sz="0" w:space="0" w:color="auto"/>
            <w:left w:val="none" w:sz="0" w:space="0" w:color="auto"/>
            <w:bottom w:val="none" w:sz="0" w:space="0" w:color="auto"/>
            <w:right w:val="none" w:sz="0" w:space="0" w:color="auto"/>
          </w:divBdr>
          <w:divsChild>
            <w:div w:id="335227885">
              <w:marLeft w:val="0"/>
              <w:marRight w:val="0"/>
              <w:marTop w:val="0"/>
              <w:marBottom w:val="0"/>
              <w:divBdr>
                <w:top w:val="none" w:sz="0" w:space="0" w:color="auto"/>
                <w:left w:val="none" w:sz="0" w:space="0" w:color="auto"/>
                <w:bottom w:val="none" w:sz="0" w:space="0" w:color="auto"/>
                <w:right w:val="none" w:sz="0" w:space="0" w:color="auto"/>
              </w:divBdr>
            </w:div>
          </w:divsChild>
        </w:div>
        <w:div w:id="778724172">
          <w:marLeft w:val="0"/>
          <w:marRight w:val="0"/>
          <w:marTop w:val="0"/>
          <w:marBottom w:val="0"/>
          <w:divBdr>
            <w:top w:val="none" w:sz="0" w:space="0" w:color="auto"/>
            <w:left w:val="none" w:sz="0" w:space="0" w:color="auto"/>
            <w:bottom w:val="none" w:sz="0" w:space="0" w:color="auto"/>
            <w:right w:val="none" w:sz="0" w:space="0" w:color="auto"/>
          </w:divBdr>
          <w:divsChild>
            <w:div w:id="514416618">
              <w:marLeft w:val="0"/>
              <w:marRight w:val="0"/>
              <w:marTop w:val="0"/>
              <w:marBottom w:val="0"/>
              <w:divBdr>
                <w:top w:val="none" w:sz="0" w:space="0" w:color="auto"/>
                <w:left w:val="none" w:sz="0" w:space="0" w:color="auto"/>
                <w:bottom w:val="none" w:sz="0" w:space="0" w:color="auto"/>
                <w:right w:val="none" w:sz="0" w:space="0" w:color="auto"/>
              </w:divBdr>
            </w:div>
          </w:divsChild>
        </w:div>
        <w:div w:id="906263767">
          <w:marLeft w:val="0"/>
          <w:marRight w:val="0"/>
          <w:marTop w:val="0"/>
          <w:marBottom w:val="0"/>
          <w:divBdr>
            <w:top w:val="none" w:sz="0" w:space="0" w:color="auto"/>
            <w:left w:val="none" w:sz="0" w:space="0" w:color="auto"/>
            <w:bottom w:val="none" w:sz="0" w:space="0" w:color="auto"/>
            <w:right w:val="none" w:sz="0" w:space="0" w:color="auto"/>
          </w:divBdr>
          <w:divsChild>
            <w:div w:id="852838897">
              <w:marLeft w:val="0"/>
              <w:marRight w:val="0"/>
              <w:marTop w:val="0"/>
              <w:marBottom w:val="0"/>
              <w:divBdr>
                <w:top w:val="none" w:sz="0" w:space="0" w:color="auto"/>
                <w:left w:val="none" w:sz="0" w:space="0" w:color="auto"/>
                <w:bottom w:val="none" w:sz="0" w:space="0" w:color="auto"/>
                <w:right w:val="none" w:sz="0" w:space="0" w:color="auto"/>
              </w:divBdr>
            </w:div>
            <w:div w:id="1908566508">
              <w:marLeft w:val="0"/>
              <w:marRight w:val="0"/>
              <w:marTop w:val="0"/>
              <w:marBottom w:val="0"/>
              <w:divBdr>
                <w:top w:val="none" w:sz="0" w:space="0" w:color="auto"/>
                <w:left w:val="none" w:sz="0" w:space="0" w:color="auto"/>
                <w:bottom w:val="none" w:sz="0" w:space="0" w:color="auto"/>
                <w:right w:val="none" w:sz="0" w:space="0" w:color="auto"/>
              </w:divBdr>
            </w:div>
          </w:divsChild>
        </w:div>
        <w:div w:id="1247420798">
          <w:marLeft w:val="0"/>
          <w:marRight w:val="0"/>
          <w:marTop w:val="0"/>
          <w:marBottom w:val="0"/>
          <w:divBdr>
            <w:top w:val="none" w:sz="0" w:space="0" w:color="auto"/>
            <w:left w:val="none" w:sz="0" w:space="0" w:color="auto"/>
            <w:bottom w:val="none" w:sz="0" w:space="0" w:color="auto"/>
            <w:right w:val="none" w:sz="0" w:space="0" w:color="auto"/>
          </w:divBdr>
          <w:divsChild>
            <w:div w:id="176505539">
              <w:marLeft w:val="0"/>
              <w:marRight w:val="0"/>
              <w:marTop w:val="0"/>
              <w:marBottom w:val="0"/>
              <w:divBdr>
                <w:top w:val="none" w:sz="0" w:space="0" w:color="auto"/>
                <w:left w:val="none" w:sz="0" w:space="0" w:color="auto"/>
                <w:bottom w:val="none" w:sz="0" w:space="0" w:color="auto"/>
                <w:right w:val="none" w:sz="0" w:space="0" w:color="auto"/>
              </w:divBdr>
            </w:div>
          </w:divsChild>
        </w:div>
        <w:div w:id="1651444145">
          <w:marLeft w:val="0"/>
          <w:marRight w:val="0"/>
          <w:marTop w:val="0"/>
          <w:marBottom w:val="0"/>
          <w:divBdr>
            <w:top w:val="none" w:sz="0" w:space="0" w:color="auto"/>
            <w:left w:val="none" w:sz="0" w:space="0" w:color="auto"/>
            <w:bottom w:val="none" w:sz="0" w:space="0" w:color="auto"/>
            <w:right w:val="none" w:sz="0" w:space="0" w:color="auto"/>
          </w:divBdr>
          <w:divsChild>
            <w:div w:id="119148541">
              <w:marLeft w:val="0"/>
              <w:marRight w:val="0"/>
              <w:marTop w:val="0"/>
              <w:marBottom w:val="0"/>
              <w:divBdr>
                <w:top w:val="none" w:sz="0" w:space="0" w:color="auto"/>
                <w:left w:val="none" w:sz="0" w:space="0" w:color="auto"/>
                <w:bottom w:val="none" w:sz="0" w:space="0" w:color="auto"/>
                <w:right w:val="none" w:sz="0" w:space="0" w:color="auto"/>
              </w:divBdr>
            </w:div>
            <w:div w:id="1211110388">
              <w:marLeft w:val="0"/>
              <w:marRight w:val="0"/>
              <w:marTop w:val="0"/>
              <w:marBottom w:val="0"/>
              <w:divBdr>
                <w:top w:val="none" w:sz="0" w:space="0" w:color="auto"/>
                <w:left w:val="none" w:sz="0" w:space="0" w:color="auto"/>
                <w:bottom w:val="none" w:sz="0" w:space="0" w:color="auto"/>
                <w:right w:val="none" w:sz="0" w:space="0" w:color="auto"/>
              </w:divBdr>
            </w:div>
          </w:divsChild>
        </w:div>
        <w:div w:id="1658608728">
          <w:marLeft w:val="0"/>
          <w:marRight w:val="0"/>
          <w:marTop w:val="0"/>
          <w:marBottom w:val="0"/>
          <w:divBdr>
            <w:top w:val="none" w:sz="0" w:space="0" w:color="auto"/>
            <w:left w:val="none" w:sz="0" w:space="0" w:color="auto"/>
            <w:bottom w:val="none" w:sz="0" w:space="0" w:color="auto"/>
            <w:right w:val="none" w:sz="0" w:space="0" w:color="auto"/>
          </w:divBdr>
          <w:divsChild>
            <w:div w:id="151064369">
              <w:marLeft w:val="0"/>
              <w:marRight w:val="0"/>
              <w:marTop w:val="0"/>
              <w:marBottom w:val="0"/>
              <w:divBdr>
                <w:top w:val="none" w:sz="0" w:space="0" w:color="auto"/>
                <w:left w:val="none" w:sz="0" w:space="0" w:color="auto"/>
                <w:bottom w:val="none" w:sz="0" w:space="0" w:color="auto"/>
                <w:right w:val="none" w:sz="0" w:space="0" w:color="auto"/>
              </w:divBdr>
            </w:div>
            <w:div w:id="1766077633">
              <w:marLeft w:val="0"/>
              <w:marRight w:val="0"/>
              <w:marTop w:val="0"/>
              <w:marBottom w:val="0"/>
              <w:divBdr>
                <w:top w:val="none" w:sz="0" w:space="0" w:color="auto"/>
                <w:left w:val="none" w:sz="0" w:space="0" w:color="auto"/>
                <w:bottom w:val="none" w:sz="0" w:space="0" w:color="auto"/>
                <w:right w:val="none" w:sz="0" w:space="0" w:color="auto"/>
              </w:divBdr>
            </w:div>
          </w:divsChild>
        </w:div>
        <w:div w:id="1841382177">
          <w:marLeft w:val="0"/>
          <w:marRight w:val="0"/>
          <w:marTop w:val="0"/>
          <w:marBottom w:val="0"/>
          <w:divBdr>
            <w:top w:val="none" w:sz="0" w:space="0" w:color="auto"/>
            <w:left w:val="none" w:sz="0" w:space="0" w:color="auto"/>
            <w:bottom w:val="none" w:sz="0" w:space="0" w:color="auto"/>
            <w:right w:val="none" w:sz="0" w:space="0" w:color="auto"/>
          </w:divBdr>
          <w:divsChild>
            <w:div w:id="753404151">
              <w:marLeft w:val="0"/>
              <w:marRight w:val="0"/>
              <w:marTop w:val="0"/>
              <w:marBottom w:val="0"/>
              <w:divBdr>
                <w:top w:val="none" w:sz="0" w:space="0" w:color="auto"/>
                <w:left w:val="none" w:sz="0" w:space="0" w:color="auto"/>
                <w:bottom w:val="none" w:sz="0" w:space="0" w:color="auto"/>
                <w:right w:val="none" w:sz="0" w:space="0" w:color="auto"/>
              </w:divBdr>
            </w:div>
          </w:divsChild>
        </w:div>
        <w:div w:id="1965649321">
          <w:marLeft w:val="0"/>
          <w:marRight w:val="0"/>
          <w:marTop w:val="0"/>
          <w:marBottom w:val="0"/>
          <w:divBdr>
            <w:top w:val="none" w:sz="0" w:space="0" w:color="auto"/>
            <w:left w:val="none" w:sz="0" w:space="0" w:color="auto"/>
            <w:bottom w:val="none" w:sz="0" w:space="0" w:color="auto"/>
            <w:right w:val="none" w:sz="0" w:space="0" w:color="auto"/>
          </w:divBdr>
          <w:divsChild>
            <w:div w:id="2104522059">
              <w:marLeft w:val="0"/>
              <w:marRight w:val="0"/>
              <w:marTop w:val="0"/>
              <w:marBottom w:val="0"/>
              <w:divBdr>
                <w:top w:val="none" w:sz="0" w:space="0" w:color="auto"/>
                <w:left w:val="none" w:sz="0" w:space="0" w:color="auto"/>
                <w:bottom w:val="none" w:sz="0" w:space="0" w:color="auto"/>
                <w:right w:val="none" w:sz="0" w:space="0" w:color="auto"/>
              </w:divBdr>
            </w:div>
          </w:divsChild>
        </w:div>
        <w:div w:id="2141262323">
          <w:marLeft w:val="0"/>
          <w:marRight w:val="0"/>
          <w:marTop w:val="0"/>
          <w:marBottom w:val="0"/>
          <w:divBdr>
            <w:top w:val="none" w:sz="0" w:space="0" w:color="auto"/>
            <w:left w:val="none" w:sz="0" w:space="0" w:color="auto"/>
            <w:bottom w:val="none" w:sz="0" w:space="0" w:color="auto"/>
            <w:right w:val="none" w:sz="0" w:space="0" w:color="auto"/>
          </w:divBdr>
          <w:divsChild>
            <w:div w:id="915093207">
              <w:marLeft w:val="0"/>
              <w:marRight w:val="0"/>
              <w:marTop w:val="0"/>
              <w:marBottom w:val="0"/>
              <w:divBdr>
                <w:top w:val="none" w:sz="0" w:space="0" w:color="auto"/>
                <w:left w:val="none" w:sz="0" w:space="0" w:color="auto"/>
                <w:bottom w:val="none" w:sz="0" w:space="0" w:color="auto"/>
                <w:right w:val="none" w:sz="0" w:space="0" w:color="auto"/>
              </w:divBdr>
            </w:div>
            <w:div w:id="191531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109913">
      <w:bodyDiv w:val="1"/>
      <w:marLeft w:val="0"/>
      <w:marRight w:val="0"/>
      <w:marTop w:val="0"/>
      <w:marBottom w:val="0"/>
      <w:divBdr>
        <w:top w:val="none" w:sz="0" w:space="0" w:color="auto"/>
        <w:left w:val="none" w:sz="0" w:space="0" w:color="auto"/>
        <w:bottom w:val="none" w:sz="0" w:space="0" w:color="auto"/>
        <w:right w:val="none" w:sz="0" w:space="0" w:color="auto"/>
      </w:divBdr>
      <w:divsChild>
        <w:div w:id="264848446">
          <w:marLeft w:val="0"/>
          <w:marRight w:val="0"/>
          <w:marTop w:val="0"/>
          <w:marBottom w:val="0"/>
          <w:divBdr>
            <w:top w:val="none" w:sz="0" w:space="0" w:color="auto"/>
            <w:left w:val="none" w:sz="0" w:space="0" w:color="auto"/>
            <w:bottom w:val="none" w:sz="0" w:space="0" w:color="auto"/>
            <w:right w:val="none" w:sz="0" w:space="0" w:color="auto"/>
          </w:divBdr>
        </w:div>
        <w:div w:id="307250825">
          <w:marLeft w:val="0"/>
          <w:marRight w:val="0"/>
          <w:marTop w:val="0"/>
          <w:marBottom w:val="0"/>
          <w:divBdr>
            <w:top w:val="none" w:sz="0" w:space="0" w:color="auto"/>
            <w:left w:val="none" w:sz="0" w:space="0" w:color="auto"/>
            <w:bottom w:val="none" w:sz="0" w:space="0" w:color="auto"/>
            <w:right w:val="none" w:sz="0" w:space="0" w:color="auto"/>
          </w:divBdr>
        </w:div>
        <w:div w:id="544945408">
          <w:marLeft w:val="0"/>
          <w:marRight w:val="0"/>
          <w:marTop w:val="0"/>
          <w:marBottom w:val="0"/>
          <w:divBdr>
            <w:top w:val="none" w:sz="0" w:space="0" w:color="auto"/>
            <w:left w:val="none" w:sz="0" w:space="0" w:color="auto"/>
            <w:bottom w:val="none" w:sz="0" w:space="0" w:color="auto"/>
            <w:right w:val="none" w:sz="0" w:space="0" w:color="auto"/>
          </w:divBdr>
          <w:divsChild>
            <w:div w:id="366487609">
              <w:marLeft w:val="-75"/>
              <w:marRight w:val="0"/>
              <w:marTop w:val="30"/>
              <w:marBottom w:val="30"/>
              <w:divBdr>
                <w:top w:val="none" w:sz="0" w:space="0" w:color="auto"/>
                <w:left w:val="none" w:sz="0" w:space="0" w:color="auto"/>
                <w:bottom w:val="none" w:sz="0" w:space="0" w:color="auto"/>
                <w:right w:val="none" w:sz="0" w:space="0" w:color="auto"/>
              </w:divBdr>
              <w:divsChild>
                <w:div w:id="2511279">
                  <w:marLeft w:val="0"/>
                  <w:marRight w:val="0"/>
                  <w:marTop w:val="0"/>
                  <w:marBottom w:val="0"/>
                  <w:divBdr>
                    <w:top w:val="none" w:sz="0" w:space="0" w:color="auto"/>
                    <w:left w:val="none" w:sz="0" w:space="0" w:color="auto"/>
                    <w:bottom w:val="none" w:sz="0" w:space="0" w:color="auto"/>
                    <w:right w:val="none" w:sz="0" w:space="0" w:color="auto"/>
                  </w:divBdr>
                  <w:divsChild>
                    <w:div w:id="2032489331">
                      <w:marLeft w:val="0"/>
                      <w:marRight w:val="0"/>
                      <w:marTop w:val="0"/>
                      <w:marBottom w:val="0"/>
                      <w:divBdr>
                        <w:top w:val="none" w:sz="0" w:space="0" w:color="auto"/>
                        <w:left w:val="none" w:sz="0" w:space="0" w:color="auto"/>
                        <w:bottom w:val="none" w:sz="0" w:space="0" w:color="auto"/>
                        <w:right w:val="none" w:sz="0" w:space="0" w:color="auto"/>
                      </w:divBdr>
                    </w:div>
                  </w:divsChild>
                </w:div>
                <w:div w:id="23870294">
                  <w:marLeft w:val="0"/>
                  <w:marRight w:val="0"/>
                  <w:marTop w:val="0"/>
                  <w:marBottom w:val="0"/>
                  <w:divBdr>
                    <w:top w:val="none" w:sz="0" w:space="0" w:color="auto"/>
                    <w:left w:val="none" w:sz="0" w:space="0" w:color="auto"/>
                    <w:bottom w:val="none" w:sz="0" w:space="0" w:color="auto"/>
                    <w:right w:val="none" w:sz="0" w:space="0" w:color="auto"/>
                  </w:divBdr>
                  <w:divsChild>
                    <w:div w:id="382608233">
                      <w:marLeft w:val="0"/>
                      <w:marRight w:val="0"/>
                      <w:marTop w:val="0"/>
                      <w:marBottom w:val="0"/>
                      <w:divBdr>
                        <w:top w:val="none" w:sz="0" w:space="0" w:color="auto"/>
                        <w:left w:val="none" w:sz="0" w:space="0" w:color="auto"/>
                        <w:bottom w:val="none" w:sz="0" w:space="0" w:color="auto"/>
                        <w:right w:val="none" w:sz="0" w:space="0" w:color="auto"/>
                      </w:divBdr>
                    </w:div>
                  </w:divsChild>
                </w:div>
                <w:div w:id="29771595">
                  <w:marLeft w:val="0"/>
                  <w:marRight w:val="0"/>
                  <w:marTop w:val="0"/>
                  <w:marBottom w:val="0"/>
                  <w:divBdr>
                    <w:top w:val="none" w:sz="0" w:space="0" w:color="auto"/>
                    <w:left w:val="none" w:sz="0" w:space="0" w:color="auto"/>
                    <w:bottom w:val="none" w:sz="0" w:space="0" w:color="auto"/>
                    <w:right w:val="none" w:sz="0" w:space="0" w:color="auto"/>
                  </w:divBdr>
                  <w:divsChild>
                    <w:div w:id="332416609">
                      <w:marLeft w:val="0"/>
                      <w:marRight w:val="0"/>
                      <w:marTop w:val="0"/>
                      <w:marBottom w:val="0"/>
                      <w:divBdr>
                        <w:top w:val="none" w:sz="0" w:space="0" w:color="auto"/>
                        <w:left w:val="none" w:sz="0" w:space="0" w:color="auto"/>
                        <w:bottom w:val="none" w:sz="0" w:space="0" w:color="auto"/>
                        <w:right w:val="none" w:sz="0" w:space="0" w:color="auto"/>
                      </w:divBdr>
                    </w:div>
                  </w:divsChild>
                </w:div>
                <w:div w:id="53699015">
                  <w:marLeft w:val="0"/>
                  <w:marRight w:val="0"/>
                  <w:marTop w:val="0"/>
                  <w:marBottom w:val="0"/>
                  <w:divBdr>
                    <w:top w:val="none" w:sz="0" w:space="0" w:color="auto"/>
                    <w:left w:val="none" w:sz="0" w:space="0" w:color="auto"/>
                    <w:bottom w:val="none" w:sz="0" w:space="0" w:color="auto"/>
                    <w:right w:val="none" w:sz="0" w:space="0" w:color="auto"/>
                  </w:divBdr>
                  <w:divsChild>
                    <w:div w:id="1099057921">
                      <w:marLeft w:val="0"/>
                      <w:marRight w:val="0"/>
                      <w:marTop w:val="0"/>
                      <w:marBottom w:val="0"/>
                      <w:divBdr>
                        <w:top w:val="none" w:sz="0" w:space="0" w:color="auto"/>
                        <w:left w:val="none" w:sz="0" w:space="0" w:color="auto"/>
                        <w:bottom w:val="none" w:sz="0" w:space="0" w:color="auto"/>
                        <w:right w:val="none" w:sz="0" w:space="0" w:color="auto"/>
                      </w:divBdr>
                    </w:div>
                  </w:divsChild>
                </w:div>
                <w:div w:id="56782425">
                  <w:marLeft w:val="0"/>
                  <w:marRight w:val="0"/>
                  <w:marTop w:val="0"/>
                  <w:marBottom w:val="0"/>
                  <w:divBdr>
                    <w:top w:val="none" w:sz="0" w:space="0" w:color="auto"/>
                    <w:left w:val="none" w:sz="0" w:space="0" w:color="auto"/>
                    <w:bottom w:val="none" w:sz="0" w:space="0" w:color="auto"/>
                    <w:right w:val="none" w:sz="0" w:space="0" w:color="auto"/>
                  </w:divBdr>
                  <w:divsChild>
                    <w:div w:id="1863854236">
                      <w:marLeft w:val="0"/>
                      <w:marRight w:val="0"/>
                      <w:marTop w:val="0"/>
                      <w:marBottom w:val="0"/>
                      <w:divBdr>
                        <w:top w:val="none" w:sz="0" w:space="0" w:color="auto"/>
                        <w:left w:val="none" w:sz="0" w:space="0" w:color="auto"/>
                        <w:bottom w:val="none" w:sz="0" w:space="0" w:color="auto"/>
                        <w:right w:val="none" w:sz="0" w:space="0" w:color="auto"/>
                      </w:divBdr>
                    </w:div>
                  </w:divsChild>
                </w:div>
                <w:div w:id="58552605">
                  <w:marLeft w:val="0"/>
                  <w:marRight w:val="0"/>
                  <w:marTop w:val="0"/>
                  <w:marBottom w:val="0"/>
                  <w:divBdr>
                    <w:top w:val="none" w:sz="0" w:space="0" w:color="auto"/>
                    <w:left w:val="none" w:sz="0" w:space="0" w:color="auto"/>
                    <w:bottom w:val="none" w:sz="0" w:space="0" w:color="auto"/>
                    <w:right w:val="none" w:sz="0" w:space="0" w:color="auto"/>
                  </w:divBdr>
                  <w:divsChild>
                    <w:div w:id="2010135803">
                      <w:marLeft w:val="0"/>
                      <w:marRight w:val="0"/>
                      <w:marTop w:val="0"/>
                      <w:marBottom w:val="0"/>
                      <w:divBdr>
                        <w:top w:val="none" w:sz="0" w:space="0" w:color="auto"/>
                        <w:left w:val="none" w:sz="0" w:space="0" w:color="auto"/>
                        <w:bottom w:val="none" w:sz="0" w:space="0" w:color="auto"/>
                        <w:right w:val="none" w:sz="0" w:space="0" w:color="auto"/>
                      </w:divBdr>
                    </w:div>
                  </w:divsChild>
                </w:div>
                <w:div w:id="85931381">
                  <w:marLeft w:val="0"/>
                  <w:marRight w:val="0"/>
                  <w:marTop w:val="0"/>
                  <w:marBottom w:val="0"/>
                  <w:divBdr>
                    <w:top w:val="none" w:sz="0" w:space="0" w:color="auto"/>
                    <w:left w:val="none" w:sz="0" w:space="0" w:color="auto"/>
                    <w:bottom w:val="none" w:sz="0" w:space="0" w:color="auto"/>
                    <w:right w:val="none" w:sz="0" w:space="0" w:color="auto"/>
                  </w:divBdr>
                  <w:divsChild>
                    <w:div w:id="222448318">
                      <w:marLeft w:val="0"/>
                      <w:marRight w:val="0"/>
                      <w:marTop w:val="0"/>
                      <w:marBottom w:val="0"/>
                      <w:divBdr>
                        <w:top w:val="none" w:sz="0" w:space="0" w:color="auto"/>
                        <w:left w:val="none" w:sz="0" w:space="0" w:color="auto"/>
                        <w:bottom w:val="none" w:sz="0" w:space="0" w:color="auto"/>
                        <w:right w:val="none" w:sz="0" w:space="0" w:color="auto"/>
                      </w:divBdr>
                    </w:div>
                  </w:divsChild>
                </w:div>
                <w:div w:id="90324066">
                  <w:marLeft w:val="0"/>
                  <w:marRight w:val="0"/>
                  <w:marTop w:val="0"/>
                  <w:marBottom w:val="0"/>
                  <w:divBdr>
                    <w:top w:val="none" w:sz="0" w:space="0" w:color="auto"/>
                    <w:left w:val="none" w:sz="0" w:space="0" w:color="auto"/>
                    <w:bottom w:val="none" w:sz="0" w:space="0" w:color="auto"/>
                    <w:right w:val="none" w:sz="0" w:space="0" w:color="auto"/>
                  </w:divBdr>
                  <w:divsChild>
                    <w:div w:id="671568191">
                      <w:marLeft w:val="0"/>
                      <w:marRight w:val="0"/>
                      <w:marTop w:val="0"/>
                      <w:marBottom w:val="0"/>
                      <w:divBdr>
                        <w:top w:val="none" w:sz="0" w:space="0" w:color="auto"/>
                        <w:left w:val="none" w:sz="0" w:space="0" w:color="auto"/>
                        <w:bottom w:val="none" w:sz="0" w:space="0" w:color="auto"/>
                        <w:right w:val="none" w:sz="0" w:space="0" w:color="auto"/>
                      </w:divBdr>
                    </w:div>
                  </w:divsChild>
                </w:div>
                <w:div w:id="98991696">
                  <w:marLeft w:val="0"/>
                  <w:marRight w:val="0"/>
                  <w:marTop w:val="0"/>
                  <w:marBottom w:val="0"/>
                  <w:divBdr>
                    <w:top w:val="none" w:sz="0" w:space="0" w:color="auto"/>
                    <w:left w:val="none" w:sz="0" w:space="0" w:color="auto"/>
                    <w:bottom w:val="none" w:sz="0" w:space="0" w:color="auto"/>
                    <w:right w:val="none" w:sz="0" w:space="0" w:color="auto"/>
                  </w:divBdr>
                  <w:divsChild>
                    <w:div w:id="900021946">
                      <w:marLeft w:val="0"/>
                      <w:marRight w:val="0"/>
                      <w:marTop w:val="0"/>
                      <w:marBottom w:val="0"/>
                      <w:divBdr>
                        <w:top w:val="none" w:sz="0" w:space="0" w:color="auto"/>
                        <w:left w:val="none" w:sz="0" w:space="0" w:color="auto"/>
                        <w:bottom w:val="none" w:sz="0" w:space="0" w:color="auto"/>
                        <w:right w:val="none" w:sz="0" w:space="0" w:color="auto"/>
                      </w:divBdr>
                    </w:div>
                  </w:divsChild>
                </w:div>
                <w:div w:id="107087052">
                  <w:marLeft w:val="0"/>
                  <w:marRight w:val="0"/>
                  <w:marTop w:val="0"/>
                  <w:marBottom w:val="0"/>
                  <w:divBdr>
                    <w:top w:val="none" w:sz="0" w:space="0" w:color="auto"/>
                    <w:left w:val="none" w:sz="0" w:space="0" w:color="auto"/>
                    <w:bottom w:val="none" w:sz="0" w:space="0" w:color="auto"/>
                    <w:right w:val="none" w:sz="0" w:space="0" w:color="auto"/>
                  </w:divBdr>
                  <w:divsChild>
                    <w:div w:id="1328557937">
                      <w:marLeft w:val="0"/>
                      <w:marRight w:val="0"/>
                      <w:marTop w:val="0"/>
                      <w:marBottom w:val="0"/>
                      <w:divBdr>
                        <w:top w:val="none" w:sz="0" w:space="0" w:color="auto"/>
                        <w:left w:val="none" w:sz="0" w:space="0" w:color="auto"/>
                        <w:bottom w:val="none" w:sz="0" w:space="0" w:color="auto"/>
                        <w:right w:val="none" w:sz="0" w:space="0" w:color="auto"/>
                      </w:divBdr>
                    </w:div>
                  </w:divsChild>
                </w:div>
                <w:div w:id="127432921">
                  <w:marLeft w:val="0"/>
                  <w:marRight w:val="0"/>
                  <w:marTop w:val="0"/>
                  <w:marBottom w:val="0"/>
                  <w:divBdr>
                    <w:top w:val="none" w:sz="0" w:space="0" w:color="auto"/>
                    <w:left w:val="none" w:sz="0" w:space="0" w:color="auto"/>
                    <w:bottom w:val="none" w:sz="0" w:space="0" w:color="auto"/>
                    <w:right w:val="none" w:sz="0" w:space="0" w:color="auto"/>
                  </w:divBdr>
                  <w:divsChild>
                    <w:div w:id="534587815">
                      <w:marLeft w:val="0"/>
                      <w:marRight w:val="0"/>
                      <w:marTop w:val="0"/>
                      <w:marBottom w:val="0"/>
                      <w:divBdr>
                        <w:top w:val="none" w:sz="0" w:space="0" w:color="auto"/>
                        <w:left w:val="none" w:sz="0" w:space="0" w:color="auto"/>
                        <w:bottom w:val="none" w:sz="0" w:space="0" w:color="auto"/>
                        <w:right w:val="none" w:sz="0" w:space="0" w:color="auto"/>
                      </w:divBdr>
                    </w:div>
                  </w:divsChild>
                </w:div>
                <w:div w:id="149712419">
                  <w:marLeft w:val="0"/>
                  <w:marRight w:val="0"/>
                  <w:marTop w:val="0"/>
                  <w:marBottom w:val="0"/>
                  <w:divBdr>
                    <w:top w:val="none" w:sz="0" w:space="0" w:color="auto"/>
                    <w:left w:val="none" w:sz="0" w:space="0" w:color="auto"/>
                    <w:bottom w:val="none" w:sz="0" w:space="0" w:color="auto"/>
                    <w:right w:val="none" w:sz="0" w:space="0" w:color="auto"/>
                  </w:divBdr>
                  <w:divsChild>
                    <w:div w:id="2144731683">
                      <w:marLeft w:val="0"/>
                      <w:marRight w:val="0"/>
                      <w:marTop w:val="0"/>
                      <w:marBottom w:val="0"/>
                      <w:divBdr>
                        <w:top w:val="none" w:sz="0" w:space="0" w:color="auto"/>
                        <w:left w:val="none" w:sz="0" w:space="0" w:color="auto"/>
                        <w:bottom w:val="none" w:sz="0" w:space="0" w:color="auto"/>
                        <w:right w:val="none" w:sz="0" w:space="0" w:color="auto"/>
                      </w:divBdr>
                    </w:div>
                  </w:divsChild>
                </w:div>
                <w:div w:id="179903811">
                  <w:marLeft w:val="0"/>
                  <w:marRight w:val="0"/>
                  <w:marTop w:val="0"/>
                  <w:marBottom w:val="0"/>
                  <w:divBdr>
                    <w:top w:val="none" w:sz="0" w:space="0" w:color="auto"/>
                    <w:left w:val="none" w:sz="0" w:space="0" w:color="auto"/>
                    <w:bottom w:val="none" w:sz="0" w:space="0" w:color="auto"/>
                    <w:right w:val="none" w:sz="0" w:space="0" w:color="auto"/>
                  </w:divBdr>
                  <w:divsChild>
                    <w:div w:id="1406151880">
                      <w:marLeft w:val="0"/>
                      <w:marRight w:val="0"/>
                      <w:marTop w:val="0"/>
                      <w:marBottom w:val="0"/>
                      <w:divBdr>
                        <w:top w:val="none" w:sz="0" w:space="0" w:color="auto"/>
                        <w:left w:val="none" w:sz="0" w:space="0" w:color="auto"/>
                        <w:bottom w:val="none" w:sz="0" w:space="0" w:color="auto"/>
                        <w:right w:val="none" w:sz="0" w:space="0" w:color="auto"/>
                      </w:divBdr>
                    </w:div>
                  </w:divsChild>
                </w:div>
                <w:div w:id="200437043">
                  <w:marLeft w:val="0"/>
                  <w:marRight w:val="0"/>
                  <w:marTop w:val="0"/>
                  <w:marBottom w:val="0"/>
                  <w:divBdr>
                    <w:top w:val="none" w:sz="0" w:space="0" w:color="auto"/>
                    <w:left w:val="none" w:sz="0" w:space="0" w:color="auto"/>
                    <w:bottom w:val="none" w:sz="0" w:space="0" w:color="auto"/>
                    <w:right w:val="none" w:sz="0" w:space="0" w:color="auto"/>
                  </w:divBdr>
                  <w:divsChild>
                    <w:div w:id="563301575">
                      <w:marLeft w:val="0"/>
                      <w:marRight w:val="0"/>
                      <w:marTop w:val="0"/>
                      <w:marBottom w:val="0"/>
                      <w:divBdr>
                        <w:top w:val="none" w:sz="0" w:space="0" w:color="auto"/>
                        <w:left w:val="none" w:sz="0" w:space="0" w:color="auto"/>
                        <w:bottom w:val="none" w:sz="0" w:space="0" w:color="auto"/>
                        <w:right w:val="none" w:sz="0" w:space="0" w:color="auto"/>
                      </w:divBdr>
                    </w:div>
                  </w:divsChild>
                </w:div>
                <w:div w:id="203298522">
                  <w:marLeft w:val="0"/>
                  <w:marRight w:val="0"/>
                  <w:marTop w:val="0"/>
                  <w:marBottom w:val="0"/>
                  <w:divBdr>
                    <w:top w:val="none" w:sz="0" w:space="0" w:color="auto"/>
                    <w:left w:val="none" w:sz="0" w:space="0" w:color="auto"/>
                    <w:bottom w:val="none" w:sz="0" w:space="0" w:color="auto"/>
                    <w:right w:val="none" w:sz="0" w:space="0" w:color="auto"/>
                  </w:divBdr>
                  <w:divsChild>
                    <w:div w:id="963272367">
                      <w:marLeft w:val="0"/>
                      <w:marRight w:val="0"/>
                      <w:marTop w:val="0"/>
                      <w:marBottom w:val="0"/>
                      <w:divBdr>
                        <w:top w:val="none" w:sz="0" w:space="0" w:color="auto"/>
                        <w:left w:val="none" w:sz="0" w:space="0" w:color="auto"/>
                        <w:bottom w:val="none" w:sz="0" w:space="0" w:color="auto"/>
                        <w:right w:val="none" w:sz="0" w:space="0" w:color="auto"/>
                      </w:divBdr>
                    </w:div>
                  </w:divsChild>
                </w:div>
                <w:div w:id="230359815">
                  <w:marLeft w:val="0"/>
                  <w:marRight w:val="0"/>
                  <w:marTop w:val="0"/>
                  <w:marBottom w:val="0"/>
                  <w:divBdr>
                    <w:top w:val="none" w:sz="0" w:space="0" w:color="auto"/>
                    <w:left w:val="none" w:sz="0" w:space="0" w:color="auto"/>
                    <w:bottom w:val="none" w:sz="0" w:space="0" w:color="auto"/>
                    <w:right w:val="none" w:sz="0" w:space="0" w:color="auto"/>
                  </w:divBdr>
                  <w:divsChild>
                    <w:div w:id="383607008">
                      <w:marLeft w:val="0"/>
                      <w:marRight w:val="0"/>
                      <w:marTop w:val="0"/>
                      <w:marBottom w:val="0"/>
                      <w:divBdr>
                        <w:top w:val="none" w:sz="0" w:space="0" w:color="auto"/>
                        <w:left w:val="none" w:sz="0" w:space="0" w:color="auto"/>
                        <w:bottom w:val="none" w:sz="0" w:space="0" w:color="auto"/>
                        <w:right w:val="none" w:sz="0" w:space="0" w:color="auto"/>
                      </w:divBdr>
                    </w:div>
                  </w:divsChild>
                </w:div>
                <w:div w:id="231041696">
                  <w:marLeft w:val="0"/>
                  <w:marRight w:val="0"/>
                  <w:marTop w:val="0"/>
                  <w:marBottom w:val="0"/>
                  <w:divBdr>
                    <w:top w:val="none" w:sz="0" w:space="0" w:color="auto"/>
                    <w:left w:val="none" w:sz="0" w:space="0" w:color="auto"/>
                    <w:bottom w:val="none" w:sz="0" w:space="0" w:color="auto"/>
                    <w:right w:val="none" w:sz="0" w:space="0" w:color="auto"/>
                  </w:divBdr>
                  <w:divsChild>
                    <w:div w:id="258375376">
                      <w:marLeft w:val="0"/>
                      <w:marRight w:val="0"/>
                      <w:marTop w:val="0"/>
                      <w:marBottom w:val="0"/>
                      <w:divBdr>
                        <w:top w:val="none" w:sz="0" w:space="0" w:color="auto"/>
                        <w:left w:val="none" w:sz="0" w:space="0" w:color="auto"/>
                        <w:bottom w:val="none" w:sz="0" w:space="0" w:color="auto"/>
                        <w:right w:val="none" w:sz="0" w:space="0" w:color="auto"/>
                      </w:divBdr>
                    </w:div>
                  </w:divsChild>
                </w:div>
                <w:div w:id="233439786">
                  <w:marLeft w:val="0"/>
                  <w:marRight w:val="0"/>
                  <w:marTop w:val="0"/>
                  <w:marBottom w:val="0"/>
                  <w:divBdr>
                    <w:top w:val="none" w:sz="0" w:space="0" w:color="auto"/>
                    <w:left w:val="none" w:sz="0" w:space="0" w:color="auto"/>
                    <w:bottom w:val="none" w:sz="0" w:space="0" w:color="auto"/>
                    <w:right w:val="none" w:sz="0" w:space="0" w:color="auto"/>
                  </w:divBdr>
                  <w:divsChild>
                    <w:div w:id="1930234344">
                      <w:marLeft w:val="0"/>
                      <w:marRight w:val="0"/>
                      <w:marTop w:val="0"/>
                      <w:marBottom w:val="0"/>
                      <w:divBdr>
                        <w:top w:val="none" w:sz="0" w:space="0" w:color="auto"/>
                        <w:left w:val="none" w:sz="0" w:space="0" w:color="auto"/>
                        <w:bottom w:val="none" w:sz="0" w:space="0" w:color="auto"/>
                        <w:right w:val="none" w:sz="0" w:space="0" w:color="auto"/>
                      </w:divBdr>
                    </w:div>
                  </w:divsChild>
                </w:div>
                <w:div w:id="233665401">
                  <w:marLeft w:val="0"/>
                  <w:marRight w:val="0"/>
                  <w:marTop w:val="0"/>
                  <w:marBottom w:val="0"/>
                  <w:divBdr>
                    <w:top w:val="none" w:sz="0" w:space="0" w:color="auto"/>
                    <w:left w:val="none" w:sz="0" w:space="0" w:color="auto"/>
                    <w:bottom w:val="none" w:sz="0" w:space="0" w:color="auto"/>
                    <w:right w:val="none" w:sz="0" w:space="0" w:color="auto"/>
                  </w:divBdr>
                  <w:divsChild>
                    <w:div w:id="992027254">
                      <w:marLeft w:val="0"/>
                      <w:marRight w:val="0"/>
                      <w:marTop w:val="0"/>
                      <w:marBottom w:val="0"/>
                      <w:divBdr>
                        <w:top w:val="none" w:sz="0" w:space="0" w:color="auto"/>
                        <w:left w:val="none" w:sz="0" w:space="0" w:color="auto"/>
                        <w:bottom w:val="none" w:sz="0" w:space="0" w:color="auto"/>
                        <w:right w:val="none" w:sz="0" w:space="0" w:color="auto"/>
                      </w:divBdr>
                    </w:div>
                  </w:divsChild>
                </w:div>
                <w:div w:id="240145555">
                  <w:marLeft w:val="0"/>
                  <w:marRight w:val="0"/>
                  <w:marTop w:val="0"/>
                  <w:marBottom w:val="0"/>
                  <w:divBdr>
                    <w:top w:val="none" w:sz="0" w:space="0" w:color="auto"/>
                    <w:left w:val="none" w:sz="0" w:space="0" w:color="auto"/>
                    <w:bottom w:val="none" w:sz="0" w:space="0" w:color="auto"/>
                    <w:right w:val="none" w:sz="0" w:space="0" w:color="auto"/>
                  </w:divBdr>
                  <w:divsChild>
                    <w:div w:id="660475281">
                      <w:marLeft w:val="0"/>
                      <w:marRight w:val="0"/>
                      <w:marTop w:val="0"/>
                      <w:marBottom w:val="0"/>
                      <w:divBdr>
                        <w:top w:val="none" w:sz="0" w:space="0" w:color="auto"/>
                        <w:left w:val="none" w:sz="0" w:space="0" w:color="auto"/>
                        <w:bottom w:val="none" w:sz="0" w:space="0" w:color="auto"/>
                        <w:right w:val="none" w:sz="0" w:space="0" w:color="auto"/>
                      </w:divBdr>
                    </w:div>
                  </w:divsChild>
                </w:div>
                <w:div w:id="241334170">
                  <w:marLeft w:val="0"/>
                  <w:marRight w:val="0"/>
                  <w:marTop w:val="0"/>
                  <w:marBottom w:val="0"/>
                  <w:divBdr>
                    <w:top w:val="none" w:sz="0" w:space="0" w:color="auto"/>
                    <w:left w:val="none" w:sz="0" w:space="0" w:color="auto"/>
                    <w:bottom w:val="none" w:sz="0" w:space="0" w:color="auto"/>
                    <w:right w:val="none" w:sz="0" w:space="0" w:color="auto"/>
                  </w:divBdr>
                  <w:divsChild>
                    <w:div w:id="793062720">
                      <w:marLeft w:val="0"/>
                      <w:marRight w:val="0"/>
                      <w:marTop w:val="0"/>
                      <w:marBottom w:val="0"/>
                      <w:divBdr>
                        <w:top w:val="none" w:sz="0" w:space="0" w:color="auto"/>
                        <w:left w:val="none" w:sz="0" w:space="0" w:color="auto"/>
                        <w:bottom w:val="none" w:sz="0" w:space="0" w:color="auto"/>
                        <w:right w:val="none" w:sz="0" w:space="0" w:color="auto"/>
                      </w:divBdr>
                    </w:div>
                  </w:divsChild>
                </w:div>
                <w:div w:id="251085165">
                  <w:marLeft w:val="0"/>
                  <w:marRight w:val="0"/>
                  <w:marTop w:val="0"/>
                  <w:marBottom w:val="0"/>
                  <w:divBdr>
                    <w:top w:val="none" w:sz="0" w:space="0" w:color="auto"/>
                    <w:left w:val="none" w:sz="0" w:space="0" w:color="auto"/>
                    <w:bottom w:val="none" w:sz="0" w:space="0" w:color="auto"/>
                    <w:right w:val="none" w:sz="0" w:space="0" w:color="auto"/>
                  </w:divBdr>
                  <w:divsChild>
                    <w:div w:id="1793593185">
                      <w:marLeft w:val="0"/>
                      <w:marRight w:val="0"/>
                      <w:marTop w:val="0"/>
                      <w:marBottom w:val="0"/>
                      <w:divBdr>
                        <w:top w:val="none" w:sz="0" w:space="0" w:color="auto"/>
                        <w:left w:val="none" w:sz="0" w:space="0" w:color="auto"/>
                        <w:bottom w:val="none" w:sz="0" w:space="0" w:color="auto"/>
                        <w:right w:val="none" w:sz="0" w:space="0" w:color="auto"/>
                      </w:divBdr>
                    </w:div>
                  </w:divsChild>
                </w:div>
                <w:div w:id="258637366">
                  <w:marLeft w:val="0"/>
                  <w:marRight w:val="0"/>
                  <w:marTop w:val="0"/>
                  <w:marBottom w:val="0"/>
                  <w:divBdr>
                    <w:top w:val="none" w:sz="0" w:space="0" w:color="auto"/>
                    <w:left w:val="none" w:sz="0" w:space="0" w:color="auto"/>
                    <w:bottom w:val="none" w:sz="0" w:space="0" w:color="auto"/>
                    <w:right w:val="none" w:sz="0" w:space="0" w:color="auto"/>
                  </w:divBdr>
                  <w:divsChild>
                    <w:div w:id="1059128804">
                      <w:marLeft w:val="0"/>
                      <w:marRight w:val="0"/>
                      <w:marTop w:val="0"/>
                      <w:marBottom w:val="0"/>
                      <w:divBdr>
                        <w:top w:val="none" w:sz="0" w:space="0" w:color="auto"/>
                        <w:left w:val="none" w:sz="0" w:space="0" w:color="auto"/>
                        <w:bottom w:val="none" w:sz="0" w:space="0" w:color="auto"/>
                        <w:right w:val="none" w:sz="0" w:space="0" w:color="auto"/>
                      </w:divBdr>
                    </w:div>
                  </w:divsChild>
                </w:div>
                <w:div w:id="264002020">
                  <w:marLeft w:val="0"/>
                  <w:marRight w:val="0"/>
                  <w:marTop w:val="0"/>
                  <w:marBottom w:val="0"/>
                  <w:divBdr>
                    <w:top w:val="none" w:sz="0" w:space="0" w:color="auto"/>
                    <w:left w:val="none" w:sz="0" w:space="0" w:color="auto"/>
                    <w:bottom w:val="none" w:sz="0" w:space="0" w:color="auto"/>
                    <w:right w:val="none" w:sz="0" w:space="0" w:color="auto"/>
                  </w:divBdr>
                  <w:divsChild>
                    <w:div w:id="426269649">
                      <w:marLeft w:val="0"/>
                      <w:marRight w:val="0"/>
                      <w:marTop w:val="0"/>
                      <w:marBottom w:val="0"/>
                      <w:divBdr>
                        <w:top w:val="none" w:sz="0" w:space="0" w:color="auto"/>
                        <w:left w:val="none" w:sz="0" w:space="0" w:color="auto"/>
                        <w:bottom w:val="none" w:sz="0" w:space="0" w:color="auto"/>
                        <w:right w:val="none" w:sz="0" w:space="0" w:color="auto"/>
                      </w:divBdr>
                    </w:div>
                  </w:divsChild>
                </w:div>
                <w:div w:id="268052010">
                  <w:marLeft w:val="0"/>
                  <w:marRight w:val="0"/>
                  <w:marTop w:val="0"/>
                  <w:marBottom w:val="0"/>
                  <w:divBdr>
                    <w:top w:val="none" w:sz="0" w:space="0" w:color="auto"/>
                    <w:left w:val="none" w:sz="0" w:space="0" w:color="auto"/>
                    <w:bottom w:val="none" w:sz="0" w:space="0" w:color="auto"/>
                    <w:right w:val="none" w:sz="0" w:space="0" w:color="auto"/>
                  </w:divBdr>
                  <w:divsChild>
                    <w:div w:id="1566985539">
                      <w:marLeft w:val="0"/>
                      <w:marRight w:val="0"/>
                      <w:marTop w:val="0"/>
                      <w:marBottom w:val="0"/>
                      <w:divBdr>
                        <w:top w:val="none" w:sz="0" w:space="0" w:color="auto"/>
                        <w:left w:val="none" w:sz="0" w:space="0" w:color="auto"/>
                        <w:bottom w:val="none" w:sz="0" w:space="0" w:color="auto"/>
                        <w:right w:val="none" w:sz="0" w:space="0" w:color="auto"/>
                      </w:divBdr>
                    </w:div>
                  </w:divsChild>
                </w:div>
                <w:div w:id="291592038">
                  <w:marLeft w:val="0"/>
                  <w:marRight w:val="0"/>
                  <w:marTop w:val="0"/>
                  <w:marBottom w:val="0"/>
                  <w:divBdr>
                    <w:top w:val="none" w:sz="0" w:space="0" w:color="auto"/>
                    <w:left w:val="none" w:sz="0" w:space="0" w:color="auto"/>
                    <w:bottom w:val="none" w:sz="0" w:space="0" w:color="auto"/>
                    <w:right w:val="none" w:sz="0" w:space="0" w:color="auto"/>
                  </w:divBdr>
                  <w:divsChild>
                    <w:div w:id="1897857922">
                      <w:marLeft w:val="0"/>
                      <w:marRight w:val="0"/>
                      <w:marTop w:val="0"/>
                      <w:marBottom w:val="0"/>
                      <w:divBdr>
                        <w:top w:val="none" w:sz="0" w:space="0" w:color="auto"/>
                        <w:left w:val="none" w:sz="0" w:space="0" w:color="auto"/>
                        <w:bottom w:val="none" w:sz="0" w:space="0" w:color="auto"/>
                        <w:right w:val="none" w:sz="0" w:space="0" w:color="auto"/>
                      </w:divBdr>
                    </w:div>
                  </w:divsChild>
                </w:div>
                <w:div w:id="296685285">
                  <w:marLeft w:val="0"/>
                  <w:marRight w:val="0"/>
                  <w:marTop w:val="0"/>
                  <w:marBottom w:val="0"/>
                  <w:divBdr>
                    <w:top w:val="none" w:sz="0" w:space="0" w:color="auto"/>
                    <w:left w:val="none" w:sz="0" w:space="0" w:color="auto"/>
                    <w:bottom w:val="none" w:sz="0" w:space="0" w:color="auto"/>
                    <w:right w:val="none" w:sz="0" w:space="0" w:color="auto"/>
                  </w:divBdr>
                  <w:divsChild>
                    <w:div w:id="280035595">
                      <w:marLeft w:val="0"/>
                      <w:marRight w:val="0"/>
                      <w:marTop w:val="0"/>
                      <w:marBottom w:val="0"/>
                      <w:divBdr>
                        <w:top w:val="none" w:sz="0" w:space="0" w:color="auto"/>
                        <w:left w:val="none" w:sz="0" w:space="0" w:color="auto"/>
                        <w:bottom w:val="none" w:sz="0" w:space="0" w:color="auto"/>
                        <w:right w:val="none" w:sz="0" w:space="0" w:color="auto"/>
                      </w:divBdr>
                    </w:div>
                  </w:divsChild>
                </w:div>
                <w:div w:id="301232293">
                  <w:marLeft w:val="0"/>
                  <w:marRight w:val="0"/>
                  <w:marTop w:val="0"/>
                  <w:marBottom w:val="0"/>
                  <w:divBdr>
                    <w:top w:val="none" w:sz="0" w:space="0" w:color="auto"/>
                    <w:left w:val="none" w:sz="0" w:space="0" w:color="auto"/>
                    <w:bottom w:val="none" w:sz="0" w:space="0" w:color="auto"/>
                    <w:right w:val="none" w:sz="0" w:space="0" w:color="auto"/>
                  </w:divBdr>
                  <w:divsChild>
                    <w:div w:id="603419256">
                      <w:marLeft w:val="0"/>
                      <w:marRight w:val="0"/>
                      <w:marTop w:val="0"/>
                      <w:marBottom w:val="0"/>
                      <w:divBdr>
                        <w:top w:val="none" w:sz="0" w:space="0" w:color="auto"/>
                        <w:left w:val="none" w:sz="0" w:space="0" w:color="auto"/>
                        <w:bottom w:val="none" w:sz="0" w:space="0" w:color="auto"/>
                        <w:right w:val="none" w:sz="0" w:space="0" w:color="auto"/>
                      </w:divBdr>
                    </w:div>
                  </w:divsChild>
                </w:div>
                <w:div w:id="304509470">
                  <w:marLeft w:val="0"/>
                  <w:marRight w:val="0"/>
                  <w:marTop w:val="0"/>
                  <w:marBottom w:val="0"/>
                  <w:divBdr>
                    <w:top w:val="none" w:sz="0" w:space="0" w:color="auto"/>
                    <w:left w:val="none" w:sz="0" w:space="0" w:color="auto"/>
                    <w:bottom w:val="none" w:sz="0" w:space="0" w:color="auto"/>
                    <w:right w:val="none" w:sz="0" w:space="0" w:color="auto"/>
                  </w:divBdr>
                  <w:divsChild>
                    <w:div w:id="1775318630">
                      <w:marLeft w:val="0"/>
                      <w:marRight w:val="0"/>
                      <w:marTop w:val="0"/>
                      <w:marBottom w:val="0"/>
                      <w:divBdr>
                        <w:top w:val="none" w:sz="0" w:space="0" w:color="auto"/>
                        <w:left w:val="none" w:sz="0" w:space="0" w:color="auto"/>
                        <w:bottom w:val="none" w:sz="0" w:space="0" w:color="auto"/>
                        <w:right w:val="none" w:sz="0" w:space="0" w:color="auto"/>
                      </w:divBdr>
                    </w:div>
                  </w:divsChild>
                </w:div>
                <w:div w:id="308482512">
                  <w:marLeft w:val="0"/>
                  <w:marRight w:val="0"/>
                  <w:marTop w:val="0"/>
                  <w:marBottom w:val="0"/>
                  <w:divBdr>
                    <w:top w:val="none" w:sz="0" w:space="0" w:color="auto"/>
                    <w:left w:val="none" w:sz="0" w:space="0" w:color="auto"/>
                    <w:bottom w:val="none" w:sz="0" w:space="0" w:color="auto"/>
                    <w:right w:val="none" w:sz="0" w:space="0" w:color="auto"/>
                  </w:divBdr>
                  <w:divsChild>
                    <w:div w:id="330645902">
                      <w:marLeft w:val="0"/>
                      <w:marRight w:val="0"/>
                      <w:marTop w:val="0"/>
                      <w:marBottom w:val="0"/>
                      <w:divBdr>
                        <w:top w:val="none" w:sz="0" w:space="0" w:color="auto"/>
                        <w:left w:val="none" w:sz="0" w:space="0" w:color="auto"/>
                        <w:bottom w:val="none" w:sz="0" w:space="0" w:color="auto"/>
                        <w:right w:val="none" w:sz="0" w:space="0" w:color="auto"/>
                      </w:divBdr>
                    </w:div>
                  </w:divsChild>
                </w:div>
                <w:div w:id="317996089">
                  <w:marLeft w:val="0"/>
                  <w:marRight w:val="0"/>
                  <w:marTop w:val="0"/>
                  <w:marBottom w:val="0"/>
                  <w:divBdr>
                    <w:top w:val="none" w:sz="0" w:space="0" w:color="auto"/>
                    <w:left w:val="none" w:sz="0" w:space="0" w:color="auto"/>
                    <w:bottom w:val="none" w:sz="0" w:space="0" w:color="auto"/>
                    <w:right w:val="none" w:sz="0" w:space="0" w:color="auto"/>
                  </w:divBdr>
                  <w:divsChild>
                    <w:div w:id="584536167">
                      <w:marLeft w:val="0"/>
                      <w:marRight w:val="0"/>
                      <w:marTop w:val="0"/>
                      <w:marBottom w:val="0"/>
                      <w:divBdr>
                        <w:top w:val="none" w:sz="0" w:space="0" w:color="auto"/>
                        <w:left w:val="none" w:sz="0" w:space="0" w:color="auto"/>
                        <w:bottom w:val="none" w:sz="0" w:space="0" w:color="auto"/>
                        <w:right w:val="none" w:sz="0" w:space="0" w:color="auto"/>
                      </w:divBdr>
                    </w:div>
                  </w:divsChild>
                </w:div>
                <w:div w:id="319116505">
                  <w:marLeft w:val="0"/>
                  <w:marRight w:val="0"/>
                  <w:marTop w:val="0"/>
                  <w:marBottom w:val="0"/>
                  <w:divBdr>
                    <w:top w:val="none" w:sz="0" w:space="0" w:color="auto"/>
                    <w:left w:val="none" w:sz="0" w:space="0" w:color="auto"/>
                    <w:bottom w:val="none" w:sz="0" w:space="0" w:color="auto"/>
                    <w:right w:val="none" w:sz="0" w:space="0" w:color="auto"/>
                  </w:divBdr>
                  <w:divsChild>
                    <w:div w:id="1721980374">
                      <w:marLeft w:val="0"/>
                      <w:marRight w:val="0"/>
                      <w:marTop w:val="0"/>
                      <w:marBottom w:val="0"/>
                      <w:divBdr>
                        <w:top w:val="none" w:sz="0" w:space="0" w:color="auto"/>
                        <w:left w:val="none" w:sz="0" w:space="0" w:color="auto"/>
                        <w:bottom w:val="none" w:sz="0" w:space="0" w:color="auto"/>
                        <w:right w:val="none" w:sz="0" w:space="0" w:color="auto"/>
                      </w:divBdr>
                    </w:div>
                  </w:divsChild>
                </w:div>
                <w:div w:id="330332060">
                  <w:marLeft w:val="0"/>
                  <w:marRight w:val="0"/>
                  <w:marTop w:val="0"/>
                  <w:marBottom w:val="0"/>
                  <w:divBdr>
                    <w:top w:val="none" w:sz="0" w:space="0" w:color="auto"/>
                    <w:left w:val="none" w:sz="0" w:space="0" w:color="auto"/>
                    <w:bottom w:val="none" w:sz="0" w:space="0" w:color="auto"/>
                    <w:right w:val="none" w:sz="0" w:space="0" w:color="auto"/>
                  </w:divBdr>
                  <w:divsChild>
                    <w:div w:id="630864130">
                      <w:marLeft w:val="0"/>
                      <w:marRight w:val="0"/>
                      <w:marTop w:val="0"/>
                      <w:marBottom w:val="0"/>
                      <w:divBdr>
                        <w:top w:val="none" w:sz="0" w:space="0" w:color="auto"/>
                        <w:left w:val="none" w:sz="0" w:space="0" w:color="auto"/>
                        <w:bottom w:val="none" w:sz="0" w:space="0" w:color="auto"/>
                        <w:right w:val="none" w:sz="0" w:space="0" w:color="auto"/>
                      </w:divBdr>
                    </w:div>
                  </w:divsChild>
                </w:div>
                <w:div w:id="333144872">
                  <w:marLeft w:val="0"/>
                  <w:marRight w:val="0"/>
                  <w:marTop w:val="0"/>
                  <w:marBottom w:val="0"/>
                  <w:divBdr>
                    <w:top w:val="none" w:sz="0" w:space="0" w:color="auto"/>
                    <w:left w:val="none" w:sz="0" w:space="0" w:color="auto"/>
                    <w:bottom w:val="none" w:sz="0" w:space="0" w:color="auto"/>
                    <w:right w:val="none" w:sz="0" w:space="0" w:color="auto"/>
                  </w:divBdr>
                  <w:divsChild>
                    <w:div w:id="987438172">
                      <w:marLeft w:val="0"/>
                      <w:marRight w:val="0"/>
                      <w:marTop w:val="0"/>
                      <w:marBottom w:val="0"/>
                      <w:divBdr>
                        <w:top w:val="none" w:sz="0" w:space="0" w:color="auto"/>
                        <w:left w:val="none" w:sz="0" w:space="0" w:color="auto"/>
                        <w:bottom w:val="none" w:sz="0" w:space="0" w:color="auto"/>
                        <w:right w:val="none" w:sz="0" w:space="0" w:color="auto"/>
                      </w:divBdr>
                    </w:div>
                  </w:divsChild>
                </w:div>
                <w:div w:id="334574144">
                  <w:marLeft w:val="0"/>
                  <w:marRight w:val="0"/>
                  <w:marTop w:val="0"/>
                  <w:marBottom w:val="0"/>
                  <w:divBdr>
                    <w:top w:val="none" w:sz="0" w:space="0" w:color="auto"/>
                    <w:left w:val="none" w:sz="0" w:space="0" w:color="auto"/>
                    <w:bottom w:val="none" w:sz="0" w:space="0" w:color="auto"/>
                    <w:right w:val="none" w:sz="0" w:space="0" w:color="auto"/>
                  </w:divBdr>
                  <w:divsChild>
                    <w:div w:id="741148323">
                      <w:marLeft w:val="0"/>
                      <w:marRight w:val="0"/>
                      <w:marTop w:val="0"/>
                      <w:marBottom w:val="0"/>
                      <w:divBdr>
                        <w:top w:val="none" w:sz="0" w:space="0" w:color="auto"/>
                        <w:left w:val="none" w:sz="0" w:space="0" w:color="auto"/>
                        <w:bottom w:val="none" w:sz="0" w:space="0" w:color="auto"/>
                        <w:right w:val="none" w:sz="0" w:space="0" w:color="auto"/>
                      </w:divBdr>
                    </w:div>
                  </w:divsChild>
                </w:div>
                <w:div w:id="356657389">
                  <w:marLeft w:val="0"/>
                  <w:marRight w:val="0"/>
                  <w:marTop w:val="0"/>
                  <w:marBottom w:val="0"/>
                  <w:divBdr>
                    <w:top w:val="none" w:sz="0" w:space="0" w:color="auto"/>
                    <w:left w:val="none" w:sz="0" w:space="0" w:color="auto"/>
                    <w:bottom w:val="none" w:sz="0" w:space="0" w:color="auto"/>
                    <w:right w:val="none" w:sz="0" w:space="0" w:color="auto"/>
                  </w:divBdr>
                  <w:divsChild>
                    <w:div w:id="25564489">
                      <w:marLeft w:val="0"/>
                      <w:marRight w:val="0"/>
                      <w:marTop w:val="0"/>
                      <w:marBottom w:val="0"/>
                      <w:divBdr>
                        <w:top w:val="none" w:sz="0" w:space="0" w:color="auto"/>
                        <w:left w:val="none" w:sz="0" w:space="0" w:color="auto"/>
                        <w:bottom w:val="none" w:sz="0" w:space="0" w:color="auto"/>
                        <w:right w:val="none" w:sz="0" w:space="0" w:color="auto"/>
                      </w:divBdr>
                    </w:div>
                  </w:divsChild>
                </w:div>
                <w:div w:id="357698857">
                  <w:marLeft w:val="0"/>
                  <w:marRight w:val="0"/>
                  <w:marTop w:val="0"/>
                  <w:marBottom w:val="0"/>
                  <w:divBdr>
                    <w:top w:val="none" w:sz="0" w:space="0" w:color="auto"/>
                    <w:left w:val="none" w:sz="0" w:space="0" w:color="auto"/>
                    <w:bottom w:val="none" w:sz="0" w:space="0" w:color="auto"/>
                    <w:right w:val="none" w:sz="0" w:space="0" w:color="auto"/>
                  </w:divBdr>
                  <w:divsChild>
                    <w:div w:id="1567182864">
                      <w:marLeft w:val="0"/>
                      <w:marRight w:val="0"/>
                      <w:marTop w:val="0"/>
                      <w:marBottom w:val="0"/>
                      <w:divBdr>
                        <w:top w:val="none" w:sz="0" w:space="0" w:color="auto"/>
                        <w:left w:val="none" w:sz="0" w:space="0" w:color="auto"/>
                        <w:bottom w:val="none" w:sz="0" w:space="0" w:color="auto"/>
                        <w:right w:val="none" w:sz="0" w:space="0" w:color="auto"/>
                      </w:divBdr>
                    </w:div>
                  </w:divsChild>
                </w:div>
                <w:div w:id="369498366">
                  <w:marLeft w:val="0"/>
                  <w:marRight w:val="0"/>
                  <w:marTop w:val="0"/>
                  <w:marBottom w:val="0"/>
                  <w:divBdr>
                    <w:top w:val="none" w:sz="0" w:space="0" w:color="auto"/>
                    <w:left w:val="none" w:sz="0" w:space="0" w:color="auto"/>
                    <w:bottom w:val="none" w:sz="0" w:space="0" w:color="auto"/>
                    <w:right w:val="none" w:sz="0" w:space="0" w:color="auto"/>
                  </w:divBdr>
                  <w:divsChild>
                    <w:div w:id="1247107155">
                      <w:marLeft w:val="0"/>
                      <w:marRight w:val="0"/>
                      <w:marTop w:val="0"/>
                      <w:marBottom w:val="0"/>
                      <w:divBdr>
                        <w:top w:val="none" w:sz="0" w:space="0" w:color="auto"/>
                        <w:left w:val="none" w:sz="0" w:space="0" w:color="auto"/>
                        <w:bottom w:val="none" w:sz="0" w:space="0" w:color="auto"/>
                        <w:right w:val="none" w:sz="0" w:space="0" w:color="auto"/>
                      </w:divBdr>
                    </w:div>
                  </w:divsChild>
                </w:div>
                <w:div w:id="375735176">
                  <w:marLeft w:val="0"/>
                  <w:marRight w:val="0"/>
                  <w:marTop w:val="0"/>
                  <w:marBottom w:val="0"/>
                  <w:divBdr>
                    <w:top w:val="none" w:sz="0" w:space="0" w:color="auto"/>
                    <w:left w:val="none" w:sz="0" w:space="0" w:color="auto"/>
                    <w:bottom w:val="none" w:sz="0" w:space="0" w:color="auto"/>
                    <w:right w:val="none" w:sz="0" w:space="0" w:color="auto"/>
                  </w:divBdr>
                  <w:divsChild>
                    <w:div w:id="219025817">
                      <w:marLeft w:val="0"/>
                      <w:marRight w:val="0"/>
                      <w:marTop w:val="0"/>
                      <w:marBottom w:val="0"/>
                      <w:divBdr>
                        <w:top w:val="none" w:sz="0" w:space="0" w:color="auto"/>
                        <w:left w:val="none" w:sz="0" w:space="0" w:color="auto"/>
                        <w:bottom w:val="none" w:sz="0" w:space="0" w:color="auto"/>
                        <w:right w:val="none" w:sz="0" w:space="0" w:color="auto"/>
                      </w:divBdr>
                    </w:div>
                  </w:divsChild>
                </w:div>
                <w:div w:id="383985445">
                  <w:marLeft w:val="0"/>
                  <w:marRight w:val="0"/>
                  <w:marTop w:val="0"/>
                  <w:marBottom w:val="0"/>
                  <w:divBdr>
                    <w:top w:val="none" w:sz="0" w:space="0" w:color="auto"/>
                    <w:left w:val="none" w:sz="0" w:space="0" w:color="auto"/>
                    <w:bottom w:val="none" w:sz="0" w:space="0" w:color="auto"/>
                    <w:right w:val="none" w:sz="0" w:space="0" w:color="auto"/>
                  </w:divBdr>
                  <w:divsChild>
                    <w:div w:id="2129932989">
                      <w:marLeft w:val="0"/>
                      <w:marRight w:val="0"/>
                      <w:marTop w:val="0"/>
                      <w:marBottom w:val="0"/>
                      <w:divBdr>
                        <w:top w:val="none" w:sz="0" w:space="0" w:color="auto"/>
                        <w:left w:val="none" w:sz="0" w:space="0" w:color="auto"/>
                        <w:bottom w:val="none" w:sz="0" w:space="0" w:color="auto"/>
                        <w:right w:val="none" w:sz="0" w:space="0" w:color="auto"/>
                      </w:divBdr>
                    </w:div>
                  </w:divsChild>
                </w:div>
                <w:div w:id="396127875">
                  <w:marLeft w:val="0"/>
                  <w:marRight w:val="0"/>
                  <w:marTop w:val="0"/>
                  <w:marBottom w:val="0"/>
                  <w:divBdr>
                    <w:top w:val="none" w:sz="0" w:space="0" w:color="auto"/>
                    <w:left w:val="none" w:sz="0" w:space="0" w:color="auto"/>
                    <w:bottom w:val="none" w:sz="0" w:space="0" w:color="auto"/>
                    <w:right w:val="none" w:sz="0" w:space="0" w:color="auto"/>
                  </w:divBdr>
                  <w:divsChild>
                    <w:div w:id="350300026">
                      <w:marLeft w:val="0"/>
                      <w:marRight w:val="0"/>
                      <w:marTop w:val="0"/>
                      <w:marBottom w:val="0"/>
                      <w:divBdr>
                        <w:top w:val="none" w:sz="0" w:space="0" w:color="auto"/>
                        <w:left w:val="none" w:sz="0" w:space="0" w:color="auto"/>
                        <w:bottom w:val="none" w:sz="0" w:space="0" w:color="auto"/>
                        <w:right w:val="none" w:sz="0" w:space="0" w:color="auto"/>
                      </w:divBdr>
                    </w:div>
                  </w:divsChild>
                </w:div>
                <w:div w:id="413554356">
                  <w:marLeft w:val="0"/>
                  <w:marRight w:val="0"/>
                  <w:marTop w:val="0"/>
                  <w:marBottom w:val="0"/>
                  <w:divBdr>
                    <w:top w:val="none" w:sz="0" w:space="0" w:color="auto"/>
                    <w:left w:val="none" w:sz="0" w:space="0" w:color="auto"/>
                    <w:bottom w:val="none" w:sz="0" w:space="0" w:color="auto"/>
                    <w:right w:val="none" w:sz="0" w:space="0" w:color="auto"/>
                  </w:divBdr>
                  <w:divsChild>
                    <w:div w:id="1376396114">
                      <w:marLeft w:val="0"/>
                      <w:marRight w:val="0"/>
                      <w:marTop w:val="0"/>
                      <w:marBottom w:val="0"/>
                      <w:divBdr>
                        <w:top w:val="none" w:sz="0" w:space="0" w:color="auto"/>
                        <w:left w:val="none" w:sz="0" w:space="0" w:color="auto"/>
                        <w:bottom w:val="none" w:sz="0" w:space="0" w:color="auto"/>
                        <w:right w:val="none" w:sz="0" w:space="0" w:color="auto"/>
                      </w:divBdr>
                    </w:div>
                  </w:divsChild>
                </w:div>
                <w:div w:id="431164978">
                  <w:marLeft w:val="0"/>
                  <w:marRight w:val="0"/>
                  <w:marTop w:val="0"/>
                  <w:marBottom w:val="0"/>
                  <w:divBdr>
                    <w:top w:val="none" w:sz="0" w:space="0" w:color="auto"/>
                    <w:left w:val="none" w:sz="0" w:space="0" w:color="auto"/>
                    <w:bottom w:val="none" w:sz="0" w:space="0" w:color="auto"/>
                    <w:right w:val="none" w:sz="0" w:space="0" w:color="auto"/>
                  </w:divBdr>
                  <w:divsChild>
                    <w:div w:id="1523587508">
                      <w:marLeft w:val="0"/>
                      <w:marRight w:val="0"/>
                      <w:marTop w:val="0"/>
                      <w:marBottom w:val="0"/>
                      <w:divBdr>
                        <w:top w:val="none" w:sz="0" w:space="0" w:color="auto"/>
                        <w:left w:val="none" w:sz="0" w:space="0" w:color="auto"/>
                        <w:bottom w:val="none" w:sz="0" w:space="0" w:color="auto"/>
                        <w:right w:val="none" w:sz="0" w:space="0" w:color="auto"/>
                      </w:divBdr>
                    </w:div>
                  </w:divsChild>
                </w:div>
                <w:div w:id="449208077">
                  <w:marLeft w:val="0"/>
                  <w:marRight w:val="0"/>
                  <w:marTop w:val="0"/>
                  <w:marBottom w:val="0"/>
                  <w:divBdr>
                    <w:top w:val="none" w:sz="0" w:space="0" w:color="auto"/>
                    <w:left w:val="none" w:sz="0" w:space="0" w:color="auto"/>
                    <w:bottom w:val="none" w:sz="0" w:space="0" w:color="auto"/>
                    <w:right w:val="none" w:sz="0" w:space="0" w:color="auto"/>
                  </w:divBdr>
                  <w:divsChild>
                    <w:div w:id="1383746649">
                      <w:marLeft w:val="0"/>
                      <w:marRight w:val="0"/>
                      <w:marTop w:val="0"/>
                      <w:marBottom w:val="0"/>
                      <w:divBdr>
                        <w:top w:val="none" w:sz="0" w:space="0" w:color="auto"/>
                        <w:left w:val="none" w:sz="0" w:space="0" w:color="auto"/>
                        <w:bottom w:val="none" w:sz="0" w:space="0" w:color="auto"/>
                        <w:right w:val="none" w:sz="0" w:space="0" w:color="auto"/>
                      </w:divBdr>
                    </w:div>
                  </w:divsChild>
                </w:div>
                <w:div w:id="454831428">
                  <w:marLeft w:val="0"/>
                  <w:marRight w:val="0"/>
                  <w:marTop w:val="0"/>
                  <w:marBottom w:val="0"/>
                  <w:divBdr>
                    <w:top w:val="none" w:sz="0" w:space="0" w:color="auto"/>
                    <w:left w:val="none" w:sz="0" w:space="0" w:color="auto"/>
                    <w:bottom w:val="none" w:sz="0" w:space="0" w:color="auto"/>
                    <w:right w:val="none" w:sz="0" w:space="0" w:color="auto"/>
                  </w:divBdr>
                  <w:divsChild>
                    <w:div w:id="1305158482">
                      <w:marLeft w:val="0"/>
                      <w:marRight w:val="0"/>
                      <w:marTop w:val="0"/>
                      <w:marBottom w:val="0"/>
                      <w:divBdr>
                        <w:top w:val="none" w:sz="0" w:space="0" w:color="auto"/>
                        <w:left w:val="none" w:sz="0" w:space="0" w:color="auto"/>
                        <w:bottom w:val="none" w:sz="0" w:space="0" w:color="auto"/>
                        <w:right w:val="none" w:sz="0" w:space="0" w:color="auto"/>
                      </w:divBdr>
                    </w:div>
                  </w:divsChild>
                </w:div>
                <w:div w:id="469981685">
                  <w:marLeft w:val="0"/>
                  <w:marRight w:val="0"/>
                  <w:marTop w:val="0"/>
                  <w:marBottom w:val="0"/>
                  <w:divBdr>
                    <w:top w:val="none" w:sz="0" w:space="0" w:color="auto"/>
                    <w:left w:val="none" w:sz="0" w:space="0" w:color="auto"/>
                    <w:bottom w:val="none" w:sz="0" w:space="0" w:color="auto"/>
                    <w:right w:val="none" w:sz="0" w:space="0" w:color="auto"/>
                  </w:divBdr>
                  <w:divsChild>
                    <w:div w:id="1096025159">
                      <w:marLeft w:val="0"/>
                      <w:marRight w:val="0"/>
                      <w:marTop w:val="0"/>
                      <w:marBottom w:val="0"/>
                      <w:divBdr>
                        <w:top w:val="none" w:sz="0" w:space="0" w:color="auto"/>
                        <w:left w:val="none" w:sz="0" w:space="0" w:color="auto"/>
                        <w:bottom w:val="none" w:sz="0" w:space="0" w:color="auto"/>
                        <w:right w:val="none" w:sz="0" w:space="0" w:color="auto"/>
                      </w:divBdr>
                    </w:div>
                  </w:divsChild>
                </w:div>
                <w:div w:id="487522558">
                  <w:marLeft w:val="0"/>
                  <w:marRight w:val="0"/>
                  <w:marTop w:val="0"/>
                  <w:marBottom w:val="0"/>
                  <w:divBdr>
                    <w:top w:val="none" w:sz="0" w:space="0" w:color="auto"/>
                    <w:left w:val="none" w:sz="0" w:space="0" w:color="auto"/>
                    <w:bottom w:val="none" w:sz="0" w:space="0" w:color="auto"/>
                    <w:right w:val="none" w:sz="0" w:space="0" w:color="auto"/>
                  </w:divBdr>
                  <w:divsChild>
                    <w:div w:id="407263352">
                      <w:marLeft w:val="0"/>
                      <w:marRight w:val="0"/>
                      <w:marTop w:val="0"/>
                      <w:marBottom w:val="0"/>
                      <w:divBdr>
                        <w:top w:val="none" w:sz="0" w:space="0" w:color="auto"/>
                        <w:left w:val="none" w:sz="0" w:space="0" w:color="auto"/>
                        <w:bottom w:val="none" w:sz="0" w:space="0" w:color="auto"/>
                        <w:right w:val="none" w:sz="0" w:space="0" w:color="auto"/>
                      </w:divBdr>
                    </w:div>
                  </w:divsChild>
                </w:div>
                <w:div w:id="501627132">
                  <w:marLeft w:val="0"/>
                  <w:marRight w:val="0"/>
                  <w:marTop w:val="0"/>
                  <w:marBottom w:val="0"/>
                  <w:divBdr>
                    <w:top w:val="none" w:sz="0" w:space="0" w:color="auto"/>
                    <w:left w:val="none" w:sz="0" w:space="0" w:color="auto"/>
                    <w:bottom w:val="none" w:sz="0" w:space="0" w:color="auto"/>
                    <w:right w:val="none" w:sz="0" w:space="0" w:color="auto"/>
                  </w:divBdr>
                  <w:divsChild>
                    <w:div w:id="1237782266">
                      <w:marLeft w:val="0"/>
                      <w:marRight w:val="0"/>
                      <w:marTop w:val="0"/>
                      <w:marBottom w:val="0"/>
                      <w:divBdr>
                        <w:top w:val="none" w:sz="0" w:space="0" w:color="auto"/>
                        <w:left w:val="none" w:sz="0" w:space="0" w:color="auto"/>
                        <w:bottom w:val="none" w:sz="0" w:space="0" w:color="auto"/>
                        <w:right w:val="none" w:sz="0" w:space="0" w:color="auto"/>
                      </w:divBdr>
                    </w:div>
                  </w:divsChild>
                </w:div>
                <w:div w:id="531305230">
                  <w:marLeft w:val="0"/>
                  <w:marRight w:val="0"/>
                  <w:marTop w:val="0"/>
                  <w:marBottom w:val="0"/>
                  <w:divBdr>
                    <w:top w:val="none" w:sz="0" w:space="0" w:color="auto"/>
                    <w:left w:val="none" w:sz="0" w:space="0" w:color="auto"/>
                    <w:bottom w:val="none" w:sz="0" w:space="0" w:color="auto"/>
                    <w:right w:val="none" w:sz="0" w:space="0" w:color="auto"/>
                  </w:divBdr>
                  <w:divsChild>
                    <w:div w:id="1972175759">
                      <w:marLeft w:val="0"/>
                      <w:marRight w:val="0"/>
                      <w:marTop w:val="0"/>
                      <w:marBottom w:val="0"/>
                      <w:divBdr>
                        <w:top w:val="none" w:sz="0" w:space="0" w:color="auto"/>
                        <w:left w:val="none" w:sz="0" w:space="0" w:color="auto"/>
                        <w:bottom w:val="none" w:sz="0" w:space="0" w:color="auto"/>
                        <w:right w:val="none" w:sz="0" w:space="0" w:color="auto"/>
                      </w:divBdr>
                    </w:div>
                  </w:divsChild>
                </w:div>
                <w:div w:id="531961447">
                  <w:marLeft w:val="0"/>
                  <w:marRight w:val="0"/>
                  <w:marTop w:val="0"/>
                  <w:marBottom w:val="0"/>
                  <w:divBdr>
                    <w:top w:val="none" w:sz="0" w:space="0" w:color="auto"/>
                    <w:left w:val="none" w:sz="0" w:space="0" w:color="auto"/>
                    <w:bottom w:val="none" w:sz="0" w:space="0" w:color="auto"/>
                    <w:right w:val="none" w:sz="0" w:space="0" w:color="auto"/>
                  </w:divBdr>
                  <w:divsChild>
                    <w:div w:id="1789198767">
                      <w:marLeft w:val="0"/>
                      <w:marRight w:val="0"/>
                      <w:marTop w:val="0"/>
                      <w:marBottom w:val="0"/>
                      <w:divBdr>
                        <w:top w:val="none" w:sz="0" w:space="0" w:color="auto"/>
                        <w:left w:val="none" w:sz="0" w:space="0" w:color="auto"/>
                        <w:bottom w:val="none" w:sz="0" w:space="0" w:color="auto"/>
                        <w:right w:val="none" w:sz="0" w:space="0" w:color="auto"/>
                      </w:divBdr>
                    </w:div>
                  </w:divsChild>
                </w:div>
                <w:div w:id="534462577">
                  <w:marLeft w:val="0"/>
                  <w:marRight w:val="0"/>
                  <w:marTop w:val="0"/>
                  <w:marBottom w:val="0"/>
                  <w:divBdr>
                    <w:top w:val="none" w:sz="0" w:space="0" w:color="auto"/>
                    <w:left w:val="none" w:sz="0" w:space="0" w:color="auto"/>
                    <w:bottom w:val="none" w:sz="0" w:space="0" w:color="auto"/>
                    <w:right w:val="none" w:sz="0" w:space="0" w:color="auto"/>
                  </w:divBdr>
                  <w:divsChild>
                    <w:div w:id="1749495535">
                      <w:marLeft w:val="0"/>
                      <w:marRight w:val="0"/>
                      <w:marTop w:val="0"/>
                      <w:marBottom w:val="0"/>
                      <w:divBdr>
                        <w:top w:val="none" w:sz="0" w:space="0" w:color="auto"/>
                        <w:left w:val="none" w:sz="0" w:space="0" w:color="auto"/>
                        <w:bottom w:val="none" w:sz="0" w:space="0" w:color="auto"/>
                        <w:right w:val="none" w:sz="0" w:space="0" w:color="auto"/>
                      </w:divBdr>
                    </w:div>
                  </w:divsChild>
                </w:div>
                <w:div w:id="542181936">
                  <w:marLeft w:val="0"/>
                  <w:marRight w:val="0"/>
                  <w:marTop w:val="0"/>
                  <w:marBottom w:val="0"/>
                  <w:divBdr>
                    <w:top w:val="none" w:sz="0" w:space="0" w:color="auto"/>
                    <w:left w:val="none" w:sz="0" w:space="0" w:color="auto"/>
                    <w:bottom w:val="none" w:sz="0" w:space="0" w:color="auto"/>
                    <w:right w:val="none" w:sz="0" w:space="0" w:color="auto"/>
                  </w:divBdr>
                  <w:divsChild>
                    <w:div w:id="338436015">
                      <w:marLeft w:val="0"/>
                      <w:marRight w:val="0"/>
                      <w:marTop w:val="0"/>
                      <w:marBottom w:val="0"/>
                      <w:divBdr>
                        <w:top w:val="none" w:sz="0" w:space="0" w:color="auto"/>
                        <w:left w:val="none" w:sz="0" w:space="0" w:color="auto"/>
                        <w:bottom w:val="none" w:sz="0" w:space="0" w:color="auto"/>
                        <w:right w:val="none" w:sz="0" w:space="0" w:color="auto"/>
                      </w:divBdr>
                    </w:div>
                  </w:divsChild>
                </w:div>
                <w:div w:id="542866889">
                  <w:marLeft w:val="0"/>
                  <w:marRight w:val="0"/>
                  <w:marTop w:val="0"/>
                  <w:marBottom w:val="0"/>
                  <w:divBdr>
                    <w:top w:val="none" w:sz="0" w:space="0" w:color="auto"/>
                    <w:left w:val="none" w:sz="0" w:space="0" w:color="auto"/>
                    <w:bottom w:val="none" w:sz="0" w:space="0" w:color="auto"/>
                    <w:right w:val="none" w:sz="0" w:space="0" w:color="auto"/>
                  </w:divBdr>
                  <w:divsChild>
                    <w:div w:id="1994749457">
                      <w:marLeft w:val="0"/>
                      <w:marRight w:val="0"/>
                      <w:marTop w:val="0"/>
                      <w:marBottom w:val="0"/>
                      <w:divBdr>
                        <w:top w:val="none" w:sz="0" w:space="0" w:color="auto"/>
                        <w:left w:val="none" w:sz="0" w:space="0" w:color="auto"/>
                        <w:bottom w:val="none" w:sz="0" w:space="0" w:color="auto"/>
                        <w:right w:val="none" w:sz="0" w:space="0" w:color="auto"/>
                      </w:divBdr>
                    </w:div>
                  </w:divsChild>
                </w:div>
                <w:div w:id="545026632">
                  <w:marLeft w:val="0"/>
                  <w:marRight w:val="0"/>
                  <w:marTop w:val="0"/>
                  <w:marBottom w:val="0"/>
                  <w:divBdr>
                    <w:top w:val="none" w:sz="0" w:space="0" w:color="auto"/>
                    <w:left w:val="none" w:sz="0" w:space="0" w:color="auto"/>
                    <w:bottom w:val="none" w:sz="0" w:space="0" w:color="auto"/>
                    <w:right w:val="none" w:sz="0" w:space="0" w:color="auto"/>
                  </w:divBdr>
                  <w:divsChild>
                    <w:div w:id="716855009">
                      <w:marLeft w:val="0"/>
                      <w:marRight w:val="0"/>
                      <w:marTop w:val="0"/>
                      <w:marBottom w:val="0"/>
                      <w:divBdr>
                        <w:top w:val="none" w:sz="0" w:space="0" w:color="auto"/>
                        <w:left w:val="none" w:sz="0" w:space="0" w:color="auto"/>
                        <w:bottom w:val="none" w:sz="0" w:space="0" w:color="auto"/>
                        <w:right w:val="none" w:sz="0" w:space="0" w:color="auto"/>
                      </w:divBdr>
                    </w:div>
                  </w:divsChild>
                </w:div>
                <w:div w:id="550116410">
                  <w:marLeft w:val="0"/>
                  <w:marRight w:val="0"/>
                  <w:marTop w:val="0"/>
                  <w:marBottom w:val="0"/>
                  <w:divBdr>
                    <w:top w:val="none" w:sz="0" w:space="0" w:color="auto"/>
                    <w:left w:val="none" w:sz="0" w:space="0" w:color="auto"/>
                    <w:bottom w:val="none" w:sz="0" w:space="0" w:color="auto"/>
                    <w:right w:val="none" w:sz="0" w:space="0" w:color="auto"/>
                  </w:divBdr>
                  <w:divsChild>
                    <w:div w:id="2143422632">
                      <w:marLeft w:val="0"/>
                      <w:marRight w:val="0"/>
                      <w:marTop w:val="0"/>
                      <w:marBottom w:val="0"/>
                      <w:divBdr>
                        <w:top w:val="none" w:sz="0" w:space="0" w:color="auto"/>
                        <w:left w:val="none" w:sz="0" w:space="0" w:color="auto"/>
                        <w:bottom w:val="none" w:sz="0" w:space="0" w:color="auto"/>
                        <w:right w:val="none" w:sz="0" w:space="0" w:color="auto"/>
                      </w:divBdr>
                    </w:div>
                  </w:divsChild>
                </w:div>
                <w:div w:id="555968589">
                  <w:marLeft w:val="0"/>
                  <w:marRight w:val="0"/>
                  <w:marTop w:val="0"/>
                  <w:marBottom w:val="0"/>
                  <w:divBdr>
                    <w:top w:val="none" w:sz="0" w:space="0" w:color="auto"/>
                    <w:left w:val="none" w:sz="0" w:space="0" w:color="auto"/>
                    <w:bottom w:val="none" w:sz="0" w:space="0" w:color="auto"/>
                    <w:right w:val="none" w:sz="0" w:space="0" w:color="auto"/>
                  </w:divBdr>
                  <w:divsChild>
                    <w:div w:id="177089857">
                      <w:marLeft w:val="0"/>
                      <w:marRight w:val="0"/>
                      <w:marTop w:val="0"/>
                      <w:marBottom w:val="0"/>
                      <w:divBdr>
                        <w:top w:val="none" w:sz="0" w:space="0" w:color="auto"/>
                        <w:left w:val="none" w:sz="0" w:space="0" w:color="auto"/>
                        <w:bottom w:val="none" w:sz="0" w:space="0" w:color="auto"/>
                        <w:right w:val="none" w:sz="0" w:space="0" w:color="auto"/>
                      </w:divBdr>
                    </w:div>
                  </w:divsChild>
                </w:div>
                <w:div w:id="571163509">
                  <w:marLeft w:val="0"/>
                  <w:marRight w:val="0"/>
                  <w:marTop w:val="0"/>
                  <w:marBottom w:val="0"/>
                  <w:divBdr>
                    <w:top w:val="none" w:sz="0" w:space="0" w:color="auto"/>
                    <w:left w:val="none" w:sz="0" w:space="0" w:color="auto"/>
                    <w:bottom w:val="none" w:sz="0" w:space="0" w:color="auto"/>
                    <w:right w:val="none" w:sz="0" w:space="0" w:color="auto"/>
                  </w:divBdr>
                  <w:divsChild>
                    <w:div w:id="948124400">
                      <w:marLeft w:val="0"/>
                      <w:marRight w:val="0"/>
                      <w:marTop w:val="0"/>
                      <w:marBottom w:val="0"/>
                      <w:divBdr>
                        <w:top w:val="none" w:sz="0" w:space="0" w:color="auto"/>
                        <w:left w:val="none" w:sz="0" w:space="0" w:color="auto"/>
                        <w:bottom w:val="none" w:sz="0" w:space="0" w:color="auto"/>
                        <w:right w:val="none" w:sz="0" w:space="0" w:color="auto"/>
                      </w:divBdr>
                    </w:div>
                  </w:divsChild>
                </w:div>
                <w:div w:id="573244010">
                  <w:marLeft w:val="0"/>
                  <w:marRight w:val="0"/>
                  <w:marTop w:val="0"/>
                  <w:marBottom w:val="0"/>
                  <w:divBdr>
                    <w:top w:val="none" w:sz="0" w:space="0" w:color="auto"/>
                    <w:left w:val="none" w:sz="0" w:space="0" w:color="auto"/>
                    <w:bottom w:val="none" w:sz="0" w:space="0" w:color="auto"/>
                    <w:right w:val="none" w:sz="0" w:space="0" w:color="auto"/>
                  </w:divBdr>
                  <w:divsChild>
                    <w:div w:id="1506281583">
                      <w:marLeft w:val="0"/>
                      <w:marRight w:val="0"/>
                      <w:marTop w:val="0"/>
                      <w:marBottom w:val="0"/>
                      <w:divBdr>
                        <w:top w:val="none" w:sz="0" w:space="0" w:color="auto"/>
                        <w:left w:val="none" w:sz="0" w:space="0" w:color="auto"/>
                        <w:bottom w:val="none" w:sz="0" w:space="0" w:color="auto"/>
                        <w:right w:val="none" w:sz="0" w:space="0" w:color="auto"/>
                      </w:divBdr>
                    </w:div>
                  </w:divsChild>
                </w:div>
                <w:div w:id="573861898">
                  <w:marLeft w:val="0"/>
                  <w:marRight w:val="0"/>
                  <w:marTop w:val="0"/>
                  <w:marBottom w:val="0"/>
                  <w:divBdr>
                    <w:top w:val="none" w:sz="0" w:space="0" w:color="auto"/>
                    <w:left w:val="none" w:sz="0" w:space="0" w:color="auto"/>
                    <w:bottom w:val="none" w:sz="0" w:space="0" w:color="auto"/>
                    <w:right w:val="none" w:sz="0" w:space="0" w:color="auto"/>
                  </w:divBdr>
                  <w:divsChild>
                    <w:div w:id="440878162">
                      <w:marLeft w:val="0"/>
                      <w:marRight w:val="0"/>
                      <w:marTop w:val="0"/>
                      <w:marBottom w:val="0"/>
                      <w:divBdr>
                        <w:top w:val="none" w:sz="0" w:space="0" w:color="auto"/>
                        <w:left w:val="none" w:sz="0" w:space="0" w:color="auto"/>
                        <w:bottom w:val="none" w:sz="0" w:space="0" w:color="auto"/>
                        <w:right w:val="none" w:sz="0" w:space="0" w:color="auto"/>
                      </w:divBdr>
                    </w:div>
                  </w:divsChild>
                </w:div>
                <w:div w:id="582182596">
                  <w:marLeft w:val="0"/>
                  <w:marRight w:val="0"/>
                  <w:marTop w:val="0"/>
                  <w:marBottom w:val="0"/>
                  <w:divBdr>
                    <w:top w:val="none" w:sz="0" w:space="0" w:color="auto"/>
                    <w:left w:val="none" w:sz="0" w:space="0" w:color="auto"/>
                    <w:bottom w:val="none" w:sz="0" w:space="0" w:color="auto"/>
                    <w:right w:val="none" w:sz="0" w:space="0" w:color="auto"/>
                  </w:divBdr>
                  <w:divsChild>
                    <w:div w:id="1902784119">
                      <w:marLeft w:val="0"/>
                      <w:marRight w:val="0"/>
                      <w:marTop w:val="0"/>
                      <w:marBottom w:val="0"/>
                      <w:divBdr>
                        <w:top w:val="none" w:sz="0" w:space="0" w:color="auto"/>
                        <w:left w:val="none" w:sz="0" w:space="0" w:color="auto"/>
                        <w:bottom w:val="none" w:sz="0" w:space="0" w:color="auto"/>
                        <w:right w:val="none" w:sz="0" w:space="0" w:color="auto"/>
                      </w:divBdr>
                    </w:div>
                  </w:divsChild>
                </w:div>
                <w:div w:id="592470026">
                  <w:marLeft w:val="0"/>
                  <w:marRight w:val="0"/>
                  <w:marTop w:val="0"/>
                  <w:marBottom w:val="0"/>
                  <w:divBdr>
                    <w:top w:val="none" w:sz="0" w:space="0" w:color="auto"/>
                    <w:left w:val="none" w:sz="0" w:space="0" w:color="auto"/>
                    <w:bottom w:val="none" w:sz="0" w:space="0" w:color="auto"/>
                    <w:right w:val="none" w:sz="0" w:space="0" w:color="auto"/>
                  </w:divBdr>
                  <w:divsChild>
                    <w:div w:id="1618876922">
                      <w:marLeft w:val="0"/>
                      <w:marRight w:val="0"/>
                      <w:marTop w:val="0"/>
                      <w:marBottom w:val="0"/>
                      <w:divBdr>
                        <w:top w:val="none" w:sz="0" w:space="0" w:color="auto"/>
                        <w:left w:val="none" w:sz="0" w:space="0" w:color="auto"/>
                        <w:bottom w:val="none" w:sz="0" w:space="0" w:color="auto"/>
                        <w:right w:val="none" w:sz="0" w:space="0" w:color="auto"/>
                      </w:divBdr>
                    </w:div>
                  </w:divsChild>
                </w:div>
                <w:div w:id="594899016">
                  <w:marLeft w:val="0"/>
                  <w:marRight w:val="0"/>
                  <w:marTop w:val="0"/>
                  <w:marBottom w:val="0"/>
                  <w:divBdr>
                    <w:top w:val="none" w:sz="0" w:space="0" w:color="auto"/>
                    <w:left w:val="none" w:sz="0" w:space="0" w:color="auto"/>
                    <w:bottom w:val="none" w:sz="0" w:space="0" w:color="auto"/>
                    <w:right w:val="none" w:sz="0" w:space="0" w:color="auto"/>
                  </w:divBdr>
                  <w:divsChild>
                    <w:div w:id="311906130">
                      <w:marLeft w:val="0"/>
                      <w:marRight w:val="0"/>
                      <w:marTop w:val="0"/>
                      <w:marBottom w:val="0"/>
                      <w:divBdr>
                        <w:top w:val="none" w:sz="0" w:space="0" w:color="auto"/>
                        <w:left w:val="none" w:sz="0" w:space="0" w:color="auto"/>
                        <w:bottom w:val="none" w:sz="0" w:space="0" w:color="auto"/>
                        <w:right w:val="none" w:sz="0" w:space="0" w:color="auto"/>
                      </w:divBdr>
                    </w:div>
                  </w:divsChild>
                </w:div>
                <w:div w:id="600458086">
                  <w:marLeft w:val="0"/>
                  <w:marRight w:val="0"/>
                  <w:marTop w:val="0"/>
                  <w:marBottom w:val="0"/>
                  <w:divBdr>
                    <w:top w:val="none" w:sz="0" w:space="0" w:color="auto"/>
                    <w:left w:val="none" w:sz="0" w:space="0" w:color="auto"/>
                    <w:bottom w:val="none" w:sz="0" w:space="0" w:color="auto"/>
                    <w:right w:val="none" w:sz="0" w:space="0" w:color="auto"/>
                  </w:divBdr>
                  <w:divsChild>
                    <w:div w:id="891889260">
                      <w:marLeft w:val="0"/>
                      <w:marRight w:val="0"/>
                      <w:marTop w:val="0"/>
                      <w:marBottom w:val="0"/>
                      <w:divBdr>
                        <w:top w:val="none" w:sz="0" w:space="0" w:color="auto"/>
                        <w:left w:val="none" w:sz="0" w:space="0" w:color="auto"/>
                        <w:bottom w:val="none" w:sz="0" w:space="0" w:color="auto"/>
                        <w:right w:val="none" w:sz="0" w:space="0" w:color="auto"/>
                      </w:divBdr>
                    </w:div>
                  </w:divsChild>
                </w:div>
                <w:div w:id="609633119">
                  <w:marLeft w:val="0"/>
                  <w:marRight w:val="0"/>
                  <w:marTop w:val="0"/>
                  <w:marBottom w:val="0"/>
                  <w:divBdr>
                    <w:top w:val="none" w:sz="0" w:space="0" w:color="auto"/>
                    <w:left w:val="none" w:sz="0" w:space="0" w:color="auto"/>
                    <w:bottom w:val="none" w:sz="0" w:space="0" w:color="auto"/>
                    <w:right w:val="none" w:sz="0" w:space="0" w:color="auto"/>
                  </w:divBdr>
                  <w:divsChild>
                    <w:div w:id="39591932">
                      <w:marLeft w:val="0"/>
                      <w:marRight w:val="0"/>
                      <w:marTop w:val="0"/>
                      <w:marBottom w:val="0"/>
                      <w:divBdr>
                        <w:top w:val="none" w:sz="0" w:space="0" w:color="auto"/>
                        <w:left w:val="none" w:sz="0" w:space="0" w:color="auto"/>
                        <w:bottom w:val="none" w:sz="0" w:space="0" w:color="auto"/>
                        <w:right w:val="none" w:sz="0" w:space="0" w:color="auto"/>
                      </w:divBdr>
                    </w:div>
                  </w:divsChild>
                </w:div>
                <w:div w:id="616370547">
                  <w:marLeft w:val="0"/>
                  <w:marRight w:val="0"/>
                  <w:marTop w:val="0"/>
                  <w:marBottom w:val="0"/>
                  <w:divBdr>
                    <w:top w:val="none" w:sz="0" w:space="0" w:color="auto"/>
                    <w:left w:val="none" w:sz="0" w:space="0" w:color="auto"/>
                    <w:bottom w:val="none" w:sz="0" w:space="0" w:color="auto"/>
                    <w:right w:val="none" w:sz="0" w:space="0" w:color="auto"/>
                  </w:divBdr>
                  <w:divsChild>
                    <w:div w:id="1927685263">
                      <w:marLeft w:val="0"/>
                      <w:marRight w:val="0"/>
                      <w:marTop w:val="0"/>
                      <w:marBottom w:val="0"/>
                      <w:divBdr>
                        <w:top w:val="none" w:sz="0" w:space="0" w:color="auto"/>
                        <w:left w:val="none" w:sz="0" w:space="0" w:color="auto"/>
                        <w:bottom w:val="none" w:sz="0" w:space="0" w:color="auto"/>
                        <w:right w:val="none" w:sz="0" w:space="0" w:color="auto"/>
                      </w:divBdr>
                    </w:div>
                  </w:divsChild>
                </w:div>
                <w:div w:id="631596761">
                  <w:marLeft w:val="0"/>
                  <w:marRight w:val="0"/>
                  <w:marTop w:val="0"/>
                  <w:marBottom w:val="0"/>
                  <w:divBdr>
                    <w:top w:val="none" w:sz="0" w:space="0" w:color="auto"/>
                    <w:left w:val="none" w:sz="0" w:space="0" w:color="auto"/>
                    <w:bottom w:val="none" w:sz="0" w:space="0" w:color="auto"/>
                    <w:right w:val="none" w:sz="0" w:space="0" w:color="auto"/>
                  </w:divBdr>
                  <w:divsChild>
                    <w:div w:id="1222328906">
                      <w:marLeft w:val="0"/>
                      <w:marRight w:val="0"/>
                      <w:marTop w:val="0"/>
                      <w:marBottom w:val="0"/>
                      <w:divBdr>
                        <w:top w:val="none" w:sz="0" w:space="0" w:color="auto"/>
                        <w:left w:val="none" w:sz="0" w:space="0" w:color="auto"/>
                        <w:bottom w:val="none" w:sz="0" w:space="0" w:color="auto"/>
                        <w:right w:val="none" w:sz="0" w:space="0" w:color="auto"/>
                      </w:divBdr>
                    </w:div>
                  </w:divsChild>
                </w:div>
                <w:div w:id="643001744">
                  <w:marLeft w:val="0"/>
                  <w:marRight w:val="0"/>
                  <w:marTop w:val="0"/>
                  <w:marBottom w:val="0"/>
                  <w:divBdr>
                    <w:top w:val="none" w:sz="0" w:space="0" w:color="auto"/>
                    <w:left w:val="none" w:sz="0" w:space="0" w:color="auto"/>
                    <w:bottom w:val="none" w:sz="0" w:space="0" w:color="auto"/>
                    <w:right w:val="none" w:sz="0" w:space="0" w:color="auto"/>
                  </w:divBdr>
                  <w:divsChild>
                    <w:div w:id="772936553">
                      <w:marLeft w:val="0"/>
                      <w:marRight w:val="0"/>
                      <w:marTop w:val="0"/>
                      <w:marBottom w:val="0"/>
                      <w:divBdr>
                        <w:top w:val="none" w:sz="0" w:space="0" w:color="auto"/>
                        <w:left w:val="none" w:sz="0" w:space="0" w:color="auto"/>
                        <w:bottom w:val="none" w:sz="0" w:space="0" w:color="auto"/>
                        <w:right w:val="none" w:sz="0" w:space="0" w:color="auto"/>
                      </w:divBdr>
                    </w:div>
                  </w:divsChild>
                </w:div>
                <w:div w:id="650208034">
                  <w:marLeft w:val="0"/>
                  <w:marRight w:val="0"/>
                  <w:marTop w:val="0"/>
                  <w:marBottom w:val="0"/>
                  <w:divBdr>
                    <w:top w:val="none" w:sz="0" w:space="0" w:color="auto"/>
                    <w:left w:val="none" w:sz="0" w:space="0" w:color="auto"/>
                    <w:bottom w:val="none" w:sz="0" w:space="0" w:color="auto"/>
                    <w:right w:val="none" w:sz="0" w:space="0" w:color="auto"/>
                  </w:divBdr>
                  <w:divsChild>
                    <w:div w:id="2130660428">
                      <w:marLeft w:val="0"/>
                      <w:marRight w:val="0"/>
                      <w:marTop w:val="0"/>
                      <w:marBottom w:val="0"/>
                      <w:divBdr>
                        <w:top w:val="none" w:sz="0" w:space="0" w:color="auto"/>
                        <w:left w:val="none" w:sz="0" w:space="0" w:color="auto"/>
                        <w:bottom w:val="none" w:sz="0" w:space="0" w:color="auto"/>
                        <w:right w:val="none" w:sz="0" w:space="0" w:color="auto"/>
                      </w:divBdr>
                    </w:div>
                  </w:divsChild>
                </w:div>
                <w:div w:id="655453889">
                  <w:marLeft w:val="0"/>
                  <w:marRight w:val="0"/>
                  <w:marTop w:val="0"/>
                  <w:marBottom w:val="0"/>
                  <w:divBdr>
                    <w:top w:val="none" w:sz="0" w:space="0" w:color="auto"/>
                    <w:left w:val="none" w:sz="0" w:space="0" w:color="auto"/>
                    <w:bottom w:val="none" w:sz="0" w:space="0" w:color="auto"/>
                    <w:right w:val="none" w:sz="0" w:space="0" w:color="auto"/>
                  </w:divBdr>
                  <w:divsChild>
                    <w:div w:id="1201473024">
                      <w:marLeft w:val="0"/>
                      <w:marRight w:val="0"/>
                      <w:marTop w:val="0"/>
                      <w:marBottom w:val="0"/>
                      <w:divBdr>
                        <w:top w:val="none" w:sz="0" w:space="0" w:color="auto"/>
                        <w:left w:val="none" w:sz="0" w:space="0" w:color="auto"/>
                        <w:bottom w:val="none" w:sz="0" w:space="0" w:color="auto"/>
                        <w:right w:val="none" w:sz="0" w:space="0" w:color="auto"/>
                      </w:divBdr>
                    </w:div>
                    <w:div w:id="1534927182">
                      <w:marLeft w:val="0"/>
                      <w:marRight w:val="0"/>
                      <w:marTop w:val="0"/>
                      <w:marBottom w:val="0"/>
                      <w:divBdr>
                        <w:top w:val="none" w:sz="0" w:space="0" w:color="auto"/>
                        <w:left w:val="none" w:sz="0" w:space="0" w:color="auto"/>
                        <w:bottom w:val="none" w:sz="0" w:space="0" w:color="auto"/>
                        <w:right w:val="none" w:sz="0" w:space="0" w:color="auto"/>
                      </w:divBdr>
                    </w:div>
                  </w:divsChild>
                </w:div>
                <w:div w:id="662125578">
                  <w:marLeft w:val="0"/>
                  <w:marRight w:val="0"/>
                  <w:marTop w:val="0"/>
                  <w:marBottom w:val="0"/>
                  <w:divBdr>
                    <w:top w:val="none" w:sz="0" w:space="0" w:color="auto"/>
                    <w:left w:val="none" w:sz="0" w:space="0" w:color="auto"/>
                    <w:bottom w:val="none" w:sz="0" w:space="0" w:color="auto"/>
                    <w:right w:val="none" w:sz="0" w:space="0" w:color="auto"/>
                  </w:divBdr>
                  <w:divsChild>
                    <w:div w:id="493182637">
                      <w:marLeft w:val="0"/>
                      <w:marRight w:val="0"/>
                      <w:marTop w:val="0"/>
                      <w:marBottom w:val="0"/>
                      <w:divBdr>
                        <w:top w:val="none" w:sz="0" w:space="0" w:color="auto"/>
                        <w:left w:val="none" w:sz="0" w:space="0" w:color="auto"/>
                        <w:bottom w:val="none" w:sz="0" w:space="0" w:color="auto"/>
                        <w:right w:val="none" w:sz="0" w:space="0" w:color="auto"/>
                      </w:divBdr>
                    </w:div>
                  </w:divsChild>
                </w:div>
                <w:div w:id="662506979">
                  <w:marLeft w:val="0"/>
                  <w:marRight w:val="0"/>
                  <w:marTop w:val="0"/>
                  <w:marBottom w:val="0"/>
                  <w:divBdr>
                    <w:top w:val="none" w:sz="0" w:space="0" w:color="auto"/>
                    <w:left w:val="none" w:sz="0" w:space="0" w:color="auto"/>
                    <w:bottom w:val="none" w:sz="0" w:space="0" w:color="auto"/>
                    <w:right w:val="none" w:sz="0" w:space="0" w:color="auto"/>
                  </w:divBdr>
                  <w:divsChild>
                    <w:div w:id="1394767991">
                      <w:marLeft w:val="0"/>
                      <w:marRight w:val="0"/>
                      <w:marTop w:val="0"/>
                      <w:marBottom w:val="0"/>
                      <w:divBdr>
                        <w:top w:val="none" w:sz="0" w:space="0" w:color="auto"/>
                        <w:left w:val="none" w:sz="0" w:space="0" w:color="auto"/>
                        <w:bottom w:val="none" w:sz="0" w:space="0" w:color="auto"/>
                        <w:right w:val="none" w:sz="0" w:space="0" w:color="auto"/>
                      </w:divBdr>
                    </w:div>
                  </w:divsChild>
                </w:div>
                <w:div w:id="667366493">
                  <w:marLeft w:val="0"/>
                  <w:marRight w:val="0"/>
                  <w:marTop w:val="0"/>
                  <w:marBottom w:val="0"/>
                  <w:divBdr>
                    <w:top w:val="none" w:sz="0" w:space="0" w:color="auto"/>
                    <w:left w:val="none" w:sz="0" w:space="0" w:color="auto"/>
                    <w:bottom w:val="none" w:sz="0" w:space="0" w:color="auto"/>
                    <w:right w:val="none" w:sz="0" w:space="0" w:color="auto"/>
                  </w:divBdr>
                  <w:divsChild>
                    <w:div w:id="1414352489">
                      <w:marLeft w:val="0"/>
                      <w:marRight w:val="0"/>
                      <w:marTop w:val="0"/>
                      <w:marBottom w:val="0"/>
                      <w:divBdr>
                        <w:top w:val="none" w:sz="0" w:space="0" w:color="auto"/>
                        <w:left w:val="none" w:sz="0" w:space="0" w:color="auto"/>
                        <w:bottom w:val="none" w:sz="0" w:space="0" w:color="auto"/>
                        <w:right w:val="none" w:sz="0" w:space="0" w:color="auto"/>
                      </w:divBdr>
                    </w:div>
                  </w:divsChild>
                </w:div>
                <w:div w:id="677272640">
                  <w:marLeft w:val="0"/>
                  <w:marRight w:val="0"/>
                  <w:marTop w:val="0"/>
                  <w:marBottom w:val="0"/>
                  <w:divBdr>
                    <w:top w:val="none" w:sz="0" w:space="0" w:color="auto"/>
                    <w:left w:val="none" w:sz="0" w:space="0" w:color="auto"/>
                    <w:bottom w:val="none" w:sz="0" w:space="0" w:color="auto"/>
                    <w:right w:val="none" w:sz="0" w:space="0" w:color="auto"/>
                  </w:divBdr>
                  <w:divsChild>
                    <w:div w:id="242571768">
                      <w:marLeft w:val="0"/>
                      <w:marRight w:val="0"/>
                      <w:marTop w:val="0"/>
                      <w:marBottom w:val="0"/>
                      <w:divBdr>
                        <w:top w:val="none" w:sz="0" w:space="0" w:color="auto"/>
                        <w:left w:val="none" w:sz="0" w:space="0" w:color="auto"/>
                        <w:bottom w:val="none" w:sz="0" w:space="0" w:color="auto"/>
                        <w:right w:val="none" w:sz="0" w:space="0" w:color="auto"/>
                      </w:divBdr>
                    </w:div>
                  </w:divsChild>
                </w:div>
                <w:div w:id="691692169">
                  <w:marLeft w:val="0"/>
                  <w:marRight w:val="0"/>
                  <w:marTop w:val="0"/>
                  <w:marBottom w:val="0"/>
                  <w:divBdr>
                    <w:top w:val="none" w:sz="0" w:space="0" w:color="auto"/>
                    <w:left w:val="none" w:sz="0" w:space="0" w:color="auto"/>
                    <w:bottom w:val="none" w:sz="0" w:space="0" w:color="auto"/>
                    <w:right w:val="none" w:sz="0" w:space="0" w:color="auto"/>
                  </w:divBdr>
                  <w:divsChild>
                    <w:div w:id="621305026">
                      <w:marLeft w:val="0"/>
                      <w:marRight w:val="0"/>
                      <w:marTop w:val="0"/>
                      <w:marBottom w:val="0"/>
                      <w:divBdr>
                        <w:top w:val="none" w:sz="0" w:space="0" w:color="auto"/>
                        <w:left w:val="none" w:sz="0" w:space="0" w:color="auto"/>
                        <w:bottom w:val="none" w:sz="0" w:space="0" w:color="auto"/>
                        <w:right w:val="none" w:sz="0" w:space="0" w:color="auto"/>
                      </w:divBdr>
                    </w:div>
                  </w:divsChild>
                </w:div>
                <w:div w:id="712459799">
                  <w:marLeft w:val="0"/>
                  <w:marRight w:val="0"/>
                  <w:marTop w:val="0"/>
                  <w:marBottom w:val="0"/>
                  <w:divBdr>
                    <w:top w:val="none" w:sz="0" w:space="0" w:color="auto"/>
                    <w:left w:val="none" w:sz="0" w:space="0" w:color="auto"/>
                    <w:bottom w:val="none" w:sz="0" w:space="0" w:color="auto"/>
                    <w:right w:val="none" w:sz="0" w:space="0" w:color="auto"/>
                  </w:divBdr>
                  <w:divsChild>
                    <w:div w:id="1780639629">
                      <w:marLeft w:val="0"/>
                      <w:marRight w:val="0"/>
                      <w:marTop w:val="0"/>
                      <w:marBottom w:val="0"/>
                      <w:divBdr>
                        <w:top w:val="none" w:sz="0" w:space="0" w:color="auto"/>
                        <w:left w:val="none" w:sz="0" w:space="0" w:color="auto"/>
                        <w:bottom w:val="none" w:sz="0" w:space="0" w:color="auto"/>
                        <w:right w:val="none" w:sz="0" w:space="0" w:color="auto"/>
                      </w:divBdr>
                    </w:div>
                  </w:divsChild>
                </w:div>
                <w:div w:id="743991581">
                  <w:marLeft w:val="0"/>
                  <w:marRight w:val="0"/>
                  <w:marTop w:val="0"/>
                  <w:marBottom w:val="0"/>
                  <w:divBdr>
                    <w:top w:val="none" w:sz="0" w:space="0" w:color="auto"/>
                    <w:left w:val="none" w:sz="0" w:space="0" w:color="auto"/>
                    <w:bottom w:val="none" w:sz="0" w:space="0" w:color="auto"/>
                    <w:right w:val="none" w:sz="0" w:space="0" w:color="auto"/>
                  </w:divBdr>
                  <w:divsChild>
                    <w:div w:id="1561281679">
                      <w:marLeft w:val="0"/>
                      <w:marRight w:val="0"/>
                      <w:marTop w:val="0"/>
                      <w:marBottom w:val="0"/>
                      <w:divBdr>
                        <w:top w:val="none" w:sz="0" w:space="0" w:color="auto"/>
                        <w:left w:val="none" w:sz="0" w:space="0" w:color="auto"/>
                        <w:bottom w:val="none" w:sz="0" w:space="0" w:color="auto"/>
                        <w:right w:val="none" w:sz="0" w:space="0" w:color="auto"/>
                      </w:divBdr>
                    </w:div>
                  </w:divsChild>
                </w:div>
                <w:div w:id="752700892">
                  <w:marLeft w:val="0"/>
                  <w:marRight w:val="0"/>
                  <w:marTop w:val="0"/>
                  <w:marBottom w:val="0"/>
                  <w:divBdr>
                    <w:top w:val="none" w:sz="0" w:space="0" w:color="auto"/>
                    <w:left w:val="none" w:sz="0" w:space="0" w:color="auto"/>
                    <w:bottom w:val="none" w:sz="0" w:space="0" w:color="auto"/>
                    <w:right w:val="none" w:sz="0" w:space="0" w:color="auto"/>
                  </w:divBdr>
                  <w:divsChild>
                    <w:div w:id="696345988">
                      <w:marLeft w:val="0"/>
                      <w:marRight w:val="0"/>
                      <w:marTop w:val="0"/>
                      <w:marBottom w:val="0"/>
                      <w:divBdr>
                        <w:top w:val="none" w:sz="0" w:space="0" w:color="auto"/>
                        <w:left w:val="none" w:sz="0" w:space="0" w:color="auto"/>
                        <w:bottom w:val="none" w:sz="0" w:space="0" w:color="auto"/>
                        <w:right w:val="none" w:sz="0" w:space="0" w:color="auto"/>
                      </w:divBdr>
                    </w:div>
                  </w:divsChild>
                </w:div>
                <w:div w:id="754135090">
                  <w:marLeft w:val="0"/>
                  <w:marRight w:val="0"/>
                  <w:marTop w:val="0"/>
                  <w:marBottom w:val="0"/>
                  <w:divBdr>
                    <w:top w:val="none" w:sz="0" w:space="0" w:color="auto"/>
                    <w:left w:val="none" w:sz="0" w:space="0" w:color="auto"/>
                    <w:bottom w:val="none" w:sz="0" w:space="0" w:color="auto"/>
                    <w:right w:val="none" w:sz="0" w:space="0" w:color="auto"/>
                  </w:divBdr>
                  <w:divsChild>
                    <w:div w:id="2107115458">
                      <w:marLeft w:val="0"/>
                      <w:marRight w:val="0"/>
                      <w:marTop w:val="0"/>
                      <w:marBottom w:val="0"/>
                      <w:divBdr>
                        <w:top w:val="none" w:sz="0" w:space="0" w:color="auto"/>
                        <w:left w:val="none" w:sz="0" w:space="0" w:color="auto"/>
                        <w:bottom w:val="none" w:sz="0" w:space="0" w:color="auto"/>
                        <w:right w:val="none" w:sz="0" w:space="0" w:color="auto"/>
                      </w:divBdr>
                    </w:div>
                  </w:divsChild>
                </w:div>
                <w:div w:id="775565608">
                  <w:marLeft w:val="0"/>
                  <w:marRight w:val="0"/>
                  <w:marTop w:val="0"/>
                  <w:marBottom w:val="0"/>
                  <w:divBdr>
                    <w:top w:val="none" w:sz="0" w:space="0" w:color="auto"/>
                    <w:left w:val="none" w:sz="0" w:space="0" w:color="auto"/>
                    <w:bottom w:val="none" w:sz="0" w:space="0" w:color="auto"/>
                    <w:right w:val="none" w:sz="0" w:space="0" w:color="auto"/>
                  </w:divBdr>
                  <w:divsChild>
                    <w:div w:id="142697687">
                      <w:marLeft w:val="0"/>
                      <w:marRight w:val="0"/>
                      <w:marTop w:val="0"/>
                      <w:marBottom w:val="0"/>
                      <w:divBdr>
                        <w:top w:val="none" w:sz="0" w:space="0" w:color="auto"/>
                        <w:left w:val="none" w:sz="0" w:space="0" w:color="auto"/>
                        <w:bottom w:val="none" w:sz="0" w:space="0" w:color="auto"/>
                        <w:right w:val="none" w:sz="0" w:space="0" w:color="auto"/>
                      </w:divBdr>
                    </w:div>
                  </w:divsChild>
                </w:div>
                <w:div w:id="785195962">
                  <w:marLeft w:val="0"/>
                  <w:marRight w:val="0"/>
                  <w:marTop w:val="0"/>
                  <w:marBottom w:val="0"/>
                  <w:divBdr>
                    <w:top w:val="none" w:sz="0" w:space="0" w:color="auto"/>
                    <w:left w:val="none" w:sz="0" w:space="0" w:color="auto"/>
                    <w:bottom w:val="none" w:sz="0" w:space="0" w:color="auto"/>
                    <w:right w:val="none" w:sz="0" w:space="0" w:color="auto"/>
                  </w:divBdr>
                  <w:divsChild>
                    <w:div w:id="124079981">
                      <w:marLeft w:val="0"/>
                      <w:marRight w:val="0"/>
                      <w:marTop w:val="0"/>
                      <w:marBottom w:val="0"/>
                      <w:divBdr>
                        <w:top w:val="none" w:sz="0" w:space="0" w:color="auto"/>
                        <w:left w:val="none" w:sz="0" w:space="0" w:color="auto"/>
                        <w:bottom w:val="none" w:sz="0" w:space="0" w:color="auto"/>
                        <w:right w:val="none" w:sz="0" w:space="0" w:color="auto"/>
                      </w:divBdr>
                    </w:div>
                  </w:divsChild>
                </w:div>
                <w:div w:id="789975607">
                  <w:marLeft w:val="0"/>
                  <w:marRight w:val="0"/>
                  <w:marTop w:val="0"/>
                  <w:marBottom w:val="0"/>
                  <w:divBdr>
                    <w:top w:val="none" w:sz="0" w:space="0" w:color="auto"/>
                    <w:left w:val="none" w:sz="0" w:space="0" w:color="auto"/>
                    <w:bottom w:val="none" w:sz="0" w:space="0" w:color="auto"/>
                    <w:right w:val="none" w:sz="0" w:space="0" w:color="auto"/>
                  </w:divBdr>
                  <w:divsChild>
                    <w:div w:id="710888037">
                      <w:marLeft w:val="0"/>
                      <w:marRight w:val="0"/>
                      <w:marTop w:val="0"/>
                      <w:marBottom w:val="0"/>
                      <w:divBdr>
                        <w:top w:val="none" w:sz="0" w:space="0" w:color="auto"/>
                        <w:left w:val="none" w:sz="0" w:space="0" w:color="auto"/>
                        <w:bottom w:val="none" w:sz="0" w:space="0" w:color="auto"/>
                        <w:right w:val="none" w:sz="0" w:space="0" w:color="auto"/>
                      </w:divBdr>
                    </w:div>
                  </w:divsChild>
                </w:div>
                <w:div w:id="805244344">
                  <w:marLeft w:val="0"/>
                  <w:marRight w:val="0"/>
                  <w:marTop w:val="0"/>
                  <w:marBottom w:val="0"/>
                  <w:divBdr>
                    <w:top w:val="none" w:sz="0" w:space="0" w:color="auto"/>
                    <w:left w:val="none" w:sz="0" w:space="0" w:color="auto"/>
                    <w:bottom w:val="none" w:sz="0" w:space="0" w:color="auto"/>
                    <w:right w:val="none" w:sz="0" w:space="0" w:color="auto"/>
                  </w:divBdr>
                  <w:divsChild>
                    <w:div w:id="1591889653">
                      <w:marLeft w:val="0"/>
                      <w:marRight w:val="0"/>
                      <w:marTop w:val="0"/>
                      <w:marBottom w:val="0"/>
                      <w:divBdr>
                        <w:top w:val="none" w:sz="0" w:space="0" w:color="auto"/>
                        <w:left w:val="none" w:sz="0" w:space="0" w:color="auto"/>
                        <w:bottom w:val="none" w:sz="0" w:space="0" w:color="auto"/>
                        <w:right w:val="none" w:sz="0" w:space="0" w:color="auto"/>
                      </w:divBdr>
                    </w:div>
                  </w:divsChild>
                </w:div>
                <w:div w:id="811559971">
                  <w:marLeft w:val="0"/>
                  <w:marRight w:val="0"/>
                  <w:marTop w:val="0"/>
                  <w:marBottom w:val="0"/>
                  <w:divBdr>
                    <w:top w:val="none" w:sz="0" w:space="0" w:color="auto"/>
                    <w:left w:val="none" w:sz="0" w:space="0" w:color="auto"/>
                    <w:bottom w:val="none" w:sz="0" w:space="0" w:color="auto"/>
                    <w:right w:val="none" w:sz="0" w:space="0" w:color="auto"/>
                  </w:divBdr>
                  <w:divsChild>
                    <w:div w:id="1697660523">
                      <w:marLeft w:val="0"/>
                      <w:marRight w:val="0"/>
                      <w:marTop w:val="0"/>
                      <w:marBottom w:val="0"/>
                      <w:divBdr>
                        <w:top w:val="none" w:sz="0" w:space="0" w:color="auto"/>
                        <w:left w:val="none" w:sz="0" w:space="0" w:color="auto"/>
                        <w:bottom w:val="none" w:sz="0" w:space="0" w:color="auto"/>
                        <w:right w:val="none" w:sz="0" w:space="0" w:color="auto"/>
                      </w:divBdr>
                    </w:div>
                  </w:divsChild>
                </w:div>
                <w:div w:id="833376747">
                  <w:marLeft w:val="0"/>
                  <w:marRight w:val="0"/>
                  <w:marTop w:val="0"/>
                  <w:marBottom w:val="0"/>
                  <w:divBdr>
                    <w:top w:val="none" w:sz="0" w:space="0" w:color="auto"/>
                    <w:left w:val="none" w:sz="0" w:space="0" w:color="auto"/>
                    <w:bottom w:val="none" w:sz="0" w:space="0" w:color="auto"/>
                    <w:right w:val="none" w:sz="0" w:space="0" w:color="auto"/>
                  </w:divBdr>
                  <w:divsChild>
                    <w:div w:id="485973687">
                      <w:marLeft w:val="0"/>
                      <w:marRight w:val="0"/>
                      <w:marTop w:val="0"/>
                      <w:marBottom w:val="0"/>
                      <w:divBdr>
                        <w:top w:val="none" w:sz="0" w:space="0" w:color="auto"/>
                        <w:left w:val="none" w:sz="0" w:space="0" w:color="auto"/>
                        <w:bottom w:val="none" w:sz="0" w:space="0" w:color="auto"/>
                        <w:right w:val="none" w:sz="0" w:space="0" w:color="auto"/>
                      </w:divBdr>
                    </w:div>
                  </w:divsChild>
                </w:div>
                <w:div w:id="839736362">
                  <w:marLeft w:val="0"/>
                  <w:marRight w:val="0"/>
                  <w:marTop w:val="0"/>
                  <w:marBottom w:val="0"/>
                  <w:divBdr>
                    <w:top w:val="none" w:sz="0" w:space="0" w:color="auto"/>
                    <w:left w:val="none" w:sz="0" w:space="0" w:color="auto"/>
                    <w:bottom w:val="none" w:sz="0" w:space="0" w:color="auto"/>
                    <w:right w:val="none" w:sz="0" w:space="0" w:color="auto"/>
                  </w:divBdr>
                  <w:divsChild>
                    <w:div w:id="1254120055">
                      <w:marLeft w:val="0"/>
                      <w:marRight w:val="0"/>
                      <w:marTop w:val="0"/>
                      <w:marBottom w:val="0"/>
                      <w:divBdr>
                        <w:top w:val="none" w:sz="0" w:space="0" w:color="auto"/>
                        <w:left w:val="none" w:sz="0" w:space="0" w:color="auto"/>
                        <w:bottom w:val="none" w:sz="0" w:space="0" w:color="auto"/>
                        <w:right w:val="none" w:sz="0" w:space="0" w:color="auto"/>
                      </w:divBdr>
                    </w:div>
                  </w:divsChild>
                </w:div>
                <w:div w:id="842821733">
                  <w:marLeft w:val="0"/>
                  <w:marRight w:val="0"/>
                  <w:marTop w:val="0"/>
                  <w:marBottom w:val="0"/>
                  <w:divBdr>
                    <w:top w:val="none" w:sz="0" w:space="0" w:color="auto"/>
                    <w:left w:val="none" w:sz="0" w:space="0" w:color="auto"/>
                    <w:bottom w:val="none" w:sz="0" w:space="0" w:color="auto"/>
                    <w:right w:val="none" w:sz="0" w:space="0" w:color="auto"/>
                  </w:divBdr>
                  <w:divsChild>
                    <w:div w:id="1374891853">
                      <w:marLeft w:val="0"/>
                      <w:marRight w:val="0"/>
                      <w:marTop w:val="0"/>
                      <w:marBottom w:val="0"/>
                      <w:divBdr>
                        <w:top w:val="none" w:sz="0" w:space="0" w:color="auto"/>
                        <w:left w:val="none" w:sz="0" w:space="0" w:color="auto"/>
                        <w:bottom w:val="none" w:sz="0" w:space="0" w:color="auto"/>
                        <w:right w:val="none" w:sz="0" w:space="0" w:color="auto"/>
                      </w:divBdr>
                    </w:div>
                  </w:divsChild>
                </w:div>
                <w:div w:id="844594780">
                  <w:marLeft w:val="0"/>
                  <w:marRight w:val="0"/>
                  <w:marTop w:val="0"/>
                  <w:marBottom w:val="0"/>
                  <w:divBdr>
                    <w:top w:val="none" w:sz="0" w:space="0" w:color="auto"/>
                    <w:left w:val="none" w:sz="0" w:space="0" w:color="auto"/>
                    <w:bottom w:val="none" w:sz="0" w:space="0" w:color="auto"/>
                    <w:right w:val="none" w:sz="0" w:space="0" w:color="auto"/>
                  </w:divBdr>
                  <w:divsChild>
                    <w:div w:id="2089107148">
                      <w:marLeft w:val="0"/>
                      <w:marRight w:val="0"/>
                      <w:marTop w:val="0"/>
                      <w:marBottom w:val="0"/>
                      <w:divBdr>
                        <w:top w:val="none" w:sz="0" w:space="0" w:color="auto"/>
                        <w:left w:val="none" w:sz="0" w:space="0" w:color="auto"/>
                        <w:bottom w:val="none" w:sz="0" w:space="0" w:color="auto"/>
                        <w:right w:val="none" w:sz="0" w:space="0" w:color="auto"/>
                      </w:divBdr>
                    </w:div>
                  </w:divsChild>
                </w:div>
                <w:div w:id="875316199">
                  <w:marLeft w:val="0"/>
                  <w:marRight w:val="0"/>
                  <w:marTop w:val="0"/>
                  <w:marBottom w:val="0"/>
                  <w:divBdr>
                    <w:top w:val="none" w:sz="0" w:space="0" w:color="auto"/>
                    <w:left w:val="none" w:sz="0" w:space="0" w:color="auto"/>
                    <w:bottom w:val="none" w:sz="0" w:space="0" w:color="auto"/>
                    <w:right w:val="none" w:sz="0" w:space="0" w:color="auto"/>
                  </w:divBdr>
                  <w:divsChild>
                    <w:div w:id="456604744">
                      <w:marLeft w:val="0"/>
                      <w:marRight w:val="0"/>
                      <w:marTop w:val="0"/>
                      <w:marBottom w:val="0"/>
                      <w:divBdr>
                        <w:top w:val="none" w:sz="0" w:space="0" w:color="auto"/>
                        <w:left w:val="none" w:sz="0" w:space="0" w:color="auto"/>
                        <w:bottom w:val="none" w:sz="0" w:space="0" w:color="auto"/>
                        <w:right w:val="none" w:sz="0" w:space="0" w:color="auto"/>
                      </w:divBdr>
                    </w:div>
                  </w:divsChild>
                </w:div>
                <w:div w:id="877594105">
                  <w:marLeft w:val="0"/>
                  <w:marRight w:val="0"/>
                  <w:marTop w:val="0"/>
                  <w:marBottom w:val="0"/>
                  <w:divBdr>
                    <w:top w:val="none" w:sz="0" w:space="0" w:color="auto"/>
                    <w:left w:val="none" w:sz="0" w:space="0" w:color="auto"/>
                    <w:bottom w:val="none" w:sz="0" w:space="0" w:color="auto"/>
                    <w:right w:val="none" w:sz="0" w:space="0" w:color="auto"/>
                  </w:divBdr>
                  <w:divsChild>
                    <w:div w:id="582834634">
                      <w:marLeft w:val="0"/>
                      <w:marRight w:val="0"/>
                      <w:marTop w:val="0"/>
                      <w:marBottom w:val="0"/>
                      <w:divBdr>
                        <w:top w:val="none" w:sz="0" w:space="0" w:color="auto"/>
                        <w:left w:val="none" w:sz="0" w:space="0" w:color="auto"/>
                        <w:bottom w:val="none" w:sz="0" w:space="0" w:color="auto"/>
                        <w:right w:val="none" w:sz="0" w:space="0" w:color="auto"/>
                      </w:divBdr>
                    </w:div>
                  </w:divsChild>
                </w:div>
                <w:div w:id="879587571">
                  <w:marLeft w:val="0"/>
                  <w:marRight w:val="0"/>
                  <w:marTop w:val="0"/>
                  <w:marBottom w:val="0"/>
                  <w:divBdr>
                    <w:top w:val="none" w:sz="0" w:space="0" w:color="auto"/>
                    <w:left w:val="none" w:sz="0" w:space="0" w:color="auto"/>
                    <w:bottom w:val="none" w:sz="0" w:space="0" w:color="auto"/>
                    <w:right w:val="none" w:sz="0" w:space="0" w:color="auto"/>
                  </w:divBdr>
                  <w:divsChild>
                    <w:div w:id="998003432">
                      <w:marLeft w:val="0"/>
                      <w:marRight w:val="0"/>
                      <w:marTop w:val="0"/>
                      <w:marBottom w:val="0"/>
                      <w:divBdr>
                        <w:top w:val="none" w:sz="0" w:space="0" w:color="auto"/>
                        <w:left w:val="none" w:sz="0" w:space="0" w:color="auto"/>
                        <w:bottom w:val="none" w:sz="0" w:space="0" w:color="auto"/>
                        <w:right w:val="none" w:sz="0" w:space="0" w:color="auto"/>
                      </w:divBdr>
                    </w:div>
                  </w:divsChild>
                </w:div>
                <w:div w:id="881095048">
                  <w:marLeft w:val="0"/>
                  <w:marRight w:val="0"/>
                  <w:marTop w:val="0"/>
                  <w:marBottom w:val="0"/>
                  <w:divBdr>
                    <w:top w:val="none" w:sz="0" w:space="0" w:color="auto"/>
                    <w:left w:val="none" w:sz="0" w:space="0" w:color="auto"/>
                    <w:bottom w:val="none" w:sz="0" w:space="0" w:color="auto"/>
                    <w:right w:val="none" w:sz="0" w:space="0" w:color="auto"/>
                  </w:divBdr>
                  <w:divsChild>
                    <w:div w:id="2124104823">
                      <w:marLeft w:val="0"/>
                      <w:marRight w:val="0"/>
                      <w:marTop w:val="0"/>
                      <w:marBottom w:val="0"/>
                      <w:divBdr>
                        <w:top w:val="none" w:sz="0" w:space="0" w:color="auto"/>
                        <w:left w:val="none" w:sz="0" w:space="0" w:color="auto"/>
                        <w:bottom w:val="none" w:sz="0" w:space="0" w:color="auto"/>
                        <w:right w:val="none" w:sz="0" w:space="0" w:color="auto"/>
                      </w:divBdr>
                    </w:div>
                  </w:divsChild>
                </w:div>
                <w:div w:id="931544668">
                  <w:marLeft w:val="0"/>
                  <w:marRight w:val="0"/>
                  <w:marTop w:val="0"/>
                  <w:marBottom w:val="0"/>
                  <w:divBdr>
                    <w:top w:val="none" w:sz="0" w:space="0" w:color="auto"/>
                    <w:left w:val="none" w:sz="0" w:space="0" w:color="auto"/>
                    <w:bottom w:val="none" w:sz="0" w:space="0" w:color="auto"/>
                    <w:right w:val="none" w:sz="0" w:space="0" w:color="auto"/>
                  </w:divBdr>
                  <w:divsChild>
                    <w:div w:id="1590967502">
                      <w:marLeft w:val="0"/>
                      <w:marRight w:val="0"/>
                      <w:marTop w:val="0"/>
                      <w:marBottom w:val="0"/>
                      <w:divBdr>
                        <w:top w:val="none" w:sz="0" w:space="0" w:color="auto"/>
                        <w:left w:val="none" w:sz="0" w:space="0" w:color="auto"/>
                        <w:bottom w:val="none" w:sz="0" w:space="0" w:color="auto"/>
                        <w:right w:val="none" w:sz="0" w:space="0" w:color="auto"/>
                      </w:divBdr>
                    </w:div>
                  </w:divsChild>
                </w:div>
                <w:div w:id="938175637">
                  <w:marLeft w:val="0"/>
                  <w:marRight w:val="0"/>
                  <w:marTop w:val="0"/>
                  <w:marBottom w:val="0"/>
                  <w:divBdr>
                    <w:top w:val="none" w:sz="0" w:space="0" w:color="auto"/>
                    <w:left w:val="none" w:sz="0" w:space="0" w:color="auto"/>
                    <w:bottom w:val="none" w:sz="0" w:space="0" w:color="auto"/>
                    <w:right w:val="none" w:sz="0" w:space="0" w:color="auto"/>
                  </w:divBdr>
                  <w:divsChild>
                    <w:div w:id="1538539379">
                      <w:marLeft w:val="0"/>
                      <w:marRight w:val="0"/>
                      <w:marTop w:val="0"/>
                      <w:marBottom w:val="0"/>
                      <w:divBdr>
                        <w:top w:val="none" w:sz="0" w:space="0" w:color="auto"/>
                        <w:left w:val="none" w:sz="0" w:space="0" w:color="auto"/>
                        <w:bottom w:val="none" w:sz="0" w:space="0" w:color="auto"/>
                        <w:right w:val="none" w:sz="0" w:space="0" w:color="auto"/>
                      </w:divBdr>
                    </w:div>
                  </w:divsChild>
                </w:div>
                <w:div w:id="947202960">
                  <w:marLeft w:val="0"/>
                  <w:marRight w:val="0"/>
                  <w:marTop w:val="0"/>
                  <w:marBottom w:val="0"/>
                  <w:divBdr>
                    <w:top w:val="none" w:sz="0" w:space="0" w:color="auto"/>
                    <w:left w:val="none" w:sz="0" w:space="0" w:color="auto"/>
                    <w:bottom w:val="none" w:sz="0" w:space="0" w:color="auto"/>
                    <w:right w:val="none" w:sz="0" w:space="0" w:color="auto"/>
                  </w:divBdr>
                  <w:divsChild>
                    <w:div w:id="397554990">
                      <w:marLeft w:val="0"/>
                      <w:marRight w:val="0"/>
                      <w:marTop w:val="0"/>
                      <w:marBottom w:val="0"/>
                      <w:divBdr>
                        <w:top w:val="none" w:sz="0" w:space="0" w:color="auto"/>
                        <w:left w:val="none" w:sz="0" w:space="0" w:color="auto"/>
                        <w:bottom w:val="none" w:sz="0" w:space="0" w:color="auto"/>
                        <w:right w:val="none" w:sz="0" w:space="0" w:color="auto"/>
                      </w:divBdr>
                    </w:div>
                  </w:divsChild>
                </w:div>
                <w:div w:id="949624317">
                  <w:marLeft w:val="0"/>
                  <w:marRight w:val="0"/>
                  <w:marTop w:val="0"/>
                  <w:marBottom w:val="0"/>
                  <w:divBdr>
                    <w:top w:val="none" w:sz="0" w:space="0" w:color="auto"/>
                    <w:left w:val="none" w:sz="0" w:space="0" w:color="auto"/>
                    <w:bottom w:val="none" w:sz="0" w:space="0" w:color="auto"/>
                    <w:right w:val="none" w:sz="0" w:space="0" w:color="auto"/>
                  </w:divBdr>
                  <w:divsChild>
                    <w:div w:id="1609317598">
                      <w:marLeft w:val="0"/>
                      <w:marRight w:val="0"/>
                      <w:marTop w:val="0"/>
                      <w:marBottom w:val="0"/>
                      <w:divBdr>
                        <w:top w:val="none" w:sz="0" w:space="0" w:color="auto"/>
                        <w:left w:val="none" w:sz="0" w:space="0" w:color="auto"/>
                        <w:bottom w:val="none" w:sz="0" w:space="0" w:color="auto"/>
                        <w:right w:val="none" w:sz="0" w:space="0" w:color="auto"/>
                      </w:divBdr>
                    </w:div>
                  </w:divsChild>
                </w:div>
                <w:div w:id="963345681">
                  <w:marLeft w:val="0"/>
                  <w:marRight w:val="0"/>
                  <w:marTop w:val="0"/>
                  <w:marBottom w:val="0"/>
                  <w:divBdr>
                    <w:top w:val="none" w:sz="0" w:space="0" w:color="auto"/>
                    <w:left w:val="none" w:sz="0" w:space="0" w:color="auto"/>
                    <w:bottom w:val="none" w:sz="0" w:space="0" w:color="auto"/>
                    <w:right w:val="none" w:sz="0" w:space="0" w:color="auto"/>
                  </w:divBdr>
                  <w:divsChild>
                    <w:div w:id="1702047962">
                      <w:marLeft w:val="0"/>
                      <w:marRight w:val="0"/>
                      <w:marTop w:val="0"/>
                      <w:marBottom w:val="0"/>
                      <w:divBdr>
                        <w:top w:val="none" w:sz="0" w:space="0" w:color="auto"/>
                        <w:left w:val="none" w:sz="0" w:space="0" w:color="auto"/>
                        <w:bottom w:val="none" w:sz="0" w:space="0" w:color="auto"/>
                        <w:right w:val="none" w:sz="0" w:space="0" w:color="auto"/>
                      </w:divBdr>
                    </w:div>
                  </w:divsChild>
                </w:div>
                <w:div w:id="1000423124">
                  <w:marLeft w:val="0"/>
                  <w:marRight w:val="0"/>
                  <w:marTop w:val="0"/>
                  <w:marBottom w:val="0"/>
                  <w:divBdr>
                    <w:top w:val="none" w:sz="0" w:space="0" w:color="auto"/>
                    <w:left w:val="none" w:sz="0" w:space="0" w:color="auto"/>
                    <w:bottom w:val="none" w:sz="0" w:space="0" w:color="auto"/>
                    <w:right w:val="none" w:sz="0" w:space="0" w:color="auto"/>
                  </w:divBdr>
                  <w:divsChild>
                    <w:div w:id="1879051266">
                      <w:marLeft w:val="0"/>
                      <w:marRight w:val="0"/>
                      <w:marTop w:val="0"/>
                      <w:marBottom w:val="0"/>
                      <w:divBdr>
                        <w:top w:val="none" w:sz="0" w:space="0" w:color="auto"/>
                        <w:left w:val="none" w:sz="0" w:space="0" w:color="auto"/>
                        <w:bottom w:val="none" w:sz="0" w:space="0" w:color="auto"/>
                        <w:right w:val="none" w:sz="0" w:space="0" w:color="auto"/>
                      </w:divBdr>
                    </w:div>
                  </w:divsChild>
                </w:div>
                <w:div w:id="1005983665">
                  <w:marLeft w:val="0"/>
                  <w:marRight w:val="0"/>
                  <w:marTop w:val="0"/>
                  <w:marBottom w:val="0"/>
                  <w:divBdr>
                    <w:top w:val="none" w:sz="0" w:space="0" w:color="auto"/>
                    <w:left w:val="none" w:sz="0" w:space="0" w:color="auto"/>
                    <w:bottom w:val="none" w:sz="0" w:space="0" w:color="auto"/>
                    <w:right w:val="none" w:sz="0" w:space="0" w:color="auto"/>
                  </w:divBdr>
                  <w:divsChild>
                    <w:div w:id="2130976345">
                      <w:marLeft w:val="0"/>
                      <w:marRight w:val="0"/>
                      <w:marTop w:val="0"/>
                      <w:marBottom w:val="0"/>
                      <w:divBdr>
                        <w:top w:val="none" w:sz="0" w:space="0" w:color="auto"/>
                        <w:left w:val="none" w:sz="0" w:space="0" w:color="auto"/>
                        <w:bottom w:val="none" w:sz="0" w:space="0" w:color="auto"/>
                        <w:right w:val="none" w:sz="0" w:space="0" w:color="auto"/>
                      </w:divBdr>
                    </w:div>
                  </w:divsChild>
                </w:div>
                <w:div w:id="1012757442">
                  <w:marLeft w:val="0"/>
                  <w:marRight w:val="0"/>
                  <w:marTop w:val="0"/>
                  <w:marBottom w:val="0"/>
                  <w:divBdr>
                    <w:top w:val="none" w:sz="0" w:space="0" w:color="auto"/>
                    <w:left w:val="none" w:sz="0" w:space="0" w:color="auto"/>
                    <w:bottom w:val="none" w:sz="0" w:space="0" w:color="auto"/>
                    <w:right w:val="none" w:sz="0" w:space="0" w:color="auto"/>
                  </w:divBdr>
                  <w:divsChild>
                    <w:div w:id="1596090844">
                      <w:marLeft w:val="0"/>
                      <w:marRight w:val="0"/>
                      <w:marTop w:val="0"/>
                      <w:marBottom w:val="0"/>
                      <w:divBdr>
                        <w:top w:val="none" w:sz="0" w:space="0" w:color="auto"/>
                        <w:left w:val="none" w:sz="0" w:space="0" w:color="auto"/>
                        <w:bottom w:val="none" w:sz="0" w:space="0" w:color="auto"/>
                        <w:right w:val="none" w:sz="0" w:space="0" w:color="auto"/>
                      </w:divBdr>
                    </w:div>
                  </w:divsChild>
                </w:div>
                <w:div w:id="1044016256">
                  <w:marLeft w:val="0"/>
                  <w:marRight w:val="0"/>
                  <w:marTop w:val="0"/>
                  <w:marBottom w:val="0"/>
                  <w:divBdr>
                    <w:top w:val="none" w:sz="0" w:space="0" w:color="auto"/>
                    <w:left w:val="none" w:sz="0" w:space="0" w:color="auto"/>
                    <w:bottom w:val="none" w:sz="0" w:space="0" w:color="auto"/>
                    <w:right w:val="none" w:sz="0" w:space="0" w:color="auto"/>
                  </w:divBdr>
                  <w:divsChild>
                    <w:div w:id="1591965756">
                      <w:marLeft w:val="0"/>
                      <w:marRight w:val="0"/>
                      <w:marTop w:val="0"/>
                      <w:marBottom w:val="0"/>
                      <w:divBdr>
                        <w:top w:val="none" w:sz="0" w:space="0" w:color="auto"/>
                        <w:left w:val="none" w:sz="0" w:space="0" w:color="auto"/>
                        <w:bottom w:val="none" w:sz="0" w:space="0" w:color="auto"/>
                        <w:right w:val="none" w:sz="0" w:space="0" w:color="auto"/>
                      </w:divBdr>
                    </w:div>
                  </w:divsChild>
                </w:div>
                <w:div w:id="1068377216">
                  <w:marLeft w:val="0"/>
                  <w:marRight w:val="0"/>
                  <w:marTop w:val="0"/>
                  <w:marBottom w:val="0"/>
                  <w:divBdr>
                    <w:top w:val="none" w:sz="0" w:space="0" w:color="auto"/>
                    <w:left w:val="none" w:sz="0" w:space="0" w:color="auto"/>
                    <w:bottom w:val="none" w:sz="0" w:space="0" w:color="auto"/>
                    <w:right w:val="none" w:sz="0" w:space="0" w:color="auto"/>
                  </w:divBdr>
                  <w:divsChild>
                    <w:div w:id="766072960">
                      <w:marLeft w:val="0"/>
                      <w:marRight w:val="0"/>
                      <w:marTop w:val="0"/>
                      <w:marBottom w:val="0"/>
                      <w:divBdr>
                        <w:top w:val="none" w:sz="0" w:space="0" w:color="auto"/>
                        <w:left w:val="none" w:sz="0" w:space="0" w:color="auto"/>
                        <w:bottom w:val="none" w:sz="0" w:space="0" w:color="auto"/>
                        <w:right w:val="none" w:sz="0" w:space="0" w:color="auto"/>
                      </w:divBdr>
                    </w:div>
                  </w:divsChild>
                </w:div>
                <w:div w:id="1072509505">
                  <w:marLeft w:val="0"/>
                  <w:marRight w:val="0"/>
                  <w:marTop w:val="0"/>
                  <w:marBottom w:val="0"/>
                  <w:divBdr>
                    <w:top w:val="none" w:sz="0" w:space="0" w:color="auto"/>
                    <w:left w:val="none" w:sz="0" w:space="0" w:color="auto"/>
                    <w:bottom w:val="none" w:sz="0" w:space="0" w:color="auto"/>
                    <w:right w:val="none" w:sz="0" w:space="0" w:color="auto"/>
                  </w:divBdr>
                  <w:divsChild>
                    <w:div w:id="1579632727">
                      <w:marLeft w:val="0"/>
                      <w:marRight w:val="0"/>
                      <w:marTop w:val="0"/>
                      <w:marBottom w:val="0"/>
                      <w:divBdr>
                        <w:top w:val="none" w:sz="0" w:space="0" w:color="auto"/>
                        <w:left w:val="none" w:sz="0" w:space="0" w:color="auto"/>
                        <w:bottom w:val="none" w:sz="0" w:space="0" w:color="auto"/>
                        <w:right w:val="none" w:sz="0" w:space="0" w:color="auto"/>
                      </w:divBdr>
                    </w:div>
                  </w:divsChild>
                </w:div>
                <w:div w:id="1079862396">
                  <w:marLeft w:val="0"/>
                  <w:marRight w:val="0"/>
                  <w:marTop w:val="0"/>
                  <w:marBottom w:val="0"/>
                  <w:divBdr>
                    <w:top w:val="none" w:sz="0" w:space="0" w:color="auto"/>
                    <w:left w:val="none" w:sz="0" w:space="0" w:color="auto"/>
                    <w:bottom w:val="none" w:sz="0" w:space="0" w:color="auto"/>
                    <w:right w:val="none" w:sz="0" w:space="0" w:color="auto"/>
                  </w:divBdr>
                  <w:divsChild>
                    <w:div w:id="1735739469">
                      <w:marLeft w:val="0"/>
                      <w:marRight w:val="0"/>
                      <w:marTop w:val="0"/>
                      <w:marBottom w:val="0"/>
                      <w:divBdr>
                        <w:top w:val="none" w:sz="0" w:space="0" w:color="auto"/>
                        <w:left w:val="none" w:sz="0" w:space="0" w:color="auto"/>
                        <w:bottom w:val="none" w:sz="0" w:space="0" w:color="auto"/>
                        <w:right w:val="none" w:sz="0" w:space="0" w:color="auto"/>
                      </w:divBdr>
                    </w:div>
                  </w:divsChild>
                </w:div>
                <w:div w:id="1082995552">
                  <w:marLeft w:val="0"/>
                  <w:marRight w:val="0"/>
                  <w:marTop w:val="0"/>
                  <w:marBottom w:val="0"/>
                  <w:divBdr>
                    <w:top w:val="none" w:sz="0" w:space="0" w:color="auto"/>
                    <w:left w:val="none" w:sz="0" w:space="0" w:color="auto"/>
                    <w:bottom w:val="none" w:sz="0" w:space="0" w:color="auto"/>
                    <w:right w:val="none" w:sz="0" w:space="0" w:color="auto"/>
                  </w:divBdr>
                  <w:divsChild>
                    <w:div w:id="1414938650">
                      <w:marLeft w:val="0"/>
                      <w:marRight w:val="0"/>
                      <w:marTop w:val="0"/>
                      <w:marBottom w:val="0"/>
                      <w:divBdr>
                        <w:top w:val="none" w:sz="0" w:space="0" w:color="auto"/>
                        <w:left w:val="none" w:sz="0" w:space="0" w:color="auto"/>
                        <w:bottom w:val="none" w:sz="0" w:space="0" w:color="auto"/>
                        <w:right w:val="none" w:sz="0" w:space="0" w:color="auto"/>
                      </w:divBdr>
                    </w:div>
                  </w:divsChild>
                </w:div>
                <w:div w:id="1097673251">
                  <w:marLeft w:val="0"/>
                  <w:marRight w:val="0"/>
                  <w:marTop w:val="0"/>
                  <w:marBottom w:val="0"/>
                  <w:divBdr>
                    <w:top w:val="none" w:sz="0" w:space="0" w:color="auto"/>
                    <w:left w:val="none" w:sz="0" w:space="0" w:color="auto"/>
                    <w:bottom w:val="none" w:sz="0" w:space="0" w:color="auto"/>
                    <w:right w:val="none" w:sz="0" w:space="0" w:color="auto"/>
                  </w:divBdr>
                  <w:divsChild>
                    <w:div w:id="679239648">
                      <w:marLeft w:val="0"/>
                      <w:marRight w:val="0"/>
                      <w:marTop w:val="0"/>
                      <w:marBottom w:val="0"/>
                      <w:divBdr>
                        <w:top w:val="none" w:sz="0" w:space="0" w:color="auto"/>
                        <w:left w:val="none" w:sz="0" w:space="0" w:color="auto"/>
                        <w:bottom w:val="none" w:sz="0" w:space="0" w:color="auto"/>
                        <w:right w:val="none" w:sz="0" w:space="0" w:color="auto"/>
                      </w:divBdr>
                    </w:div>
                  </w:divsChild>
                </w:div>
                <w:div w:id="1115438614">
                  <w:marLeft w:val="0"/>
                  <w:marRight w:val="0"/>
                  <w:marTop w:val="0"/>
                  <w:marBottom w:val="0"/>
                  <w:divBdr>
                    <w:top w:val="none" w:sz="0" w:space="0" w:color="auto"/>
                    <w:left w:val="none" w:sz="0" w:space="0" w:color="auto"/>
                    <w:bottom w:val="none" w:sz="0" w:space="0" w:color="auto"/>
                    <w:right w:val="none" w:sz="0" w:space="0" w:color="auto"/>
                  </w:divBdr>
                  <w:divsChild>
                    <w:div w:id="1565027704">
                      <w:marLeft w:val="0"/>
                      <w:marRight w:val="0"/>
                      <w:marTop w:val="0"/>
                      <w:marBottom w:val="0"/>
                      <w:divBdr>
                        <w:top w:val="none" w:sz="0" w:space="0" w:color="auto"/>
                        <w:left w:val="none" w:sz="0" w:space="0" w:color="auto"/>
                        <w:bottom w:val="none" w:sz="0" w:space="0" w:color="auto"/>
                        <w:right w:val="none" w:sz="0" w:space="0" w:color="auto"/>
                      </w:divBdr>
                    </w:div>
                  </w:divsChild>
                </w:div>
                <w:div w:id="1117992178">
                  <w:marLeft w:val="0"/>
                  <w:marRight w:val="0"/>
                  <w:marTop w:val="0"/>
                  <w:marBottom w:val="0"/>
                  <w:divBdr>
                    <w:top w:val="none" w:sz="0" w:space="0" w:color="auto"/>
                    <w:left w:val="none" w:sz="0" w:space="0" w:color="auto"/>
                    <w:bottom w:val="none" w:sz="0" w:space="0" w:color="auto"/>
                    <w:right w:val="none" w:sz="0" w:space="0" w:color="auto"/>
                  </w:divBdr>
                  <w:divsChild>
                    <w:div w:id="1282495629">
                      <w:marLeft w:val="0"/>
                      <w:marRight w:val="0"/>
                      <w:marTop w:val="0"/>
                      <w:marBottom w:val="0"/>
                      <w:divBdr>
                        <w:top w:val="none" w:sz="0" w:space="0" w:color="auto"/>
                        <w:left w:val="none" w:sz="0" w:space="0" w:color="auto"/>
                        <w:bottom w:val="none" w:sz="0" w:space="0" w:color="auto"/>
                        <w:right w:val="none" w:sz="0" w:space="0" w:color="auto"/>
                      </w:divBdr>
                    </w:div>
                  </w:divsChild>
                </w:div>
                <w:div w:id="1128817781">
                  <w:marLeft w:val="0"/>
                  <w:marRight w:val="0"/>
                  <w:marTop w:val="0"/>
                  <w:marBottom w:val="0"/>
                  <w:divBdr>
                    <w:top w:val="none" w:sz="0" w:space="0" w:color="auto"/>
                    <w:left w:val="none" w:sz="0" w:space="0" w:color="auto"/>
                    <w:bottom w:val="none" w:sz="0" w:space="0" w:color="auto"/>
                    <w:right w:val="none" w:sz="0" w:space="0" w:color="auto"/>
                  </w:divBdr>
                  <w:divsChild>
                    <w:div w:id="753933946">
                      <w:marLeft w:val="0"/>
                      <w:marRight w:val="0"/>
                      <w:marTop w:val="0"/>
                      <w:marBottom w:val="0"/>
                      <w:divBdr>
                        <w:top w:val="none" w:sz="0" w:space="0" w:color="auto"/>
                        <w:left w:val="none" w:sz="0" w:space="0" w:color="auto"/>
                        <w:bottom w:val="none" w:sz="0" w:space="0" w:color="auto"/>
                        <w:right w:val="none" w:sz="0" w:space="0" w:color="auto"/>
                      </w:divBdr>
                    </w:div>
                  </w:divsChild>
                </w:div>
                <w:div w:id="1154297188">
                  <w:marLeft w:val="0"/>
                  <w:marRight w:val="0"/>
                  <w:marTop w:val="0"/>
                  <w:marBottom w:val="0"/>
                  <w:divBdr>
                    <w:top w:val="none" w:sz="0" w:space="0" w:color="auto"/>
                    <w:left w:val="none" w:sz="0" w:space="0" w:color="auto"/>
                    <w:bottom w:val="none" w:sz="0" w:space="0" w:color="auto"/>
                    <w:right w:val="none" w:sz="0" w:space="0" w:color="auto"/>
                  </w:divBdr>
                  <w:divsChild>
                    <w:div w:id="1496649888">
                      <w:marLeft w:val="0"/>
                      <w:marRight w:val="0"/>
                      <w:marTop w:val="0"/>
                      <w:marBottom w:val="0"/>
                      <w:divBdr>
                        <w:top w:val="none" w:sz="0" w:space="0" w:color="auto"/>
                        <w:left w:val="none" w:sz="0" w:space="0" w:color="auto"/>
                        <w:bottom w:val="none" w:sz="0" w:space="0" w:color="auto"/>
                        <w:right w:val="none" w:sz="0" w:space="0" w:color="auto"/>
                      </w:divBdr>
                    </w:div>
                  </w:divsChild>
                </w:div>
                <w:div w:id="1172528892">
                  <w:marLeft w:val="0"/>
                  <w:marRight w:val="0"/>
                  <w:marTop w:val="0"/>
                  <w:marBottom w:val="0"/>
                  <w:divBdr>
                    <w:top w:val="none" w:sz="0" w:space="0" w:color="auto"/>
                    <w:left w:val="none" w:sz="0" w:space="0" w:color="auto"/>
                    <w:bottom w:val="none" w:sz="0" w:space="0" w:color="auto"/>
                    <w:right w:val="none" w:sz="0" w:space="0" w:color="auto"/>
                  </w:divBdr>
                  <w:divsChild>
                    <w:div w:id="91780293">
                      <w:marLeft w:val="0"/>
                      <w:marRight w:val="0"/>
                      <w:marTop w:val="0"/>
                      <w:marBottom w:val="0"/>
                      <w:divBdr>
                        <w:top w:val="none" w:sz="0" w:space="0" w:color="auto"/>
                        <w:left w:val="none" w:sz="0" w:space="0" w:color="auto"/>
                        <w:bottom w:val="none" w:sz="0" w:space="0" w:color="auto"/>
                        <w:right w:val="none" w:sz="0" w:space="0" w:color="auto"/>
                      </w:divBdr>
                    </w:div>
                  </w:divsChild>
                </w:div>
                <w:div w:id="1174800759">
                  <w:marLeft w:val="0"/>
                  <w:marRight w:val="0"/>
                  <w:marTop w:val="0"/>
                  <w:marBottom w:val="0"/>
                  <w:divBdr>
                    <w:top w:val="none" w:sz="0" w:space="0" w:color="auto"/>
                    <w:left w:val="none" w:sz="0" w:space="0" w:color="auto"/>
                    <w:bottom w:val="none" w:sz="0" w:space="0" w:color="auto"/>
                    <w:right w:val="none" w:sz="0" w:space="0" w:color="auto"/>
                  </w:divBdr>
                  <w:divsChild>
                    <w:div w:id="16271253">
                      <w:marLeft w:val="0"/>
                      <w:marRight w:val="0"/>
                      <w:marTop w:val="0"/>
                      <w:marBottom w:val="0"/>
                      <w:divBdr>
                        <w:top w:val="none" w:sz="0" w:space="0" w:color="auto"/>
                        <w:left w:val="none" w:sz="0" w:space="0" w:color="auto"/>
                        <w:bottom w:val="none" w:sz="0" w:space="0" w:color="auto"/>
                        <w:right w:val="none" w:sz="0" w:space="0" w:color="auto"/>
                      </w:divBdr>
                    </w:div>
                  </w:divsChild>
                </w:div>
                <w:div w:id="1197814726">
                  <w:marLeft w:val="0"/>
                  <w:marRight w:val="0"/>
                  <w:marTop w:val="0"/>
                  <w:marBottom w:val="0"/>
                  <w:divBdr>
                    <w:top w:val="none" w:sz="0" w:space="0" w:color="auto"/>
                    <w:left w:val="none" w:sz="0" w:space="0" w:color="auto"/>
                    <w:bottom w:val="none" w:sz="0" w:space="0" w:color="auto"/>
                    <w:right w:val="none" w:sz="0" w:space="0" w:color="auto"/>
                  </w:divBdr>
                  <w:divsChild>
                    <w:div w:id="735593602">
                      <w:marLeft w:val="0"/>
                      <w:marRight w:val="0"/>
                      <w:marTop w:val="0"/>
                      <w:marBottom w:val="0"/>
                      <w:divBdr>
                        <w:top w:val="none" w:sz="0" w:space="0" w:color="auto"/>
                        <w:left w:val="none" w:sz="0" w:space="0" w:color="auto"/>
                        <w:bottom w:val="none" w:sz="0" w:space="0" w:color="auto"/>
                        <w:right w:val="none" w:sz="0" w:space="0" w:color="auto"/>
                      </w:divBdr>
                    </w:div>
                  </w:divsChild>
                </w:div>
                <w:div w:id="1217669211">
                  <w:marLeft w:val="0"/>
                  <w:marRight w:val="0"/>
                  <w:marTop w:val="0"/>
                  <w:marBottom w:val="0"/>
                  <w:divBdr>
                    <w:top w:val="none" w:sz="0" w:space="0" w:color="auto"/>
                    <w:left w:val="none" w:sz="0" w:space="0" w:color="auto"/>
                    <w:bottom w:val="none" w:sz="0" w:space="0" w:color="auto"/>
                    <w:right w:val="none" w:sz="0" w:space="0" w:color="auto"/>
                  </w:divBdr>
                  <w:divsChild>
                    <w:div w:id="1213152826">
                      <w:marLeft w:val="0"/>
                      <w:marRight w:val="0"/>
                      <w:marTop w:val="0"/>
                      <w:marBottom w:val="0"/>
                      <w:divBdr>
                        <w:top w:val="none" w:sz="0" w:space="0" w:color="auto"/>
                        <w:left w:val="none" w:sz="0" w:space="0" w:color="auto"/>
                        <w:bottom w:val="none" w:sz="0" w:space="0" w:color="auto"/>
                        <w:right w:val="none" w:sz="0" w:space="0" w:color="auto"/>
                      </w:divBdr>
                    </w:div>
                  </w:divsChild>
                </w:div>
                <w:div w:id="1234699858">
                  <w:marLeft w:val="0"/>
                  <w:marRight w:val="0"/>
                  <w:marTop w:val="0"/>
                  <w:marBottom w:val="0"/>
                  <w:divBdr>
                    <w:top w:val="none" w:sz="0" w:space="0" w:color="auto"/>
                    <w:left w:val="none" w:sz="0" w:space="0" w:color="auto"/>
                    <w:bottom w:val="none" w:sz="0" w:space="0" w:color="auto"/>
                    <w:right w:val="none" w:sz="0" w:space="0" w:color="auto"/>
                  </w:divBdr>
                  <w:divsChild>
                    <w:div w:id="2050639962">
                      <w:marLeft w:val="0"/>
                      <w:marRight w:val="0"/>
                      <w:marTop w:val="0"/>
                      <w:marBottom w:val="0"/>
                      <w:divBdr>
                        <w:top w:val="none" w:sz="0" w:space="0" w:color="auto"/>
                        <w:left w:val="none" w:sz="0" w:space="0" w:color="auto"/>
                        <w:bottom w:val="none" w:sz="0" w:space="0" w:color="auto"/>
                        <w:right w:val="none" w:sz="0" w:space="0" w:color="auto"/>
                      </w:divBdr>
                    </w:div>
                  </w:divsChild>
                </w:div>
                <w:div w:id="1278677690">
                  <w:marLeft w:val="0"/>
                  <w:marRight w:val="0"/>
                  <w:marTop w:val="0"/>
                  <w:marBottom w:val="0"/>
                  <w:divBdr>
                    <w:top w:val="none" w:sz="0" w:space="0" w:color="auto"/>
                    <w:left w:val="none" w:sz="0" w:space="0" w:color="auto"/>
                    <w:bottom w:val="none" w:sz="0" w:space="0" w:color="auto"/>
                    <w:right w:val="none" w:sz="0" w:space="0" w:color="auto"/>
                  </w:divBdr>
                  <w:divsChild>
                    <w:div w:id="587470171">
                      <w:marLeft w:val="0"/>
                      <w:marRight w:val="0"/>
                      <w:marTop w:val="0"/>
                      <w:marBottom w:val="0"/>
                      <w:divBdr>
                        <w:top w:val="none" w:sz="0" w:space="0" w:color="auto"/>
                        <w:left w:val="none" w:sz="0" w:space="0" w:color="auto"/>
                        <w:bottom w:val="none" w:sz="0" w:space="0" w:color="auto"/>
                        <w:right w:val="none" w:sz="0" w:space="0" w:color="auto"/>
                      </w:divBdr>
                    </w:div>
                  </w:divsChild>
                </w:div>
                <w:div w:id="1296135073">
                  <w:marLeft w:val="0"/>
                  <w:marRight w:val="0"/>
                  <w:marTop w:val="0"/>
                  <w:marBottom w:val="0"/>
                  <w:divBdr>
                    <w:top w:val="none" w:sz="0" w:space="0" w:color="auto"/>
                    <w:left w:val="none" w:sz="0" w:space="0" w:color="auto"/>
                    <w:bottom w:val="none" w:sz="0" w:space="0" w:color="auto"/>
                    <w:right w:val="none" w:sz="0" w:space="0" w:color="auto"/>
                  </w:divBdr>
                  <w:divsChild>
                    <w:div w:id="2111855528">
                      <w:marLeft w:val="0"/>
                      <w:marRight w:val="0"/>
                      <w:marTop w:val="0"/>
                      <w:marBottom w:val="0"/>
                      <w:divBdr>
                        <w:top w:val="none" w:sz="0" w:space="0" w:color="auto"/>
                        <w:left w:val="none" w:sz="0" w:space="0" w:color="auto"/>
                        <w:bottom w:val="none" w:sz="0" w:space="0" w:color="auto"/>
                        <w:right w:val="none" w:sz="0" w:space="0" w:color="auto"/>
                      </w:divBdr>
                    </w:div>
                  </w:divsChild>
                </w:div>
                <w:div w:id="1305424583">
                  <w:marLeft w:val="0"/>
                  <w:marRight w:val="0"/>
                  <w:marTop w:val="0"/>
                  <w:marBottom w:val="0"/>
                  <w:divBdr>
                    <w:top w:val="none" w:sz="0" w:space="0" w:color="auto"/>
                    <w:left w:val="none" w:sz="0" w:space="0" w:color="auto"/>
                    <w:bottom w:val="none" w:sz="0" w:space="0" w:color="auto"/>
                    <w:right w:val="none" w:sz="0" w:space="0" w:color="auto"/>
                  </w:divBdr>
                  <w:divsChild>
                    <w:div w:id="594483524">
                      <w:marLeft w:val="0"/>
                      <w:marRight w:val="0"/>
                      <w:marTop w:val="0"/>
                      <w:marBottom w:val="0"/>
                      <w:divBdr>
                        <w:top w:val="none" w:sz="0" w:space="0" w:color="auto"/>
                        <w:left w:val="none" w:sz="0" w:space="0" w:color="auto"/>
                        <w:bottom w:val="none" w:sz="0" w:space="0" w:color="auto"/>
                        <w:right w:val="none" w:sz="0" w:space="0" w:color="auto"/>
                      </w:divBdr>
                    </w:div>
                  </w:divsChild>
                </w:div>
                <w:div w:id="1336617610">
                  <w:marLeft w:val="0"/>
                  <w:marRight w:val="0"/>
                  <w:marTop w:val="0"/>
                  <w:marBottom w:val="0"/>
                  <w:divBdr>
                    <w:top w:val="none" w:sz="0" w:space="0" w:color="auto"/>
                    <w:left w:val="none" w:sz="0" w:space="0" w:color="auto"/>
                    <w:bottom w:val="none" w:sz="0" w:space="0" w:color="auto"/>
                    <w:right w:val="none" w:sz="0" w:space="0" w:color="auto"/>
                  </w:divBdr>
                  <w:divsChild>
                    <w:div w:id="869957279">
                      <w:marLeft w:val="0"/>
                      <w:marRight w:val="0"/>
                      <w:marTop w:val="0"/>
                      <w:marBottom w:val="0"/>
                      <w:divBdr>
                        <w:top w:val="none" w:sz="0" w:space="0" w:color="auto"/>
                        <w:left w:val="none" w:sz="0" w:space="0" w:color="auto"/>
                        <w:bottom w:val="none" w:sz="0" w:space="0" w:color="auto"/>
                        <w:right w:val="none" w:sz="0" w:space="0" w:color="auto"/>
                      </w:divBdr>
                    </w:div>
                  </w:divsChild>
                </w:div>
                <w:div w:id="1362635112">
                  <w:marLeft w:val="0"/>
                  <w:marRight w:val="0"/>
                  <w:marTop w:val="0"/>
                  <w:marBottom w:val="0"/>
                  <w:divBdr>
                    <w:top w:val="none" w:sz="0" w:space="0" w:color="auto"/>
                    <w:left w:val="none" w:sz="0" w:space="0" w:color="auto"/>
                    <w:bottom w:val="none" w:sz="0" w:space="0" w:color="auto"/>
                    <w:right w:val="none" w:sz="0" w:space="0" w:color="auto"/>
                  </w:divBdr>
                  <w:divsChild>
                    <w:div w:id="1689134909">
                      <w:marLeft w:val="0"/>
                      <w:marRight w:val="0"/>
                      <w:marTop w:val="0"/>
                      <w:marBottom w:val="0"/>
                      <w:divBdr>
                        <w:top w:val="none" w:sz="0" w:space="0" w:color="auto"/>
                        <w:left w:val="none" w:sz="0" w:space="0" w:color="auto"/>
                        <w:bottom w:val="none" w:sz="0" w:space="0" w:color="auto"/>
                        <w:right w:val="none" w:sz="0" w:space="0" w:color="auto"/>
                      </w:divBdr>
                    </w:div>
                  </w:divsChild>
                </w:div>
                <w:div w:id="1385329820">
                  <w:marLeft w:val="0"/>
                  <w:marRight w:val="0"/>
                  <w:marTop w:val="0"/>
                  <w:marBottom w:val="0"/>
                  <w:divBdr>
                    <w:top w:val="none" w:sz="0" w:space="0" w:color="auto"/>
                    <w:left w:val="none" w:sz="0" w:space="0" w:color="auto"/>
                    <w:bottom w:val="none" w:sz="0" w:space="0" w:color="auto"/>
                    <w:right w:val="none" w:sz="0" w:space="0" w:color="auto"/>
                  </w:divBdr>
                  <w:divsChild>
                    <w:div w:id="1916042124">
                      <w:marLeft w:val="0"/>
                      <w:marRight w:val="0"/>
                      <w:marTop w:val="0"/>
                      <w:marBottom w:val="0"/>
                      <w:divBdr>
                        <w:top w:val="none" w:sz="0" w:space="0" w:color="auto"/>
                        <w:left w:val="none" w:sz="0" w:space="0" w:color="auto"/>
                        <w:bottom w:val="none" w:sz="0" w:space="0" w:color="auto"/>
                        <w:right w:val="none" w:sz="0" w:space="0" w:color="auto"/>
                      </w:divBdr>
                    </w:div>
                  </w:divsChild>
                </w:div>
                <w:div w:id="1415930526">
                  <w:marLeft w:val="0"/>
                  <w:marRight w:val="0"/>
                  <w:marTop w:val="0"/>
                  <w:marBottom w:val="0"/>
                  <w:divBdr>
                    <w:top w:val="none" w:sz="0" w:space="0" w:color="auto"/>
                    <w:left w:val="none" w:sz="0" w:space="0" w:color="auto"/>
                    <w:bottom w:val="none" w:sz="0" w:space="0" w:color="auto"/>
                    <w:right w:val="none" w:sz="0" w:space="0" w:color="auto"/>
                  </w:divBdr>
                  <w:divsChild>
                    <w:div w:id="1927033034">
                      <w:marLeft w:val="0"/>
                      <w:marRight w:val="0"/>
                      <w:marTop w:val="0"/>
                      <w:marBottom w:val="0"/>
                      <w:divBdr>
                        <w:top w:val="none" w:sz="0" w:space="0" w:color="auto"/>
                        <w:left w:val="none" w:sz="0" w:space="0" w:color="auto"/>
                        <w:bottom w:val="none" w:sz="0" w:space="0" w:color="auto"/>
                        <w:right w:val="none" w:sz="0" w:space="0" w:color="auto"/>
                      </w:divBdr>
                    </w:div>
                  </w:divsChild>
                </w:div>
                <w:div w:id="1434861741">
                  <w:marLeft w:val="0"/>
                  <w:marRight w:val="0"/>
                  <w:marTop w:val="0"/>
                  <w:marBottom w:val="0"/>
                  <w:divBdr>
                    <w:top w:val="none" w:sz="0" w:space="0" w:color="auto"/>
                    <w:left w:val="none" w:sz="0" w:space="0" w:color="auto"/>
                    <w:bottom w:val="none" w:sz="0" w:space="0" w:color="auto"/>
                    <w:right w:val="none" w:sz="0" w:space="0" w:color="auto"/>
                  </w:divBdr>
                  <w:divsChild>
                    <w:div w:id="2130204547">
                      <w:marLeft w:val="0"/>
                      <w:marRight w:val="0"/>
                      <w:marTop w:val="0"/>
                      <w:marBottom w:val="0"/>
                      <w:divBdr>
                        <w:top w:val="none" w:sz="0" w:space="0" w:color="auto"/>
                        <w:left w:val="none" w:sz="0" w:space="0" w:color="auto"/>
                        <w:bottom w:val="none" w:sz="0" w:space="0" w:color="auto"/>
                        <w:right w:val="none" w:sz="0" w:space="0" w:color="auto"/>
                      </w:divBdr>
                    </w:div>
                  </w:divsChild>
                </w:div>
                <w:div w:id="1453742190">
                  <w:marLeft w:val="0"/>
                  <w:marRight w:val="0"/>
                  <w:marTop w:val="0"/>
                  <w:marBottom w:val="0"/>
                  <w:divBdr>
                    <w:top w:val="none" w:sz="0" w:space="0" w:color="auto"/>
                    <w:left w:val="none" w:sz="0" w:space="0" w:color="auto"/>
                    <w:bottom w:val="none" w:sz="0" w:space="0" w:color="auto"/>
                    <w:right w:val="none" w:sz="0" w:space="0" w:color="auto"/>
                  </w:divBdr>
                  <w:divsChild>
                    <w:div w:id="118955079">
                      <w:marLeft w:val="0"/>
                      <w:marRight w:val="0"/>
                      <w:marTop w:val="0"/>
                      <w:marBottom w:val="0"/>
                      <w:divBdr>
                        <w:top w:val="none" w:sz="0" w:space="0" w:color="auto"/>
                        <w:left w:val="none" w:sz="0" w:space="0" w:color="auto"/>
                        <w:bottom w:val="none" w:sz="0" w:space="0" w:color="auto"/>
                        <w:right w:val="none" w:sz="0" w:space="0" w:color="auto"/>
                      </w:divBdr>
                    </w:div>
                  </w:divsChild>
                </w:div>
                <w:div w:id="1480413659">
                  <w:marLeft w:val="0"/>
                  <w:marRight w:val="0"/>
                  <w:marTop w:val="0"/>
                  <w:marBottom w:val="0"/>
                  <w:divBdr>
                    <w:top w:val="none" w:sz="0" w:space="0" w:color="auto"/>
                    <w:left w:val="none" w:sz="0" w:space="0" w:color="auto"/>
                    <w:bottom w:val="none" w:sz="0" w:space="0" w:color="auto"/>
                    <w:right w:val="none" w:sz="0" w:space="0" w:color="auto"/>
                  </w:divBdr>
                  <w:divsChild>
                    <w:div w:id="854658882">
                      <w:marLeft w:val="0"/>
                      <w:marRight w:val="0"/>
                      <w:marTop w:val="0"/>
                      <w:marBottom w:val="0"/>
                      <w:divBdr>
                        <w:top w:val="none" w:sz="0" w:space="0" w:color="auto"/>
                        <w:left w:val="none" w:sz="0" w:space="0" w:color="auto"/>
                        <w:bottom w:val="none" w:sz="0" w:space="0" w:color="auto"/>
                        <w:right w:val="none" w:sz="0" w:space="0" w:color="auto"/>
                      </w:divBdr>
                    </w:div>
                  </w:divsChild>
                </w:div>
                <w:div w:id="1498496794">
                  <w:marLeft w:val="0"/>
                  <w:marRight w:val="0"/>
                  <w:marTop w:val="0"/>
                  <w:marBottom w:val="0"/>
                  <w:divBdr>
                    <w:top w:val="none" w:sz="0" w:space="0" w:color="auto"/>
                    <w:left w:val="none" w:sz="0" w:space="0" w:color="auto"/>
                    <w:bottom w:val="none" w:sz="0" w:space="0" w:color="auto"/>
                    <w:right w:val="none" w:sz="0" w:space="0" w:color="auto"/>
                  </w:divBdr>
                  <w:divsChild>
                    <w:div w:id="217202828">
                      <w:marLeft w:val="0"/>
                      <w:marRight w:val="0"/>
                      <w:marTop w:val="0"/>
                      <w:marBottom w:val="0"/>
                      <w:divBdr>
                        <w:top w:val="none" w:sz="0" w:space="0" w:color="auto"/>
                        <w:left w:val="none" w:sz="0" w:space="0" w:color="auto"/>
                        <w:bottom w:val="none" w:sz="0" w:space="0" w:color="auto"/>
                        <w:right w:val="none" w:sz="0" w:space="0" w:color="auto"/>
                      </w:divBdr>
                    </w:div>
                  </w:divsChild>
                </w:div>
                <w:div w:id="1502430436">
                  <w:marLeft w:val="0"/>
                  <w:marRight w:val="0"/>
                  <w:marTop w:val="0"/>
                  <w:marBottom w:val="0"/>
                  <w:divBdr>
                    <w:top w:val="none" w:sz="0" w:space="0" w:color="auto"/>
                    <w:left w:val="none" w:sz="0" w:space="0" w:color="auto"/>
                    <w:bottom w:val="none" w:sz="0" w:space="0" w:color="auto"/>
                    <w:right w:val="none" w:sz="0" w:space="0" w:color="auto"/>
                  </w:divBdr>
                  <w:divsChild>
                    <w:div w:id="747070046">
                      <w:marLeft w:val="0"/>
                      <w:marRight w:val="0"/>
                      <w:marTop w:val="0"/>
                      <w:marBottom w:val="0"/>
                      <w:divBdr>
                        <w:top w:val="none" w:sz="0" w:space="0" w:color="auto"/>
                        <w:left w:val="none" w:sz="0" w:space="0" w:color="auto"/>
                        <w:bottom w:val="none" w:sz="0" w:space="0" w:color="auto"/>
                        <w:right w:val="none" w:sz="0" w:space="0" w:color="auto"/>
                      </w:divBdr>
                    </w:div>
                  </w:divsChild>
                </w:div>
                <w:div w:id="1512178208">
                  <w:marLeft w:val="0"/>
                  <w:marRight w:val="0"/>
                  <w:marTop w:val="0"/>
                  <w:marBottom w:val="0"/>
                  <w:divBdr>
                    <w:top w:val="none" w:sz="0" w:space="0" w:color="auto"/>
                    <w:left w:val="none" w:sz="0" w:space="0" w:color="auto"/>
                    <w:bottom w:val="none" w:sz="0" w:space="0" w:color="auto"/>
                    <w:right w:val="none" w:sz="0" w:space="0" w:color="auto"/>
                  </w:divBdr>
                  <w:divsChild>
                    <w:div w:id="1719934463">
                      <w:marLeft w:val="0"/>
                      <w:marRight w:val="0"/>
                      <w:marTop w:val="0"/>
                      <w:marBottom w:val="0"/>
                      <w:divBdr>
                        <w:top w:val="none" w:sz="0" w:space="0" w:color="auto"/>
                        <w:left w:val="none" w:sz="0" w:space="0" w:color="auto"/>
                        <w:bottom w:val="none" w:sz="0" w:space="0" w:color="auto"/>
                        <w:right w:val="none" w:sz="0" w:space="0" w:color="auto"/>
                      </w:divBdr>
                    </w:div>
                  </w:divsChild>
                </w:div>
                <w:div w:id="1520466151">
                  <w:marLeft w:val="0"/>
                  <w:marRight w:val="0"/>
                  <w:marTop w:val="0"/>
                  <w:marBottom w:val="0"/>
                  <w:divBdr>
                    <w:top w:val="none" w:sz="0" w:space="0" w:color="auto"/>
                    <w:left w:val="none" w:sz="0" w:space="0" w:color="auto"/>
                    <w:bottom w:val="none" w:sz="0" w:space="0" w:color="auto"/>
                    <w:right w:val="none" w:sz="0" w:space="0" w:color="auto"/>
                  </w:divBdr>
                  <w:divsChild>
                    <w:div w:id="2090617590">
                      <w:marLeft w:val="0"/>
                      <w:marRight w:val="0"/>
                      <w:marTop w:val="0"/>
                      <w:marBottom w:val="0"/>
                      <w:divBdr>
                        <w:top w:val="none" w:sz="0" w:space="0" w:color="auto"/>
                        <w:left w:val="none" w:sz="0" w:space="0" w:color="auto"/>
                        <w:bottom w:val="none" w:sz="0" w:space="0" w:color="auto"/>
                        <w:right w:val="none" w:sz="0" w:space="0" w:color="auto"/>
                      </w:divBdr>
                    </w:div>
                  </w:divsChild>
                </w:div>
                <w:div w:id="1521890868">
                  <w:marLeft w:val="0"/>
                  <w:marRight w:val="0"/>
                  <w:marTop w:val="0"/>
                  <w:marBottom w:val="0"/>
                  <w:divBdr>
                    <w:top w:val="none" w:sz="0" w:space="0" w:color="auto"/>
                    <w:left w:val="none" w:sz="0" w:space="0" w:color="auto"/>
                    <w:bottom w:val="none" w:sz="0" w:space="0" w:color="auto"/>
                    <w:right w:val="none" w:sz="0" w:space="0" w:color="auto"/>
                  </w:divBdr>
                  <w:divsChild>
                    <w:div w:id="300306170">
                      <w:marLeft w:val="0"/>
                      <w:marRight w:val="0"/>
                      <w:marTop w:val="0"/>
                      <w:marBottom w:val="0"/>
                      <w:divBdr>
                        <w:top w:val="none" w:sz="0" w:space="0" w:color="auto"/>
                        <w:left w:val="none" w:sz="0" w:space="0" w:color="auto"/>
                        <w:bottom w:val="none" w:sz="0" w:space="0" w:color="auto"/>
                        <w:right w:val="none" w:sz="0" w:space="0" w:color="auto"/>
                      </w:divBdr>
                    </w:div>
                  </w:divsChild>
                </w:div>
                <w:div w:id="1532376975">
                  <w:marLeft w:val="0"/>
                  <w:marRight w:val="0"/>
                  <w:marTop w:val="0"/>
                  <w:marBottom w:val="0"/>
                  <w:divBdr>
                    <w:top w:val="none" w:sz="0" w:space="0" w:color="auto"/>
                    <w:left w:val="none" w:sz="0" w:space="0" w:color="auto"/>
                    <w:bottom w:val="none" w:sz="0" w:space="0" w:color="auto"/>
                    <w:right w:val="none" w:sz="0" w:space="0" w:color="auto"/>
                  </w:divBdr>
                  <w:divsChild>
                    <w:div w:id="1534148858">
                      <w:marLeft w:val="0"/>
                      <w:marRight w:val="0"/>
                      <w:marTop w:val="0"/>
                      <w:marBottom w:val="0"/>
                      <w:divBdr>
                        <w:top w:val="none" w:sz="0" w:space="0" w:color="auto"/>
                        <w:left w:val="none" w:sz="0" w:space="0" w:color="auto"/>
                        <w:bottom w:val="none" w:sz="0" w:space="0" w:color="auto"/>
                        <w:right w:val="none" w:sz="0" w:space="0" w:color="auto"/>
                      </w:divBdr>
                    </w:div>
                  </w:divsChild>
                </w:div>
                <w:div w:id="1554733221">
                  <w:marLeft w:val="0"/>
                  <w:marRight w:val="0"/>
                  <w:marTop w:val="0"/>
                  <w:marBottom w:val="0"/>
                  <w:divBdr>
                    <w:top w:val="none" w:sz="0" w:space="0" w:color="auto"/>
                    <w:left w:val="none" w:sz="0" w:space="0" w:color="auto"/>
                    <w:bottom w:val="none" w:sz="0" w:space="0" w:color="auto"/>
                    <w:right w:val="none" w:sz="0" w:space="0" w:color="auto"/>
                  </w:divBdr>
                  <w:divsChild>
                    <w:div w:id="1221096372">
                      <w:marLeft w:val="0"/>
                      <w:marRight w:val="0"/>
                      <w:marTop w:val="0"/>
                      <w:marBottom w:val="0"/>
                      <w:divBdr>
                        <w:top w:val="none" w:sz="0" w:space="0" w:color="auto"/>
                        <w:left w:val="none" w:sz="0" w:space="0" w:color="auto"/>
                        <w:bottom w:val="none" w:sz="0" w:space="0" w:color="auto"/>
                        <w:right w:val="none" w:sz="0" w:space="0" w:color="auto"/>
                      </w:divBdr>
                    </w:div>
                  </w:divsChild>
                </w:div>
                <w:div w:id="1566724322">
                  <w:marLeft w:val="0"/>
                  <w:marRight w:val="0"/>
                  <w:marTop w:val="0"/>
                  <w:marBottom w:val="0"/>
                  <w:divBdr>
                    <w:top w:val="none" w:sz="0" w:space="0" w:color="auto"/>
                    <w:left w:val="none" w:sz="0" w:space="0" w:color="auto"/>
                    <w:bottom w:val="none" w:sz="0" w:space="0" w:color="auto"/>
                    <w:right w:val="none" w:sz="0" w:space="0" w:color="auto"/>
                  </w:divBdr>
                  <w:divsChild>
                    <w:div w:id="2105298808">
                      <w:marLeft w:val="0"/>
                      <w:marRight w:val="0"/>
                      <w:marTop w:val="0"/>
                      <w:marBottom w:val="0"/>
                      <w:divBdr>
                        <w:top w:val="none" w:sz="0" w:space="0" w:color="auto"/>
                        <w:left w:val="none" w:sz="0" w:space="0" w:color="auto"/>
                        <w:bottom w:val="none" w:sz="0" w:space="0" w:color="auto"/>
                        <w:right w:val="none" w:sz="0" w:space="0" w:color="auto"/>
                      </w:divBdr>
                    </w:div>
                  </w:divsChild>
                </w:div>
                <w:div w:id="1568566878">
                  <w:marLeft w:val="0"/>
                  <w:marRight w:val="0"/>
                  <w:marTop w:val="0"/>
                  <w:marBottom w:val="0"/>
                  <w:divBdr>
                    <w:top w:val="none" w:sz="0" w:space="0" w:color="auto"/>
                    <w:left w:val="none" w:sz="0" w:space="0" w:color="auto"/>
                    <w:bottom w:val="none" w:sz="0" w:space="0" w:color="auto"/>
                    <w:right w:val="none" w:sz="0" w:space="0" w:color="auto"/>
                  </w:divBdr>
                  <w:divsChild>
                    <w:div w:id="1308240131">
                      <w:marLeft w:val="0"/>
                      <w:marRight w:val="0"/>
                      <w:marTop w:val="0"/>
                      <w:marBottom w:val="0"/>
                      <w:divBdr>
                        <w:top w:val="none" w:sz="0" w:space="0" w:color="auto"/>
                        <w:left w:val="none" w:sz="0" w:space="0" w:color="auto"/>
                        <w:bottom w:val="none" w:sz="0" w:space="0" w:color="auto"/>
                        <w:right w:val="none" w:sz="0" w:space="0" w:color="auto"/>
                      </w:divBdr>
                    </w:div>
                  </w:divsChild>
                </w:div>
                <w:div w:id="1588225068">
                  <w:marLeft w:val="0"/>
                  <w:marRight w:val="0"/>
                  <w:marTop w:val="0"/>
                  <w:marBottom w:val="0"/>
                  <w:divBdr>
                    <w:top w:val="none" w:sz="0" w:space="0" w:color="auto"/>
                    <w:left w:val="none" w:sz="0" w:space="0" w:color="auto"/>
                    <w:bottom w:val="none" w:sz="0" w:space="0" w:color="auto"/>
                    <w:right w:val="none" w:sz="0" w:space="0" w:color="auto"/>
                  </w:divBdr>
                  <w:divsChild>
                    <w:div w:id="290526048">
                      <w:marLeft w:val="0"/>
                      <w:marRight w:val="0"/>
                      <w:marTop w:val="0"/>
                      <w:marBottom w:val="0"/>
                      <w:divBdr>
                        <w:top w:val="none" w:sz="0" w:space="0" w:color="auto"/>
                        <w:left w:val="none" w:sz="0" w:space="0" w:color="auto"/>
                        <w:bottom w:val="none" w:sz="0" w:space="0" w:color="auto"/>
                        <w:right w:val="none" w:sz="0" w:space="0" w:color="auto"/>
                      </w:divBdr>
                    </w:div>
                  </w:divsChild>
                </w:div>
                <w:div w:id="1591936790">
                  <w:marLeft w:val="0"/>
                  <w:marRight w:val="0"/>
                  <w:marTop w:val="0"/>
                  <w:marBottom w:val="0"/>
                  <w:divBdr>
                    <w:top w:val="none" w:sz="0" w:space="0" w:color="auto"/>
                    <w:left w:val="none" w:sz="0" w:space="0" w:color="auto"/>
                    <w:bottom w:val="none" w:sz="0" w:space="0" w:color="auto"/>
                    <w:right w:val="none" w:sz="0" w:space="0" w:color="auto"/>
                  </w:divBdr>
                  <w:divsChild>
                    <w:div w:id="179392106">
                      <w:marLeft w:val="0"/>
                      <w:marRight w:val="0"/>
                      <w:marTop w:val="0"/>
                      <w:marBottom w:val="0"/>
                      <w:divBdr>
                        <w:top w:val="none" w:sz="0" w:space="0" w:color="auto"/>
                        <w:left w:val="none" w:sz="0" w:space="0" w:color="auto"/>
                        <w:bottom w:val="none" w:sz="0" w:space="0" w:color="auto"/>
                        <w:right w:val="none" w:sz="0" w:space="0" w:color="auto"/>
                      </w:divBdr>
                    </w:div>
                  </w:divsChild>
                </w:div>
                <w:div w:id="1601110322">
                  <w:marLeft w:val="0"/>
                  <w:marRight w:val="0"/>
                  <w:marTop w:val="0"/>
                  <w:marBottom w:val="0"/>
                  <w:divBdr>
                    <w:top w:val="none" w:sz="0" w:space="0" w:color="auto"/>
                    <w:left w:val="none" w:sz="0" w:space="0" w:color="auto"/>
                    <w:bottom w:val="none" w:sz="0" w:space="0" w:color="auto"/>
                    <w:right w:val="none" w:sz="0" w:space="0" w:color="auto"/>
                  </w:divBdr>
                  <w:divsChild>
                    <w:div w:id="257252391">
                      <w:marLeft w:val="0"/>
                      <w:marRight w:val="0"/>
                      <w:marTop w:val="0"/>
                      <w:marBottom w:val="0"/>
                      <w:divBdr>
                        <w:top w:val="none" w:sz="0" w:space="0" w:color="auto"/>
                        <w:left w:val="none" w:sz="0" w:space="0" w:color="auto"/>
                        <w:bottom w:val="none" w:sz="0" w:space="0" w:color="auto"/>
                        <w:right w:val="none" w:sz="0" w:space="0" w:color="auto"/>
                      </w:divBdr>
                    </w:div>
                  </w:divsChild>
                </w:div>
                <w:div w:id="1601529949">
                  <w:marLeft w:val="0"/>
                  <w:marRight w:val="0"/>
                  <w:marTop w:val="0"/>
                  <w:marBottom w:val="0"/>
                  <w:divBdr>
                    <w:top w:val="none" w:sz="0" w:space="0" w:color="auto"/>
                    <w:left w:val="none" w:sz="0" w:space="0" w:color="auto"/>
                    <w:bottom w:val="none" w:sz="0" w:space="0" w:color="auto"/>
                    <w:right w:val="none" w:sz="0" w:space="0" w:color="auto"/>
                  </w:divBdr>
                  <w:divsChild>
                    <w:div w:id="1972979619">
                      <w:marLeft w:val="0"/>
                      <w:marRight w:val="0"/>
                      <w:marTop w:val="0"/>
                      <w:marBottom w:val="0"/>
                      <w:divBdr>
                        <w:top w:val="none" w:sz="0" w:space="0" w:color="auto"/>
                        <w:left w:val="none" w:sz="0" w:space="0" w:color="auto"/>
                        <w:bottom w:val="none" w:sz="0" w:space="0" w:color="auto"/>
                        <w:right w:val="none" w:sz="0" w:space="0" w:color="auto"/>
                      </w:divBdr>
                    </w:div>
                  </w:divsChild>
                </w:div>
                <w:div w:id="1604190821">
                  <w:marLeft w:val="0"/>
                  <w:marRight w:val="0"/>
                  <w:marTop w:val="0"/>
                  <w:marBottom w:val="0"/>
                  <w:divBdr>
                    <w:top w:val="none" w:sz="0" w:space="0" w:color="auto"/>
                    <w:left w:val="none" w:sz="0" w:space="0" w:color="auto"/>
                    <w:bottom w:val="none" w:sz="0" w:space="0" w:color="auto"/>
                    <w:right w:val="none" w:sz="0" w:space="0" w:color="auto"/>
                  </w:divBdr>
                  <w:divsChild>
                    <w:div w:id="1969046699">
                      <w:marLeft w:val="0"/>
                      <w:marRight w:val="0"/>
                      <w:marTop w:val="0"/>
                      <w:marBottom w:val="0"/>
                      <w:divBdr>
                        <w:top w:val="none" w:sz="0" w:space="0" w:color="auto"/>
                        <w:left w:val="none" w:sz="0" w:space="0" w:color="auto"/>
                        <w:bottom w:val="none" w:sz="0" w:space="0" w:color="auto"/>
                        <w:right w:val="none" w:sz="0" w:space="0" w:color="auto"/>
                      </w:divBdr>
                    </w:div>
                  </w:divsChild>
                </w:div>
                <w:div w:id="1616256537">
                  <w:marLeft w:val="0"/>
                  <w:marRight w:val="0"/>
                  <w:marTop w:val="0"/>
                  <w:marBottom w:val="0"/>
                  <w:divBdr>
                    <w:top w:val="none" w:sz="0" w:space="0" w:color="auto"/>
                    <w:left w:val="none" w:sz="0" w:space="0" w:color="auto"/>
                    <w:bottom w:val="none" w:sz="0" w:space="0" w:color="auto"/>
                    <w:right w:val="none" w:sz="0" w:space="0" w:color="auto"/>
                  </w:divBdr>
                  <w:divsChild>
                    <w:div w:id="184826676">
                      <w:marLeft w:val="0"/>
                      <w:marRight w:val="0"/>
                      <w:marTop w:val="0"/>
                      <w:marBottom w:val="0"/>
                      <w:divBdr>
                        <w:top w:val="none" w:sz="0" w:space="0" w:color="auto"/>
                        <w:left w:val="none" w:sz="0" w:space="0" w:color="auto"/>
                        <w:bottom w:val="none" w:sz="0" w:space="0" w:color="auto"/>
                        <w:right w:val="none" w:sz="0" w:space="0" w:color="auto"/>
                      </w:divBdr>
                    </w:div>
                  </w:divsChild>
                </w:div>
                <w:div w:id="1653942060">
                  <w:marLeft w:val="0"/>
                  <w:marRight w:val="0"/>
                  <w:marTop w:val="0"/>
                  <w:marBottom w:val="0"/>
                  <w:divBdr>
                    <w:top w:val="none" w:sz="0" w:space="0" w:color="auto"/>
                    <w:left w:val="none" w:sz="0" w:space="0" w:color="auto"/>
                    <w:bottom w:val="none" w:sz="0" w:space="0" w:color="auto"/>
                    <w:right w:val="none" w:sz="0" w:space="0" w:color="auto"/>
                  </w:divBdr>
                  <w:divsChild>
                    <w:div w:id="1890141415">
                      <w:marLeft w:val="0"/>
                      <w:marRight w:val="0"/>
                      <w:marTop w:val="0"/>
                      <w:marBottom w:val="0"/>
                      <w:divBdr>
                        <w:top w:val="none" w:sz="0" w:space="0" w:color="auto"/>
                        <w:left w:val="none" w:sz="0" w:space="0" w:color="auto"/>
                        <w:bottom w:val="none" w:sz="0" w:space="0" w:color="auto"/>
                        <w:right w:val="none" w:sz="0" w:space="0" w:color="auto"/>
                      </w:divBdr>
                    </w:div>
                  </w:divsChild>
                </w:div>
                <w:div w:id="1666781736">
                  <w:marLeft w:val="0"/>
                  <w:marRight w:val="0"/>
                  <w:marTop w:val="0"/>
                  <w:marBottom w:val="0"/>
                  <w:divBdr>
                    <w:top w:val="none" w:sz="0" w:space="0" w:color="auto"/>
                    <w:left w:val="none" w:sz="0" w:space="0" w:color="auto"/>
                    <w:bottom w:val="none" w:sz="0" w:space="0" w:color="auto"/>
                    <w:right w:val="none" w:sz="0" w:space="0" w:color="auto"/>
                  </w:divBdr>
                  <w:divsChild>
                    <w:div w:id="1212304285">
                      <w:marLeft w:val="0"/>
                      <w:marRight w:val="0"/>
                      <w:marTop w:val="0"/>
                      <w:marBottom w:val="0"/>
                      <w:divBdr>
                        <w:top w:val="none" w:sz="0" w:space="0" w:color="auto"/>
                        <w:left w:val="none" w:sz="0" w:space="0" w:color="auto"/>
                        <w:bottom w:val="none" w:sz="0" w:space="0" w:color="auto"/>
                        <w:right w:val="none" w:sz="0" w:space="0" w:color="auto"/>
                      </w:divBdr>
                    </w:div>
                  </w:divsChild>
                </w:div>
                <w:div w:id="1668291770">
                  <w:marLeft w:val="0"/>
                  <w:marRight w:val="0"/>
                  <w:marTop w:val="0"/>
                  <w:marBottom w:val="0"/>
                  <w:divBdr>
                    <w:top w:val="none" w:sz="0" w:space="0" w:color="auto"/>
                    <w:left w:val="none" w:sz="0" w:space="0" w:color="auto"/>
                    <w:bottom w:val="none" w:sz="0" w:space="0" w:color="auto"/>
                    <w:right w:val="none" w:sz="0" w:space="0" w:color="auto"/>
                  </w:divBdr>
                  <w:divsChild>
                    <w:div w:id="82992134">
                      <w:marLeft w:val="0"/>
                      <w:marRight w:val="0"/>
                      <w:marTop w:val="0"/>
                      <w:marBottom w:val="0"/>
                      <w:divBdr>
                        <w:top w:val="none" w:sz="0" w:space="0" w:color="auto"/>
                        <w:left w:val="none" w:sz="0" w:space="0" w:color="auto"/>
                        <w:bottom w:val="none" w:sz="0" w:space="0" w:color="auto"/>
                        <w:right w:val="none" w:sz="0" w:space="0" w:color="auto"/>
                      </w:divBdr>
                    </w:div>
                  </w:divsChild>
                </w:div>
                <w:div w:id="1678842953">
                  <w:marLeft w:val="0"/>
                  <w:marRight w:val="0"/>
                  <w:marTop w:val="0"/>
                  <w:marBottom w:val="0"/>
                  <w:divBdr>
                    <w:top w:val="none" w:sz="0" w:space="0" w:color="auto"/>
                    <w:left w:val="none" w:sz="0" w:space="0" w:color="auto"/>
                    <w:bottom w:val="none" w:sz="0" w:space="0" w:color="auto"/>
                    <w:right w:val="none" w:sz="0" w:space="0" w:color="auto"/>
                  </w:divBdr>
                  <w:divsChild>
                    <w:div w:id="1331834606">
                      <w:marLeft w:val="0"/>
                      <w:marRight w:val="0"/>
                      <w:marTop w:val="0"/>
                      <w:marBottom w:val="0"/>
                      <w:divBdr>
                        <w:top w:val="none" w:sz="0" w:space="0" w:color="auto"/>
                        <w:left w:val="none" w:sz="0" w:space="0" w:color="auto"/>
                        <w:bottom w:val="none" w:sz="0" w:space="0" w:color="auto"/>
                        <w:right w:val="none" w:sz="0" w:space="0" w:color="auto"/>
                      </w:divBdr>
                    </w:div>
                  </w:divsChild>
                </w:div>
                <w:div w:id="1682198969">
                  <w:marLeft w:val="0"/>
                  <w:marRight w:val="0"/>
                  <w:marTop w:val="0"/>
                  <w:marBottom w:val="0"/>
                  <w:divBdr>
                    <w:top w:val="none" w:sz="0" w:space="0" w:color="auto"/>
                    <w:left w:val="none" w:sz="0" w:space="0" w:color="auto"/>
                    <w:bottom w:val="none" w:sz="0" w:space="0" w:color="auto"/>
                    <w:right w:val="none" w:sz="0" w:space="0" w:color="auto"/>
                  </w:divBdr>
                  <w:divsChild>
                    <w:div w:id="1174493683">
                      <w:marLeft w:val="0"/>
                      <w:marRight w:val="0"/>
                      <w:marTop w:val="0"/>
                      <w:marBottom w:val="0"/>
                      <w:divBdr>
                        <w:top w:val="none" w:sz="0" w:space="0" w:color="auto"/>
                        <w:left w:val="none" w:sz="0" w:space="0" w:color="auto"/>
                        <w:bottom w:val="none" w:sz="0" w:space="0" w:color="auto"/>
                        <w:right w:val="none" w:sz="0" w:space="0" w:color="auto"/>
                      </w:divBdr>
                    </w:div>
                  </w:divsChild>
                </w:div>
                <w:div w:id="1684475007">
                  <w:marLeft w:val="0"/>
                  <w:marRight w:val="0"/>
                  <w:marTop w:val="0"/>
                  <w:marBottom w:val="0"/>
                  <w:divBdr>
                    <w:top w:val="none" w:sz="0" w:space="0" w:color="auto"/>
                    <w:left w:val="none" w:sz="0" w:space="0" w:color="auto"/>
                    <w:bottom w:val="none" w:sz="0" w:space="0" w:color="auto"/>
                    <w:right w:val="none" w:sz="0" w:space="0" w:color="auto"/>
                  </w:divBdr>
                  <w:divsChild>
                    <w:div w:id="1165321009">
                      <w:marLeft w:val="0"/>
                      <w:marRight w:val="0"/>
                      <w:marTop w:val="0"/>
                      <w:marBottom w:val="0"/>
                      <w:divBdr>
                        <w:top w:val="none" w:sz="0" w:space="0" w:color="auto"/>
                        <w:left w:val="none" w:sz="0" w:space="0" w:color="auto"/>
                        <w:bottom w:val="none" w:sz="0" w:space="0" w:color="auto"/>
                        <w:right w:val="none" w:sz="0" w:space="0" w:color="auto"/>
                      </w:divBdr>
                    </w:div>
                  </w:divsChild>
                </w:div>
                <w:div w:id="1694843178">
                  <w:marLeft w:val="0"/>
                  <w:marRight w:val="0"/>
                  <w:marTop w:val="0"/>
                  <w:marBottom w:val="0"/>
                  <w:divBdr>
                    <w:top w:val="none" w:sz="0" w:space="0" w:color="auto"/>
                    <w:left w:val="none" w:sz="0" w:space="0" w:color="auto"/>
                    <w:bottom w:val="none" w:sz="0" w:space="0" w:color="auto"/>
                    <w:right w:val="none" w:sz="0" w:space="0" w:color="auto"/>
                  </w:divBdr>
                  <w:divsChild>
                    <w:div w:id="205409838">
                      <w:marLeft w:val="0"/>
                      <w:marRight w:val="0"/>
                      <w:marTop w:val="0"/>
                      <w:marBottom w:val="0"/>
                      <w:divBdr>
                        <w:top w:val="none" w:sz="0" w:space="0" w:color="auto"/>
                        <w:left w:val="none" w:sz="0" w:space="0" w:color="auto"/>
                        <w:bottom w:val="none" w:sz="0" w:space="0" w:color="auto"/>
                        <w:right w:val="none" w:sz="0" w:space="0" w:color="auto"/>
                      </w:divBdr>
                    </w:div>
                  </w:divsChild>
                </w:div>
                <w:div w:id="1700088154">
                  <w:marLeft w:val="0"/>
                  <w:marRight w:val="0"/>
                  <w:marTop w:val="0"/>
                  <w:marBottom w:val="0"/>
                  <w:divBdr>
                    <w:top w:val="none" w:sz="0" w:space="0" w:color="auto"/>
                    <w:left w:val="none" w:sz="0" w:space="0" w:color="auto"/>
                    <w:bottom w:val="none" w:sz="0" w:space="0" w:color="auto"/>
                    <w:right w:val="none" w:sz="0" w:space="0" w:color="auto"/>
                  </w:divBdr>
                  <w:divsChild>
                    <w:div w:id="1763448222">
                      <w:marLeft w:val="0"/>
                      <w:marRight w:val="0"/>
                      <w:marTop w:val="0"/>
                      <w:marBottom w:val="0"/>
                      <w:divBdr>
                        <w:top w:val="none" w:sz="0" w:space="0" w:color="auto"/>
                        <w:left w:val="none" w:sz="0" w:space="0" w:color="auto"/>
                        <w:bottom w:val="none" w:sz="0" w:space="0" w:color="auto"/>
                        <w:right w:val="none" w:sz="0" w:space="0" w:color="auto"/>
                      </w:divBdr>
                    </w:div>
                  </w:divsChild>
                </w:div>
                <w:div w:id="1700734829">
                  <w:marLeft w:val="0"/>
                  <w:marRight w:val="0"/>
                  <w:marTop w:val="0"/>
                  <w:marBottom w:val="0"/>
                  <w:divBdr>
                    <w:top w:val="none" w:sz="0" w:space="0" w:color="auto"/>
                    <w:left w:val="none" w:sz="0" w:space="0" w:color="auto"/>
                    <w:bottom w:val="none" w:sz="0" w:space="0" w:color="auto"/>
                    <w:right w:val="none" w:sz="0" w:space="0" w:color="auto"/>
                  </w:divBdr>
                  <w:divsChild>
                    <w:div w:id="1710643953">
                      <w:marLeft w:val="0"/>
                      <w:marRight w:val="0"/>
                      <w:marTop w:val="0"/>
                      <w:marBottom w:val="0"/>
                      <w:divBdr>
                        <w:top w:val="none" w:sz="0" w:space="0" w:color="auto"/>
                        <w:left w:val="none" w:sz="0" w:space="0" w:color="auto"/>
                        <w:bottom w:val="none" w:sz="0" w:space="0" w:color="auto"/>
                        <w:right w:val="none" w:sz="0" w:space="0" w:color="auto"/>
                      </w:divBdr>
                    </w:div>
                  </w:divsChild>
                </w:div>
                <w:div w:id="1709992707">
                  <w:marLeft w:val="0"/>
                  <w:marRight w:val="0"/>
                  <w:marTop w:val="0"/>
                  <w:marBottom w:val="0"/>
                  <w:divBdr>
                    <w:top w:val="none" w:sz="0" w:space="0" w:color="auto"/>
                    <w:left w:val="none" w:sz="0" w:space="0" w:color="auto"/>
                    <w:bottom w:val="none" w:sz="0" w:space="0" w:color="auto"/>
                    <w:right w:val="none" w:sz="0" w:space="0" w:color="auto"/>
                  </w:divBdr>
                  <w:divsChild>
                    <w:div w:id="308823928">
                      <w:marLeft w:val="0"/>
                      <w:marRight w:val="0"/>
                      <w:marTop w:val="0"/>
                      <w:marBottom w:val="0"/>
                      <w:divBdr>
                        <w:top w:val="none" w:sz="0" w:space="0" w:color="auto"/>
                        <w:left w:val="none" w:sz="0" w:space="0" w:color="auto"/>
                        <w:bottom w:val="none" w:sz="0" w:space="0" w:color="auto"/>
                        <w:right w:val="none" w:sz="0" w:space="0" w:color="auto"/>
                      </w:divBdr>
                    </w:div>
                  </w:divsChild>
                </w:div>
                <w:div w:id="1710491893">
                  <w:marLeft w:val="0"/>
                  <w:marRight w:val="0"/>
                  <w:marTop w:val="0"/>
                  <w:marBottom w:val="0"/>
                  <w:divBdr>
                    <w:top w:val="none" w:sz="0" w:space="0" w:color="auto"/>
                    <w:left w:val="none" w:sz="0" w:space="0" w:color="auto"/>
                    <w:bottom w:val="none" w:sz="0" w:space="0" w:color="auto"/>
                    <w:right w:val="none" w:sz="0" w:space="0" w:color="auto"/>
                  </w:divBdr>
                  <w:divsChild>
                    <w:div w:id="1796170908">
                      <w:marLeft w:val="0"/>
                      <w:marRight w:val="0"/>
                      <w:marTop w:val="0"/>
                      <w:marBottom w:val="0"/>
                      <w:divBdr>
                        <w:top w:val="none" w:sz="0" w:space="0" w:color="auto"/>
                        <w:left w:val="none" w:sz="0" w:space="0" w:color="auto"/>
                        <w:bottom w:val="none" w:sz="0" w:space="0" w:color="auto"/>
                        <w:right w:val="none" w:sz="0" w:space="0" w:color="auto"/>
                      </w:divBdr>
                    </w:div>
                  </w:divsChild>
                </w:div>
                <w:div w:id="1729836957">
                  <w:marLeft w:val="0"/>
                  <w:marRight w:val="0"/>
                  <w:marTop w:val="0"/>
                  <w:marBottom w:val="0"/>
                  <w:divBdr>
                    <w:top w:val="none" w:sz="0" w:space="0" w:color="auto"/>
                    <w:left w:val="none" w:sz="0" w:space="0" w:color="auto"/>
                    <w:bottom w:val="none" w:sz="0" w:space="0" w:color="auto"/>
                    <w:right w:val="none" w:sz="0" w:space="0" w:color="auto"/>
                  </w:divBdr>
                  <w:divsChild>
                    <w:div w:id="1902209744">
                      <w:marLeft w:val="0"/>
                      <w:marRight w:val="0"/>
                      <w:marTop w:val="0"/>
                      <w:marBottom w:val="0"/>
                      <w:divBdr>
                        <w:top w:val="none" w:sz="0" w:space="0" w:color="auto"/>
                        <w:left w:val="none" w:sz="0" w:space="0" w:color="auto"/>
                        <w:bottom w:val="none" w:sz="0" w:space="0" w:color="auto"/>
                        <w:right w:val="none" w:sz="0" w:space="0" w:color="auto"/>
                      </w:divBdr>
                    </w:div>
                  </w:divsChild>
                </w:div>
                <w:div w:id="1731465013">
                  <w:marLeft w:val="0"/>
                  <w:marRight w:val="0"/>
                  <w:marTop w:val="0"/>
                  <w:marBottom w:val="0"/>
                  <w:divBdr>
                    <w:top w:val="none" w:sz="0" w:space="0" w:color="auto"/>
                    <w:left w:val="none" w:sz="0" w:space="0" w:color="auto"/>
                    <w:bottom w:val="none" w:sz="0" w:space="0" w:color="auto"/>
                    <w:right w:val="none" w:sz="0" w:space="0" w:color="auto"/>
                  </w:divBdr>
                  <w:divsChild>
                    <w:div w:id="640617772">
                      <w:marLeft w:val="0"/>
                      <w:marRight w:val="0"/>
                      <w:marTop w:val="0"/>
                      <w:marBottom w:val="0"/>
                      <w:divBdr>
                        <w:top w:val="none" w:sz="0" w:space="0" w:color="auto"/>
                        <w:left w:val="none" w:sz="0" w:space="0" w:color="auto"/>
                        <w:bottom w:val="none" w:sz="0" w:space="0" w:color="auto"/>
                        <w:right w:val="none" w:sz="0" w:space="0" w:color="auto"/>
                      </w:divBdr>
                    </w:div>
                  </w:divsChild>
                </w:div>
                <w:div w:id="1746027263">
                  <w:marLeft w:val="0"/>
                  <w:marRight w:val="0"/>
                  <w:marTop w:val="0"/>
                  <w:marBottom w:val="0"/>
                  <w:divBdr>
                    <w:top w:val="none" w:sz="0" w:space="0" w:color="auto"/>
                    <w:left w:val="none" w:sz="0" w:space="0" w:color="auto"/>
                    <w:bottom w:val="none" w:sz="0" w:space="0" w:color="auto"/>
                    <w:right w:val="none" w:sz="0" w:space="0" w:color="auto"/>
                  </w:divBdr>
                  <w:divsChild>
                    <w:div w:id="221646548">
                      <w:marLeft w:val="0"/>
                      <w:marRight w:val="0"/>
                      <w:marTop w:val="0"/>
                      <w:marBottom w:val="0"/>
                      <w:divBdr>
                        <w:top w:val="none" w:sz="0" w:space="0" w:color="auto"/>
                        <w:left w:val="none" w:sz="0" w:space="0" w:color="auto"/>
                        <w:bottom w:val="none" w:sz="0" w:space="0" w:color="auto"/>
                        <w:right w:val="none" w:sz="0" w:space="0" w:color="auto"/>
                      </w:divBdr>
                    </w:div>
                  </w:divsChild>
                </w:div>
                <w:div w:id="1758288054">
                  <w:marLeft w:val="0"/>
                  <w:marRight w:val="0"/>
                  <w:marTop w:val="0"/>
                  <w:marBottom w:val="0"/>
                  <w:divBdr>
                    <w:top w:val="none" w:sz="0" w:space="0" w:color="auto"/>
                    <w:left w:val="none" w:sz="0" w:space="0" w:color="auto"/>
                    <w:bottom w:val="none" w:sz="0" w:space="0" w:color="auto"/>
                    <w:right w:val="none" w:sz="0" w:space="0" w:color="auto"/>
                  </w:divBdr>
                  <w:divsChild>
                    <w:div w:id="1038236635">
                      <w:marLeft w:val="0"/>
                      <w:marRight w:val="0"/>
                      <w:marTop w:val="0"/>
                      <w:marBottom w:val="0"/>
                      <w:divBdr>
                        <w:top w:val="none" w:sz="0" w:space="0" w:color="auto"/>
                        <w:left w:val="none" w:sz="0" w:space="0" w:color="auto"/>
                        <w:bottom w:val="none" w:sz="0" w:space="0" w:color="auto"/>
                        <w:right w:val="none" w:sz="0" w:space="0" w:color="auto"/>
                      </w:divBdr>
                    </w:div>
                  </w:divsChild>
                </w:div>
                <w:div w:id="1761483092">
                  <w:marLeft w:val="0"/>
                  <w:marRight w:val="0"/>
                  <w:marTop w:val="0"/>
                  <w:marBottom w:val="0"/>
                  <w:divBdr>
                    <w:top w:val="none" w:sz="0" w:space="0" w:color="auto"/>
                    <w:left w:val="none" w:sz="0" w:space="0" w:color="auto"/>
                    <w:bottom w:val="none" w:sz="0" w:space="0" w:color="auto"/>
                    <w:right w:val="none" w:sz="0" w:space="0" w:color="auto"/>
                  </w:divBdr>
                  <w:divsChild>
                    <w:div w:id="1030496338">
                      <w:marLeft w:val="0"/>
                      <w:marRight w:val="0"/>
                      <w:marTop w:val="0"/>
                      <w:marBottom w:val="0"/>
                      <w:divBdr>
                        <w:top w:val="none" w:sz="0" w:space="0" w:color="auto"/>
                        <w:left w:val="none" w:sz="0" w:space="0" w:color="auto"/>
                        <w:bottom w:val="none" w:sz="0" w:space="0" w:color="auto"/>
                        <w:right w:val="none" w:sz="0" w:space="0" w:color="auto"/>
                      </w:divBdr>
                    </w:div>
                  </w:divsChild>
                </w:div>
                <w:div w:id="1764446687">
                  <w:marLeft w:val="0"/>
                  <w:marRight w:val="0"/>
                  <w:marTop w:val="0"/>
                  <w:marBottom w:val="0"/>
                  <w:divBdr>
                    <w:top w:val="none" w:sz="0" w:space="0" w:color="auto"/>
                    <w:left w:val="none" w:sz="0" w:space="0" w:color="auto"/>
                    <w:bottom w:val="none" w:sz="0" w:space="0" w:color="auto"/>
                    <w:right w:val="none" w:sz="0" w:space="0" w:color="auto"/>
                  </w:divBdr>
                  <w:divsChild>
                    <w:div w:id="1901286081">
                      <w:marLeft w:val="0"/>
                      <w:marRight w:val="0"/>
                      <w:marTop w:val="0"/>
                      <w:marBottom w:val="0"/>
                      <w:divBdr>
                        <w:top w:val="none" w:sz="0" w:space="0" w:color="auto"/>
                        <w:left w:val="none" w:sz="0" w:space="0" w:color="auto"/>
                        <w:bottom w:val="none" w:sz="0" w:space="0" w:color="auto"/>
                        <w:right w:val="none" w:sz="0" w:space="0" w:color="auto"/>
                      </w:divBdr>
                    </w:div>
                  </w:divsChild>
                </w:div>
                <w:div w:id="1765808807">
                  <w:marLeft w:val="0"/>
                  <w:marRight w:val="0"/>
                  <w:marTop w:val="0"/>
                  <w:marBottom w:val="0"/>
                  <w:divBdr>
                    <w:top w:val="none" w:sz="0" w:space="0" w:color="auto"/>
                    <w:left w:val="none" w:sz="0" w:space="0" w:color="auto"/>
                    <w:bottom w:val="none" w:sz="0" w:space="0" w:color="auto"/>
                    <w:right w:val="none" w:sz="0" w:space="0" w:color="auto"/>
                  </w:divBdr>
                  <w:divsChild>
                    <w:div w:id="750662886">
                      <w:marLeft w:val="0"/>
                      <w:marRight w:val="0"/>
                      <w:marTop w:val="0"/>
                      <w:marBottom w:val="0"/>
                      <w:divBdr>
                        <w:top w:val="none" w:sz="0" w:space="0" w:color="auto"/>
                        <w:left w:val="none" w:sz="0" w:space="0" w:color="auto"/>
                        <w:bottom w:val="none" w:sz="0" w:space="0" w:color="auto"/>
                        <w:right w:val="none" w:sz="0" w:space="0" w:color="auto"/>
                      </w:divBdr>
                    </w:div>
                  </w:divsChild>
                </w:div>
                <w:div w:id="1766997218">
                  <w:marLeft w:val="0"/>
                  <w:marRight w:val="0"/>
                  <w:marTop w:val="0"/>
                  <w:marBottom w:val="0"/>
                  <w:divBdr>
                    <w:top w:val="none" w:sz="0" w:space="0" w:color="auto"/>
                    <w:left w:val="none" w:sz="0" w:space="0" w:color="auto"/>
                    <w:bottom w:val="none" w:sz="0" w:space="0" w:color="auto"/>
                    <w:right w:val="none" w:sz="0" w:space="0" w:color="auto"/>
                  </w:divBdr>
                  <w:divsChild>
                    <w:div w:id="568662297">
                      <w:marLeft w:val="0"/>
                      <w:marRight w:val="0"/>
                      <w:marTop w:val="0"/>
                      <w:marBottom w:val="0"/>
                      <w:divBdr>
                        <w:top w:val="none" w:sz="0" w:space="0" w:color="auto"/>
                        <w:left w:val="none" w:sz="0" w:space="0" w:color="auto"/>
                        <w:bottom w:val="none" w:sz="0" w:space="0" w:color="auto"/>
                        <w:right w:val="none" w:sz="0" w:space="0" w:color="auto"/>
                      </w:divBdr>
                    </w:div>
                  </w:divsChild>
                </w:div>
                <w:div w:id="1777359781">
                  <w:marLeft w:val="0"/>
                  <w:marRight w:val="0"/>
                  <w:marTop w:val="0"/>
                  <w:marBottom w:val="0"/>
                  <w:divBdr>
                    <w:top w:val="none" w:sz="0" w:space="0" w:color="auto"/>
                    <w:left w:val="none" w:sz="0" w:space="0" w:color="auto"/>
                    <w:bottom w:val="none" w:sz="0" w:space="0" w:color="auto"/>
                    <w:right w:val="none" w:sz="0" w:space="0" w:color="auto"/>
                  </w:divBdr>
                  <w:divsChild>
                    <w:div w:id="517040051">
                      <w:marLeft w:val="0"/>
                      <w:marRight w:val="0"/>
                      <w:marTop w:val="0"/>
                      <w:marBottom w:val="0"/>
                      <w:divBdr>
                        <w:top w:val="none" w:sz="0" w:space="0" w:color="auto"/>
                        <w:left w:val="none" w:sz="0" w:space="0" w:color="auto"/>
                        <w:bottom w:val="none" w:sz="0" w:space="0" w:color="auto"/>
                        <w:right w:val="none" w:sz="0" w:space="0" w:color="auto"/>
                      </w:divBdr>
                    </w:div>
                  </w:divsChild>
                </w:div>
                <w:div w:id="1782072093">
                  <w:marLeft w:val="0"/>
                  <w:marRight w:val="0"/>
                  <w:marTop w:val="0"/>
                  <w:marBottom w:val="0"/>
                  <w:divBdr>
                    <w:top w:val="none" w:sz="0" w:space="0" w:color="auto"/>
                    <w:left w:val="none" w:sz="0" w:space="0" w:color="auto"/>
                    <w:bottom w:val="none" w:sz="0" w:space="0" w:color="auto"/>
                    <w:right w:val="none" w:sz="0" w:space="0" w:color="auto"/>
                  </w:divBdr>
                  <w:divsChild>
                    <w:div w:id="958337615">
                      <w:marLeft w:val="0"/>
                      <w:marRight w:val="0"/>
                      <w:marTop w:val="0"/>
                      <w:marBottom w:val="0"/>
                      <w:divBdr>
                        <w:top w:val="none" w:sz="0" w:space="0" w:color="auto"/>
                        <w:left w:val="none" w:sz="0" w:space="0" w:color="auto"/>
                        <w:bottom w:val="none" w:sz="0" w:space="0" w:color="auto"/>
                        <w:right w:val="none" w:sz="0" w:space="0" w:color="auto"/>
                      </w:divBdr>
                    </w:div>
                  </w:divsChild>
                </w:div>
                <w:div w:id="1797406720">
                  <w:marLeft w:val="0"/>
                  <w:marRight w:val="0"/>
                  <w:marTop w:val="0"/>
                  <w:marBottom w:val="0"/>
                  <w:divBdr>
                    <w:top w:val="none" w:sz="0" w:space="0" w:color="auto"/>
                    <w:left w:val="none" w:sz="0" w:space="0" w:color="auto"/>
                    <w:bottom w:val="none" w:sz="0" w:space="0" w:color="auto"/>
                    <w:right w:val="none" w:sz="0" w:space="0" w:color="auto"/>
                  </w:divBdr>
                  <w:divsChild>
                    <w:div w:id="830635246">
                      <w:marLeft w:val="0"/>
                      <w:marRight w:val="0"/>
                      <w:marTop w:val="0"/>
                      <w:marBottom w:val="0"/>
                      <w:divBdr>
                        <w:top w:val="none" w:sz="0" w:space="0" w:color="auto"/>
                        <w:left w:val="none" w:sz="0" w:space="0" w:color="auto"/>
                        <w:bottom w:val="none" w:sz="0" w:space="0" w:color="auto"/>
                        <w:right w:val="none" w:sz="0" w:space="0" w:color="auto"/>
                      </w:divBdr>
                    </w:div>
                  </w:divsChild>
                </w:div>
                <w:div w:id="1807624772">
                  <w:marLeft w:val="0"/>
                  <w:marRight w:val="0"/>
                  <w:marTop w:val="0"/>
                  <w:marBottom w:val="0"/>
                  <w:divBdr>
                    <w:top w:val="none" w:sz="0" w:space="0" w:color="auto"/>
                    <w:left w:val="none" w:sz="0" w:space="0" w:color="auto"/>
                    <w:bottom w:val="none" w:sz="0" w:space="0" w:color="auto"/>
                    <w:right w:val="none" w:sz="0" w:space="0" w:color="auto"/>
                  </w:divBdr>
                  <w:divsChild>
                    <w:div w:id="1429347429">
                      <w:marLeft w:val="0"/>
                      <w:marRight w:val="0"/>
                      <w:marTop w:val="0"/>
                      <w:marBottom w:val="0"/>
                      <w:divBdr>
                        <w:top w:val="none" w:sz="0" w:space="0" w:color="auto"/>
                        <w:left w:val="none" w:sz="0" w:space="0" w:color="auto"/>
                        <w:bottom w:val="none" w:sz="0" w:space="0" w:color="auto"/>
                        <w:right w:val="none" w:sz="0" w:space="0" w:color="auto"/>
                      </w:divBdr>
                    </w:div>
                  </w:divsChild>
                </w:div>
                <w:div w:id="1826050006">
                  <w:marLeft w:val="0"/>
                  <w:marRight w:val="0"/>
                  <w:marTop w:val="0"/>
                  <w:marBottom w:val="0"/>
                  <w:divBdr>
                    <w:top w:val="none" w:sz="0" w:space="0" w:color="auto"/>
                    <w:left w:val="none" w:sz="0" w:space="0" w:color="auto"/>
                    <w:bottom w:val="none" w:sz="0" w:space="0" w:color="auto"/>
                    <w:right w:val="none" w:sz="0" w:space="0" w:color="auto"/>
                  </w:divBdr>
                  <w:divsChild>
                    <w:div w:id="2034332322">
                      <w:marLeft w:val="0"/>
                      <w:marRight w:val="0"/>
                      <w:marTop w:val="0"/>
                      <w:marBottom w:val="0"/>
                      <w:divBdr>
                        <w:top w:val="none" w:sz="0" w:space="0" w:color="auto"/>
                        <w:left w:val="none" w:sz="0" w:space="0" w:color="auto"/>
                        <w:bottom w:val="none" w:sz="0" w:space="0" w:color="auto"/>
                        <w:right w:val="none" w:sz="0" w:space="0" w:color="auto"/>
                      </w:divBdr>
                    </w:div>
                  </w:divsChild>
                </w:div>
                <w:div w:id="1827739829">
                  <w:marLeft w:val="0"/>
                  <w:marRight w:val="0"/>
                  <w:marTop w:val="0"/>
                  <w:marBottom w:val="0"/>
                  <w:divBdr>
                    <w:top w:val="none" w:sz="0" w:space="0" w:color="auto"/>
                    <w:left w:val="none" w:sz="0" w:space="0" w:color="auto"/>
                    <w:bottom w:val="none" w:sz="0" w:space="0" w:color="auto"/>
                    <w:right w:val="none" w:sz="0" w:space="0" w:color="auto"/>
                  </w:divBdr>
                  <w:divsChild>
                    <w:div w:id="1689871603">
                      <w:marLeft w:val="0"/>
                      <w:marRight w:val="0"/>
                      <w:marTop w:val="0"/>
                      <w:marBottom w:val="0"/>
                      <w:divBdr>
                        <w:top w:val="none" w:sz="0" w:space="0" w:color="auto"/>
                        <w:left w:val="none" w:sz="0" w:space="0" w:color="auto"/>
                        <w:bottom w:val="none" w:sz="0" w:space="0" w:color="auto"/>
                        <w:right w:val="none" w:sz="0" w:space="0" w:color="auto"/>
                      </w:divBdr>
                    </w:div>
                  </w:divsChild>
                </w:div>
                <w:div w:id="1836452461">
                  <w:marLeft w:val="0"/>
                  <w:marRight w:val="0"/>
                  <w:marTop w:val="0"/>
                  <w:marBottom w:val="0"/>
                  <w:divBdr>
                    <w:top w:val="none" w:sz="0" w:space="0" w:color="auto"/>
                    <w:left w:val="none" w:sz="0" w:space="0" w:color="auto"/>
                    <w:bottom w:val="none" w:sz="0" w:space="0" w:color="auto"/>
                    <w:right w:val="none" w:sz="0" w:space="0" w:color="auto"/>
                  </w:divBdr>
                  <w:divsChild>
                    <w:div w:id="91559970">
                      <w:marLeft w:val="0"/>
                      <w:marRight w:val="0"/>
                      <w:marTop w:val="0"/>
                      <w:marBottom w:val="0"/>
                      <w:divBdr>
                        <w:top w:val="none" w:sz="0" w:space="0" w:color="auto"/>
                        <w:left w:val="none" w:sz="0" w:space="0" w:color="auto"/>
                        <w:bottom w:val="none" w:sz="0" w:space="0" w:color="auto"/>
                        <w:right w:val="none" w:sz="0" w:space="0" w:color="auto"/>
                      </w:divBdr>
                    </w:div>
                  </w:divsChild>
                </w:div>
                <w:div w:id="1838299866">
                  <w:marLeft w:val="0"/>
                  <w:marRight w:val="0"/>
                  <w:marTop w:val="0"/>
                  <w:marBottom w:val="0"/>
                  <w:divBdr>
                    <w:top w:val="none" w:sz="0" w:space="0" w:color="auto"/>
                    <w:left w:val="none" w:sz="0" w:space="0" w:color="auto"/>
                    <w:bottom w:val="none" w:sz="0" w:space="0" w:color="auto"/>
                    <w:right w:val="none" w:sz="0" w:space="0" w:color="auto"/>
                  </w:divBdr>
                  <w:divsChild>
                    <w:div w:id="850146334">
                      <w:marLeft w:val="0"/>
                      <w:marRight w:val="0"/>
                      <w:marTop w:val="0"/>
                      <w:marBottom w:val="0"/>
                      <w:divBdr>
                        <w:top w:val="none" w:sz="0" w:space="0" w:color="auto"/>
                        <w:left w:val="none" w:sz="0" w:space="0" w:color="auto"/>
                        <w:bottom w:val="none" w:sz="0" w:space="0" w:color="auto"/>
                        <w:right w:val="none" w:sz="0" w:space="0" w:color="auto"/>
                      </w:divBdr>
                    </w:div>
                  </w:divsChild>
                </w:div>
                <w:div w:id="1846164099">
                  <w:marLeft w:val="0"/>
                  <w:marRight w:val="0"/>
                  <w:marTop w:val="0"/>
                  <w:marBottom w:val="0"/>
                  <w:divBdr>
                    <w:top w:val="none" w:sz="0" w:space="0" w:color="auto"/>
                    <w:left w:val="none" w:sz="0" w:space="0" w:color="auto"/>
                    <w:bottom w:val="none" w:sz="0" w:space="0" w:color="auto"/>
                    <w:right w:val="none" w:sz="0" w:space="0" w:color="auto"/>
                  </w:divBdr>
                  <w:divsChild>
                    <w:div w:id="376318081">
                      <w:marLeft w:val="0"/>
                      <w:marRight w:val="0"/>
                      <w:marTop w:val="0"/>
                      <w:marBottom w:val="0"/>
                      <w:divBdr>
                        <w:top w:val="none" w:sz="0" w:space="0" w:color="auto"/>
                        <w:left w:val="none" w:sz="0" w:space="0" w:color="auto"/>
                        <w:bottom w:val="none" w:sz="0" w:space="0" w:color="auto"/>
                        <w:right w:val="none" w:sz="0" w:space="0" w:color="auto"/>
                      </w:divBdr>
                    </w:div>
                  </w:divsChild>
                </w:div>
                <w:div w:id="1864661675">
                  <w:marLeft w:val="0"/>
                  <w:marRight w:val="0"/>
                  <w:marTop w:val="0"/>
                  <w:marBottom w:val="0"/>
                  <w:divBdr>
                    <w:top w:val="none" w:sz="0" w:space="0" w:color="auto"/>
                    <w:left w:val="none" w:sz="0" w:space="0" w:color="auto"/>
                    <w:bottom w:val="none" w:sz="0" w:space="0" w:color="auto"/>
                    <w:right w:val="none" w:sz="0" w:space="0" w:color="auto"/>
                  </w:divBdr>
                  <w:divsChild>
                    <w:div w:id="1207908909">
                      <w:marLeft w:val="0"/>
                      <w:marRight w:val="0"/>
                      <w:marTop w:val="0"/>
                      <w:marBottom w:val="0"/>
                      <w:divBdr>
                        <w:top w:val="none" w:sz="0" w:space="0" w:color="auto"/>
                        <w:left w:val="none" w:sz="0" w:space="0" w:color="auto"/>
                        <w:bottom w:val="none" w:sz="0" w:space="0" w:color="auto"/>
                        <w:right w:val="none" w:sz="0" w:space="0" w:color="auto"/>
                      </w:divBdr>
                    </w:div>
                  </w:divsChild>
                </w:div>
                <w:div w:id="1866551318">
                  <w:marLeft w:val="0"/>
                  <w:marRight w:val="0"/>
                  <w:marTop w:val="0"/>
                  <w:marBottom w:val="0"/>
                  <w:divBdr>
                    <w:top w:val="none" w:sz="0" w:space="0" w:color="auto"/>
                    <w:left w:val="none" w:sz="0" w:space="0" w:color="auto"/>
                    <w:bottom w:val="none" w:sz="0" w:space="0" w:color="auto"/>
                    <w:right w:val="none" w:sz="0" w:space="0" w:color="auto"/>
                  </w:divBdr>
                  <w:divsChild>
                    <w:div w:id="1718314511">
                      <w:marLeft w:val="0"/>
                      <w:marRight w:val="0"/>
                      <w:marTop w:val="0"/>
                      <w:marBottom w:val="0"/>
                      <w:divBdr>
                        <w:top w:val="none" w:sz="0" w:space="0" w:color="auto"/>
                        <w:left w:val="none" w:sz="0" w:space="0" w:color="auto"/>
                        <w:bottom w:val="none" w:sz="0" w:space="0" w:color="auto"/>
                        <w:right w:val="none" w:sz="0" w:space="0" w:color="auto"/>
                      </w:divBdr>
                    </w:div>
                  </w:divsChild>
                </w:div>
                <w:div w:id="1879927473">
                  <w:marLeft w:val="0"/>
                  <w:marRight w:val="0"/>
                  <w:marTop w:val="0"/>
                  <w:marBottom w:val="0"/>
                  <w:divBdr>
                    <w:top w:val="none" w:sz="0" w:space="0" w:color="auto"/>
                    <w:left w:val="none" w:sz="0" w:space="0" w:color="auto"/>
                    <w:bottom w:val="none" w:sz="0" w:space="0" w:color="auto"/>
                    <w:right w:val="none" w:sz="0" w:space="0" w:color="auto"/>
                  </w:divBdr>
                  <w:divsChild>
                    <w:div w:id="841430720">
                      <w:marLeft w:val="0"/>
                      <w:marRight w:val="0"/>
                      <w:marTop w:val="0"/>
                      <w:marBottom w:val="0"/>
                      <w:divBdr>
                        <w:top w:val="none" w:sz="0" w:space="0" w:color="auto"/>
                        <w:left w:val="none" w:sz="0" w:space="0" w:color="auto"/>
                        <w:bottom w:val="none" w:sz="0" w:space="0" w:color="auto"/>
                        <w:right w:val="none" w:sz="0" w:space="0" w:color="auto"/>
                      </w:divBdr>
                    </w:div>
                  </w:divsChild>
                </w:div>
                <w:div w:id="1894728084">
                  <w:marLeft w:val="0"/>
                  <w:marRight w:val="0"/>
                  <w:marTop w:val="0"/>
                  <w:marBottom w:val="0"/>
                  <w:divBdr>
                    <w:top w:val="none" w:sz="0" w:space="0" w:color="auto"/>
                    <w:left w:val="none" w:sz="0" w:space="0" w:color="auto"/>
                    <w:bottom w:val="none" w:sz="0" w:space="0" w:color="auto"/>
                    <w:right w:val="none" w:sz="0" w:space="0" w:color="auto"/>
                  </w:divBdr>
                  <w:divsChild>
                    <w:div w:id="1833837507">
                      <w:marLeft w:val="0"/>
                      <w:marRight w:val="0"/>
                      <w:marTop w:val="0"/>
                      <w:marBottom w:val="0"/>
                      <w:divBdr>
                        <w:top w:val="none" w:sz="0" w:space="0" w:color="auto"/>
                        <w:left w:val="none" w:sz="0" w:space="0" w:color="auto"/>
                        <w:bottom w:val="none" w:sz="0" w:space="0" w:color="auto"/>
                        <w:right w:val="none" w:sz="0" w:space="0" w:color="auto"/>
                      </w:divBdr>
                    </w:div>
                  </w:divsChild>
                </w:div>
                <w:div w:id="1910965973">
                  <w:marLeft w:val="0"/>
                  <w:marRight w:val="0"/>
                  <w:marTop w:val="0"/>
                  <w:marBottom w:val="0"/>
                  <w:divBdr>
                    <w:top w:val="none" w:sz="0" w:space="0" w:color="auto"/>
                    <w:left w:val="none" w:sz="0" w:space="0" w:color="auto"/>
                    <w:bottom w:val="none" w:sz="0" w:space="0" w:color="auto"/>
                    <w:right w:val="none" w:sz="0" w:space="0" w:color="auto"/>
                  </w:divBdr>
                  <w:divsChild>
                    <w:div w:id="2000037970">
                      <w:marLeft w:val="0"/>
                      <w:marRight w:val="0"/>
                      <w:marTop w:val="0"/>
                      <w:marBottom w:val="0"/>
                      <w:divBdr>
                        <w:top w:val="none" w:sz="0" w:space="0" w:color="auto"/>
                        <w:left w:val="none" w:sz="0" w:space="0" w:color="auto"/>
                        <w:bottom w:val="none" w:sz="0" w:space="0" w:color="auto"/>
                        <w:right w:val="none" w:sz="0" w:space="0" w:color="auto"/>
                      </w:divBdr>
                    </w:div>
                  </w:divsChild>
                </w:div>
                <w:div w:id="1911622552">
                  <w:marLeft w:val="0"/>
                  <w:marRight w:val="0"/>
                  <w:marTop w:val="0"/>
                  <w:marBottom w:val="0"/>
                  <w:divBdr>
                    <w:top w:val="none" w:sz="0" w:space="0" w:color="auto"/>
                    <w:left w:val="none" w:sz="0" w:space="0" w:color="auto"/>
                    <w:bottom w:val="none" w:sz="0" w:space="0" w:color="auto"/>
                    <w:right w:val="none" w:sz="0" w:space="0" w:color="auto"/>
                  </w:divBdr>
                  <w:divsChild>
                    <w:div w:id="401028886">
                      <w:marLeft w:val="0"/>
                      <w:marRight w:val="0"/>
                      <w:marTop w:val="0"/>
                      <w:marBottom w:val="0"/>
                      <w:divBdr>
                        <w:top w:val="none" w:sz="0" w:space="0" w:color="auto"/>
                        <w:left w:val="none" w:sz="0" w:space="0" w:color="auto"/>
                        <w:bottom w:val="none" w:sz="0" w:space="0" w:color="auto"/>
                        <w:right w:val="none" w:sz="0" w:space="0" w:color="auto"/>
                      </w:divBdr>
                    </w:div>
                  </w:divsChild>
                </w:div>
                <w:div w:id="1917401296">
                  <w:marLeft w:val="0"/>
                  <w:marRight w:val="0"/>
                  <w:marTop w:val="0"/>
                  <w:marBottom w:val="0"/>
                  <w:divBdr>
                    <w:top w:val="none" w:sz="0" w:space="0" w:color="auto"/>
                    <w:left w:val="none" w:sz="0" w:space="0" w:color="auto"/>
                    <w:bottom w:val="none" w:sz="0" w:space="0" w:color="auto"/>
                    <w:right w:val="none" w:sz="0" w:space="0" w:color="auto"/>
                  </w:divBdr>
                  <w:divsChild>
                    <w:div w:id="194923535">
                      <w:marLeft w:val="0"/>
                      <w:marRight w:val="0"/>
                      <w:marTop w:val="0"/>
                      <w:marBottom w:val="0"/>
                      <w:divBdr>
                        <w:top w:val="none" w:sz="0" w:space="0" w:color="auto"/>
                        <w:left w:val="none" w:sz="0" w:space="0" w:color="auto"/>
                        <w:bottom w:val="none" w:sz="0" w:space="0" w:color="auto"/>
                        <w:right w:val="none" w:sz="0" w:space="0" w:color="auto"/>
                      </w:divBdr>
                    </w:div>
                  </w:divsChild>
                </w:div>
                <w:div w:id="1927300643">
                  <w:marLeft w:val="0"/>
                  <w:marRight w:val="0"/>
                  <w:marTop w:val="0"/>
                  <w:marBottom w:val="0"/>
                  <w:divBdr>
                    <w:top w:val="none" w:sz="0" w:space="0" w:color="auto"/>
                    <w:left w:val="none" w:sz="0" w:space="0" w:color="auto"/>
                    <w:bottom w:val="none" w:sz="0" w:space="0" w:color="auto"/>
                    <w:right w:val="none" w:sz="0" w:space="0" w:color="auto"/>
                  </w:divBdr>
                  <w:divsChild>
                    <w:div w:id="1693803610">
                      <w:marLeft w:val="0"/>
                      <w:marRight w:val="0"/>
                      <w:marTop w:val="0"/>
                      <w:marBottom w:val="0"/>
                      <w:divBdr>
                        <w:top w:val="none" w:sz="0" w:space="0" w:color="auto"/>
                        <w:left w:val="none" w:sz="0" w:space="0" w:color="auto"/>
                        <w:bottom w:val="none" w:sz="0" w:space="0" w:color="auto"/>
                        <w:right w:val="none" w:sz="0" w:space="0" w:color="auto"/>
                      </w:divBdr>
                    </w:div>
                  </w:divsChild>
                </w:div>
                <w:div w:id="1944264055">
                  <w:marLeft w:val="0"/>
                  <w:marRight w:val="0"/>
                  <w:marTop w:val="0"/>
                  <w:marBottom w:val="0"/>
                  <w:divBdr>
                    <w:top w:val="none" w:sz="0" w:space="0" w:color="auto"/>
                    <w:left w:val="none" w:sz="0" w:space="0" w:color="auto"/>
                    <w:bottom w:val="none" w:sz="0" w:space="0" w:color="auto"/>
                    <w:right w:val="none" w:sz="0" w:space="0" w:color="auto"/>
                  </w:divBdr>
                  <w:divsChild>
                    <w:div w:id="1002781543">
                      <w:marLeft w:val="0"/>
                      <w:marRight w:val="0"/>
                      <w:marTop w:val="0"/>
                      <w:marBottom w:val="0"/>
                      <w:divBdr>
                        <w:top w:val="none" w:sz="0" w:space="0" w:color="auto"/>
                        <w:left w:val="none" w:sz="0" w:space="0" w:color="auto"/>
                        <w:bottom w:val="none" w:sz="0" w:space="0" w:color="auto"/>
                        <w:right w:val="none" w:sz="0" w:space="0" w:color="auto"/>
                      </w:divBdr>
                    </w:div>
                  </w:divsChild>
                </w:div>
                <w:div w:id="1969555518">
                  <w:marLeft w:val="0"/>
                  <w:marRight w:val="0"/>
                  <w:marTop w:val="0"/>
                  <w:marBottom w:val="0"/>
                  <w:divBdr>
                    <w:top w:val="none" w:sz="0" w:space="0" w:color="auto"/>
                    <w:left w:val="none" w:sz="0" w:space="0" w:color="auto"/>
                    <w:bottom w:val="none" w:sz="0" w:space="0" w:color="auto"/>
                    <w:right w:val="none" w:sz="0" w:space="0" w:color="auto"/>
                  </w:divBdr>
                  <w:divsChild>
                    <w:div w:id="1269503274">
                      <w:marLeft w:val="0"/>
                      <w:marRight w:val="0"/>
                      <w:marTop w:val="0"/>
                      <w:marBottom w:val="0"/>
                      <w:divBdr>
                        <w:top w:val="none" w:sz="0" w:space="0" w:color="auto"/>
                        <w:left w:val="none" w:sz="0" w:space="0" w:color="auto"/>
                        <w:bottom w:val="none" w:sz="0" w:space="0" w:color="auto"/>
                        <w:right w:val="none" w:sz="0" w:space="0" w:color="auto"/>
                      </w:divBdr>
                    </w:div>
                  </w:divsChild>
                </w:div>
                <w:div w:id="1980913999">
                  <w:marLeft w:val="0"/>
                  <w:marRight w:val="0"/>
                  <w:marTop w:val="0"/>
                  <w:marBottom w:val="0"/>
                  <w:divBdr>
                    <w:top w:val="none" w:sz="0" w:space="0" w:color="auto"/>
                    <w:left w:val="none" w:sz="0" w:space="0" w:color="auto"/>
                    <w:bottom w:val="none" w:sz="0" w:space="0" w:color="auto"/>
                    <w:right w:val="none" w:sz="0" w:space="0" w:color="auto"/>
                  </w:divBdr>
                  <w:divsChild>
                    <w:div w:id="1283533003">
                      <w:marLeft w:val="0"/>
                      <w:marRight w:val="0"/>
                      <w:marTop w:val="0"/>
                      <w:marBottom w:val="0"/>
                      <w:divBdr>
                        <w:top w:val="none" w:sz="0" w:space="0" w:color="auto"/>
                        <w:left w:val="none" w:sz="0" w:space="0" w:color="auto"/>
                        <w:bottom w:val="none" w:sz="0" w:space="0" w:color="auto"/>
                        <w:right w:val="none" w:sz="0" w:space="0" w:color="auto"/>
                      </w:divBdr>
                    </w:div>
                  </w:divsChild>
                </w:div>
                <w:div w:id="1983347149">
                  <w:marLeft w:val="0"/>
                  <w:marRight w:val="0"/>
                  <w:marTop w:val="0"/>
                  <w:marBottom w:val="0"/>
                  <w:divBdr>
                    <w:top w:val="none" w:sz="0" w:space="0" w:color="auto"/>
                    <w:left w:val="none" w:sz="0" w:space="0" w:color="auto"/>
                    <w:bottom w:val="none" w:sz="0" w:space="0" w:color="auto"/>
                    <w:right w:val="none" w:sz="0" w:space="0" w:color="auto"/>
                  </w:divBdr>
                  <w:divsChild>
                    <w:div w:id="1496802237">
                      <w:marLeft w:val="0"/>
                      <w:marRight w:val="0"/>
                      <w:marTop w:val="0"/>
                      <w:marBottom w:val="0"/>
                      <w:divBdr>
                        <w:top w:val="none" w:sz="0" w:space="0" w:color="auto"/>
                        <w:left w:val="none" w:sz="0" w:space="0" w:color="auto"/>
                        <w:bottom w:val="none" w:sz="0" w:space="0" w:color="auto"/>
                        <w:right w:val="none" w:sz="0" w:space="0" w:color="auto"/>
                      </w:divBdr>
                    </w:div>
                  </w:divsChild>
                </w:div>
                <w:div w:id="2012175757">
                  <w:marLeft w:val="0"/>
                  <w:marRight w:val="0"/>
                  <w:marTop w:val="0"/>
                  <w:marBottom w:val="0"/>
                  <w:divBdr>
                    <w:top w:val="none" w:sz="0" w:space="0" w:color="auto"/>
                    <w:left w:val="none" w:sz="0" w:space="0" w:color="auto"/>
                    <w:bottom w:val="none" w:sz="0" w:space="0" w:color="auto"/>
                    <w:right w:val="none" w:sz="0" w:space="0" w:color="auto"/>
                  </w:divBdr>
                  <w:divsChild>
                    <w:div w:id="543101933">
                      <w:marLeft w:val="0"/>
                      <w:marRight w:val="0"/>
                      <w:marTop w:val="0"/>
                      <w:marBottom w:val="0"/>
                      <w:divBdr>
                        <w:top w:val="none" w:sz="0" w:space="0" w:color="auto"/>
                        <w:left w:val="none" w:sz="0" w:space="0" w:color="auto"/>
                        <w:bottom w:val="none" w:sz="0" w:space="0" w:color="auto"/>
                        <w:right w:val="none" w:sz="0" w:space="0" w:color="auto"/>
                      </w:divBdr>
                    </w:div>
                  </w:divsChild>
                </w:div>
                <w:div w:id="2012364349">
                  <w:marLeft w:val="0"/>
                  <w:marRight w:val="0"/>
                  <w:marTop w:val="0"/>
                  <w:marBottom w:val="0"/>
                  <w:divBdr>
                    <w:top w:val="none" w:sz="0" w:space="0" w:color="auto"/>
                    <w:left w:val="none" w:sz="0" w:space="0" w:color="auto"/>
                    <w:bottom w:val="none" w:sz="0" w:space="0" w:color="auto"/>
                    <w:right w:val="none" w:sz="0" w:space="0" w:color="auto"/>
                  </w:divBdr>
                  <w:divsChild>
                    <w:div w:id="844563272">
                      <w:marLeft w:val="0"/>
                      <w:marRight w:val="0"/>
                      <w:marTop w:val="0"/>
                      <w:marBottom w:val="0"/>
                      <w:divBdr>
                        <w:top w:val="none" w:sz="0" w:space="0" w:color="auto"/>
                        <w:left w:val="none" w:sz="0" w:space="0" w:color="auto"/>
                        <w:bottom w:val="none" w:sz="0" w:space="0" w:color="auto"/>
                        <w:right w:val="none" w:sz="0" w:space="0" w:color="auto"/>
                      </w:divBdr>
                    </w:div>
                  </w:divsChild>
                </w:div>
                <w:div w:id="2014723070">
                  <w:marLeft w:val="0"/>
                  <w:marRight w:val="0"/>
                  <w:marTop w:val="0"/>
                  <w:marBottom w:val="0"/>
                  <w:divBdr>
                    <w:top w:val="none" w:sz="0" w:space="0" w:color="auto"/>
                    <w:left w:val="none" w:sz="0" w:space="0" w:color="auto"/>
                    <w:bottom w:val="none" w:sz="0" w:space="0" w:color="auto"/>
                    <w:right w:val="none" w:sz="0" w:space="0" w:color="auto"/>
                  </w:divBdr>
                  <w:divsChild>
                    <w:div w:id="481435099">
                      <w:marLeft w:val="0"/>
                      <w:marRight w:val="0"/>
                      <w:marTop w:val="0"/>
                      <w:marBottom w:val="0"/>
                      <w:divBdr>
                        <w:top w:val="none" w:sz="0" w:space="0" w:color="auto"/>
                        <w:left w:val="none" w:sz="0" w:space="0" w:color="auto"/>
                        <w:bottom w:val="none" w:sz="0" w:space="0" w:color="auto"/>
                        <w:right w:val="none" w:sz="0" w:space="0" w:color="auto"/>
                      </w:divBdr>
                    </w:div>
                  </w:divsChild>
                </w:div>
                <w:div w:id="2016614448">
                  <w:marLeft w:val="0"/>
                  <w:marRight w:val="0"/>
                  <w:marTop w:val="0"/>
                  <w:marBottom w:val="0"/>
                  <w:divBdr>
                    <w:top w:val="none" w:sz="0" w:space="0" w:color="auto"/>
                    <w:left w:val="none" w:sz="0" w:space="0" w:color="auto"/>
                    <w:bottom w:val="none" w:sz="0" w:space="0" w:color="auto"/>
                    <w:right w:val="none" w:sz="0" w:space="0" w:color="auto"/>
                  </w:divBdr>
                  <w:divsChild>
                    <w:div w:id="1082220801">
                      <w:marLeft w:val="0"/>
                      <w:marRight w:val="0"/>
                      <w:marTop w:val="0"/>
                      <w:marBottom w:val="0"/>
                      <w:divBdr>
                        <w:top w:val="none" w:sz="0" w:space="0" w:color="auto"/>
                        <w:left w:val="none" w:sz="0" w:space="0" w:color="auto"/>
                        <w:bottom w:val="none" w:sz="0" w:space="0" w:color="auto"/>
                        <w:right w:val="none" w:sz="0" w:space="0" w:color="auto"/>
                      </w:divBdr>
                    </w:div>
                  </w:divsChild>
                </w:div>
                <w:div w:id="2029987667">
                  <w:marLeft w:val="0"/>
                  <w:marRight w:val="0"/>
                  <w:marTop w:val="0"/>
                  <w:marBottom w:val="0"/>
                  <w:divBdr>
                    <w:top w:val="none" w:sz="0" w:space="0" w:color="auto"/>
                    <w:left w:val="none" w:sz="0" w:space="0" w:color="auto"/>
                    <w:bottom w:val="none" w:sz="0" w:space="0" w:color="auto"/>
                    <w:right w:val="none" w:sz="0" w:space="0" w:color="auto"/>
                  </w:divBdr>
                  <w:divsChild>
                    <w:div w:id="1627007412">
                      <w:marLeft w:val="0"/>
                      <w:marRight w:val="0"/>
                      <w:marTop w:val="0"/>
                      <w:marBottom w:val="0"/>
                      <w:divBdr>
                        <w:top w:val="none" w:sz="0" w:space="0" w:color="auto"/>
                        <w:left w:val="none" w:sz="0" w:space="0" w:color="auto"/>
                        <w:bottom w:val="none" w:sz="0" w:space="0" w:color="auto"/>
                        <w:right w:val="none" w:sz="0" w:space="0" w:color="auto"/>
                      </w:divBdr>
                    </w:div>
                  </w:divsChild>
                </w:div>
                <w:div w:id="2032608758">
                  <w:marLeft w:val="0"/>
                  <w:marRight w:val="0"/>
                  <w:marTop w:val="0"/>
                  <w:marBottom w:val="0"/>
                  <w:divBdr>
                    <w:top w:val="none" w:sz="0" w:space="0" w:color="auto"/>
                    <w:left w:val="none" w:sz="0" w:space="0" w:color="auto"/>
                    <w:bottom w:val="none" w:sz="0" w:space="0" w:color="auto"/>
                    <w:right w:val="none" w:sz="0" w:space="0" w:color="auto"/>
                  </w:divBdr>
                  <w:divsChild>
                    <w:div w:id="612978963">
                      <w:marLeft w:val="0"/>
                      <w:marRight w:val="0"/>
                      <w:marTop w:val="0"/>
                      <w:marBottom w:val="0"/>
                      <w:divBdr>
                        <w:top w:val="none" w:sz="0" w:space="0" w:color="auto"/>
                        <w:left w:val="none" w:sz="0" w:space="0" w:color="auto"/>
                        <w:bottom w:val="none" w:sz="0" w:space="0" w:color="auto"/>
                        <w:right w:val="none" w:sz="0" w:space="0" w:color="auto"/>
                      </w:divBdr>
                    </w:div>
                  </w:divsChild>
                </w:div>
                <w:div w:id="2046055831">
                  <w:marLeft w:val="0"/>
                  <w:marRight w:val="0"/>
                  <w:marTop w:val="0"/>
                  <w:marBottom w:val="0"/>
                  <w:divBdr>
                    <w:top w:val="none" w:sz="0" w:space="0" w:color="auto"/>
                    <w:left w:val="none" w:sz="0" w:space="0" w:color="auto"/>
                    <w:bottom w:val="none" w:sz="0" w:space="0" w:color="auto"/>
                    <w:right w:val="none" w:sz="0" w:space="0" w:color="auto"/>
                  </w:divBdr>
                  <w:divsChild>
                    <w:div w:id="580141220">
                      <w:marLeft w:val="0"/>
                      <w:marRight w:val="0"/>
                      <w:marTop w:val="0"/>
                      <w:marBottom w:val="0"/>
                      <w:divBdr>
                        <w:top w:val="none" w:sz="0" w:space="0" w:color="auto"/>
                        <w:left w:val="none" w:sz="0" w:space="0" w:color="auto"/>
                        <w:bottom w:val="none" w:sz="0" w:space="0" w:color="auto"/>
                        <w:right w:val="none" w:sz="0" w:space="0" w:color="auto"/>
                      </w:divBdr>
                    </w:div>
                  </w:divsChild>
                </w:div>
                <w:div w:id="2049988190">
                  <w:marLeft w:val="0"/>
                  <w:marRight w:val="0"/>
                  <w:marTop w:val="0"/>
                  <w:marBottom w:val="0"/>
                  <w:divBdr>
                    <w:top w:val="none" w:sz="0" w:space="0" w:color="auto"/>
                    <w:left w:val="none" w:sz="0" w:space="0" w:color="auto"/>
                    <w:bottom w:val="none" w:sz="0" w:space="0" w:color="auto"/>
                    <w:right w:val="none" w:sz="0" w:space="0" w:color="auto"/>
                  </w:divBdr>
                  <w:divsChild>
                    <w:div w:id="1968512906">
                      <w:marLeft w:val="0"/>
                      <w:marRight w:val="0"/>
                      <w:marTop w:val="0"/>
                      <w:marBottom w:val="0"/>
                      <w:divBdr>
                        <w:top w:val="none" w:sz="0" w:space="0" w:color="auto"/>
                        <w:left w:val="none" w:sz="0" w:space="0" w:color="auto"/>
                        <w:bottom w:val="none" w:sz="0" w:space="0" w:color="auto"/>
                        <w:right w:val="none" w:sz="0" w:space="0" w:color="auto"/>
                      </w:divBdr>
                    </w:div>
                  </w:divsChild>
                </w:div>
                <w:div w:id="2058044803">
                  <w:marLeft w:val="0"/>
                  <w:marRight w:val="0"/>
                  <w:marTop w:val="0"/>
                  <w:marBottom w:val="0"/>
                  <w:divBdr>
                    <w:top w:val="none" w:sz="0" w:space="0" w:color="auto"/>
                    <w:left w:val="none" w:sz="0" w:space="0" w:color="auto"/>
                    <w:bottom w:val="none" w:sz="0" w:space="0" w:color="auto"/>
                    <w:right w:val="none" w:sz="0" w:space="0" w:color="auto"/>
                  </w:divBdr>
                  <w:divsChild>
                    <w:div w:id="389353907">
                      <w:marLeft w:val="0"/>
                      <w:marRight w:val="0"/>
                      <w:marTop w:val="0"/>
                      <w:marBottom w:val="0"/>
                      <w:divBdr>
                        <w:top w:val="none" w:sz="0" w:space="0" w:color="auto"/>
                        <w:left w:val="none" w:sz="0" w:space="0" w:color="auto"/>
                        <w:bottom w:val="none" w:sz="0" w:space="0" w:color="auto"/>
                        <w:right w:val="none" w:sz="0" w:space="0" w:color="auto"/>
                      </w:divBdr>
                    </w:div>
                  </w:divsChild>
                </w:div>
                <w:div w:id="2061587842">
                  <w:marLeft w:val="0"/>
                  <w:marRight w:val="0"/>
                  <w:marTop w:val="0"/>
                  <w:marBottom w:val="0"/>
                  <w:divBdr>
                    <w:top w:val="none" w:sz="0" w:space="0" w:color="auto"/>
                    <w:left w:val="none" w:sz="0" w:space="0" w:color="auto"/>
                    <w:bottom w:val="none" w:sz="0" w:space="0" w:color="auto"/>
                    <w:right w:val="none" w:sz="0" w:space="0" w:color="auto"/>
                  </w:divBdr>
                  <w:divsChild>
                    <w:div w:id="550270550">
                      <w:marLeft w:val="0"/>
                      <w:marRight w:val="0"/>
                      <w:marTop w:val="0"/>
                      <w:marBottom w:val="0"/>
                      <w:divBdr>
                        <w:top w:val="none" w:sz="0" w:space="0" w:color="auto"/>
                        <w:left w:val="none" w:sz="0" w:space="0" w:color="auto"/>
                        <w:bottom w:val="none" w:sz="0" w:space="0" w:color="auto"/>
                        <w:right w:val="none" w:sz="0" w:space="0" w:color="auto"/>
                      </w:divBdr>
                    </w:div>
                  </w:divsChild>
                </w:div>
                <w:div w:id="2061858209">
                  <w:marLeft w:val="0"/>
                  <w:marRight w:val="0"/>
                  <w:marTop w:val="0"/>
                  <w:marBottom w:val="0"/>
                  <w:divBdr>
                    <w:top w:val="none" w:sz="0" w:space="0" w:color="auto"/>
                    <w:left w:val="none" w:sz="0" w:space="0" w:color="auto"/>
                    <w:bottom w:val="none" w:sz="0" w:space="0" w:color="auto"/>
                    <w:right w:val="none" w:sz="0" w:space="0" w:color="auto"/>
                  </w:divBdr>
                  <w:divsChild>
                    <w:div w:id="895897525">
                      <w:marLeft w:val="0"/>
                      <w:marRight w:val="0"/>
                      <w:marTop w:val="0"/>
                      <w:marBottom w:val="0"/>
                      <w:divBdr>
                        <w:top w:val="none" w:sz="0" w:space="0" w:color="auto"/>
                        <w:left w:val="none" w:sz="0" w:space="0" w:color="auto"/>
                        <w:bottom w:val="none" w:sz="0" w:space="0" w:color="auto"/>
                        <w:right w:val="none" w:sz="0" w:space="0" w:color="auto"/>
                      </w:divBdr>
                    </w:div>
                  </w:divsChild>
                </w:div>
                <w:div w:id="2086875694">
                  <w:marLeft w:val="0"/>
                  <w:marRight w:val="0"/>
                  <w:marTop w:val="0"/>
                  <w:marBottom w:val="0"/>
                  <w:divBdr>
                    <w:top w:val="none" w:sz="0" w:space="0" w:color="auto"/>
                    <w:left w:val="none" w:sz="0" w:space="0" w:color="auto"/>
                    <w:bottom w:val="none" w:sz="0" w:space="0" w:color="auto"/>
                    <w:right w:val="none" w:sz="0" w:space="0" w:color="auto"/>
                  </w:divBdr>
                  <w:divsChild>
                    <w:div w:id="282228601">
                      <w:marLeft w:val="0"/>
                      <w:marRight w:val="0"/>
                      <w:marTop w:val="0"/>
                      <w:marBottom w:val="0"/>
                      <w:divBdr>
                        <w:top w:val="none" w:sz="0" w:space="0" w:color="auto"/>
                        <w:left w:val="none" w:sz="0" w:space="0" w:color="auto"/>
                        <w:bottom w:val="none" w:sz="0" w:space="0" w:color="auto"/>
                        <w:right w:val="none" w:sz="0" w:space="0" w:color="auto"/>
                      </w:divBdr>
                    </w:div>
                  </w:divsChild>
                </w:div>
                <w:div w:id="2087994019">
                  <w:marLeft w:val="0"/>
                  <w:marRight w:val="0"/>
                  <w:marTop w:val="0"/>
                  <w:marBottom w:val="0"/>
                  <w:divBdr>
                    <w:top w:val="none" w:sz="0" w:space="0" w:color="auto"/>
                    <w:left w:val="none" w:sz="0" w:space="0" w:color="auto"/>
                    <w:bottom w:val="none" w:sz="0" w:space="0" w:color="auto"/>
                    <w:right w:val="none" w:sz="0" w:space="0" w:color="auto"/>
                  </w:divBdr>
                  <w:divsChild>
                    <w:div w:id="1283417081">
                      <w:marLeft w:val="0"/>
                      <w:marRight w:val="0"/>
                      <w:marTop w:val="0"/>
                      <w:marBottom w:val="0"/>
                      <w:divBdr>
                        <w:top w:val="none" w:sz="0" w:space="0" w:color="auto"/>
                        <w:left w:val="none" w:sz="0" w:space="0" w:color="auto"/>
                        <w:bottom w:val="none" w:sz="0" w:space="0" w:color="auto"/>
                        <w:right w:val="none" w:sz="0" w:space="0" w:color="auto"/>
                      </w:divBdr>
                    </w:div>
                  </w:divsChild>
                </w:div>
                <w:div w:id="2111663462">
                  <w:marLeft w:val="0"/>
                  <w:marRight w:val="0"/>
                  <w:marTop w:val="0"/>
                  <w:marBottom w:val="0"/>
                  <w:divBdr>
                    <w:top w:val="none" w:sz="0" w:space="0" w:color="auto"/>
                    <w:left w:val="none" w:sz="0" w:space="0" w:color="auto"/>
                    <w:bottom w:val="none" w:sz="0" w:space="0" w:color="auto"/>
                    <w:right w:val="none" w:sz="0" w:space="0" w:color="auto"/>
                  </w:divBdr>
                  <w:divsChild>
                    <w:div w:id="1327588816">
                      <w:marLeft w:val="0"/>
                      <w:marRight w:val="0"/>
                      <w:marTop w:val="0"/>
                      <w:marBottom w:val="0"/>
                      <w:divBdr>
                        <w:top w:val="none" w:sz="0" w:space="0" w:color="auto"/>
                        <w:left w:val="none" w:sz="0" w:space="0" w:color="auto"/>
                        <w:bottom w:val="none" w:sz="0" w:space="0" w:color="auto"/>
                        <w:right w:val="none" w:sz="0" w:space="0" w:color="auto"/>
                      </w:divBdr>
                    </w:div>
                  </w:divsChild>
                </w:div>
                <w:div w:id="2116945514">
                  <w:marLeft w:val="0"/>
                  <w:marRight w:val="0"/>
                  <w:marTop w:val="0"/>
                  <w:marBottom w:val="0"/>
                  <w:divBdr>
                    <w:top w:val="none" w:sz="0" w:space="0" w:color="auto"/>
                    <w:left w:val="none" w:sz="0" w:space="0" w:color="auto"/>
                    <w:bottom w:val="none" w:sz="0" w:space="0" w:color="auto"/>
                    <w:right w:val="none" w:sz="0" w:space="0" w:color="auto"/>
                  </w:divBdr>
                  <w:divsChild>
                    <w:div w:id="1453668389">
                      <w:marLeft w:val="0"/>
                      <w:marRight w:val="0"/>
                      <w:marTop w:val="0"/>
                      <w:marBottom w:val="0"/>
                      <w:divBdr>
                        <w:top w:val="none" w:sz="0" w:space="0" w:color="auto"/>
                        <w:left w:val="none" w:sz="0" w:space="0" w:color="auto"/>
                        <w:bottom w:val="none" w:sz="0" w:space="0" w:color="auto"/>
                        <w:right w:val="none" w:sz="0" w:space="0" w:color="auto"/>
                      </w:divBdr>
                    </w:div>
                  </w:divsChild>
                </w:div>
                <w:div w:id="2145812163">
                  <w:marLeft w:val="0"/>
                  <w:marRight w:val="0"/>
                  <w:marTop w:val="0"/>
                  <w:marBottom w:val="0"/>
                  <w:divBdr>
                    <w:top w:val="none" w:sz="0" w:space="0" w:color="auto"/>
                    <w:left w:val="none" w:sz="0" w:space="0" w:color="auto"/>
                    <w:bottom w:val="none" w:sz="0" w:space="0" w:color="auto"/>
                    <w:right w:val="none" w:sz="0" w:space="0" w:color="auto"/>
                  </w:divBdr>
                  <w:divsChild>
                    <w:div w:id="1200388481">
                      <w:marLeft w:val="0"/>
                      <w:marRight w:val="0"/>
                      <w:marTop w:val="0"/>
                      <w:marBottom w:val="0"/>
                      <w:divBdr>
                        <w:top w:val="none" w:sz="0" w:space="0" w:color="auto"/>
                        <w:left w:val="none" w:sz="0" w:space="0" w:color="auto"/>
                        <w:bottom w:val="none" w:sz="0" w:space="0" w:color="auto"/>
                        <w:right w:val="none" w:sz="0" w:space="0" w:color="auto"/>
                      </w:divBdr>
                    </w:div>
                  </w:divsChild>
                </w:div>
                <w:div w:id="2145930605">
                  <w:marLeft w:val="0"/>
                  <w:marRight w:val="0"/>
                  <w:marTop w:val="0"/>
                  <w:marBottom w:val="0"/>
                  <w:divBdr>
                    <w:top w:val="none" w:sz="0" w:space="0" w:color="auto"/>
                    <w:left w:val="none" w:sz="0" w:space="0" w:color="auto"/>
                    <w:bottom w:val="none" w:sz="0" w:space="0" w:color="auto"/>
                    <w:right w:val="none" w:sz="0" w:space="0" w:color="auto"/>
                  </w:divBdr>
                  <w:divsChild>
                    <w:div w:id="1006984282">
                      <w:marLeft w:val="0"/>
                      <w:marRight w:val="0"/>
                      <w:marTop w:val="0"/>
                      <w:marBottom w:val="0"/>
                      <w:divBdr>
                        <w:top w:val="none" w:sz="0" w:space="0" w:color="auto"/>
                        <w:left w:val="none" w:sz="0" w:space="0" w:color="auto"/>
                        <w:bottom w:val="none" w:sz="0" w:space="0" w:color="auto"/>
                        <w:right w:val="none" w:sz="0" w:space="0" w:color="auto"/>
                      </w:divBdr>
                    </w:div>
                  </w:divsChild>
                </w:div>
                <w:div w:id="2146460403">
                  <w:marLeft w:val="0"/>
                  <w:marRight w:val="0"/>
                  <w:marTop w:val="0"/>
                  <w:marBottom w:val="0"/>
                  <w:divBdr>
                    <w:top w:val="none" w:sz="0" w:space="0" w:color="auto"/>
                    <w:left w:val="none" w:sz="0" w:space="0" w:color="auto"/>
                    <w:bottom w:val="none" w:sz="0" w:space="0" w:color="auto"/>
                    <w:right w:val="none" w:sz="0" w:space="0" w:color="auto"/>
                  </w:divBdr>
                  <w:divsChild>
                    <w:div w:id="144692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39123">
          <w:marLeft w:val="0"/>
          <w:marRight w:val="0"/>
          <w:marTop w:val="0"/>
          <w:marBottom w:val="0"/>
          <w:divBdr>
            <w:top w:val="none" w:sz="0" w:space="0" w:color="auto"/>
            <w:left w:val="none" w:sz="0" w:space="0" w:color="auto"/>
            <w:bottom w:val="none" w:sz="0" w:space="0" w:color="auto"/>
            <w:right w:val="none" w:sz="0" w:space="0" w:color="auto"/>
          </w:divBdr>
        </w:div>
        <w:div w:id="1133450348">
          <w:marLeft w:val="0"/>
          <w:marRight w:val="0"/>
          <w:marTop w:val="0"/>
          <w:marBottom w:val="0"/>
          <w:divBdr>
            <w:top w:val="none" w:sz="0" w:space="0" w:color="auto"/>
            <w:left w:val="none" w:sz="0" w:space="0" w:color="auto"/>
            <w:bottom w:val="none" w:sz="0" w:space="0" w:color="auto"/>
            <w:right w:val="none" w:sz="0" w:space="0" w:color="auto"/>
          </w:divBdr>
          <w:divsChild>
            <w:div w:id="1410612934">
              <w:marLeft w:val="-75"/>
              <w:marRight w:val="0"/>
              <w:marTop w:val="30"/>
              <w:marBottom w:val="30"/>
              <w:divBdr>
                <w:top w:val="none" w:sz="0" w:space="0" w:color="auto"/>
                <w:left w:val="none" w:sz="0" w:space="0" w:color="auto"/>
                <w:bottom w:val="none" w:sz="0" w:space="0" w:color="auto"/>
                <w:right w:val="none" w:sz="0" w:space="0" w:color="auto"/>
              </w:divBdr>
              <w:divsChild>
                <w:div w:id="2901997">
                  <w:marLeft w:val="0"/>
                  <w:marRight w:val="0"/>
                  <w:marTop w:val="0"/>
                  <w:marBottom w:val="0"/>
                  <w:divBdr>
                    <w:top w:val="none" w:sz="0" w:space="0" w:color="auto"/>
                    <w:left w:val="none" w:sz="0" w:space="0" w:color="auto"/>
                    <w:bottom w:val="none" w:sz="0" w:space="0" w:color="auto"/>
                    <w:right w:val="none" w:sz="0" w:space="0" w:color="auto"/>
                  </w:divBdr>
                  <w:divsChild>
                    <w:div w:id="669992234">
                      <w:marLeft w:val="0"/>
                      <w:marRight w:val="0"/>
                      <w:marTop w:val="0"/>
                      <w:marBottom w:val="0"/>
                      <w:divBdr>
                        <w:top w:val="none" w:sz="0" w:space="0" w:color="auto"/>
                        <w:left w:val="none" w:sz="0" w:space="0" w:color="auto"/>
                        <w:bottom w:val="none" w:sz="0" w:space="0" w:color="auto"/>
                        <w:right w:val="none" w:sz="0" w:space="0" w:color="auto"/>
                      </w:divBdr>
                    </w:div>
                  </w:divsChild>
                </w:div>
                <w:div w:id="15663363">
                  <w:marLeft w:val="0"/>
                  <w:marRight w:val="0"/>
                  <w:marTop w:val="0"/>
                  <w:marBottom w:val="0"/>
                  <w:divBdr>
                    <w:top w:val="none" w:sz="0" w:space="0" w:color="auto"/>
                    <w:left w:val="none" w:sz="0" w:space="0" w:color="auto"/>
                    <w:bottom w:val="none" w:sz="0" w:space="0" w:color="auto"/>
                    <w:right w:val="none" w:sz="0" w:space="0" w:color="auto"/>
                  </w:divBdr>
                  <w:divsChild>
                    <w:div w:id="1857883544">
                      <w:marLeft w:val="0"/>
                      <w:marRight w:val="0"/>
                      <w:marTop w:val="0"/>
                      <w:marBottom w:val="0"/>
                      <w:divBdr>
                        <w:top w:val="none" w:sz="0" w:space="0" w:color="auto"/>
                        <w:left w:val="none" w:sz="0" w:space="0" w:color="auto"/>
                        <w:bottom w:val="none" w:sz="0" w:space="0" w:color="auto"/>
                        <w:right w:val="none" w:sz="0" w:space="0" w:color="auto"/>
                      </w:divBdr>
                    </w:div>
                  </w:divsChild>
                </w:div>
                <w:div w:id="25369983">
                  <w:marLeft w:val="0"/>
                  <w:marRight w:val="0"/>
                  <w:marTop w:val="0"/>
                  <w:marBottom w:val="0"/>
                  <w:divBdr>
                    <w:top w:val="none" w:sz="0" w:space="0" w:color="auto"/>
                    <w:left w:val="none" w:sz="0" w:space="0" w:color="auto"/>
                    <w:bottom w:val="none" w:sz="0" w:space="0" w:color="auto"/>
                    <w:right w:val="none" w:sz="0" w:space="0" w:color="auto"/>
                  </w:divBdr>
                  <w:divsChild>
                    <w:div w:id="329527673">
                      <w:marLeft w:val="0"/>
                      <w:marRight w:val="0"/>
                      <w:marTop w:val="0"/>
                      <w:marBottom w:val="0"/>
                      <w:divBdr>
                        <w:top w:val="none" w:sz="0" w:space="0" w:color="auto"/>
                        <w:left w:val="none" w:sz="0" w:space="0" w:color="auto"/>
                        <w:bottom w:val="none" w:sz="0" w:space="0" w:color="auto"/>
                        <w:right w:val="none" w:sz="0" w:space="0" w:color="auto"/>
                      </w:divBdr>
                    </w:div>
                  </w:divsChild>
                </w:div>
                <w:div w:id="31812841">
                  <w:marLeft w:val="0"/>
                  <w:marRight w:val="0"/>
                  <w:marTop w:val="0"/>
                  <w:marBottom w:val="0"/>
                  <w:divBdr>
                    <w:top w:val="none" w:sz="0" w:space="0" w:color="auto"/>
                    <w:left w:val="none" w:sz="0" w:space="0" w:color="auto"/>
                    <w:bottom w:val="none" w:sz="0" w:space="0" w:color="auto"/>
                    <w:right w:val="none" w:sz="0" w:space="0" w:color="auto"/>
                  </w:divBdr>
                  <w:divsChild>
                    <w:div w:id="570775685">
                      <w:marLeft w:val="0"/>
                      <w:marRight w:val="0"/>
                      <w:marTop w:val="0"/>
                      <w:marBottom w:val="0"/>
                      <w:divBdr>
                        <w:top w:val="none" w:sz="0" w:space="0" w:color="auto"/>
                        <w:left w:val="none" w:sz="0" w:space="0" w:color="auto"/>
                        <w:bottom w:val="none" w:sz="0" w:space="0" w:color="auto"/>
                        <w:right w:val="none" w:sz="0" w:space="0" w:color="auto"/>
                      </w:divBdr>
                    </w:div>
                  </w:divsChild>
                </w:div>
                <w:div w:id="47536787">
                  <w:marLeft w:val="0"/>
                  <w:marRight w:val="0"/>
                  <w:marTop w:val="0"/>
                  <w:marBottom w:val="0"/>
                  <w:divBdr>
                    <w:top w:val="none" w:sz="0" w:space="0" w:color="auto"/>
                    <w:left w:val="none" w:sz="0" w:space="0" w:color="auto"/>
                    <w:bottom w:val="none" w:sz="0" w:space="0" w:color="auto"/>
                    <w:right w:val="none" w:sz="0" w:space="0" w:color="auto"/>
                  </w:divBdr>
                  <w:divsChild>
                    <w:div w:id="1322199126">
                      <w:marLeft w:val="0"/>
                      <w:marRight w:val="0"/>
                      <w:marTop w:val="0"/>
                      <w:marBottom w:val="0"/>
                      <w:divBdr>
                        <w:top w:val="none" w:sz="0" w:space="0" w:color="auto"/>
                        <w:left w:val="none" w:sz="0" w:space="0" w:color="auto"/>
                        <w:bottom w:val="none" w:sz="0" w:space="0" w:color="auto"/>
                        <w:right w:val="none" w:sz="0" w:space="0" w:color="auto"/>
                      </w:divBdr>
                    </w:div>
                  </w:divsChild>
                </w:div>
                <w:div w:id="53242959">
                  <w:marLeft w:val="0"/>
                  <w:marRight w:val="0"/>
                  <w:marTop w:val="0"/>
                  <w:marBottom w:val="0"/>
                  <w:divBdr>
                    <w:top w:val="none" w:sz="0" w:space="0" w:color="auto"/>
                    <w:left w:val="none" w:sz="0" w:space="0" w:color="auto"/>
                    <w:bottom w:val="none" w:sz="0" w:space="0" w:color="auto"/>
                    <w:right w:val="none" w:sz="0" w:space="0" w:color="auto"/>
                  </w:divBdr>
                  <w:divsChild>
                    <w:div w:id="1957565231">
                      <w:marLeft w:val="0"/>
                      <w:marRight w:val="0"/>
                      <w:marTop w:val="0"/>
                      <w:marBottom w:val="0"/>
                      <w:divBdr>
                        <w:top w:val="none" w:sz="0" w:space="0" w:color="auto"/>
                        <w:left w:val="none" w:sz="0" w:space="0" w:color="auto"/>
                        <w:bottom w:val="none" w:sz="0" w:space="0" w:color="auto"/>
                        <w:right w:val="none" w:sz="0" w:space="0" w:color="auto"/>
                      </w:divBdr>
                    </w:div>
                  </w:divsChild>
                </w:div>
                <w:div w:id="62148813">
                  <w:marLeft w:val="0"/>
                  <w:marRight w:val="0"/>
                  <w:marTop w:val="0"/>
                  <w:marBottom w:val="0"/>
                  <w:divBdr>
                    <w:top w:val="none" w:sz="0" w:space="0" w:color="auto"/>
                    <w:left w:val="none" w:sz="0" w:space="0" w:color="auto"/>
                    <w:bottom w:val="none" w:sz="0" w:space="0" w:color="auto"/>
                    <w:right w:val="none" w:sz="0" w:space="0" w:color="auto"/>
                  </w:divBdr>
                  <w:divsChild>
                    <w:div w:id="340813481">
                      <w:marLeft w:val="0"/>
                      <w:marRight w:val="0"/>
                      <w:marTop w:val="0"/>
                      <w:marBottom w:val="0"/>
                      <w:divBdr>
                        <w:top w:val="none" w:sz="0" w:space="0" w:color="auto"/>
                        <w:left w:val="none" w:sz="0" w:space="0" w:color="auto"/>
                        <w:bottom w:val="none" w:sz="0" w:space="0" w:color="auto"/>
                        <w:right w:val="none" w:sz="0" w:space="0" w:color="auto"/>
                      </w:divBdr>
                    </w:div>
                  </w:divsChild>
                </w:div>
                <w:div w:id="76440441">
                  <w:marLeft w:val="0"/>
                  <w:marRight w:val="0"/>
                  <w:marTop w:val="0"/>
                  <w:marBottom w:val="0"/>
                  <w:divBdr>
                    <w:top w:val="none" w:sz="0" w:space="0" w:color="auto"/>
                    <w:left w:val="none" w:sz="0" w:space="0" w:color="auto"/>
                    <w:bottom w:val="none" w:sz="0" w:space="0" w:color="auto"/>
                    <w:right w:val="none" w:sz="0" w:space="0" w:color="auto"/>
                  </w:divBdr>
                  <w:divsChild>
                    <w:div w:id="747918345">
                      <w:marLeft w:val="0"/>
                      <w:marRight w:val="0"/>
                      <w:marTop w:val="0"/>
                      <w:marBottom w:val="0"/>
                      <w:divBdr>
                        <w:top w:val="none" w:sz="0" w:space="0" w:color="auto"/>
                        <w:left w:val="none" w:sz="0" w:space="0" w:color="auto"/>
                        <w:bottom w:val="none" w:sz="0" w:space="0" w:color="auto"/>
                        <w:right w:val="none" w:sz="0" w:space="0" w:color="auto"/>
                      </w:divBdr>
                    </w:div>
                  </w:divsChild>
                </w:div>
                <w:div w:id="131674319">
                  <w:marLeft w:val="0"/>
                  <w:marRight w:val="0"/>
                  <w:marTop w:val="0"/>
                  <w:marBottom w:val="0"/>
                  <w:divBdr>
                    <w:top w:val="none" w:sz="0" w:space="0" w:color="auto"/>
                    <w:left w:val="none" w:sz="0" w:space="0" w:color="auto"/>
                    <w:bottom w:val="none" w:sz="0" w:space="0" w:color="auto"/>
                    <w:right w:val="none" w:sz="0" w:space="0" w:color="auto"/>
                  </w:divBdr>
                  <w:divsChild>
                    <w:div w:id="229468431">
                      <w:marLeft w:val="0"/>
                      <w:marRight w:val="0"/>
                      <w:marTop w:val="0"/>
                      <w:marBottom w:val="0"/>
                      <w:divBdr>
                        <w:top w:val="none" w:sz="0" w:space="0" w:color="auto"/>
                        <w:left w:val="none" w:sz="0" w:space="0" w:color="auto"/>
                        <w:bottom w:val="none" w:sz="0" w:space="0" w:color="auto"/>
                        <w:right w:val="none" w:sz="0" w:space="0" w:color="auto"/>
                      </w:divBdr>
                    </w:div>
                  </w:divsChild>
                </w:div>
                <w:div w:id="139883424">
                  <w:marLeft w:val="0"/>
                  <w:marRight w:val="0"/>
                  <w:marTop w:val="0"/>
                  <w:marBottom w:val="0"/>
                  <w:divBdr>
                    <w:top w:val="none" w:sz="0" w:space="0" w:color="auto"/>
                    <w:left w:val="none" w:sz="0" w:space="0" w:color="auto"/>
                    <w:bottom w:val="none" w:sz="0" w:space="0" w:color="auto"/>
                    <w:right w:val="none" w:sz="0" w:space="0" w:color="auto"/>
                  </w:divBdr>
                  <w:divsChild>
                    <w:div w:id="1829904229">
                      <w:marLeft w:val="0"/>
                      <w:marRight w:val="0"/>
                      <w:marTop w:val="0"/>
                      <w:marBottom w:val="0"/>
                      <w:divBdr>
                        <w:top w:val="none" w:sz="0" w:space="0" w:color="auto"/>
                        <w:left w:val="none" w:sz="0" w:space="0" w:color="auto"/>
                        <w:bottom w:val="none" w:sz="0" w:space="0" w:color="auto"/>
                        <w:right w:val="none" w:sz="0" w:space="0" w:color="auto"/>
                      </w:divBdr>
                    </w:div>
                  </w:divsChild>
                </w:div>
                <w:div w:id="162429161">
                  <w:marLeft w:val="0"/>
                  <w:marRight w:val="0"/>
                  <w:marTop w:val="0"/>
                  <w:marBottom w:val="0"/>
                  <w:divBdr>
                    <w:top w:val="none" w:sz="0" w:space="0" w:color="auto"/>
                    <w:left w:val="none" w:sz="0" w:space="0" w:color="auto"/>
                    <w:bottom w:val="none" w:sz="0" w:space="0" w:color="auto"/>
                    <w:right w:val="none" w:sz="0" w:space="0" w:color="auto"/>
                  </w:divBdr>
                  <w:divsChild>
                    <w:div w:id="234442084">
                      <w:marLeft w:val="0"/>
                      <w:marRight w:val="0"/>
                      <w:marTop w:val="0"/>
                      <w:marBottom w:val="0"/>
                      <w:divBdr>
                        <w:top w:val="none" w:sz="0" w:space="0" w:color="auto"/>
                        <w:left w:val="none" w:sz="0" w:space="0" w:color="auto"/>
                        <w:bottom w:val="none" w:sz="0" w:space="0" w:color="auto"/>
                        <w:right w:val="none" w:sz="0" w:space="0" w:color="auto"/>
                      </w:divBdr>
                    </w:div>
                  </w:divsChild>
                </w:div>
                <w:div w:id="169176095">
                  <w:marLeft w:val="0"/>
                  <w:marRight w:val="0"/>
                  <w:marTop w:val="0"/>
                  <w:marBottom w:val="0"/>
                  <w:divBdr>
                    <w:top w:val="none" w:sz="0" w:space="0" w:color="auto"/>
                    <w:left w:val="none" w:sz="0" w:space="0" w:color="auto"/>
                    <w:bottom w:val="none" w:sz="0" w:space="0" w:color="auto"/>
                    <w:right w:val="none" w:sz="0" w:space="0" w:color="auto"/>
                  </w:divBdr>
                  <w:divsChild>
                    <w:div w:id="97407409">
                      <w:marLeft w:val="0"/>
                      <w:marRight w:val="0"/>
                      <w:marTop w:val="0"/>
                      <w:marBottom w:val="0"/>
                      <w:divBdr>
                        <w:top w:val="none" w:sz="0" w:space="0" w:color="auto"/>
                        <w:left w:val="none" w:sz="0" w:space="0" w:color="auto"/>
                        <w:bottom w:val="none" w:sz="0" w:space="0" w:color="auto"/>
                        <w:right w:val="none" w:sz="0" w:space="0" w:color="auto"/>
                      </w:divBdr>
                    </w:div>
                  </w:divsChild>
                </w:div>
                <w:div w:id="169491234">
                  <w:marLeft w:val="0"/>
                  <w:marRight w:val="0"/>
                  <w:marTop w:val="0"/>
                  <w:marBottom w:val="0"/>
                  <w:divBdr>
                    <w:top w:val="none" w:sz="0" w:space="0" w:color="auto"/>
                    <w:left w:val="none" w:sz="0" w:space="0" w:color="auto"/>
                    <w:bottom w:val="none" w:sz="0" w:space="0" w:color="auto"/>
                    <w:right w:val="none" w:sz="0" w:space="0" w:color="auto"/>
                  </w:divBdr>
                  <w:divsChild>
                    <w:div w:id="865287970">
                      <w:marLeft w:val="0"/>
                      <w:marRight w:val="0"/>
                      <w:marTop w:val="0"/>
                      <w:marBottom w:val="0"/>
                      <w:divBdr>
                        <w:top w:val="none" w:sz="0" w:space="0" w:color="auto"/>
                        <w:left w:val="none" w:sz="0" w:space="0" w:color="auto"/>
                        <w:bottom w:val="none" w:sz="0" w:space="0" w:color="auto"/>
                        <w:right w:val="none" w:sz="0" w:space="0" w:color="auto"/>
                      </w:divBdr>
                    </w:div>
                  </w:divsChild>
                </w:div>
                <w:div w:id="210267291">
                  <w:marLeft w:val="0"/>
                  <w:marRight w:val="0"/>
                  <w:marTop w:val="0"/>
                  <w:marBottom w:val="0"/>
                  <w:divBdr>
                    <w:top w:val="none" w:sz="0" w:space="0" w:color="auto"/>
                    <w:left w:val="none" w:sz="0" w:space="0" w:color="auto"/>
                    <w:bottom w:val="none" w:sz="0" w:space="0" w:color="auto"/>
                    <w:right w:val="none" w:sz="0" w:space="0" w:color="auto"/>
                  </w:divBdr>
                  <w:divsChild>
                    <w:div w:id="1373580932">
                      <w:marLeft w:val="0"/>
                      <w:marRight w:val="0"/>
                      <w:marTop w:val="0"/>
                      <w:marBottom w:val="0"/>
                      <w:divBdr>
                        <w:top w:val="none" w:sz="0" w:space="0" w:color="auto"/>
                        <w:left w:val="none" w:sz="0" w:space="0" w:color="auto"/>
                        <w:bottom w:val="none" w:sz="0" w:space="0" w:color="auto"/>
                        <w:right w:val="none" w:sz="0" w:space="0" w:color="auto"/>
                      </w:divBdr>
                    </w:div>
                  </w:divsChild>
                </w:div>
                <w:div w:id="218832783">
                  <w:marLeft w:val="0"/>
                  <w:marRight w:val="0"/>
                  <w:marTop w:val="0"/>
                  <w:marBottom w:val="0"/>
                  <w:divBdr>
                    <w:top w:val="none" w:sz="0" w:space="0" w:color="auto"/>
                    <w:left w:val="none" w:sz="0" w:space="0" w:color="auto"/>
                    <w:bottom w:val="none" w:sz="0" w:space="0" w:color="auto"/>
                    <w:right w:val="none" w:sz="0" w:space="0" w:color="auto"/>
                  </w:divBdr>
                  <w:divsChild>
                    <w:div w:id="383024033">
                      <w:marLeft w:val="0"/>
                      <w:marRight w:val="0"/>
                      <w:marTop w:val="0"/>
                      <w:marBottom w:val="0"/>
                      <w:divBdr>
                        <w:top w:val="none" w:sz="0" w:space="0" w:color="auto"/>
                        <w:left w:val="none" w:sz="0" w:space="0" w:color="auto"/>
                        <w:bottom w:val="none" w:sz="0" w:space="0" w:color="auto"/>
                        <w:right w:val="none" w:sz="0" w:space="0" w:color="auto"/>
                      </w:divBdr>
                    </w:div>
                  </w:divsChild>
                </w:div>
                <w:div w:id="219749320">
                  <w:marLeft w:val="0"/>
                  <w:marRight w:val="0"/>
                  <w:marTop w:val="0"/>
                  <w:marBottom w:val="0"/>
                  <w:divBdr>
                    <w:top w:val="none" w:sz="0" w:space="0" w:color="auto"/>
                    <w:left w:val="none" w:sz="0" w:space="0" w:color="auto"/>
                    <w:bottom w:val="none" w:sz="0" w:space="0" w:color="auto"/>
                    <w:right w:val="none" w:sz="0" w:space="0" w:color="auto"/>
                  </w:divBdr>
                  <w:divsChild>
                    <w:div w:id="204568701">
                      <w:marLeft w:val="0"/>
                      <w:marRight w:val="0"/>
                      <w:marTop w:val="0"/>
                      <w:marBottom w:val="0"/>
                      <w:divBdr>
                        <w:top w:val="none" w:sz="0" w:space="0" w:color="auto"/>
                        <w:left w:val="none" w:sz="0" w:space="0" w:color="auto"/>
                        <w:bottom w:val="none" w:sz="0" w:space="0" w:color="auto"/>
                        <w:right w:val="none" w:sz="0" w:space="0" w:color="auto"/>
                      </w:divBdr>
                    </w:div>
                  </w:divsChild>
                </w:div>
                <w:div w:id="225188332">
                  <w:marLeft w:val="0"/>
                  <w:marRight w:val="0"/>
                  <w:marTop w:val="0"/>
                  <w:marBottom w:val="0"/>
                  <w:divBdr>
                    <w:top w:val="none" w:sz="0" w:space="0" w:color="auto"/>
                    <w:left w:val="none" w:sz="0" w:space="0" w:color="auto"/>
                    <w:bottom w:val="none" w:sz="0" w:space="0" w:color="auto"/>
                    <w:right w:val="none" w:sz="0" w:space="0" w:color="auto"/>
                  </w:divBdr>
                  <w:divsChild>
                    <w:div w:id="1254128422">
                      <w:marLeft w:val="0"/>
                      <w:marRight w:val="0"/>
                      <w:marTop w:val="0"/>
                      <w:marBottom w:val="0"/>
                      <w:divBdr>
                        <w:top w:val="none" w:sz="0" w:space="0" w:color="auto"/>
                        <w:left w:val="none" w:sz="0" w:space="0" w:color="auto"/>
                        <w:bottom w:val="none" w:sz="0" w:space="0" w:color="auto"/>
                        <w:right w:val="none" w:sz="0" w:space="0" w:color="auto"/>
                      </w:divBdr>
                    </w:div>
                  </w:divsChild>
                </w:div>
                <w:div w:id="249824404">
                  <w:marLeft w:val="0"/>
                  <w:marRight w:val="0"/>
                  <w:marTop w:val="0"/>
                  <w:marBottom w:val="0"/>
                  <w:divBdr>
                    <w:top w:val="none" w:sz="0" w:space="0" w:color="auto"/>
                    <w:left w:val="none" w:sz="0" w:space="0" w:color="auto"/>
                    <w:bottom w:val="none" w:sz="0" w:space="0" w:color="auto"/>
                    <w:right w:val="none" w:sz="0" w:space="0" w:color="auto"/>
                  </w:divBdr>
                  <w:divsChild>
                    <w:div w:id="1123040074">
                      <w:marLeft w:val="0"/>
                      <w:marRight w:val="0"/>
                      <w:marTop w:val="0"/>
                      <w:marBottom w:val="0"/>
                      <w:divBdr>
                        <w:top w:val="none" w:sz="0" w:space="0" w:color="auto"/>
                        <w:left w:val="none" w:sz="0" w:space="0" w:color="auto"/>
                        <w:bottom w:val="none" w:sz="0" w:space="0" w:color="auto"/>
                        <w:right w:val="none" w:sz="0" w:space="0" w:color="auto"/>
                      </w:divBdr>
                    </w:div>
                  </w:divsChild>
                </w:div>
                <w:div w:id="262348179">
                  <w:marLeft w:val="0"/>
                  <w:marRight w:val="0"/>
                  <w:marTop w:val="0"/>
                  <w:marBottom w:val="0"/>
                  <w:divBdr>
                    <w:top w:val="none" w:sz="0" w:space="0" w:color="auto"/>
                    <w:left w:val="none" w:sz="0" w:space="0" w:color="auto"/>
                    <w:bottom w:val="none" w:sz="0" w:space="0" w:color="auto"/>
                    <w:right w:val="none" w:sz="0" w:space="0" w:color="auto"/>
                  </w:divBdr>
                  <w:divsChild>
                    <w:div w:id="667751382">
                      <w:marLeft w:val="0"/>
                      <w:marRight w:val="0"/>
                      <w:marTop w:val="0"/>
                      <w:marBottom w:val="0"/>
                      <w:divBdr>
                        <w:top w:val="none" w:sz="0" w:space="0" w:color="auto"/>
                        <w:left w:val="none" w:sz="0" w:space="0" w:color="auto"/>
                        <w:bottom w:val="none" w:sz="0" w:space="0" w:color="auto"/>
                        <w:right w:val="none" w:sz="0" w:space="0" w:color="auto"/>
                      </w:divBdr>
                    </w:div>
                  </w:divsChild>
                </w:div>
                <w:div w:id="282228777">
                  <w:marLeft w:val="0"/>
                  <w:marRight w:val="0"/>
                  <w:marTop w:val="0"/>
                  <w:marBottom w:val="0"/>
                  <w:divBdr>
                    <w:top w:val="none" w:sz="0" w:space="0" w:color="auto"/>
                    <w:left w:val="none" w:sz="0" w:space="0" w:color="auto"/>
                    <w:bottom w:val="none" w:sz="0" w:space="0" w:color="auto"/>
                    <w:right w:val="none" w:sz="0" w:space="0" w:color="auto"/>
                  </w:divBdr>
                  <w:divsChild>
                    <w:div w:id="1476868744">
                      <w:marLeft w:val="0"/>
                      <w:marRight w:val="0"/>
                      <w:marTop w:val="0"/>
                      <w:marBottom w:val="0"/>
                      <w:divBdr>
                        <w:top w:val="none" w:sz="0" w:space="0" w:color="auto"/>
                        <w:left w:val="none" w:sz="0" w:space="0" w:color="auto"/>
                        <w:bottom w:val="none" w:sz="0" w:space="0" w:color="auto"/>
                        <w:right w:val="none" w:sz="0" w:space="0" w:color="auto"/>
                      </w:divBdr>
                    </w:div>
                  </w:divsChild>
                </w:div>
                <w:div w:id="302855141">
                  <w:marLeft w:val="0"/>
                  <w:marRight w:val="0"/>
                  <w:marTop w:val="0"/>
                  <w:marBottom w:val="0"/>
                  <w:divBdr>
                    <w:top w:val="none" w:sz="0" w:space="0" w:color="auto"/>
                    <w:left w:val="none" w:sz="0" w:space="0" w:color="auto"/>
                    <w:bottom w:val="none" w:sz="0" w:space="0" w:color="auto"/>
                    <w:right w:val="none" w:sz="0" w:space="0" w:color="auto"/>
                  </w:divBdr>
                  <w:divsChild>
                    <w:div w:id="1094865372">
                      <w:marLeft w:val="0"/>
                      <w:marRight w:val="0"/>
                      <w:marTop w:val="0"/>
                      <w:marBottom w:val="0"/>
                      <w:divBdr>
                        <w:top w:val="none" w:sz="0" w:space="0" w:color="auto"/>
                        <w:left w:val="none" w:sz="0" w:space="0" w:color="auto"/>
                        <w:bottom w:val="none" w:sz="0" w:space="0" w:color="auto"/>
                        <w:right w:val="none" w:sz="0" w:space="0" w:color="auto"/>
                      </w:divBdr>
                    </w:div>
                  </w:divsChild>
                </w:div>
                <w:div w:id="316229739">
                  <w:marLeft w:val="0"/>
                  <w:marRight w:val="0"/>
                  <w:marTop w:val="0"/>
                  <w:marBottom w:val="0"/>
                  <w:divBdr>
                    <w:top w:val="none" w:sz="0" w:space="0" w:color="auto"/>
                    <w:left w:val="none" w:sz="0" w:space="0" w:color="auto"/>
                    <w:bottom w:val="none" w:sz="0" w:space="0" w:color="auto"/>
                    <w:right w:val="none" w:sz="0" w:space="0" w:color="auto"/>
                  </w:divBdr>
                  <w:divsChild>
                    <w:div w:id="773476118">
                      <w:marLeft w:val="0"/>
                      <w:marRight w:val="0"/>
                      <w:marTop w:val="0"/>
                      <w:marBottom w:val="0"/>
                      <w:divBdr>
                        <w:top w:val="none" w:sz="0" w:space="0" w:color="auto"/>
                        <w:left w:val="none" w:sz="0" w:space="0" w:color="auto"/>
                        <w:bottom w:val="none" w:sz="0" w:space="0" w:color="auto"/>
                        <w:right w:val="none" w:sz="0" w:space="0" w:color="auto"/>
                      </w:divBdr>
                    </w:div>
                  </w:divsChild>
                </w:div>
                <w:div w:id="328603678">
                  <w:marLeft w:val="0"/>
                  <w:marRight w:val="0"/>
                  <w:marTop w:val="0"/>
                  <w:marBottom w:val="0"/>
                  <w:divBdr>
                    <w:top w:val="none" w:sz="0" w:space="0" w:color="auto"/>
                    <w:left w:val="none" w:sz="0" w:space="0" w:color="auto"/>
                    <w:bottom w:val="none" w:sz="0" w:space="0" w:color="auto"/>
                    <w:right w:val="none" w:sz="0" w:space="0" w:color="auto"/>
                  </w:divBdr>
                  <w:divsChild>
                    <w:div w:id="1686129353">
                      <w:marLeft w:val="0"/>
                      <w:marRight w:val="0"/>
                      <w:marTop w:val="0"/>
                      <w:marBottom w:val="0"/>
                      <w:divBdr>
                        <w:top w:val="none" w:sz="0" w:space="0" w:color="auto"/>
                        <w:left w:val="none" w:sz="0" w:space="0" w:color="auto"/>
                        <w:bottom w:val="none" w:sz="0" w:space="0" w:color="auto"/>
                        <w:right w:val="none" w:sz="0" w:space="0" w:color="auto"/>
                      </w:divBdr>
                    </w:div>
                  </w:divsChild>
                </w:div>
                <w:div w:id="332808214">
                  <w:marLeft w:val="0"/>
                  <w:marRight w:val="0"/>
                  <w:marTop w:val="0"/>
                  <w:marBottom w:val="0"/>
                  <w:divBdr>
                    <w:top w:val="none" w:sz="0" w:space="0" w:color="auto"/>
                    <w:left w:val="none" w:sz="0" w:space="0" w:color="auto"/>
                    <w:bottom w:val="none" w:sz="0" w:space="0" w:color="auto"/>
                    <w:right w:val="none" w:sz="0" w:space="0" w:color="auto"/>
                  </w:divBdr>
                  <w:divsChild>
                    <w:div w:id="2053966159">
                      <w:marLeft w:val="0"/>
                      <w:marRight w:val="0"/>
                      <w:marTop w:val="0"/>
                      <w:marBottom w:val="0"/>
                      <w:divBdr>
                        <w:top w:val="none" w:sz="0" w:space="0" w:color="auto"/>
                        <w:left w:val="none" w:sz="0" w:space="0" w:color="auto"/>
                        <w:bottom w:val="none" w:sz="0" w:space="0" w:color="auto"/>
                        <w:right w:val="none" w:sz="0" w:space="0" w:color="auto"/>
                      </w:divBdr>
                    </w:div>
                  </w:divsChild>
                </w:div>
                <w:div w:id="362102013">
                  <w:marLeft w:val="0"/>
                  <w:marRight w:val="0"/>
                  <w:marTop w:val="0"/>
                  <w:marBottom w:val="0"/>
                  <w:divBdr>
                    <w:top w:val="none" w:sz="0" w:space="0" w:color="auto"/>
                    <w:left w:val="none" w:sz="0" w:space="0" w:color="auto"/>
                    <w:bottom w:val="none" w:sz="0" w:space="0" w:color="auto"/>
                    <w:right w:val="none" w:sz="0" w:space="0" w:color="auto"/>
                  </w:divBdr>
                  <w:divsChild>
                    <w:div w:id="687830111">
                      <w:marLeft w:val="0"/>
                      <w:marRight w:val="0"/>
                      <w:marTop w:val="0"/>
                      <w:marBottom w:val="0"/>
                      <w:divBdr>
                        <w:top w:val="none" w:sz="0" w:space="0" w:color="auto"/>
                        <w:left w:val="none" w:sz="0" w:space="0" w:color="auto"/>
                        <w:bottom w:val="none" w:sz="0" w:space="0" w:color="auto"/>
                        <w:right w:val="none" w:sz="0" w:space="0" w:color="auto"/>
                      </w:divBdr>
                    </w:div>
                  </w:divsChild>
                </w:div>
                <w:div w:id="365063861">
                  <w:marLeft w:val="0"/>
                  <w:marRight w:val="0"/>
                  <w:marTop w:val="0"/>
                  <w:marBottom w:val="0"/>
                  <w:divBdr>
                    <w:top w:val="none" w:sz="0" w:space="0" w:color="auto"/>
                    <w:left w:val="none" w:sz="0" w:space="0" w:color="auto"/>
                    <w:bottom w:val="none" w:sz="0" w:space="0" w:color="auto"/>
                    <w:right w:val="none" w:sz="0" w:space="0" w:color="auto"/>
                  </w:divBdr>
                  <w:divsChild>
                    <w:div w:id="602037745">
                      <w:marLeft w:val="0"/>
                      <w:marRight w:val="0"/>
                      <w:marTop w:val="0"/>
                      <w:marBottom w:val="0"/>
                      <w:divBdr>
                        <w:top w:val="none" w:sz="0" w:space="0" w:color="auto"/>
                        <w:left w:val="none" w:sz="0" w:space="0" w:color="auto"/>
                        <w:bottom w:val="none" w:sz="0" w:space="0" w:color="auto"/>
                        <w:right w:val="none" w:sz="0" w:space="0" w:color="auto"/>
                      </w:divBdr>
                    </w:div>
                  </w:divsChild>
                </w:div>
                <w:div w:id="370155959">
                  <w:marLeft w:val="0"/>
                  <w:marRight w:val="0"/>
                  <w:marTop w:val="0"/>
                  <w:marBottom w:val="0"/>
                  <w:divBdr>
                    <w:top w:val="none" w:sz="0" w:space="0" w:color="auto"/>
                    <w:left w:val="none" w:sz="0" w:space="0" w:color="auto"/>
                    <w:bottom w:val="none" w:sz="0" w:space="0" w:color="auto"/>
                    <w:right w:val="none" w:sz="0" w:space="0" w:color="auto"/>
                  </w:divBdr>
                  <w:divsChild>
                    <w:div w:id="242684423">
                      <w:marLeft w:val="0"/>
                      <w:marRight w:val="0"/>
                      <w:marTop w:val="0"/>
                      <w:marBottom w:val="0"/>
                      <w:divBdr>
                        <w:top w:val="none" w:sz="0" w:space="0" w:color="auto"/>
                        <w:left w:val="none" w:sz="0" w:space="0" w:color="auto"/>
                        <w:bottom w:val="none" w:sz="0" w:space="0" w:color="auto"/>
                        <w:right w:val="none" w:sz="0" w:space="0" w:color="auto"/>
                      </w:divBdr>
                    </w:div>
                  </w:divsChild>
                </w:div>
                <w:div w:id="381750651">
                  <w:marLeft w:val="0"/>
                  <w:marRight w:val="0"/>
                  <w:marTop w:val="0"/>
                  <w:marBottom w:val="0"/>
                  <w:divBdr>
                    <w:top w:val="none" w:sz="0" w:space="0" w:color="auto"/>
                    <w:left w:val="none" w:sz="0" w:space="0" w:color="auto"/>
                    <w:bottom w:val="none" w:sz="0" w:space="0" w:color="auto"/>
                    <w:right w:val="none" w:sz="0" w:space="0" w:color="auto"/>
                  </w:divBdr>
                  <w:divsChild>
                    <w:div w:id="1954290847">
                      <w:marLeft w:val="0"/>
                      <w:marRight w:val="0"/>
                      <w:marTop w:val="0"/>
                      <w:marBottom w:val="0"/>
                      <w:divBdr>
                        <w:top w:val="none" w:sz="0" w:space="0" w:color="auto"/>
                        <w:left w:val="none" w:sz="0" w:space="0" w:color="auto"/>
                        <w:bottom w:val="none" w:sz="0" w:space="0" w:color="auto"/>
                        <w:right w:val="none" w:sz="0" w:space="0" w:color="auto"/>
                      </w:divBdr>
                    </w:div>
                  </w:divsChild>
                </w:div>
                <w:div w:id="381904712">
                  <w:marLeft w:val="0"/>
                  <w:marRight w:val="0"/>
                  <w:marTop w:val="0"/>
                  <w:marBottom w:val="0"/>
                  <w:divBdr>
                    <w:top w:val="none" w:sz="0" w:space="0" w:color="auto"/>
                    <w:left w:val="none" w:sz="0" w:space="0" w:color="auto"/>
                    <w:bottom w:val="none" w:sz="0" w:space="0" w:color="auto"/>
                    <w:right w:val="none" w:sz="0" w:space="0" w:color="auto"/>
                  </w:divBdr>
                  <w:divsChild>
                    <w:div w:id="1490511393">
                      <w:marLeft w:val="0"/>
                      <w:marRight w:val="0"/>
                      <w:marTop w:val="0"/>
                      <w:marBottom w:val="0"/>
                      <w:divBdr>
                        <w:top w:val="none" w:sz="0" w:space="0" w:color="auto"/>
                        <w:left w:val="none" w:sz="0" w:space="0" w:color="auto"/>
                        <w:bottom w:val="none" w:sz="0" w:space="0" w:color="auto"/>
                        <w:right w:val="none" w:sz="0" w:space="0" w:color="auto"/>
                      </w:divBdr>
                    </w:div>
                  </w:divsChild>
                </w:div>
                <w:div w:id="391083476">
                  <w:marLeft w:val="0"/>
                  <w:marRight w:val="0"/>
                  <w:marTop w:val="0"/>
                  <w:marBottom w:val="0"/>
                  <w:divBdr>
                    <w:top w:val="none" w:sz="0" w:space="0" w:color="auto"/>
                    <w:left w:val="none" w:sz="0" w:space="0" w:color="auto"/>
                    <w:bottom w:val="none" w:sz="0" w:space="0" w:color="auto"/>
                    <w:right w:val="none" w:sz="0" w:space="0" w:color="auto"/>
                  </w:divBdr>
                  <w:divsChild>
                    <w:div w:id="1351486826">
                      <w:marLeft w:val="0"/>
                      <w:marRight w:val="0"/>
                      <w:marTop w:val="0"/>
                      <w:marBottom w:val="0"/>
                      <w:divBdr>
                        <w:top w:val="none" w:sz="0" w:space="0" w:color="auto"/>
                        <w:left w:val="none" w:sz="0" w:space="0" w:color="auto"/>
                        <w:bottom w:val="none" w:sz="0" w:space="0" w:color="auto"/>
                        <w:right w:val="none" w:sz="0" w:space="0" w:color="auto"/>
                      </w:divBdr>
                    </w:div>
                  </w:divsChild>
                </w:div>
                <w:div w:id="397217810">
                  <w:marLeft w:val="0"/>
                  <w:marRight w:val="0"/>
                  <w:marTop w:val="0"/>
                  <w:marBottom w:val="0"/>
                  <w:divBdr>
                    <w:top w:val="none" w:sz="0" w:space="0" w:color="auto"/>
                    <w:left w:val="none" w:sz="0" w:space="0" w:color="auto"/>
                    <w:bottom w:val="none" w:sz="0" w:space="0" w:color="auto"/>
                    <w:right w:val="none" w:sz="0" w:space="0" w:color="auto"/>
                  </w:divBdr>
                  <w:divsChild>
                    <w:div w:id="1181814422">
                      <w:marLeft w:val="0"/>
                      <w:marRight w:val="0"/>
                      <w:marTop w:val="0"/>
                      <w:marBottom w:val="0"/>
                      <w:divBdr>
                        <w:top w:val="none" w:sz="0" w:space="0" w:color="auto"/>
                        <w:left w:val="none" w:sz="0" w:space="0" w:color="auto"/>
                        <w:bottom w:val="none" w:sz="0" w:space="0" w:color="auto"/>
                        <w:right w:val="none" w:sz="0" w:space="0" w:color="auto"/>
                      </w:divBdr>
                    </w:div>
                  </w:divsChild>
                </w:div>
                <w:div w:id="402222816">
                  <w:marLeft w:val="0"/>
                  <w:marRight w:val="0"/>
                  <w:marTop w:val="0"/>
                  <w:marBottom w:val="0"/>
                  <w:divBdr>
                    <w:top w:val="none" w:sz="0" w:space="0" w:color="auto"/>
                    <w:left w:val="none" w:sz="0" w:space="0" w:color="auto"/>
                    <w:bottom w:val="none" w:sz="0" w:space="0" w:color="auto"/>
                    <w:right w:val="none" w:sz="0" w:space="0" w:color="auto"/>
                  </w:divBdr>
                  <w:divsChild>
                    <w:div w:id="366226519">
                      <w:marLeft w:val="0"/>
                      <w:marRight w:val="0"/>
                      <w:marTop w:val="0"/>
                      <w:marBottom w:val="0"/>
                      <w:divBdr>
                        <w:top w:val="none" w:sz="0" w:space="0" w:color="auto"/>
                        <w:left w:val="none" w:sz="0" w:space="0" w:color="auto"/>
                        <w:bottom w:val="none" w:sz="0" w:space="0" w:color="auto"/>
                        <w:right w:val="none" w:sz="0" w:space="0" w:color="auto"/>
                      </w:divBdr>
                    </w:div>
                  </w:divsChild>
                </w:div>
                <w:div w:id="410783065">
                  <w:marLeft w:val="0"/>
                  <w:marRight w:val="0"/>
                  <w:marTop w:val="0"/>
                  <w:marBottom w:val="0"/>
                  <w:divBdr>
                    <w:top w:val="none" w:sz="0" w:space="0" w:color="auto"/>
                    <w:left w:val="none" w:sz="0" w:space="0" w:color="auto"/>
                    <w:bottom w:val="none" w:sz="0" w:space="0" w:color="auto"/>
                    <w:right w:val="none" w:sz="0" w:space="0" w:color="auto"/>
                  </w:divBdr>
                  <w:divsChild>
                    <w:div w:id="1195575491">
                      <w:marLeft w:val="0"/>
                      <w:marRight w:val="0"/>
                      <w:marTop w:val="0"/>
                      <w:marBottom w:val="0"/>
                      <w:divBdr>
                        <w:top w:val="none" w:sz="0" w:space="0" w:color="auto"/>
                        <w:left w:val="none" w:sz="0" w:space="0" w:color="auto"/>
                        <w:bottom w:val="none" w:sz="0" w:space="0" w:color="auto"/>
                        <w:right w:val="none" w:sz="0" w:space="0" w:color="auto"/>
                      </w:divBdr>
                    </w:div>
                  </w:divsChild>
                </w:div>
                <w:div w:id="420568265">
                  <w:marLeft w:val="0"/>
                  <w:marRight w:val="0"/>
                  <w:marTop w:val="0"/>
                  <w:marBottom w:val="0"/>
                  <w:divBdr>
                    <w:top w:val="none" w:sz="0" w:space="0" w:color="auto"/>
                    <w:left w:val="none" w:sz="0" w:space="0" w:color="auto"/>
                    <w:bottom w:val="none" w:sz="0" w:space="0" w:color="auto"/>
                    <w:right w:val="none" w:sz="0" w:space="0" w:color="auto"/>
                  </w:divBdr>
                  <w:divsChild>
                    <w:div w:id="1745298261">
                      <w:marLeft w:val="0"/>
                      <w:marRight w:val="0"/>
                      <w:marTop w:val="0"/>
                      <w:marBottom w:val="0"/>
                      <w:divBdr>
                        <w:top w:val="none" w:sz="0" w:space="0" w:color="auto"/>
                        <w:left w:val="none" w:sz="0" w:space="0" w:color="auto"/>
                        <w:bottom w:val="none" w:sz="0" w:space="0" w:color="auto"/>
                        <w:right w:val="none" w:sz="0" w:space="0" w:color="auto"/>
                      </w:divBdr>
                    </w:div>
                  </w:divsChild>
                </w:div>
                <w:div w:id="432895656">
                  <w:marLeft w:val="0"/>
                  <w:marRight w:val="0"/>
                  <w:marTop w:val="0"/>
                  <w:marBottom w:val="0"/>
                  <w:divBdr>
                    <w:top w:val="none" w:sz="0" w:space="0" w:color="auto"/>
                    <w:left w:val="none" w:sz="0" w:space="0" w:color="auto"/>
                    <w:bottom w:val="none" w:sz="0" w:space="0" w:color="auto"/>
                    <w:right w:val="none" w:sz="0" w:space="0" w:color="auto"/>
                  </w:divBdr>
                  <w:divsChild>
                    <w:div w:id="1978686147">
                      <w:marLeft w:val="0"/>
                      <w:marRight w:val="0"/>
                      <w:marTop w:val="0"/>
                      <w:marBottom w:val="0"/>
                      <w:divBdr>
                        <w:top w:val="none" w:sz="0" w:space="0" w:color="auto"/>
                        <w:left w:val="none" w:sz="0" w:space="0" w:color="auto"/>
                        <w:bottom w:val="none" w:sz="0" w:space="0" w:color="auto"/>
                        <w:right w:val="none" w:sz="0" w:space="0" w:color="auto"/>
                      </w:divBdr>
                    </w:div>
                  </w:divsChild>
                </w:div>
                <w:div w:id="435519459">
                  <w:marLeft w:val="0"/>
                  <w:marRight w:val="0"/>
                  <w:marTop w:val="0"/>
                  <w:marBottom w:val="0"/>
                  <w:divBdr>
                    <w:top w:val="none" w:sz="0" w:space="0" w:color="auto"/>
                    <w:left w:val="none" w:sz="0" w:space="0" w:color="auto"/>
                    <w:bottom w:val="none" w:sz="0" w:space="0" w:color="auto"/>
                    <w:right w:val="none" w:sz="0" w:space="0" w:color="auto"/>
                  </w:divBdr>
                  <w:divsChild>
                    <w:div w:id="1328821546">
                      <w:marLeft w:val="0"/>
                      <w:marRight w:val="0"/>
                      <w:marTop w:val="0"/>
                      <w:marBottom w:val="0"/>
                      <w:divBdr>
                        <w:top w:val="none" w:sz="0" w:space="0" w:color="auto"/>
                        <w:left w:val="none" w:sz="0" w:space="0" w:color="auto"/>
                        <w:bottom w:val="none" w:sz="0" w:space="0" w:color="auto"/>
                        <w:right w:val="none" w:sz="0" w:space="0" w:color="auto"/>
                      </w:divBdr>
                    </w:div>
                  </w:divsChild>
                </w:div>
                <w:div w:id="444739533">
                  <w:marLeft w:val="0"/>
                  <w:marRight w:val="0"/>
                  <w:marTop w:val="0"/>
                  <w:marBottom w:val="0"/>
                  <w:divBdr>
                    <w:top w:val="none" w:sz="0" w:space="0" w:color="auto"/>
                    <w:left w:val="none" w:sz="0" w:space="0" w:color="auto"/>
                    <w:bottom w:val="none" w:sz="0" w:space="0" w:color="auto"/>
                    <w:right w:val="none" w:sz="0" w:space="0" w:color="auto"/>
                  </w:divBdr>
                  <w:divsChild>
                    <w:div w:id="757140865">
                      <w:marLeft w:val="0"/>
                      <w:marRight w:val="0"/>
                      <w:marTop w:val="0"/>
                      <w:marBottom w:val="0"/>
                      <w:divBdr>
                        <w:top w:val="none" w:sz="0" w:space="0" w:color="auto"/>
                        <w:left w:val="none" w:sz="0" w:space="0" w:color="auto"/>
                        <w:bottom w:val="none" w:sz="0" w:space="0" w:color="auto"/>
                        <w:right w:val="none" w:sz="0" w:space="0" w:color="auto"/>
                      </w:divBdr>
                    </w:div>
                  </w:divsChild>
                </w:div>
                <w:div w:id="456609183">
                  <w:marLeft w:val="0"/>
                  <w:marRight w:val="0"/>
                  <w:marTop w:val="0"/>
                  <w:marBottom w:val="0"/>
                  <w:divBdr>
                    <w:top w:val="none" w:sz="0" w:space="0" w:color="auto"/>
                    <w:left w:val="none" w:sz="0" w:space="0" w:color="auto"/>
                    <w:bottom w:val="none" w:sz="0" w:space="0" w:color="auto"/>
                    <w:right w:val="none" w:sz="0" w:space="0" w:color="auto"/>
                  </w:divBdr>
                  <w:divsChild>
                    <w:div w:id="820926257">
                      <w:marLeft w:val="0"/>
                      <w:marRight w:val="0"/>
                      <w:marTop w:val="0"/>
                      <w:marBottom w:val="0"/>
                      <w:divBdr>
                        <w:top w:val="none" w:sz="0" w:space="0" w:color="auto"/>
                        <w:left w:val="none" w:sz="0" w:space="0" w:color="auto"/>
                        <w:bottom w:val="none" w:sz="0" w:space="0" w:color="auto"/>
                        <w:right w:val="none" w:sz="0" w:space="0" w:color="auto"/>
                      </w:divBdr>
                    </w:div>
                  </w:divsChild>
                </w:div>
                <w:div w:id="458380340">
                  <w:marLeft w:val="0"/>
                  <w:marRight w:val="0"/>
                  <w:marTop w:val="0"/>
                  <w:marBottom w:val="0"/>
                  <w:divBdr>
                    <w:top w:val="none" w:sz="0" w:space="0" w:color="auto"/>
                    <w:left w:val="none" w:sz="0" w:space="0" w:color="auto"/>
                    <w:bottom w:val="none" w:sz="0" w:space="0" w:color="auto"/>
                    <w:right w:val="none" w:sz="0" w:space="0" w:color="auto"/>
                  </w:divBdr>
                  <w:divsChild>
                    <w:div w:id="862210170">
                      <w:marLeft w:val="0"/>
                      <w:marRight w:val="0"/>
                      <w:marTop w:val="0"/>
                      <w:marBottom w:val="0"/>
                      <w:divBdr>
                        <w:top w:val="none" w:sz="0" w:space="0" w:color="auto"/>
                        <w:left w:val="none" w:sz="0" w:space="0" w:color="auto"/>
                        <w:bottom w:val="none" w:sz="0" w:space="0" w:color="auto"/>
                        <w:right w:val="none" w:sz="0" w:space="0" w:color="auto"/>
                      </w:divBdr>
                    </w:div>
                  </w:divsChild>
                </w:div>
                <w:div w:id="476267040">
                  <w:marLeft w:val="0"/>
                  <w:marRight w:val="0"/>
                  <w:marTop w:val="0"/>
                  <w:marBottom w:val="0"/>
                  <w:divBdr>
                    <w:top w:val="none" w:sz="0" w:space="0" w:color="auto"/>
                    <w:left w:val="none" w:sz="0" w:space="0" w:color="auto"/>
                    <w:bottom w:val="none" w:sz="0" w:space="0" w:color="auto"/>
                    <w:right w:val="none" w:sz="0" w:space="0" w:color="auto"/>
                  </w:divBdr>
                  <w:divsChild>
                    <w:div w:id="1872917579">
                      <w:marLeft w:val="0"/>
                      <w:marRight w:val="0"/>
                      <w:marTop w:val="0"/>
                      <w:marBottom w:val="0"/>
                      <w:divBdr>
                        <w:top w:val="none" w:sz="0" w:space="0" w:color="auto"/>
                        <w:left w:val="none" w:sz="0" w:space="0" w:color="auto"/>
                        <w:bottom w:val="none" w:sz="0" w:space="0" w:color="auto"/>
                        <w:right w:val="none" w:sz="0" w:space="0" w:color="auto"/>
                      </w:divBdr>
                    </w:div>
                  </w:divsChild>
                </w:div>
                <w:div w:id="486752462">
                  <w:marLeft w:val="0"/>
                  <w:marRight w:val="0"/>
                  <w:marTop w:val="0"/>
                  <w:marBottom w:val="0"/>
                  <w:divBdr>
                    <w:top w:val="none" w:sz="0" w:space="0" w:color="auto"/>
                    <w:left w:val="none" w:sz="0" w:space="0" w:color="auto"/>
                    <w:bottom w:val="none" w:sz="0" w:space="0" w:color="auto"/>
                    <w:right w:val="none" w:sz="0" w:space="0" w:color="auto"/>
                  </w:divBdr>
                  <w:divsChild>
                    <w:div w:id="1950971142">
                      <w:marLeft w:val="0"/>
                      <w:marRight w:val="0"/>
                      <w:marTop w:val="0"/>
                      <w:marBottom w:val="0"/>
                      <w:divBdr>
                        <w:top w:val="none" w:sz="0" w:space="0" w:color="auto"/>
                        <w:left w:val="none" w:sz="0" w:space="0" w:color="auto"/>
                        <w:bottom w:val="none" w:sz="0" w:space="0" w:color="auto"/>
                        <w:right w:val="none" w:sz="0" w:space="0" w:color="auto"/>
                      </w:divBdr>
                    </w:div>
                  </w:divsChild>
                </w:div>
                <w:div w:id="490023899">
                  <w:marLeft w:val="0"/>
                  <w:marRight w:val="0"/>
                  <w:marTop w:val="0"/>
                  <w:marBottom w:val="0"/>
                  <w:divBdr>
                    <w:top w:val="none" w:sz="0" w:space="0" w:color="auto"/>
                    <w:left w:val="none" w:sz="0" w:space="0" w:color="auto"/>
                    <w:bottom w:val="none" w:sz="0" w:space="0" w:color="auto"/>
                    <w:right w:val="none" w:sz="0" w:space="0" w:color="auto"/>
                  </w:divBdr>
                  <w:divsChild>
                    <w:div w:id="1709795526">
                      <w:marLeft w:val="0"/>
                      <w:marRight w:val="0"/>
                      <w:marTop w:val="0"/>
                      <w:marBottom w:val="0"/>
                      <w:divBdr>
                        <w:top w:val="none" w:sz="0" w:space="0" w:color="auto"/>
                        <w:left w:val="none" w:sz="0" w:space="0" w:color="auto"/>
                        <w:bottom w:val="none" w:sz="0" w:space="0" w:color="auto"/>
                        <w:right w:val="none" w:sz="0" w:space="0" w:color="auto"/>
                      </w:divBdr>
                    </w:div>
                  </w:divsChild>
                </w:div>
                <w:div w:id="501624953">
                  <w:marLeft w:val="0"/>
                  <w:marRight w:val="0"/>
                  <w:marTop w:val="0"/>
                  <w:marBottom w:val="0"/>
                  <w:divBdr>
                    <w:top w:val="none" w:sz="0" w:space="0" w:color="auto"/>
                    <w:left w:val="none" w:sz="0" w:space="0" w:color="auto"/>
                    <w:bottom w:val="none" w:sz="0" w:space="0" w:color="auto"/>
                    <w:right w:val="none" w:sz="0" w:space="0" w:color="auto"/>
                  </w:divBdr>
                  <w:divsChild>
                    <w:div w:id="375860218">
                      <w:marLeft w:val="0"/>
                      <w:marRight w:val="0"/>
                      <w:marTop w:val="0"/>
                      <w:marBottom w:val="0"/>
                      <w:divBdr>
                        <w:top w:val="none" w:sz="0" w:space="0" w:color="auto"/>
                        <w:left w:val="none" w:sz="0" w:space="0" w:color="auto"/>
                        <w:bottom w:val="none" w:sz="0" w:space="0" w:color="auto"/>
                        <w:right w:val="none" w:sz="0" w:space="0" w:color="auto"/>
                      </w:divBdr>
                    </w:div>
                  </w:divsChild>
                </w:div>
                <w:div w:id="504244606">
                  <w:marLeft w:val="0"/>
                  <w:marRight w:val="0"/>
                  <w:marTop w:val="0"/>
                  <w:marBottom w:val="0"/>
                  <w:divBdr>
                    <w:top w:val="none" w:sz="0" w:space="0" w:color="auto"/>
                    <w:left w:val="none" w:sz="0" w:space="0" w:color="auto"/>
                    <w:bottom w:val="none" w:sz="0" w:space="0" w:color="auto"/>
                    <w:right w:val="none" w:sz="0" w:space="0" w:color="auto"/>
                  </w:divBdr>
                  <w:divsChild>
                    <w:div w:id="848715670">
                      <w:marLeft w:val="0"/>
                      <w:marRight w:val="0"/>
                      <w:marTop w:val="0"/>
                      <w:marBottom w:val="0"/>
                      <w:divBdr>
                        <w:top w:val="none" w:sz="0" w:space="0" w:color="auto"/>
                        <w:left w:val="none" w:sz="0" w:space="0" w:color="auto"/>
                        <w:bottom w:val="none" w:sz="0" w:space="0" w:color="auto"/>
                        <w:right w:val="none" w:sz="0" w:space="0" w:color="auto"/>
                      </w:divBdr>
                    </w:div>
                  </w:divsChild>
                </w:div>
                <w:div w:id="544097809">
                  <w:marLeft w:val="0"/>
                  <w:marRight w:val="0"/>
                  <w:marTop w:val="0"/>
                  <w:marBottom w:val="0"/>
                  <w:divBdr>
                    <w:top w:val="none" w:sz="0" w:space="0" w:color="auto"/>
                    <w:left w:val="none" w:sz="0" w:space="0" w:color="auto"/>
                    <w:bottom w:val="none" w:sz="0" w:space="0" w:color="auto"/>
                    <w:right w:val="none" w:sz="0" w:space="0" w:color="auto"/>
                  </w:divBdr>
                  <w:divsChild>
                    <w:div w:id="1577400361">
                      <w:marLeft w:val="0"/>
                      <w:marRight w:val="0"/>
                      <w:marTop w:val="0"/>
                      <w:marBottom w:val="0"/>
                      <w:divBdr>
                        <w:top w:val="none" w:sz="0" w:space="0" w:color="auto"/>
                        <w:left w:val="none" w:sz="0" w:space="0" w:color="auto"/>
                        <w:bottom w:val="none" w:sz="0" w:space="0" w:color="auto"/>
                        <w:right w:val="none" w:sz="0" w:space="0" w:color="auto"/>
                      </w:divBdr>
                    </w:div>
                  </w:divsChild>
                </w:div>
                <w:div w:id="558325892">
                  <w:marLeft w:val="0"/>
                  <w:marRight w:val="0"/>
                  <w:marTop w:val="0"/>
                  <w:marBottom w:val="0"/>
                  <w:divBdr>
                    <w:top w:val="none" w:sz="0" w:space="0" w:color="auto"/>
                    <w:left w:val="none" w:sz="0" w:space="0" w:color="auto"/>
                    <w:bottom w:val="none" w:sz="0" w:space="0" w:color="auto"/>
                    <w:right w:val="none" w:sz="0" w:space="0" w:color="auto"/>
                  </w:divBdr>
                  <w:divsChild>
                    <w:div w:id="1107846892">
                      <w:marLeft w:val="0"/>
                      <w:marRight w:val="0"/>
                      <w:marTop w:val="0"/>
                      <w:marBottom w:val="0"/>
                      <w:divBdr>
                        <w:top w:val="none" w:sz="0" w:space="0" w:color="auto"/>
                        <w:left w:val="none" w:sz="0" w:space="0" w:color="auto"/>
                        <w:bottom w:val="none" w:sz="0" w:space="0" w:color="auto"/>
                        <w:right w:val="none" w:sz="0" w:space="0" w:color="auto"/>
                      </w:divBdr>
                    </w:div>
                  </w:divsChild>
                </w:div>
                <w:div w:id="583732443">
                  <w:marLeft w:val="0"/>
                  <w:marRight w:val="0"/>
                  <w:marTop w:val="0"/>
                  <w:marBottom w:val="0"/>
                  <w:divBdr>
                    <w:top w:val="none" w:sz="0" w:space="0" w:color="auto"/>
                    <w:left w:val="none" w:sz="0" w:space="0" w:color="auto"/>
                    <w:bottom w:val="none" w:sz="0" w:space="0" w:color="auto"/>
                    <w:right w:val="none" w:sz="0" w:space="0" w:color="auto"/>
                  </w:divBdr>
                  <w:divsChild>
                    <w:div w:id="969553868">
                      <w:marLeft w:val="0"/>
                      <w:marRight w:val="0"/>
                      <w:marTop w:val="0"/>
                      <w:marBottom w:val="0"/>
                      <w:divBdr>
                        <w:top w:val="none" w:sz="0" w:space="0" w:color="auto"/>
                        <w:left w:val="none" w:sz="0" w:space="0" w:color="auto"/>
                        <w:bottom w:val="none" w:sz="0" w:space="0" w:color="auto"/>
                        <w:right w:val="none" w:sz="0" w:space="0" w:color="auto"/>
                      </w:divBdr>
                    </w:div>
                  </w:divsChild>
                </w:div>
                <w:div w:id="586425239">
                  <w:marLeft w:val="0"/>
                  <w:marRight w:val="0"/>
                  <w:marTop w:val="0"/>
                  <w:marBottom w:val="0"/>
                  <w:divBdr>
                    <w:top w:val="none" w:sz="0" w:space="0" w:color="auto"/>
                    <w:left w:val="none" w:sz="0" w:space="0" w:color="auto"/>
                    <w:bottom w:val="none" w:sz="0" w:space="0" w:color="auto"/>
                    <w:right w:val="none" w:sz="0" w:space="0" w:color="auto"/>
                  </w:divBdr>
                  <w:divsChild>
                    <w:div w:id="1368602095">
                      <w:marLeft w:val="0"/>
                      <w:marRight w:val="0"/>
                      <w:marTop w:val="0"/>
                      <w:marBottom w:val="0"/>
                      <w:divBdr>
                        <w:top w:val="none" w:sz="0" w:space="0" w:color="auto"/>
                        <w:left w:val="none" w:sz="0" w:space="0" w:color="auto"/>
                        <w:bottom w:val="none" w:sz="0" w:space="0" w:color="auto"/>
                        <w:right w:val="none" w:sz="0" w:space="0" w:color="auto"/>
                      </w:divBdr>
                    </w:div>
                  </w:divsChild>
                </w:div>
                <w:div w:id="593785732">
                  <w:marLeft w:val="0"/>
                  <w:marRight w:val="0"/>
                  <w:marTop w:val="0"/>
                  <w:marBottom w:val="0"/>
                  <w:divBdr>
                    <w:top w:val="none" w:sz="0" w:space="0" w:color="auto"/>
                    <w:left w:val="none" w:sz="0" w:space="0" w:color="auto"/>
                    <w:bottom w:val="none" w:sz="0" w:space="0" w:color="auto"/>
                    <w:right w:val="none" w:sz="0" w:space="0" w:color="auto"/>
                  </w:divBdr>
                  <w:divsChild>
                    <w:div w:id="613833422">
                      <w:marLeft w:val="0"/>
                      <w:marRight w:val="0"/>
                      <w:marTop w:val="0"/>
                      <w:marBottom w:val="0"/>
                      <w:divBdr>
                        <w:top w:val="none" w:sz="0" w:space="0" w:color="auto"/>
                        <w:left w:val="none" w:sz="0" w:space="0" w:color="auto"/>
                        <w:bottom w:val="none" w:sz="0" w:space="0" w:color="auto"/>
                        <w:right w:val="none" w:sz="0" w:space="0" w:color="auto"/>
                      </w:divBdr>
                    </w:div>
                  </w:divsChild>
                </w:div>
                <w:div w:id="611205501">
                  <w:marLeft w:val="0"/>
                  <w:marRight w:val="0"/>
                  <w:marTop w:val="0"/>
                  <w:marBottom w:val="0"/>
                  <w:divBdr>
                    <w:top w:val="none" w:sz="0" w:space="0" w:color="auto"/>
                    <w:left w:val="none" w:sz="0" w:space="0" w:color="auto"/>
                    <w:bottom w:val="none" w:sz="0" w:space="0" w:color="auto"/>
                    <w:right w:val="none" w:sz="0" w:space="0" w:color="auto"/>
                  </w:divBdr>
                  <w:divsChild>
                    <w:div w:id="1856966618">
                      <w:marLeft w:val="0"/>
                      <w:marRight w:val="0"/>
                      <w:marTop w:val="0"/>
                      <w:marBottom w:val="0"/>
                      <w:divBdr>
                        <w:top w:val="none" w:sz="0" w:space="0" w:color="auto"/>
                        <w:left w:val="none" w:sz="0" w:space="0" w:color="auto"/>
                        <w:bottom w:val="none" w:sz="0" w:space="0" w:color="auto"/>
                        <w:right w:val="none" w:sz="0" w:space="0" w:color="auto"/>
                      </w:divBdr>
                    </w:div>
                  </w:divsChild>
                </w:div>
                <w:div w:id="618340200">
                  <w:marLeft w:val="0"/>
                  <w:marRight w:val="0"/>
                  <w:marTop w:val="0"/>
                  <w:marBottom w:val="0"/>
                  <w:divBdr>
                    <w:top w:val="none" w:sz="0" w:space="0" w:color="auto"/>
                    <w:left w:val="none" w:sz="0" w:space="0" w:color="auto"/>
                    <w:bottom w:val="none" w:sz="0" w:space="0" w:color="auto"/>
                    <w:right w:val="none" w:sz="0" w:space="0" w:color="auto"/>
                  </w:divBdr>
                  <w:divsChild>
                    <w:div w:id="1943486673">
                      <w:marLeft w:val="0"/>
                      <w:marRight w:val="0"/>
                      <w:marTop w:val="0"/>
                      <w:marBottom w:val="0"/>
                      <w:divBdr>
                        <w:top w:val="none" w:sz="0" w:space="0" w:color="auto"/>
                        <w:left w:val="none" w:sz="0" w:space="0" w:color="auto"/>
                        <w:bottom w:val="none" w:sz="0" w:space="0" w:color="auto"/>
                        <w:right w:val="none" w:sz="0" w:space="0" w:color="auto"/>
                      </w:divBdr>
                    </w:div>
                  </w:divsChild>
                </w:div>
                <w:div w:id="648285784">
                  <w:marLeft w:val="0"/>
                  <w:marRight w:val="0"/>
                  <w:marTop w:val="0"/>
                  <w:marBottom w:val="0"/>
                  <w:divBdr>
                    <w:top w:val="none" w:sz="0" w:space="0" w:color="auto"/>
                    <w:left w:val="none" w:sz="0" w:space="0" w:color="auto"/>
                    <w:bottom w:val="none" w:sz="0" w:space="0" w:color="auto"/>
                    <w:right w:val="none" w:sz="0" w:space="0" w:color="auto"/>
                  </w:divBdr>
                  <w:divsChild>
                    <w:div w:id="808398368">
                      <w:marLeft w:val="0"/>
                      <w:marRight w:val="0"/>
                      <w:marTop w:val="0"/>
                      <w:marBottom w:val="0"/>
                      <w:divBdr>
                        <w:top w:val="none" w:sz="0" w:space="0" w:color="auto"/>
                        <w:left w:val="none" w:sz="0" w:space="0" w:color="auto"/>
                        <w:bottom w:val="none" w:sz="0" w:space="0" w:color="auto"/>
                        <w:right w:val="none" w:sz="0" w:space="0" w:color="auto"/>
                      </w:divBdr>
                    </w:div>
                  </w:divsChild>
                </w:div>
                <w:div w:id="652880665">
                  <w:marLeft w:val="0"/>
                  <w:marRight w:val="0"/>
                  <w:marTop w:val="0"/>
                  <w:marBottom w:val="0"/>
                  <w:divBdr>
                    <w:top w:val="none" w:sz="0" w:space="0" w:color="auto"/>
                    <w:left w:val="none" w:sz="0" w:space="0" w:color="auto"/>
                    <w:bottom w:val="none" w:sz="0" w:space="0" w:color="auto"/>
                    <w:right w:val="none" w:sz="0" w:space="0" w:color="auto"/>
                  </w:divBdr>
                  <w:divsChild>
                    <w:div w:id="2129473654">
                      <w:marLeft w:val="0"/>
                      <w:marRight w:val="0"/>
                      <w:marTop w:val="0"/>
                      <w:marBottom w:val="0"/>
                      <w:divBdr>
                        <w:top w:val="none" w:sz="0" w:space="0" w:color="auto"/>
                        <w:left w:val="none" w:sz="0" w:space="0" w:color="auto"/>
                        <w:bottom w:val="none" w:sz="0" w:space="0" w:color="auto"/>
                        <w:right w:val="none" w:sz="0" w:space="0" w:color="auto"/>
                      </w:divBdr>
                    </w:div>
                  </w:divsChild>
                </w:div>
                <w:div w:id="676808872">
                  <w:marLeft w:val="0"/>
                  <w:marRight w:val="0"/>
                  <w:marTop w:val="0"/>
                  <w:marBottom w:val="0"/>
                  <w:divBdr>
                    <w:top w:val="none" w:sz="0" w:space="0" w:color="auto"/>
                    <w:left w:val="none" w:sz="0" w:space="0" w:color="auto"/>
                    <w:bottom w:val="none" w:sz="0" w:space="0" w:color="auto"/>
                    <w:right w:val="none" w:sz="0" w:space="0" w:color="auto"/>
                  </w:divBdr>
                  <w:divsChild>
                    <w:div w:id="1535266832">
                      <w:marLeft w:val="0"/>
                      <w:marRight w:val="0"/>
                      <w:marTop w:val="0"/>
                      <w:marBottom w:val="0"/>
                      <w:divBdr>
                        <w:top w:val="none" w:sz="0" w:space="0" w:color="auto"/>
                        <w:left w:val="none" w:sz="0" w:space="0" w:color="auto"/>
                        <w:bottom w:val="none" w:sz="0" w:space="0" w:color="auto"/>
                        <w:right w:val="none" w:sz="0" w:space="0" w:color="auto"/>
                      </w:divBdr>
                    </w:div>
                  </w:divsChild>
                </w:div>
                <w:div w:id="681660379">
                  <w:marLeft w:val="0"/>
                  <w:marRight w:val="0"/>
                  <w:marTop w:val="0"/>
                  <w:marBottom w:val="0"/>
                  <w:divBdr>
                    <w:top w:val="none" w:sz="0" w:space="0" w:color="auto"/>
                    <w:left w:val="none" w:sz="0" w:space="0" w:color="auto"/>
                    <w:bottom w:val="none" w:sz="0" w:space="0" w:color="auto"/>
                    <w:right w:val="none" w:sz="0" w:space="0" w:color="auto"/>
                  </w:divBdr>
                  <w:divsChild>
                    <w:div w:id="639773563">
                      <w:marLeft w:val="0"/>
                      <w:marRight w:val="0"/>
                      <w:marTop w:val="0"/>
                      <w:marBottom w:val="0"/>
                      <w:divBdr>
                        <w:top w:val="none" w:sz="0" w:space="0" w:color="auto"/>
                        <w:left w:val="none" w:sz="0" w:space="0" w:color="auto"/>
                        <w:bottom w:val="none" w:sz="0" w:space="0" w:color="auto"/>
                        <w:right w:val="none" w:sz="0" w:space="0" w:color="auto"/>
                      </w:divBdr>
                    </w:div>
                  </w:divsChild>
                </w:div>
                <w:div w:id="682631225">
                  <w:marLeft w:val="0"/>
                  <w:marRight w:val="0"/>
                  <w:marTop w:val="0"/>
                  <w:marBottom w:val="0"/>
                  <w:divBdr>
                    <w:top w:val="none" w:sz="0" w:space="0" w:color="auto"/>
                    <w:left w:val="none" w:sz="0" w:space="0" w:color="auto"/>
                    <w:bottom w:val="none" w:sz="0" w:space="0" w:color="auto"/>
                    <w:right w:val="none" w:sz="0" w:space="0" w:color="auto"/>
                  </w:divBdr>
                  <w:divsChild>
                    <w:div w:id="595754417">
                      <w:marLeft w:val="0"/>
                      <w:marRight w:val="0"/>
                      <w:marTop w:val="0"/>
                      <w:marBottom w:val="0"/>
                      <w:divBdr>
                        <w:top w:val="none" w:sz="0" w:space="0" w:color="auto"/>
                        <w:left w:val="none" w:sz="0" w:space="0" w:color="auto"/>
                        <w:bottom w:val="none" w:sz="0" w:space="0" w:color="auto"/>
                        <w:right w:val="none" w:sz="0" w:space="0" w:color="auto"/>
                      </w:divBdr>
                    </w:div>
                  </w:divsChild>
                </w:div>
                <w:div w:id="683243030">
                  <w:marLeft w:val="0"/>
                  <w:marRight w:val="0"/>
                  <w:marTop w:val="0"/>
                  <w:marBottom w:val="0"/>
                  <w:divBdr>
                    <w:top w:val="none" w:sz="0" w:space="0" w:color="auto"/>
                    <w:left w:val="none" w:sz="0" w:space="0" w:color="auto"/>
                    <w:bottom w:val="none" w:sz="0" w:space="0" w:color="auto"/>
                    <w:right w:val="none" w:sz="0" w:space="0" w:color="auto"/>
                  </w:divBdr>
                  <w:divsChild>
                    <w:div w:id="471872787">
                      <w:marLeft w:val="0"/>
                      <w:marRight w:val="0"/>
                      <w:marTop w:val="0"/>
                      <w:marBottom w:val="0"/>
                      <w:divBdr>
                        <w:top w:val="none" w:sz="0" w:space="0" w:color="auto"/>
                        <w:left w:val="none" w:sz="0" w:space="0" w:color="auto"/>
                        <w:bottom w:val="none" w:sz="0" w:space="0" w:color="auto"/>
                        <w:right w:val="none" w:sz="0" w:space="0" w:color="auto"/>
                      </w:divBdr>
                    </w:div>
                  </w:divsChild>
                </w:div>
                <w:div w:id="706760861">
                  <w:marLeft w:val="0"/>
                  <w:marRight w:val="0"/>
                  <w:marTop w:val="0"/>
                  <w:marBottom w:val="0"/>
                  <w:divBdr>
                    <w:top w:val="none" w:sz="0" w:space="0" w:color="auto"/>
                    <w:left w:val="none" w:sz="0" w:space="0" w:color="auto"/>
                    <w:bottom w:val="none" w:sz="0" w:space="0" w:color="auto"/>
                    <w:right w:val="none" w:sz="0" w:space="0" w:color="auto"/>
                  </w:divBdr>
                  <w:divsChild>
                    <w:div w:id="14696800">
                      <w:marLeft w:val="0"/>
                      <w:marRight w:val="0"/>
                      <w:marTop w:val="0"/>
                      <w:marBottom w:val="0"/>
                      <w:divBdr>
                        <w:top w:val="none" w:sz="0" w:space="0" w:color="auto"/>
                        <w:left w:val="none" w:sz="0" w:space="0" w:color="auto"/>
                        <w:bottom w:val="none" w:sz="0" w:space="0" w:color="auto"/>
                        <w:right w:val="none" w:sz="0" w:space="0" w:color="auto"/>
                      </w:divBdr>
                    </w:div>
                  </w:divsChild>
                </w:div>
                <w:div w:id="707922185">
                  <w:marLeft w:val="0"/>
                  <w:marRight w:val="0"/>
                  <w:marTop w:val="0"/>
                  <w:marBottom w:val="0"/>
                  <w:divBdr>
                    <w:top w:val="none" w:sz="0" w:space="0" w:color="auto"/>
                    <w:left w:val="none" w:sz="0" w:space="0" w:color="auto"/>
                    <w:bottom w:val="none" w:sz="0" w:space="0" w:color="auto"/>
                    <w:right w:val="none" w:sz="0" w:space="0" w:color="auto"/>
                  </w:divBdr>
                  <w:divsChild>
                    <w:div w:id="1340963306">
                      <w:marLeft w:val="0"/>
                      <w:marRight w:val="0"/>
                      <w:marTop w:val="0"/>
                      <w:marBottom w:val="0"/>
                      <w:divBdr>
                        <w:top w:val="none" w:sz="0" w:space="0" w:color="auto"/>
                        <w:left w:val="none" w:sz="0" w:space="0" w:color="auto"/>
                        <w:bottom w:val="none" w:sz="0" w:space="0" w:color="auto"/>
                        <w:right w:val="none" w:sz="0" w:space="0" w:color="auto"/>
                      </w:divBdr>
                    </w:div>
                  </w:divsChild>
                </w:div>
                <w:div w:id="719330308">
                  <w:marLeft w:val="0"/>
                  <w:marRight w:val="0"/>
                  <w:marTop w:val="0"/>
                  <w:marBottom w:val="0"/>
                  <w:divBdr>
                    <w:top w:val="none" w:sz="0" w:space="0" w:color="auto"/>
                    <w:left w:val="none" w:sz="0" w:space="0" w:color="auto"/>
                    <w:bottom w:val="none" w:sz="0" w:space="0" w:color="auto"/>
                    <w:right w:val="none" w:sz="0" w:space="0" w:color="auto"/>
                  </w:divBdr>
                  <w:divsChild>
                    <w:div w:id="142627827">
                      <w:marLeft w:val="0"/>
                      <w:marRight w:val="0"/>
                      <w:marTop w:val="0"/>
                      <w:marBottom w:val="0"/>
                      <w:divBdr>
                        <w:top w:val="none" w:sz="0" w:space="0" w:color="auto"/>
                        <w:left w:val="none" w:sz="0" w:space="0" w:color="auto"/>
                        <w:bottom w:val="none" w:sz="0" w:space="0" w:color="auto"/>
                        <w:right w:val="none" w:sz="0" w:space="0" w:color="auto"/>
                      </w:divBdr>
                    </w:div>
                  </w:divsChild>
                </w:div>
                <w:div w:id="736901787">
                  <w:marLeft w:val="0"/>
                  <w:marRight w:val="0"/>
                  <w:marTop w:val="0"/>
                  <w:marBottom w:val="0"/>
                  <w:divBdr>
                    <w:top w:val="none" w:sz="0" w:space="0" w:color="auto"/>
                    <w:left w:val="none" w:sz="0" w:space="0" w:color="auto"/>
                    <w:bottom w:val="none" w:sz="0" w:space="0" w:color="auto"/>
                    <w:right w:val="none" w:sz="0" w:space="0" w:color="auto"/>
                  </w:divBdr>
                  <w:divsChild>
                    <w:div w:id="450395046">
                      <w:marLeft w:val="0"/>
                      <w:marRight w:val="0"/>
                      <w:marTop w:val="0"/>
                      <w:marBottom w:val="0"/>
                      <w:divBdr>
                        <w:top w:val="none" w:sz="0" w:space="0" w:color="auto"/>
                        <w:left w:val="none" w:sz="0" w:space="0" w:color="auto"/>
                        <w:bottom w:val="none" w:sz="0" w:space="0" w:color="auto"/>
                        <w:right w:val="none" w:sz="0" w:space="0" w:color="auto"/>
                      </w:divBdr>
                    </w:div>
                  </w:divsChild>
                </w:div>
                <w:div w:id="749502312">
                  <w:marLeft w:val="0"/>
                  <w:marRight w:val="0"/>
                  <w:marTop w:val="0"/>
                  <w:marBottom w:val="0"/>
                  <w:divBdr>
                    <w:top w:val="none" w:sz="0" w:space="0" w:color="auto"/>
                    <w:left w:val="none" w:sz="0" w:space="0" w:color="auto"/>
                    <w:bottom w:val="none" w:sz="0" w:space="0" w:color="auto"/>
                    <w:right w:val="none" w:sz="0" w:space="0" w:color="auto"/>
                  </w:divBdr>
                  <w:divsChild>
                    <w:div w:id="530656303">
                      <w:marLeft w:val="0"/>
                      <w:marRight w:val="0"/>
                      <w:marTop w:val="0"/>
                      <w:marBottom w:val="0"/>
                      <w:divBdr>
                        <w:top w:val="none" w:sz="0" w:space="0" w:color="auto"/>
                        <w:left w:val="none" w:sz="0" w:space="0" w:color="auto"/>
                        <w:bottom w:val="none" w:sz="0" w:space="0" w:color="auto"/>
                        <w:right w:val="none" w:sz="0" w:space="0" w:color="auto"/>
                      </w:divBdr>
                    </w:div>
                  </w:divsChild>
                </w:div>
                <w:div w:id="757484103">
                  <w:marLeft w:val="0"/>
                  <w:marRight w:val="0"/>
                  <w:marTop w:val="0"/>
                  <w:marBottom w:val="0"/>
                  <w:divBdr>
                    <w:top w:val="none" w:sz="0" w:space="0" w:color="auto"/>
                    <w:left w:val="none" w:sz="0" w:space="0" w:color="auto"/>
                    <w:bottom w:val="none" w:sz="0" w:space="0" w:color="auto"/>
                    <w:right w:val="none" w:sz="0" w:space="0" w:color="auto"/>
                  </w:divBdr>
                  <w:divsChild>
                    <w:div w:id="689647700">
                      <w:marLeft w:val="0"/>
                      <w:marRight w:val="0"/>
                      <w:marTop w:val="0"/>
                      <w:marBottom w:val="0"/>
                      <w:divBdr>
                        <w:top w:val="none" w:sz="0" w:space="0" w:color="auto"/>
                        <w:left w:val="none" w:sz="0" w:space="0" w:color="auto"/>
                        <w:bottom w:val="none" w:sz="0" w:space="0" w:color="auto"/>
                        <w:right w:val="none" w:sz="0" w:space="0" w:color="auto"/>
                      </w:divBdr>
                    </w:div>
                  </w:divsChild>
                </w:div>
                <w:div w:id="759452503">
                  <w:marLeft w:val="0"/>
                  <w:marRight w:val="0"/>
                  <w:marTop w:val="0"/>
                  <w:marBottom w:val="0"/>
                  <w:divBdr>
                    <w:top w:val="none" w:sz="0" w:space="0" w:color="auto"/>
                    <w:left w:val="none" w:sz="0" w:space="0" w:color="auto"/>
                    <w:bottom w:val="none" w:sz="0" w:space="0" w:color="auto"/>
                    <w:right w:val="none" w:sz="0" w:space="0" w:color="auto"/>
                  </w:divBdr>
                  <w:divsChild>
                    <w:div w:id="1570575336">
                      <w:marLeft w:val="0"/>
                      <w:marRight w:val="0"/>
                      <w:marTop w:val="0"/>
                      <w:marBottom w:val="0"/>
                      <w:divBdr>
                        <w:top w:val="none" w:sz="0" w:space="0" w:color="auto"/>
                        <w:left w:val="none" w:sz="0" w:space="0" w:color="auto"/>
                        <w:bottom w:val="none" w:sz="0" w:space="0" w:color="auto"/>
                        <w:right w:val="none" w:sz="0" w:space="0" w:color="auto"/>
                      </w:divBdr>
                    </w:div>
                  </w:divsChild>
                </w:div>
                <w:div w:id="774862355">
                  <w:marLeft w:val="0"/>
                  <w:marRight w:val="0"/>
                  <w:marTop w:val="0"/>
                  <w:marBottom w:val="0"/>
                  <w:divBdr>
                    <w:top w:val="none" w:sz="0" w:space="0" w:color="auto"/>
                    <w:left w:val="none" w:sz="0" w:space="0" w:color="auto"/>
                    <w:bottom w:val="none" w:sz="0" w:space="0" w:color="auto"/>
                    <w:right w:val="none" w:sz="0" w:space="0" w:color="auto"/>
                  </w:divBdr>
                  <w:divsChild>
                    <w:div w:id="1675643260">
                      <w:marLeft w:val="0"/>
                      <w:marRight w:val="0"/>
                      <w:marTop w:val="0"/>
                      <w:marBottom w:val="0"/>
                      <w:divBdr>
                        <w:top w:val="none" w:sz="0" w:space="0" w:color="auto"/>
                        <w:left w:val="none" w:sz="0" w:space="0" w:color="auto"/>
                        <w:bottom w:val="none" w:sz="0" w:space="0" w:color="auto"/>
                        <w:right w:val="none" w:sz="0" w:space="0" w:color="auto"/>
                      </w:divBdr>
                    </w:div>
                  </w:divsChild>
                </w:div>
                <w:div w:id="786657246">
                  <w:marLeft w:val="0"/>
                  <w:marRight w:val="0"/>
                  <w:marTop w:val="0"/>
                  <w:marBottom w:val="0"/>
                  <w:divBdr>
                    <w:top w:val="none" w:sz="0" w:space="0" w:color="auto"/>
                    <w:left w:val="none" w:sz="0" w:space="0" w:color="auto"/>
                    <w:bottom w:val="none" w:sz="0" w:space="0" w:color="auto"/>
                    <w:right w:val="none" w:sz="0" w:space="0" w:color="auto"/>
                  </w:divBdr>
                  <w:divsChild>
                    <w:div w:id="707679626">
                      <w:marLeft w:val="0"/>
                      <w:marRight w:val="0"/>
                      <w:marTop w:val="0"/>
                      <w:marBottom w:val="0"/>
                      <w:divBdr>
                        <w:top w:val="none" w:sz="0" w:space="0" w:color="auto"/>
                        <w:left w:val="none" w:sz="0" w:space="0" w:color="auto"/>
                        <w:bottom w:val="none" w:sz="0" w:space="0" w:color="auto"/>
                        <w:right w:val="none" w:sz="0" w:space="0" w:color="auto"/>
                      </w:divBdr>
                    </w:div>
                  </w:divsChild>
                </w:div>
                <w:div w:id="788859166">
                  <w:marLeft w:val="0"/>
                  <w:marRight w:val="0"/>
                  <w:marTop w:val="0"/>
                  <w:marBottom w:val="0"/>
                  <w:divBdr>
                    <w:top w:val="none" w:sz="0" w:space="0" w:color="auto"/>
                    <w:left w:val="none" w:sz="0" w:space="0" w:color="auto"/>
                    <w:bottom w:val="none" w:sz="0" w:space="0" w:color="auto"/>
                    <w:right w:val="none" w:sz="0" w:space="0" w:color="auto"/>
                  </w:divBdr>
                  <w:divsChild>
                    <w:div w:id="1039017187">
                      <w:marLeft w:val="0"/>
                      <w:marRight w:val="0"/>
                      <w:marTop w:val="0"/>
                      <w:marBottom w:val="0"/>
                      <w:divBdr>
                        <w:top w:val="none" w:sz="0" w:space="0" w:color="auto"/>
                        <w:left w:val="none" w:sz="0" w:space="0" w:color="auto"/>
                        <w:bottom w:val="none" w:sz="0" w:space="0" w:color="auto"/>
                        <w:right w:val="none" w:sz="0" w:space="0" w:color="auto"/>
                      </w:divBdr>
                    </w:div>
                  </w:divsChild>
                </w:div>
                <w:div w:id="790589848">
                  <w:marLeft w:val="0"/>
                  <w:marRight w:val="0"/>
                  <w:marTop w:val="0"/>
                  <w:marBottom w:val="0"/>
                  <w:divBdr>
                    <w:top w:val="none" w:sz="0" w:space="0" w:color="auto"/>
                    <w:left w:val="none" w:sz="0" w:space="0" w:color="auto"/>
                    <w:bottom w:val="none" w:sz="0" w:space="0" w:color="auto"/>
                    <w:right w:val="none" w:sz="0" w:space="0" w:color="auto"/>
                  </w:divBdr>
                  <w:divsChild>
                    <w:div w:id="1565213135">
                      <w:marLeft w:val="0"/>
                      <w:marRight w:val="0"/>
                      <w:marTop w:val="0"/>
                      <w:marBottom w:val="0"/>
                      <w:divBdr>
                        <w:top w:val="none" w:sz="0" w:space="0" w:color="auto"/>
                        <w:left w:val="none" w:sz="0" w:space="0" w:color="auto"/>
                        <w:bottom w:val="none" w:sz="0" w:space="0" w:color="auto"/>
                        <w:right w:val="none" w:sz="0" w:space="0" w:color="auto"/>
                      </w:divBdr>
                    </w:div>
                  </w:divsChild>
                </w:div>
                <w:div w:id="796728546">
                  <w:marLeft w:val="0"/>
                  <w:marRight w:val="0"/>
                  <w:marTop w:val="0"/>
                  <w:marBottom w:val="0"/>
                  <w:divBdr>
                    <w:top w:val="none" w:sz="0" w:space="0" w:color="auto"/>
                    <w:left w:val="none" w:sz="0" w:space="0" w:color="auto"/>
                    <w:bottom w:val="none" w:sz="0" w:space="0" w:color="auto"/>
                    <w:right w:val="none" w:sz="0" w:space="0" w:color="auto"/>
                  </w:divBdr>
                  <w:divsChild>
                    <w:div w:id="2039237198">
                      <w:marLeft w:val="0"/>
                      <w:marRight w:val="0"/>
                      <w:marTop w:val="0"/>
                      <w:marBottom w:val="0"/>
                      <w:divBdr>
                        <w:top w:val="none" w:sz="0" w:space="0" w:color="auto"/>
                        <w:left w:val="none" w:sz="0" w:space="0" w:color="auto"/>
                        <w:bottom w:val="none" w:sz="0" w:space="0" w:color="auto"/>
                        <w:right w:val="none" w:sz="0" w:space="0" w:color="auto"/>
                      </w:divBdr>
                    </w:div>
                  </w:divsChild>
                </w:div>
                <w:div w:id="801966191">
                  <w:marLeft w:val="0"/>
                  <w:marRight w:val="0"/>
                  <w:marTop w:val="0"/>
                  <w:marBottom w:val="0"/>
                  <w:divBdr>
                    <w:top w:val="none" w:sz="0" w:space="0" w:color="auto"/>
                    <w:left w:val="none" w:sz="0" w:space="0" w:color="auto"/>
                    <w:bottom w:val="none" w:sz="0" w:space="0" w:color="auto"/>
                    <w:right w:val="none" w:sz="0" w:space="0" w:color="auto"/>
                  </w:divBdr>
                  <w:divsChild>
                    <w:div w:id="1383097729">
                      <w:marLeft w:val="0"/>
                      <w:marRight w:val="0"/>
                      <w:marTop w:val="0"/>
                      <w:marBottom w:val="0"/>
                      <w:divBdr>
                        <w:top w:val="none" w:sz="0" w:space="0" w:color="auto"/>
                        <w:left w:val="none" w:sz="0" w:space="0" w:color="auto"/>
                        <w:bottom w:val="none" w:sz="0" w:space="0" w:color="auto"/>
                        <w:right w:val="none" w:sz="0" w:space="0" w:color="auto"/>
                      </w:divBdr>
                    </w:div>
                  </w:divsChild>
                </w:div>
                <w:div w:id="807868355">
                  <w:marLeft w:val="0"/>
                  <w:marRight w:val="0"/>
                  <w:marTop w:val="0"/>
                  <w:marBottom w:val="0"/>
                  <w:divBdr>
                    <w:top w:val="none" w:sz="0" w:space="0" w:color="auto"/>
                    <w:left w:val="none" w:sz="0" w:space="0" w:color="auto"/>
                    <w:bottom w:val="none" w:sz="0" w:space="0" w:color="auto"/>
                    <w:right w:val="none" w:sz="0" w:space="0" w:color="auto"/>
                  </w:divBdr>
                  <w:divsChild>
                    <w:div w:id="806317048">
                      <w:marLeft w:val="0"/>
                      <w:marRight w:val="0"/>
                      <w:marTop w:val="0"/>
                      <w:marBottom w:val="0"/>
                      <w:divBdr>
                        <w:top w:val="none" w:sz="0" w:space="0" w:color="auto"/>
                        <w:left w:val="none" w:sz="0" w:space="0" w:color="auto"/>
                        <w:bottom w:val="none" w:sz="0" w:space="0" w:color="auto"/>
                        <w:right w:val="none" w:sz="0" w:space="0" w:color="auto"/>
                      </w:divBdr>
                    </w:div>
                  </w:divsChild>
                </w:div>
                <w:div w:id="815414238">
                  <w:marLeft w:val="0"/>
                  <w:marRight w:val="0"/>
                  <w:marTop w:val="0"/>
                  <w:marBottom w:val="0"/>
                  <w:divBdr>
                    <w:top w:val="none" w:sz="0" w:space="0" w:color="auto"/>
                    <w:left w:val="none" w:sz="0" w:space="0" w:color="auto"/>
                    <w:bottom w:val="none" w:sz="0" w:space="0" w:color="auto"/>
                    <w:right w:val="none" w:sz="0" w:space="0" w:color="auto"/>
                  </w:divBdr>
                  <w:divsChild>
                    <w:div w:id="115487398">
                      <w:marLeft w:val="0"/>
                      <w:marRight w:val="0"/>
                      <w:marTop w:val="0"/>
                      <w:marBottom w:val="0"/>
                      <w:divBdr>
                        <w:top w:val="none" w:sz="0" w:space="0" w:color="auto"/>
                        <w:left w:val="none" w:sz="0" w:space="0" w:color="auto"/>
                        <w:bottom w:val="none" w:sz="0" w:space="0" w:color="auto"/>
                        <w:right w:val="none" w:sz="0" w:space="0" w:color="auto"/>
                      </w:divBdr>
                    </w:div>
                  </w:divsChild>
                </w:div>
                <w:div w:id="819999234">
                  <w:marLeft w:val="0"/>
                  <w:marRight w:val="0"/>
                  <w:marTop w:val="0"/>
                  <w:marBottom w:val="0"/>
                  <w:divBdr>
                    <w:top w:val="none" w:sz="0" w:space="0" w:color="auto"/>
                    <w:left w:val="none" w:sz="0" w:space="0" w:color="auto"/>
                    <w:bottom w:val="none" w:sz="0" w:space="0" w:color="auto"/>
                    <w:right w:val="none" w:sz="0" w:space="0" w:color="auto"/>
                  </w:divBdr>
                  <w:divsChild>
                    <w:div w:id="809446935">
                      <w:marLeft w:val="0"/>
                      <w:marRight w:val="0"/>
                      <w:marTop w:val="0"/>
                      <w:marBottom w:val="0"/>
                      <w:divBdr>
                        <w:top w:val="none" w:sz="0" w:space="0" w:color="auto"/>
                        <w:left w:val="none" w:sz="0" w:space="0" w:color="auto"/>
                        <w:bottom w:val="none" w:sz="0" w:space="0" w:color="auto"/>
                        <w:right w:val="none" w:sz="0" w:space="0" w:color="auto"/>
                      </w:divBdr>
                    </w:div>
                  </w:divsChild>
                </w:div>
                <w:div w:id="830410467">
                  <w:marLeft w:val="0"/>
                  <w:marRight w:val="0"/>
                  <w:marTop w:val="0"/>
                  <w:marBottom w:val="0"/>
                  <w:divBdr>
                    <w:top w:val="none" w:sz="0" w:space="0" w:color="auto"/>
                    <w:left w:val="none" w:sz="0" w:space="0" w:color="auto"/>
                    <w:bottom w:val="none" w:sz="0" w:space="0" w:color="auto"/>
                    <w:right w:val="none" w:sz="0" w:space="0" w:color="auto"/>
                  </w:divBdr>
                  <w:divsChild>
                    <w:div w:id="971060642">
                      <w:marLeft w:val="0"/>
                      <w:marRight w:val="0"/>
                      <w:marTop w:val="0"/>
                      <w:marBottom w:val="0"/>
                      <w:divBdr>
                        <w:top w:val="none" w:sz="0" w:space="0" w:color="auto"/>
                        <w:left w:val="none" w:sz="0" w:space="0" w:color="auto"/>
                        <w:bottom w:val="none" w:sz="0" w:space="0" w:color="auto"/>
                        <w:right w:val="none" w:sz="0" w:space="0" w:color="auto"/>
                      </w:divBdr>
                    </w:div>
                  </w:divsChild>
                </w:div>
                <w:div w:id="839467339">
                  <w:marLeft w:val="0"/>
                  <w:marRight w:val="0"/>
                  <w:marTop w:val="0"/>
                  <w:marBottom w:val="0"/>
                  <w:divBdr>
                    <w:top w:val="none" w:sz="0" w:space="0" w:color="auto"/>
                    <w:left w:val="none" w:sz="0" w:space="0" w:color="auto"/>
                    <w:bottom w:val="none" w:sz="0" w:space="0" w:color="auto"/>
                    <w:right w:val="none" w:sz="0" w:space="0" w:color="auto"/>
                  </w:divBdr>
                  <w:divsChild>
                    <w:div w:id="903222608">
                      <w:marLeft w:val="0"/>
                      <w:marRight w:val="0"/>
                      <w:marTop w:val="0"/>
                      <w:marBottom w:val="0"/>
                      <w:divBdr>
                        <w:top w:val="none" w:sz="0" w:space="0" w:color="auto"/>
                        <w:left w:val="none" w:sz="0" w:space="0" w:color="auto"/>
                        <w:bottom w:val="none" w:sz="0" w:space="0" w:color="auto"/>
                        <w:right w:val="none" w:sz="0" w:space="0" w:color="auto"/>
                      </w:divBdr>
                    </w:div>
                  </w:divsChild>
                </w:div>
                <w:div w:id="847867878">
                  <w:marLeft w:val="0"/>
                  <w:marRight w:val="0"/>
                  <w:marTop w:val="0"/>
                  <w:marBottom w:val="0"/>
                  <w:divBdr>
                    <w:top w:val="none" w:sz="0" w:space="0" w:color="auto"/>
                    <w:left w:val="none" w:sz="0" w:space="0" w:color="auto"/>
                    <w:bottom w:val="none" w:sz="0" w:space="0" w:color="auto"/>
                    <w:right w:val="none" w:sz="0" w:space="0" w:color="auto"/>
                  </w:divBdr>
                  <w:divsChild>
                    <w:div w:id="1435443690">
                      <w:marLeft w:val="0"/>
                      <w:marRight w:val="0"/>
                      <w:marTop w:val="0"/>
                      <w:marBottom w:val="0"/>
                      <w:divBdr>
                        <w:top w:val="none" w:sz="0" w:space="0" w:color="auto"/>
                        <w:left w:val="none" w:sz="0" w:space="0" w:color="auto"/>
                        <w:bottom w:val="none" w:sz="0" w:space="0" w:color="auto"/>
                        <w:right w:val="none" w:sz="0" w:space="0" w:color="auto"/>
                      </w:divBdr>
                    </w:div>
                  </w:divsChild>
                </w:div>
                <w:div w:id="907494348">
                  <w:marLeft w:val="0"/>
                  <w:marRight w:val="0"/>
                  <w:marTop w:val="0"/>
                  <w:marBottom w:val="0"/>
                  <w:divBdr>
                    <w:top w:val="none" w:sz="0" w:space="0" w:color="auto"/>
                    <w:left w:val="none" w:sz="0" w:space="0" w:color="auto"/>
                    <w:bottom w:val="none" w:sz="0" w:space="0" w:color="auto"/>
                    <w:right w:val="none" w:sz="0" w:space="0" w:color="auto"/>
                  </w:divBdr>
                  <w:divsChild>
                    <w:div w:id="372770354">
                      <w:marLeft w:val="0"/>
                      <w:marRight w:val="0"/>
                      <w:marTop w:val="0"/>
                      <w:marBottom w:val="0"/>
                      <w:divBdr>
                        <w:top w:val="none" w:sz="0" w:space="0" w:color="auto"/>
                        <w:left w:val="none" w:sz="0" w:space="0" w:color="auto"/>
                        <w:bottom w:val="none" w:sz="0" w:space="0" w:color="auto"/>
                        <w:right w:val="none" w:sz="0" w:space="0" w:color="auto"/>
                      </w:divBdr>
                    </w:div>
                  </w:divsChild>
                </w:div>
                <w:div w:id="912080971">
                  <w:marLeft w:val="0"/>
                  <w:marRight w:val="0"/>
                  <w:marTop w:val="0"/>
                  <w:marBottom w:val="0"/>
                  <w:divBdr>
                    <w:top w:val="none" w:sz="0" w:space="0" w:color="auto"/>
                    <w:left w:val="none" w:sz="0" w:space="0" w:color="auto"/>
                    <w:bottom w:val="none" w:sz="0" w:space="0" w:color="auto"/>
                    <w:right w:val="none" w:sz="0" w:space="0" w:color="auto"/>
                  </w:divBdr>
                  <w:divsChild>
                    <w:div w:id="1841433442">
                      <w:marLeft w:val="0"/>
                      <w:marRight w:val="0"/>
                      <w:marTop w:val="0"/>
                      <w:marBottom w:val="0"/>
                      <w:divBdr>
                        <w:top w:val="none" w:sz="0" w:space="0" w:color="auto"/>
                        <w:left w:val="none" w:sz="0" w:space="0" w:color="auto"/>
                        <w:bottom w:val="none" w:sz="0" w:space="0" w:color="auto"/>
                        <w:right w:val="none" w:sz="0" w:space="0" w:color="auto"/>
                      </w:divBdr>
                    </w:div>
                  </w:divsChild>
                </w:div>
                <w:div w:id="919213147">
                  <w:marLeft w:val="0"/>
                  <w:marRight w:val="0"/>
                  <w:marTop w:val="0"/>
                  <w:marBottom w:val="0"/>
                  <w:divBdr>
                    <w:top w:val="none" w:sz="0" w:space="0" w:color="auto"/>
                    <w:left w:val="none" w:sz="0" w:space="0" w:color="auto"/>
                    <w:bottom w:val="none" w:sz="0" w:space="0" w:color="auto"/>
                    <w:right w:val="none" w:sz="0" w:space="0" w:color="auto"/>
                  </w:divBdr>
                  <w:divsChild>
                    <w:div w:id="508105394">
                      <w:marLeft w:val="0"/>
                      <w:marRight w:val="0"/>
                      <w:marTop w:val="0"/>
                      <w:marBottom w:val="0"/>
                      <w:divBdr>
                        <w:top w:val="none" w:sz="0" w:space="0" w:color="auto"/>
                        <w:left w:val="none" w:sz="0" w:space="0" w:color="auto"/>
                        <w:bottom w:val="none" w:sz="0" w:space="0" w:color="auto"/>
                        <w:right w:val="none" w:sz="0" w:space="0" w:color="auto"/>
                      </w:divBdr>
                    </w:div>
                  </w:divsChild>
                </w:div>
                <w:div w:id="922183411">
                  <w:marLeft w:val="0"/>
                  <w:marRight w:val="0"/>
                  <w:marTop w:val="0"/>
                  <w:marBottom w:val="0"/>
                  <w:divBdr>
                    <w:top w:val="none" w:sz="0" w:space="0" w:color="auto"/>
                    <w:left w:val="none" w:sz="0" w:space="0" w:color="auto"/>
                    <w:bottom w:val="none" w:sz="0" w:space="0" w:color="auto"/>
                    <w:right w:val="none" w:sz="0" w:space="0" w:color="auto"/>
                  </w:divBdr>
                  <w:divsChild>
                    <w:div w:id="586379450">
                      <w:marLeft w:val="0"/>
                      <w:marRight w:val="0"/>
                      <w:marTop w:val="0"/>
                      <w:marBottom w:val="0"/>
                      <w:divBdr>
                        <w:top w:val="none" w:sz="0" w:space="0" w:color="auto"/>
                        <w:left w:val="none" w:sz="0" w:space="0" w:color="auto"/>
                        <w:bottom w:val="none" w:sz="0" w:space="0" w:color="auto"/>
                        <w:right w:val="none" w:sz="0" w:space="0" w:color="auto"/>
                      </w:divBdr>
                    </w:div>
                  </w:divsChild>
                </w:div>
                <w:div w:id="927233201">
                  <w:marLeft w:val="0"/>
                  <w:marRight w:val="0"/>
                  <w:marTop w:val="0"/>
                  <w:marBottom w:val="0"/>
                  <w:divBdr>
                    <w:top w:val="none" w:sz="0" w:space="0" w:color="auto"/>
                    <w:left w:val="none" w:sz="0" w:space="0" w:color="auto"/>
                    <w:bottom w:val="none" w:sz="0" w:space="0" w:color="auto"/>
                    <w:right w:val="none" w:sz="0" w:space="0" w:color="auto"/>
                  </w:divBdr>
                  <w:divsChild>
                    <w:div w:id="2064478908">
                      <w:marLeft w:val="0"/>
                      <w:marRight w:val="0"/>
                      <w:marTop w:val="0"/>
                      <w:marBottom w:val="0"/>
                      <w:divBdr>
                        <w:top w:val="none" w:sz="0" w:space="0" w:color="auto"/>
                        <w:left w:val="none" w:sz="0" w:space="0" w:color="auto"/>
                        <w:bottom w:val="none" w:sz="0" w:space="0" w:color="auto"/>
                        <w:right w:val="none" w:sz="0" w:space="0" w:color="auto"/>
                      </w:divBdr>
                    </w:div>
                  </w:divsChild>
                </w:div>
                <w:div w:id="928929201">
                  <w:marLeft w:val="0"/>
                  <w:marRight w:val="0"/>
                  <w:marTop w:val="0"/>
                  <w:marBottom w:val="0"/>
                  <w:divBdr>
                    <w:top w:val="none" w:sz="0" w:space="0" w:color="auto"/>
                    <w:left w:val="none" w:sz="0" w:space="0" w:color="auto"/>
                    <w:bottom w:val="none" w:sz="0" w:space="0" w:color="auto"/>
                    <w:right w:val="none" w:sz="0" w:space="0" w:color="auto"/>
                  </w:divBdr>
                  <w:divsChild>
                    <w:div w:id="1518469805">
                      <w:marLeft w:val="0"/>
                      <w:marRight w:val="0"/>
                      <w:marTop w:val="0"/>
                      <w:marBottom w:val="0"/>
                      <w:divBdr>
                        <w:top w:val="none" w:sz="0" w:space="0" w:color="auto"/>
                        <w:left w:val="none" w:sz="0" w:space="0" w:color="auto"/>
                        <w:bottom w:val="none" w:sz="0" w:space="0" w:color="auto"/>
                        <w:right w:val="none" w:sz="0" w:space="0" w:color="auto"/>
                      </w:divBdr>
                    </w:div>
                  </w:divsChild>
                </w:div>
                <w:div w:id="953514172">
                  <w:marLeft w:val="0"/>
                  <w:marRight w:val="0"/>
                  <w:marTop w:val="0"/>
                  <w:marBottom w:val="0"/>
                  <w:divBdr>
                    <w:top w:val="none" w:sz="0" w:space="0" w:color="auto"/>
                    <w:left w:val="none" w:sz="0" w:space="0" w:color="auto"/>
                    <w:bottom w:val="none" w:sz="0" w:space="0" w:color="auto"/>
                    <w:right w:val="none" w:sz="0" w:space="0" w:color="auto"/>
                  </w:divBdr>
                  <w:divsChild>
                    <w:div w:id="927732125">
                      <w:marLeft w:val="0"/>
                      <w:marRight w:val="0"/>
                      <w:marTop w:val="0"/>
                      <w:marBottom w:val="0"/>
                      <w:divBdr>
                        <w:top w:val="none" w:sz="0" w:space="0" w:color="auto"/>
                        <w:left w:val="none" w:sz="0" w:space="0" w:color="auto"/>
                        <w:bottom w:val="none" w:sz="0" w:space="0" w:color="auto"/>
                        <w:right w:val="none" w:sz="0" w:space="0" w:color="auto"/>
                      </w:divBdr>
                    </w:div>
                  </w:divsChild>
                </w:div>
                <w:div w:id="960187052">
                  <w:marLeft w:val="0"/>
                  <w:marRight w:val="0"/>
                  <w:marTop w:val="0"/>
                  <w:marBottom w:val="0"/>
                  <w:divBdr>
                    <w:top w:val="none" w:sz="0" w:space="0" w:color="auto"/>
                    <w:left w:val="none" w:sz="0" w:space="0" w:color="auto"/>
                    <w:bottom w:val="none" w:sz="0" w:space="0" w:color="auto"/>
                    <w:right w:val="none" w:sz="0" w:space="0" w:color="auto"/>
                  </w:divBdr>
                  <w:divsChild>
                    <w:div w:id="1442994784">
                      <w:marLeft w:val="0"/>
                      <w:marRight w:val="0"/>
                      <w:marTop w:val="0"/>
                      <w:marBottom w:val="0"/>
                      <w:divBdr>
                        <w:top w:val="none" w:sz="0" w:space="0" w:color="auto"/>
                        <w:left w:val="none" w:sz="0" w:space="0" w:color="auto"/>
                        <w:bottom w:val="none" w:sz="0" w:space="0" w:color="auto"/>
                        <w:right w:val="none" w:sz="0" w:space="0" w:color="auto"/>
                      </w:divBdr>
                    </w:div>
                  </w:divsChild>
                </w:div>
                <w:div w:id="962614537">
                  <w:marLeft w:val="0"/>
                  <w:marRight w:val="0"/>
                  <w:marTop w:val="0"/>
                  <w:marBottom w:val="0"/>
                  <w:divBdr>
                    <w:top w:val="none" w:sz="0" w:space="0" w:color="auto"/>
                    <w:left w:val="none" w:sz="0" w:space="0" w:color="auto"/>
                    <w:bottom w:val="none" w:sz="0" w:space="0" w:color="auto"/>
                    <w:right w:val="none" w:sz="0" w:space="0" w:color="auto"/>
                  </w:divBdr>
                  <w:divsChild>
                    <w:div w:id="1142045778">
                      <w:marLeft w:val="0"/>
                      <w:marRight w:val="0"/>
                      <w:marTop w:val="0"/>
                      <w:marBottom w:val="0"/>
                      <w:divBdr>
                        <w:top w:val="none" w:sz="0" w:space="0" w:color="auto"/>
                        <w:left w:val="none" w:sz="0" w:space="0" w:color="auto"/>
                        <w:bottom w:val="none" w:sz="0" w:space="0" w:color="auto"/>
                        <w:right w:val="none" w:sz="0" w:space="0" w:color="auto"/>
                      </w:divBdr>
                    </w:div>
                  </w:divsChild>
                </w:div>
                <w:div w:id="976225828">
                  <w:marLeft w:val="0"/>
                  <w:marRight w:val="0"/>
                  <w:marTop w:val="0"/>
                  <w:marBottom w:val="0"/>
                  <w:divBdr>
                    <w:top w:val="none" w:sz="0" w:space="0" w:color="auto"/>
                    <w:left w:val="none" w:sz="0" w:space="0" w:color="auto"/>
                    <w:bottom w:val="none" w:sz="0" w:space="0" w:color="auto"/>
                    <w:right w:val="none" w:sz="0" w:space="0" w:color="auto"/>
                  </w:divBdr>
                  <w:divsChild>
                    <w:div w:id="946035880">
                      <w:marLeft w:val="0"/>
                      <w:marRight w:val="0"/>
                      <w:marTop w:val="0"/>
                      <w:marBottom w:val="0"/>
                      <w:divBdr>
                        <w:top w:val="none" w:sz="0" w:space="0" w:color="auto"/>
                        <w:left w:val="none" w:sz="0" w:space="0" w:color="auto"/>
                        <w:bottom w:val="none" w:sz="0" w:space="0" w:color="auto"/>
                        <w:right w:val="none" w:sz="0" w:space="0" w:color="auto"/>
                      </w:divBdr>
                    </w:div>
                  </w:divsChild>
                </w:div>
                <w:div w:id="982546545">
                  <w:marLeft w:val="0"/>
                  <w:marRight w:val="0"/>
                  <w:marTop w:val="0"/>
                  <w:marBottom w:val="0"/>
                  <w:divBdr>
                    <w:top w:val="none" w:sz="0" w:space="0" w:color="auto"/>
                    <w:left w:val="none" w:sz="0" w:space="0" w:color="auto"/>
                    <w:bottom w:val="none" w:sz="0" w:space="0" w:color="auto"/>
                    <w:right w:val="none" w:sz="0" w:space="0" w:color="auto"/>
                  </w:divBdr>
                  <w:divsChild>
                    <w:div w:id="1733776498">
                      <w:marLeft w:val="0"/>
                      <w:marRight w:val="0"/>
                      <w:marTop w:val="0"/>
                      <w:marBottom w:val="0"/>
                      <w:divBdr>
                        <w:top w:val="none" w:sz="0" w:space="0" w:color="auto"/>
                        <w:left w:val="none" w:sz="0" w:space="0" w:color="auto"/>
                        <w:bottom w:val="none" w:sz="0" w:space="0" w:color="auto"/>
                        <w:right w:val="none" w:sz="0" w:space="0" w:color="auto"/>
                      </w:divBdr>
                    </w:div>
                  </w:divsChild>
                </w:div>
                <w:div w:id="987708672">
                  <w:marLeft w:val="0"/>
                  <w:marRight w:val="0"/>
                  <w:marTop w:val="0"/>
                  <w:marBottom w:val="0"/>
                  <w:divBdr>
                    <w:top w:val="none" w:sz="0" w:space="0" w:color="auto"/>
                    <w:left w:val="none" w:sz="0" w:space="0" w:color="auto"/>
                    <w:bottom w:val="none" w:sz="0" w:space="0" w:color="auto"/>
                    <w:right w:val="none" w:sz="0" w:space="0" w:color="auto"/>
                  </w:divBdr>
                  <w:divsChild>
                    <w:div w:id="1643150399">
                      <w:marLeft w:val="0"/>
                      <w:marRight w:val="0"/>
                      <w:marTop w:val="0"/>
                      <w:marBottom w:val="0"/>
                      <w:divBdr>
                        <w:top w:val="none" w:sz="0" w:space="0" w:color="auto"/>
                        <w:left w:val="none" w:sz="0" w:space="0" w:color="auto"/>
                        <w:bottom w:val="none" w:sz="0" w:space="0" w:color="auto"/>
                        <w:right w:val="none" w:sz="0" w:space="0" w:color="auto"/>
                      </w:divBdr>
                    </w:div>
                  </w:divsChild>
                </w:div>
                <w:div w:id="994993966">
                  <w:marLeft w:val="0"/>
                  <w:marRight w:val="0"/>
                  <w:marTop w:val="0"/>
                  <w:marBottom w:val="0"/>
                  <w:divBdr>
                    <w:top w:val="none" w:sz="0" w:space="0" w:color="auto"/>
                    <w:left w:val="none" w:sz="0" w:space="0" w:color="auto"/>
                    <w:bottom w:val="none" w:sz="0" w:space="0" w:color="auto"/>
                    <w:right w:val="none" w:sz="0" w:space="0" w:color="auto"/>
                  </w:divBdr>
                  <w:divsChild>
                    <w:div w:id="766148385">
                      <w:marLeft w:val="0"/>
                      <w:marRight w:val="0"/>
                      <w:marTop w:val="0"/>
                      <w:marBottom w:val="0"/>
                      <w:divBdr>
                        <w:top w:val="none" w:sz="0" w:space="0" w:color="auto"/>
                        <w:left w:val="none" w:sz="0" w:space="0" w:color="auto"/>
                        <w:bottom w:val="none" w:sz="0" w:space="0" w:color="auto"/>
                        <w:right w:val="none" w:sz="0" w:space="0" w:color="auto"/>
                      </w:divBdr>
                    </w:div>
                  </w:divsChild>
                </w:div>
                <w:div w:id="1003893586">
                  <w:marLeft w:val="0"/>
                  <w:marRight w:val="0"/>
                  <w:marTop w:val="0"/>
                  <w:marBottom w:val="0"/>
                  <w:divBdr>
                    <w:top w:val="none" w:sz="0" w:space="0" w:color="auto"/>
                    <w:left w:val="none" w:sz="0" w:space="0" w:color="auto"/>
                    <w:bottom w:val="none" w:sz="0" w:space="0" w:color="auto"/>
                    <w:right w:val="none" w:sz="0" w:space="0" w:color="auto"/>
                  </w:divBdr>
                  <w:divsChild>
                    <w:div w:id="25912055">
                      <w:marLeft w:val="0"/>
                      <w:marRight w:val="0"/>
                      <w:marTop w:val="0"/>
                      <w:marBottom w:val="0"/>
                      <w:divBdr>
                        <w:top w:val="none" w:sz="0" w:space="0" w:color="auto"/>
                        <w:left w:val="none" w:sz="0" w:space="0" w:color="auto"/>
                        <w:bottom w:val="none" w:sz="0" w:space="0" w:color="auto"/>
                        <w:right w:val="none" w:sz="0" w:space="0" w:color="auto"/>
                      </w:divBdr>
                    </w:div>
                  </w:divsChild>
                </w:div>
                <w:div w:id="1005086529">
                  <w:marLeft w:val="0"/>
                  <w:marRight w:val="0"/>
                  <w:marTop w:val="0"/>
                  <w:marBottom w:val="0"/>
                  <w:divBdr>
                    <w:top w:val="none" w:sz="0" w:space="0" w:color="auto"/>
                    <w:left w:val="none" w:sz="0" w:space="0" w:color="auto"/>
                    <w:bottom w:val="none" w:sz="0" w:space="0" w:color="auto"/>
                    <w:right w:val="none" w:sz="0" w:space="0" w:color="auto"/>
                  </w:divBdr>
                  <w:divsChild>
                    <w:div w:id="146678071">
                      <w:marLeft w:val="0"/>
                      <w:marRight w:val="0"/>
                      <w:marTop w:val="0"/>
                      <w:marBottom w:val="0"/>
                      <w:divBdr>
                        <w:top w:val="none" w:sz="0" w:space="0" w:color="auto"/>
                        <w:left w:val="none" w:sz="0" w:space="0" w:color="auto"/>
                        <w:bottom w:val="none" w:sz="0" w:space="0" w:color="auto"/>
                        <w:right w:val="none" w:sz="0" w:space="0" w:color="auto"/>
                      </w:divBdr>
                    </w:div>
                  </w:divsChild>
                </w:div>
                <w:div w:id="1030304577">
                  <w:marLeft w:val="0"/>
                  <w:marRight w:val="0"/>
                  <w:marTop w:val="0"/>
                  <w:marBottom w:val="0"/>
                  <w:divBdr>
                    <w:top w:val="none" w:sz="0" w:space="0" w:color="auto"/>
                    <w:left w:val="none" w:sz="0" w:space="0" w:color="auto"/>
                    <w:bottom w:val="none" w:sz="0" w:space="0" w:color="auto"/>
                    <w:right w:val="none" w:sz="0" w:space="0" w:color="auto"/>
                  </w:divBdr>
                  <w:divsChild>
                    <w:div w:id="1274481483">
                      <w:marLeft w:val="0"/>
                      <w:marRight w:val="0"/>
                      <w:marTop w:val="0"/>
                      <w:marBottom w:val="0"/>
                      <w:divBdr>
                        <w:top w:val="none" w:sz="0" w:space="0" w:color="auto"/>
                        <w:left w:val="none" w:sz="0" w:space="0" w:color="auto"/>
                        <w:bottom w:val="none" w:sz="0" w:space="0" w:color="auto"/>
                        <w:right w:val="none" w:sz="0" w:space="0" w:color="auto"/>
                      </w:divBdr>
                    </w:div>
                  </w:divsChild>
                </w:div>
                <w:div w:id="1066026667">
                  <w:marLeft w:val="0"/>
                  <w:marRight w:val="0"/>
                  <w:marTop w:val="0"/>
                  <w:marBottom w:val="0"/>
                  <w:divBdr>
                    <w:top w:val="none" w:sz="0" w:space="0" w:color="auto"/>
                    <w:left w:val="none" w:sz="0" w:space="0" w:color="auto"/>
                    <w:bottom w:val="none" w:sz="0" w:space="0" w:color="auto"/>
                    <w:right w:val="none" w:sz="0" w:space="0" w:color="auto"/>
                  </w:divBdr>
                  <w:divsChild>
                    <w:div w:id="119685536">
                      <w:marLeft w:val="0"/>
                      <w:marRight w:val="0"/>
                      <w:marTop w:val="0"/>
                      <w:marBottom w:val="0"/>
                      <w:divBdr>
                        <w:top w:val="none" w:sz="0" w:space="0" w:color="auto"/>
                        <w:left w:val="none" w:sz="0" w:space="0" w:color="auto"/>
                        <w:bottom w:val="none" w:sz="0" w:space="0" w:color="auto"/>
                        <w:right w:val="none" w:sz="0" w:space="0" w:color="auto"/>
                      </w:divBdr>
                    </w:div>
                  </w:divsChild>
                </w:div>
                <w:div w:id="1085225213">
                  <w:marLeft w:val="0"/>
                  <w:marRight w:val="0"/>
                  <w:marTop w:val="0"/>
                  <w:marBottom w:val="0"/>
                  <w:divBdr>
                    <w:top w:val="none" w:sz="0" w:space="0" w:color="auto"/>
                    <w:left w:val="none" w:sz="0" w:space="0" w:color="auto"/>
                    <w:bottom w:val="none" w:sz="0" w:space="0" w:color="auto"/>
                    <w:right w:val="none" w:sz="0" w:space="0" w:color="auto"/>
                  </w:divBdr>
                  <w:divsChild>
                    <w:div w:id="2024285465">
                      <w:marLeft w:val="0"/>
                      <w:marRight w:val="0"/>
                      <w:marTop w:val="0"/>
                      <w:marBottom w:val="0"/>
                      <w:divBdr>
                        <w:top w:val="none" w:sz="0" w:space="0" w:color="auto"/>
                        <w:left w:val="none" w:sz="0" w:space="0" w:color="auto"/>
                        <w:bottom w:val="none" w:sz="0" w:space="0" w:color="auto"/>
                        <w:right w:val="none" w:sz="0" w:space="0" w:color="auto"/>
                      </w:divBdr>
                    </w:div>
                  </w:divsChild>
                </w:div>
                <w:div w:id="1088961007">
                  <w:marLeft w:val="0"/>
                  <w:marRight w:val="0"/>
                  <w:marTop w:val="0"/>
                  <w:marBottom w:val="0"/>
                  <w:divBdr>
                    <w:top w:val="none" w:sz="0" w:space="0" w:color="auto"/>
                    <w:left w:val="none" w:sz="0" w:space="0" w:color="auto"/>
                    <w:bottom w:val="none" w:sz="0" w:space="0" w:color="auto"/>
                    <w:right w:val="none" w:sz="0" w:space="0" w:color="auto"/>
                  </w:divBdr>
                  <w:divsChild>
                    <w:div w:id="1971521241">
                      <w:marLeft w:val="0"/>
                      <w:marRight w:val="0"/>
                      <w:marTop w:val="0"/>
                      <w:marBottom w:val="0"/>
                      <w:divBdr>
                        <w:top w:val="none" w:sz="0" w:space="0" w:color="auto"/>
                        <w:left w:val="none" w:sz="0" w:space="0" w:color="auto"/>
                        <w:bottom w:val="none" w:sz="0" w:space="0" w:color="auto"/>
                        <w:right w:val="none" w:sz="0" w:space="0" w:color="auto"/>
                      </w:divBdr>
                    </w:div>
                  </w:divsChild>
                </w:div>
                <w:div w:id="1089737349">
                  <w:marLeft w:val="0"/>
                  <w:marRight w:val="0"/>
                  <w:marTop w:val="0"/>
                  <w:marBottom w:val="0"/>
                  <w:divBdr>
                    <w:top w:val="none" w:sz="0" w:space="0" w:color="auto"/>
                    <w:left w:val="none" w:sz="0" w:space="0" w:color="auto"/>
                    <w:bottom w:val="none" w:sz="0" w:space="0" w:color="auto"/>
                    <w:right w:val="none" w:sz="0" w:space="0" w:color="auto"/>
                  </w:divBdr>
                  <w:divsChild>
                    <w:div w:id="237711675">
                      <w:marLeft w:val="0"/>
                      <w:marRight w:val="0"/>
                      <w:marTop w:val="0"/>
                      <w:marBottom w:val="0"/>
                      <w:divBdr>
                        <w:top w:val="none" w:sz="0" w:space="0" w:color="auto"/>
                        <w:left w:val="none" w:sz="0" w:space="0" w:color="auto"/>
                        <w:bottom w:val="none" w:sz="0" w:space="0" w:color="auto"/>
                        <w:right w:val="none" w:sz="0" w:space="0" w:color="auto"/>
                      </w:divBdr>
                    </w:div>
                  </w:divsChild>
                </w:div>
                <w:div w:id="1092123261">
                  <w:marLeft w:val="0"/>
                  <w:marRight w:val="0"/>
                  <w:marTop w:val="0"/>
                  <w:marBottom w:val="0"/>
                  <w:divBdr>
                    <w:top w:val="none" w:sz="0" w:space="0" w:color="auto"/>
                    <w:left w:val="none" w:sz="0" w:space="0" w:color="auto"/>
                    <w:bottom w:val="none" w:sz="0" w:space="0" w:color="auto"/>
                    <w:right w:val="none" w:sz="0" w:space="0" w:color="auto"/>
                  </w:divBdr>
                  <w:divsChild>
                    <w:div w:id="446000507">
                      <w:marLeft w:val="0"/>
                      <w:marRight w:val="0"/>
                      <w:marTop w:val="0"/>
                      <w:marBottom w:val="0"/>
                      <w:divBdr>
                        <w:top w:val="none" w:sz="0" w:space="0" w:color="auto"/>
                        <w:left w:val="none" w:sz="0" w:space="0" w:color="auto"/>
                        <w:bottom w:val="none" w:sz="0" w:space="0" w:color="auto"/>
                        <w:right w:val="none" w:sz="0" w:space="0" w:color="auto"/>
                      </w:divBdr>
                    </w:div>
                  </w:divsChild>
                </w:div>
                <w:div w:id="1098790804">
                  <w:marLeft w:val="0"/>
                  <w:marRight w:val="0"/>
                  <w:marTop w:val="0"/>
                  <w:marBottom w:val="0"/>
                  <w:divBdr>
                    <w:top w:val="none" w:sz="0" w:space="0" w:color="auto"/>
                    <w:left w:val="none" w:sz="0" w:space="0" w:color="auto"/>
                    <w:bottom w:val="none" w:sz="0" w:space="0" w:color="auto"/>
                    <w:right w:val="none" w:sz="0" w:space="0" w:color="auto"/>
                  </w:divBdr>
                  <w:divsChild>
                    <w:div w:id="1578133786">
                      <w:marLeft w:val="0"/>
                      <w:marRight w:val="0"/>
                      <w:marTop w:val="0"/>
                      <w:marBottom w:val="0"/>
                      <w:divBdr>
                        <w:top w:val="none" w:sz="0" w:space="0" w:color="auto"/>
                        <w:left w:val="none" w:sz="0" w:space="0" w:color="auto"/>
                        <w:bottom w:val="none" w:sz="0" w:space="0" w:color="auto"/>
                        <w:right w:val="none" w:sz="0" w:space="0" w:color="auto"/>
                      </w:divBdr>
                    </w:div>
                  </w:divsChild>
                </w:div>
                <w:div w:id="1105492253">
                  <w:marLeft w:val="0"/>
                  <w:marRight w:val="0"/>
                  <w:marTop w:val="0"/>
                  <w:marBottom w:val="0"/>
                  <w:divBdr>
                    <w:top w:val="none" w:sz="0" w:space="0" w:color="auto"/>
                    <w:left w:val="none" w:sz="0" w:space="0" w:color="auto"/>
                    <w:bottom w:val="none" w:sz="0" w:space="0" w:color="auto"/>
                    <w:right w:val="none" w:sz="0" w:space="0" w:color="auto"/>
                  </w:divBdr>
                  <w:divsChild>
                    <w:div w:id="954824000">
                      <w:marLeft w:val="0"/>
                      <w:marRight w:val="0"/>
                      <w:marTop w:val="0"/>
                      <w:marBottom w:val="0"/>
                      <w:divBdr>
                        <w:top w:val="none" w:sz="0" w:space="0" w:color="auto"/>
                        <w:left w:val="none" w:sz="0" w:space="0" w:color="auto"/>
                        <w:bottom w:val="none" w:sz="0" w:space="0" w:color="auto"/>
                        <w:right w:val="none" w:sz="0" w:space="0" w:color="auto"/>
                      </w:divBdr>
                    </w:div>
                  </w:divsChild>
                </w:div>
                <w:div w:id="1107962617">
                  <w:marLeft w:val="0"/>
                  <w:marRight w:val="0"/>
                  <w:marTop w:val="0"/>
                  <w:marBottom w:val="0"/>
                  <w:divBdr>
                    <w:top w:val="none" w:sz="0" w:space="0" w:color="auto"/>
                    <w:left w:val="none" w:sz="0" w:space="0" w:color="auto"/>
                    <w:bottom w:val="none" w:sz="0" w:space="0" w:color="auto"/>
                    <w:right w:val="none" w:sz="0" w:space="0" w:color="auto"/>
                  </w:divBdr>
                  <w:divsChild>
                    <w:div w:id="1584530787">
                      <w:marLeft w:val="0"/>
                      <w:marRight w:val="0"/>
                      <w:marTop w:val="0"/>
                      <w:marBottom w:val="0"/>
                      <w:divBdr>
                        <w:top w:val="none" w:sz="0" w:space="0" w:color="auto"/>
                        <w:left w:val="none" w:sz="0" w:space="0" w:color="auto"/>
                        <w:bottom w:val="none" w:sz="0" w:space="0" w:color="auto"/>
                        <w:right w:val="none" w:sz="0" w:space="0" w:color="auto"/>
                      </w:divBdr>
                    </w:div>
                  </w:divsChild>
                </w:div>
                <w:div w:id="1114057436">
                  <w:marLeft w:val="0"/>
                  <w:marRight w:val="0"/>
                  <w:marTop w:val="0"/>
                  <w:marBottom w:val="0"/>
                  <w:divBdr>
                    <w:top w:val="none" w:sz="0" w:space="0" w:color="auto"/>
                    <w:left w:val="none" w:sz="0" w:space="0" w:color="auto"/>
                    <w:bottom w:val="none" w:sz="0" w:space="0" w:color="auto"/>
                    <w:right w:val="none" w:sz="0" w:space="0" w:color="auto"/>
                  </w:divBdr>
                  <w:divsChild>
                    <w:div w:id="1840923451">
                      <w:marLeft w:val="0"/>
                      <w:marRight w:val="0"/>
                      <w:marTop w:val="0"/>
                      <w:marBottom w:val="0"/>
                      <w:divBdr>
                        <w:top w:val="none" w:sz="0" w:space="0" w:color="auto"/>
                        <w:left w:val="none" w:sz="0" w:space="0" w:color="auto"/>
                        <w:bottom w:val="none" w:sz="0" w:space="0" w:color="auto"/>
                        <w:right w:val="none" w:sz="0" w:space="0" w:color="auto"/>
                      </w:divBdr>
                    </w:div>
                  </w:divsChild>
                </w:div>
                <w:div w:id="1138382485">
                  <w:marLeft w:val="0"/>
                  <w:marRight w:val="0"/>
                  <w:marTop w:val="0"/>
                  <w:marBottom w:val="0"/>
                  <w:divBdr>
                    <w:top w:val="none" w:sz="0" w:space="0" w:color="auto"/>
                    <w:left w:val="none" w:sz="0" w:space="0" w:color="auto"/>
                    <w:bottom w:val="none" w:sz="0" w:space="0" w:color="auto"/>
                    <w:right w:val="none" w:sz="0" w:space="0" w:color="auto"/>
                  </w:divBdr>
                  <w:divsChild>
                    <w:div w:id="2064406996">
                      <w:marLeft w:val="0"/>
                      <w:marRight w:val="0"/>
                      <w:marTop w:val="0"/>
                      <w:marBottom w:val="0"/>
                      <w:divBdr>
                        <w:top w:val="none" w:sz="0" w:space="0" w:color="auto"/>
                        <w:left w:val="none" w:sz="0" w:space="0" w:color="auto"/>
                        <w:bottom w:val="none" w:sz="0" w:space="0" w:color="auto"/>
                        <w:right w:val="none" w:sz="0" w:space="0" w:color="auto"/>
                      </w:divBdr>
                    </w:div>
                  </w:divsChild>
                </w:div>
                <w:div w:id="1142426300">
                  <w:marLeft w:val="0"/>
                  <w:marRight w:val="0"/>
                  <w:marTop w:val="0"/>
                  <w:marBottom w:val="0"/>
                  <w:divBdr>
                    <w:top w:val="none" w:sz="0" w:space="0" w:color="auto"/>
                    <w:left w:val="none" w:sz="0" w:space="0" w:color="auto"/>
                    <w:bottom w:val="none" w:sz="0" w:space="0" w:color="auto"/>
                    <w:right w:val="none" w:sz="0" w:space="0" w:color="auto"/>
                  </w:divBdr>
                  <w:divsChild>
                    <w:div w:id="996571196">
                      <w:marLeft w:val="0"/>
                      <w:marRight w:val="0"/>
                      <w:marTop w:val="0"/>
                      <w:marBottom w:val="0"/>
                      <w:divBdr>
                        <w:top w:val="none" w:sz="0" w:space="0" w:color="auto"/>
                        <w:left w:val="none" w:sz="0" w:space="0" w:color="auto"/>
                        <w:bottom w:val="none" w:sz="0" w:space="0" w:color="auto"/>
                        <w:right w:val="none" w:sz="0" w:space="0" w:color="auto"/>
                      </w:divBdr>
                    </w:div>
                  </w:divsChild>
                </w:div>
                <w:div w:id="1194997637">
                  <w:marLeft w:val="0"/>
                  <w:marRight w:val="0"/>
                  <w:marTop w:val="0"/>
                  <w:marBottom w:val="0"/>
                  <w:divBdr>
                    <w:top w:val="none" w:sz="0" w:space="0" w:color="auto"/>
                    <w:left w:val="none" w:sz="0" w:space="0" w:color="auto"/>
                    <w:bottom w:val="none" w:sz="0" w:space="0" w:color="auto"/>
                    <w:right w:val="none" w:sz="0" w:space="0" w:color="auto"/>
                  </w:divBdr>
                  <w:divsChild>
                    <w:div w:id="801381566">
                      <w:marLeft w:val="0"/>
                      <w:marRight w:val="0"/>
                      <w:marTop w:val="0"/>
                      <w:marBottom w:val="0"/>
                      <w:divBdr>
                        <w:top w:val="none" w:sz="0" w:space="0" w:color="auto"/>
                        <w:left w:val="none" w:sz="0" w:space="0" w:color="auto"/>
                        <w:bottom w:val="none" w:sz="0" w:space="0" w:color="auto"/>
                        <w:right w:val="none" w:sz="0" w:space="0" w:color="auto"/>
                      </w:divBdr>
                    </w:div>
                  </w:divsChild>
                </w:div>
                <w:div w:id="1199471456">
                  <w:marLeft w:val="0"/>
                  <w:marRight w:val="0"/>
                  <w:marTop w:val="0"/>
                  <w:marBottom w:val="0"/>
                  <w:divBdr>
                    <w:top w:val="none" w:sz="0" w:space="0" w:color="auto"/>
                    <w:left w:val="none" w:sz="0" w:space="0" w:color="auto"/>
                    <w:bottom w:val="none" w:sz="0" w:space="0" w:color="auto"/>
                    <w:right w:val="none" w:sz="0" w:space="0" w:color="auto"/>
                  </w:divBdr>
                  <w:divsChild>
                    <w:div w:id="1729651090">
                      <w:marLeft w:val="0"/>
                      <w:marRight w:val="0"/>
                      <w:marTop w:val="0"/>
                      <w:marBottom w:val="0"/>
                      <w:divBdr>
                        <w:top w:val="none" w:sz="0" w:space="0" w:color="auto"/>
                        <w:left w:val="none" w:sz="0" w:space="0" w:color="auto"/>
                        <w:bottom w:val="none" w:sz="0" w:space="0" w:color="auto"/>
                        <w:right w:val="none" w:sz="0" w:space="0" w:color="auto"/>
                      </w:divBdr>
                    </w:div>
                  </w:divsChild>
                </w:div>
                <w:div w:id="1203253695">
                  <w:marLeft w:val="0"/>
                  <w:marRight w:val="0"/>
                  <w:marTop w:val="0"/>
                  <w:marBottom w:val="0"/>
                  <w:divBdr>
                    <w:top w:val="none" w:sz="0" w:space="0" w:color="auto"/>
                    <w:left w:val="none" w:sz="0" w:space="0" w:color="auto"/>
                    <w:bottom w:val="none" w:sz="0" w:space="0" w:color="auto"/>
                    <w:right w:val="none" w:sz="0" w:space="0" w:color="auto"/>
                  </w:divBdr>
                  <w:divsChild>
                    <w:div w:id="588588507">
                      <w:marLeft w:val="0"/>
                      <w:marRight w:val="0"/>
                      <w:marTop w:val="0"/>
                      <w:marBottom w:val="0"/>
                      <w:divBdr>
                        <w:top w:val="none" w:sz="0" w:space="0" w:color="auto"/>
                        <w:left w:val="none" w:sz="0" w:space="0" w:color="auto"/>
                        <w:bottom w:val="none" w:sz="0" w:space="0" w:color="auto"/>
                        <w:right w:val="none" w:sz="0" w:space="0" w:color="auto"/>
                      </w:divBdr>
                    </w:div>
                  </w:divsChild>
                </w:div>
                <w:div w:id="1203444040">
                  <w:marLeft w:val="0"/>
                  <w:marRight w:val="0"/>
                  <w:marTop w:val="0"/>
                  <w:marBottom w:val="0"/>
                  <w:divBdr>
                    <w:top w:val="none" w:sz="0" w:space="0" w:color="auto"/>
                    <w:left w:val="none" w:sz="0" w:space="0" w:color="auto"/>
                    <w:bottom w:val="none" w:sz="0" w:space="0" w:color="auto"/>
                    <w:right w:val="none" w:sz="0" w:space="0" w:color="auto"/>
                  </w:divBdr>
                  <w:divsChild>
                    <w:div w:id="202445420">
                      <w:marLeft w:val="0"/>
                      <w:marRight w:val="0"/>
                      <w:marTop w:val="0"/>
                      <w:marBottom w:val="0"/>
                      <w:divBdr>
                        <w:top w:val="none" w:sz="0" w:space="0" w:color="auto"/>
                        <w:left w:val="none" w:sz="0" w:space="0" w:color="auto"/>
                        <w:bottom w:val="none" w:sz="0" w:space="0" w:color="auto"/>
                        <w:right w:val="none" w:sz="0" w:space="0" w:color="auto"/>
                      </w:divBdr>
                    </w:div>
                  </w:divsChild>
                </w:div>
                <w:div w:id="1205102038">
                  <w:marLeft w:val="0"/>
                  <w:marRight w:val="0"/>
                  <w:marTop w:val="0"/>
                  <w:marBottom w:val="0"/>
                  <w:divBdr>
                    <w:top w:val="none" w:sz="0" w:space="0" w:color="auto"/>
                    <w:left w:val="none" w:sz="0" w:space="0" w:color="auto"/>
                    <w:bottom w:val="none" w:sz="0" w:space="0" w:color="auto"/>
                    <w:right w:val="none" w:sz="0" w:space="0" w:color="auto"/>
                  </w:divBdr>
                  <w:divsChild>
                    <w:div w:id="1361394597">
                      <w:marLeft w:val="0"/>
                      <w:marRight w:val="0"/>
                      <w:marTop w:val="0"/>
                      <w:marBottom w:val="0"/>
                      <w:divBdr>
                        <w:top w:val="none" w:sz="0" w:space="0" w:color="auto"/>
                        <w:left w:val="none" w:sz="0" w:space="0" w:color="auto"/>
                        <w:bottom w:val="none" w:sz="0" w:space="0" w:color="auto"/>
                        <w:right w:val="none" w:sz="0" w:space="0" w:color="auto"/>
                      </w:divBdr>
                    </w:div>
                  </w:divsChild>
                </w:div>
                <w:div w:id="1206060266">
                  <w:marLeft w:val="0"/>
                  <w:marRight w:val="0"/>
                  <w:marTop w:val="0"/>
                  <w:marBottom w:val="0"/>
                  <w:divBdr>
                    <w:top w:val="none" w:sz="0" w:space="0" w:color="auto"/>
                    <w:left w:val="none" w:sz="0" w:space="0" w:color="auto"/>
                    <w:bottom w:val="none" w:sz="0" w:space="0" w:color="auto"/>
                    <w:right w:val="none" w:sz="0" w:space="0" w:color="auto"/>
                  </w:divBdr>
                  <w:divsChild>
                    <w:div w:id="121385242">
                      <w:marLeft w:val="0"/>
                      <w:marRight w:val="0"/>
                      <w:marTop w:val="0"/>
                      <w:marBottom w:val="0"/>
                      <w:divBdr>
                        <w:top w:val="none" w:sz="0" w:space="0" w:color="auto"/>
                        <w:left w:val="none" w:sz="0" w:space="0" w:color="auto"/>
                        <w:bottom w:val="none" w:sz="0" w:space="0" w:color="auto"/>
                        <w:right w:val="none" w:sz="0" w:space="0" w:color="auto"/>
                      </w:divBdr>
                    </w:div>
                  </w:divsChild>
                </w:div>
                <w:div w:id="1227032239">
                  <w:marLeft w:val="0"/>
                  <w:marRight w:val="0"/>
                  <w:marTop w:val="0"/>
                  <w:marBottom w:val="0"/>
                  <w:divBdr>
                    <w:top w:val="none" w:sz="0" w:space="0" w:color="auto"/>
                    <w:left w:val="none" w:sz="0" w:space="0" w:color="auto"/>
                    <w:bottom w:val="none" w:sz="0" w:space="0" w:color="auto"/>
                    <w:right w:val="none" w:sz="0" w:space="0" w:color="auto"/>
                  </w:divBdr>
                  <w:divsChild>
                    <w:div w:id="1236628100">
                      <w:marLeft w:val="0"/>
                      <w:marRight w:val="0"/>
                      <w:marTop w:val="0"/>
                      <w:marBottom w:val="0"/>
                      <w:divBdr>
                        <w:top w:val="none" w:sz="0" w:space="0" w:color="auto"/>
                        <w:left w:val="none" w:sz="0" w:space="0" w:color="auto"/>
                        <w:bottom w:val="none" w:sz="0" w:space="0" w:color="auto"/>
                        <w:right w:val="none" w:sz="0" w:space="0" w:color="auto"/>
                      </w:divBdr>
                    </w:div>
                  </w:divsChild>
                </w:div>
                <w:div w:id="1252740678">
                  <w:marLeft w:val="0"/>
                  <w:marRight w:val="0"/>
                  <w:marTop w:val="0"/>
                  <w:marBottom w:val="0"/>
                  <w:divBdr>
                    <w:top w:val="none" w:sz="0" w:space="0" w:color="auto"/>
                    <w:left w:val="none" w:sz="0" w:space="0" w:color="auto"/>
                    <w:bottom w:val="none" w:sz="0" w:space="0" w:color="auto"/>
                    <w:right w:val="none" w:sz="0" w:space="0" w:color="auto"/>
                  </w:divBdr>
                  <w:divsChild>
                    <w:div w:id="1576820257">
                      <w:marLeft w:val="0"/>
                      <w:marRight w:val="0"/>
                      <w:marTop w:val="0"/>
                      <w:marBottom w:val="0"/>
                      <w:divBdr>
                        <w:top w:val="none" w:sz="0" w:space="0" w:color="auto"/>
                        <w:left w:val="none" w:sz="0" w:space="0" w:color="auto"/>
                        <w:bottom w:val="none" w:sz="0" w:space="0" w:color="auto"/>
                        <w:right w:val="none" w:sz="0" w:space="0" w:color="auto"/>
                      </w:divBdr>
                    </w:div>
                  </w:divsChild>
                </w:div>
                <w:div w:id="1258638811">
                  <w:marLeft w:val="0"/>
                  <w:marRight w:val="0"/>
                  <w:marTop w:val="0"/>
                  <w:marBottom w:val="0"/>
                  <w:divBdr>
                    <w:top w:val="none" w:sz="0" w:space="0" w:color="auto"/>
                    <w:left w:val="none" w:sz="0" w:space="0" w:color="auto"/>
                    <w:bottom w:val="none" w:sz="0" w:space="0" w:color="auto"/>
                    <w:right w:val="none" w:sz="0" w:space="0" w:color="auto"/>
                  </w:divBdr>
                  <w:divsChild>
                    <w:div w:id="572131954">
                      <w:marLeft w:val="0"/>
                      <w:marRight w:val="0"/>
                      <w:marTop w:val="0"/>
                      <w:marBottom w:val="0"/>
                      <w:divBdr>
                        <w:top w:val="none" w:sz="0" w:space="0" w:color="auto"/>
                        <w:left w:val="none" w:sz="0" w:space="0" w:color="auto"/>
                        <w:bottom w:val="none" w:sz="0" w:space="0" w:color="auto"/>
                        <w:right w:val="none" w:sz="0" w:space="0" w:color="auto"/>
                      </w:divBdr>
                    </w:div>
                  </w:divsChild>
                </w:div>
                <w:div w:id="1268738218">
                  <w:marLeft w:val="0"/>
                  <w:marRight w:val="0"/>
                  <w:marTop w:val="0"/>
                  <w:marBottom w:val="0"/>
                  <w:divBdr>
                    <w:top w:val="none" w:sz="0" w:space="0" w:color="auto"/>
                    <w:left w:val="none" w:sz="0" w:space="0" w:color="auto"/>
                    <w:bottom w:val="none" w:sz="0" w:space="0" w:color="auto"/>
                    <w:right w:val="none" w:sz="0" w:space="0" w:color="auto"/>
                  </w:divBdr>
                  <w:divsChild>
                    <w:div w:id="842205947">
                      <w:marLeft w:val="0"/>
                      <w:marRight w:val="0"/>
                      <w:marTop w:val="0"/>
                      <w:marBottom w:val="0"/>
                      <w:divBdr>
                        <w:top w:val="none" w:sz="0" w:space="0" w:color="auto"/>
                        <w:left w:val="none" w:sz="0" w:space="0" w:color="auto"/>
                        <w:bottom w:val="none" w:sz="0" w:space="0" w:color="auto"/>
                        <w:right w:val="none" w:sz="0" w:space="0" w:color="auto"/>
                      </w:divBdr>
                    </w:div>
                  </w:divsChild>
                </w:div>
                <w:div w:id="1282345434">
                  <w:marLeft w:val="0"/>
                  <w:marRight w:val="0"/>
                  <w:marTop w:val="0"/>
                  <w:marBottom w:val="0"/>
                  <w:divBdr>
                    <w:top w:val="none" w:sz="0" w:space="0" w:color="auto"/>
                    <w:left w:val="none" w:sz="0" w:space="0" w:color="auto"/>
                    <w:bottom w:val="none" w:sz="0" w:space="0" w:color="auto"/>
                    <w:right w:val="none" w:sz="0" w:space="0" w:color="auto"/>
                  </w:divBdr>
                  <w:divsChild>
                    <w:div w:id="841510815">
                      <w:marLeft w:val="0"/>
                      <w:marRight w:val="0"/>
                      <w:marTop w:val="0"/>
                      <w:marBottom w:val="0"/>
                      <w:divBdr>
                        <w:top w:val="none" w:sz="0" w:space="0" w:color="auto"/>
                        <w:left w:val="none" w:sz="0" w:space="0" w:color="auto"/>
                        <w:bottom w:val="none" w:sz="0" w:space="0" w:color="auto"/>
                        <w:right w:val="none" w:sz="0" w:space="0" w:color="auto"/>
                      </w:divBdr>
                    </w:div>
                  </w:divsChild>
                </w:div>
                <w:div w:id="1304428721">
                  <w:marLeft w:val="0"/>
                  <w:marRight w:val="0"/>
                  <w:marTop w:val="0"/>
                  <w:marBottom w:val="0"/>
                  <w:divBdr>
                    <w:top w:val="none" w:sz="0" w:space="0" w:color="auto"/>
                    <w:left w:val="none" w:sz="0" w:space="0" w:color="auto"/>
                    <w:bottom w:val="none" w:sz="0" w:space="0" w:color="auto"/>
                    <w:right w:val="none" w:sz="0" w:space="0" w:color="auto"/>
                  </w:divBdr>
                  <w:divsChild>
                    <w:div w:id="1844780439">
                      <w:marLeft w:val="0"/>
                      <w:marRight w:val="0"/>
                      <w:marTop w:val="0"/>
                      <w:marBottom w:val="0"/>
                      <w:divBdr>
                        <w:top w:val="none" w:sz="0" w:space="0" w:color="auto"/>
                        <w:left w:val="none" w:sz="0" w:space="0" w:color="auto"/>
                        <w:bottom w:val="none" w:sz="0" w:space="0" w:color="auto"/>
                        <w:right w:val="none" w:sz="0" w:space="0" w:color="auto"/>
                      </w:divBdr>
                    </w:div>
                  </w:divsChild>
                </w:div>
                <w:div w:id="1311861258">
                  <w:marLeft w:val="0"/>
                  <w:marRight w:val="0"/>
                  <w:marTop w:val="0"/>
                  <w:marBottom w:val="0"/>
                  <w:divBdr>
                    <w:top w:val="none" w:sz="0" w:space="0" w:color="auto"/>
                    <w:left w:val="none" w:sz="0" w:space="0" w:color="auto"/>
                    <w:bottom w:val="none" w:sz="0" w:space="0" w:color="auto"/>
                    <w:right w:val="none" w:sz="0" w:space="0" w:color="auto"/>
                  </w:divBdr>
                  <w:divsChild>
                    <w:div w:id="2089421046">
                      <w:marLeft w:val="0"/>
                      <w:marRight w:val="0"/>
                      <w:marTop w:val="0"/>
                      <w:marBottom w:val="0"/>
                      <w:divBdr>
                        <w:top w:val="none" w:sz="0" w:space="0" w:color="auto"/>
                        <w:left w:val="none" w:sz="0" w:space="0" w:color="auto"/>
                        <w:bottom w:val="none" w:sz="0" w:space="0" w:color="auto"/>
                        <w:right w:val="none" w:sz="0" w:space="0" w:color="auto"/>
                      </w:divBdr>
                    </w:div>
                  </w:divsChild>
                </w:div>
                <w:div w:id="1314338674">
                  <w:marLeft w:val="0"/>
                  <w:marRight w:val="0"/>
                  <w:marTop w:val="0"/>
                  <w:marBottom w:val="0"/>
                  <w:divBdr>
                    <w:top w:val="none" w:sz="0" w:space="0" w:color="auto"/>
                    <w:left w:val="none" w:sz="0" w:space="0" w:color="auto"/>
                    <w:bottom w:val="none" w:sz="0" w:space="0" w:color="auto"/>
                    <w:right w:val="none" w:sz="0" w:space="0" w:color="auto"/>
                  </w:divBdr>
                  <w:divsChild>
                    <w:div w:id="1792047908">
                      <w:marLeft w:val="0"/>
                      <w:marRight w:val="0"/>
                      <w:marTop w:val="0"/>
                      <w:marBottom w:val="0"/>
                      <w:divBdr>
                        <w:top w:val="none" w:sz="0" w:space="0" w:color="auto"/>
                        <w:left w:val="none" w:sz="0" w:space="0" w:color="auto"/>
                        <w:bottom w:val="none" w:sz="0" w:space="0" w:color="auto"/>
                        <w:right w:val="none" w:sz="0" w:space="0" w:color="auto"/>
                      </w:divBdr>
                    </w:div>
                  </w:divsChild>
                </w:div>
                <w:div w:id="1342977449">
                  <w:marLeft w:val="0"/>
                  <w:marRight w:val="0"/>
                  <w:marTop w:val="0"/>
                  <w:marBottom w:val="0"/>
                  <w:divBdr>
                    <w:top w:val="none" w:sz="0" w:space="0" w:color="auto"/>
                    <w:left w:val="none" w:sz="0" w:space="0" w:color="auto"/>
                    <w:bottom w:val="none" w:sz="0" w:space="0" w:color="auto"/>
                    <w:right w:val="none" w:sz="0" w:space="0" w:color="auto"/>
                  </w:divBdr>
                  <w:divsChild>
                    <w:div w:id="20056140">
                      <w:marLeft w:val="0"/>
                      <w:marRight w:val="0"/>
                      <w:marTop w:val="0"/>
                      <w:marBottom w:val="0"/>
                      <w:divBdr>
                        <w:top w:val="none" w:sz="0" w:space="0" w:color="auto"/>
                        <w:left w:val="none" w:sz="0" w:space="0" w:color="auto"/>
                        <w:bottom w:val="none" w:sz="0" w:space="0" w:color="auto"/>
                        <w:right w:val="none" w:sz="0" w:space="0" w:color="auto"/>
                      </w:divBdr>
                    </w:div>
                  </w:divsChild>
                </w:div>
                <w:div w:id="1345323890">
                  <w:marLeft w:val="0"/>
                  <w:marRight w:val="0"/>
                  <w:marTop w:val="0"/>
                  <w:marBottom w:val="0"/>
                  <w:divBdr>
                    <w:top w:val="none" w:sz="0" w:space="0" w:color="auto"/>
                    <w:left w:val="none" w:sz="0" w:space="0" w:color="auto"/>
                    <w:bottom w:val="none" w:sz="0" w:space="0" w:color="auto"/>
                    <w:right w:val="none" w:sz="0" w:space="0" w:color="auto"/>
                  </w:divBdr>
                  <w:divsChild>
                    <w:div w:id="1039086534">
                      <w:marLeft w:val="0"/>
                      <w:marRight w:val="0"/>
                      <w:marTop w:val="0"/>
                      <w:marBottom w:val="0"/>
                      <w:divBdr>
                        <w:top w:val="none" w:sz="0" w:space="0" w:color="auto"/>
                        <w:left w:val="none" w:sz="0" w:space="0" w:color="auto"/>
                        <w:bottom w:val="none" w:sz="0" w:space="0" w:color="auto"/>
                        <w:right w:val="none" w:sz="0" w:space="0" w:color="auto"/>
                      </w:divBdr>
                    </w:div>
                  </w:divsChild>
                </w:div>
                <w:div w:id="1351102727">
                  <w:marLeft w:val="0"/>
                  <w:marRight w:val="0"/>
                  <w:marTop w:val="0"/>
                  <w:marBottom w:val="0"/>
                  <w:divBdr>
                    <w:top w:val="none" w:sz="0" w:space="0" w:color="auto"/>
                    <w:left w:val="none" w:sz="0" w:space="0" w:color="auto"/>
                    <w:bottom w:val="none" w:sz="0" w:space="0" w:color="auto"/>
                    <w:right w:val="none" w:sz="0" w:space="0" w:color="auto"/>
                  </w:divBdr>
                  <w:divsChild>
                    <w:div w:id="2079667179">
                      <w:marLeft w:val="0"/>
                      <w:marRight w:val="0"/>
                      <w:marTop w:val="0"/>
                      <w:marBottom w:val="0"/>
                      <w:divBdr>
                        <w:top w:val="none" w:sz="0" w:space="0" w:color="auto"/>
                        <w:left w:val="none" w:sz="0" w:space="0" w:color="auto"/>
                        <w:bottom w:val="none" w:sz="0" w:space="0" w:color="auto"/>
                        <w:right w:val="none" w:sz="0" w:space="0" w:color="auto"/>
                      </w:divBdr>
                    </w:div>
                  </w:divsChild>
                </w:div>
                <w:div w:id="1366637095">
                  <w:marLeft w:val="0"/>
                  <w:marRight w:val="0"/>
                  <w:marTop w:val="0"/>
                  <w:marBottom w:val="0"/>
                  <w:divBdr>
                    <w:top w:val="none" w:sz="0" w:space="0" w:color="auto"/>
                    <w:left w:val="none" w:sz="0" w:space="0" w:color="auto"/>
                    <w:bottom w:val="none" w:sz="0" w:space="0" w:color="auto"/>
                    <w:right w:val="none" w:sz="0" w:space="0" w:color="auto"/>
                  </w:divBdr>
                  <w:divsChild>
                    <w:div w:id="1346325011">
                      <w:marLeft w:val="0"/>
                      <w:marRight w:val="0"/>
                      <w:marTop w:val="0"/>
                      <w:marBottom w:val="0"/>
                      <w:divBdr>
                        <w:top w:val="none" w:sz="0" w:space="0" w:color="auto"/>
                        <w:left w:val="none" w:sz="0" w:space="0" w:color="auto"/>
                        <w:bottom w:val="none" w:sz="0" w:space="0" w:color="auto"/>
                        <w:right w:val="none" w:sz="0" w:space="0" w:color="auto"/>
                      </w:divBdr>
                    </w:div>
                  </w:divsChild>
                </w:div>
                <w:div w:id="1378820305">
                  <w:marLeft w:val="0"/>
                  <w:marRight w:val="0"/>
                  <w:marTop w:val="0"/>
                  <w:marBottom w:val="0"/>
                  <w:divBdr>
                    <w:top w:val="none" w:sz="0" w:space="0" w:color="auto"/>
                    <w:left w:val="none" w:sz="0" w:space="0" w:color="auto"/>
                    <w:bottom w:val="none" w:sz="0" w:space="0" w:color="auto"/>
                    <w:right w:val="none" w:sz="0" w:space="0" w:color="auto"/>
                  </w:divBdr>
                  <w:divsChild>
                    <w:div w:id="1620797292">
                      <w:marLeft w:val="0"/>
                      <w:marRight w:val="0"/>
                      <w:marTop w:val="0"/>
                      <w:marBottom w:val="0"/>
                      <w:divBdr>
                        <w:top w:val="none" w:sz="0" w:space="0" w:color="auto"/>
                        <w:left w:val="none" w:sz="0" w:space="0" w:color="auto"/>
                        <w:bottom w:val="none" w:sz="0" w:space="0" w:color="auto"/>
                        <w:right w:val="none" w:sz="0" w:space="0" w:color="auto"/>
                      </w:divBdr>
                    </w:div>
                  </w:divsChild>
                </w:div>
                <w:div w:id="1390957754">
                  <w:marLeft w:val="0"/>
                  <w:marRight w:val="0"/>
                  <w:marTop w:val="0"/>
                  <w:marBottom w:val="0"/>
                  <w:divBdr>
                    <w:top w:val="none" w:sz="0" w:space="0" w:color="auto"/>
                    <w:left w:val="none" w:sz="0" w:space="0" w:color="auto"/>
                    <w:bottom w:val="none" w:sz="0" w:space="0" w:color="auto"/>
                    <w:right w:val="none" w:sz="0" w:space="0" w:color="auto"/>
                  </w:divBdr>
                  <w:divsChild>
                    <w:div w:id="1673754768">
                      <w:marLeft w:val="0"/>
                      <w:marRight w:val="0"/>
                      <w:marTop w:val="0"/>
                      <w:marBottom w:val="0"/>
                      <w:divBdr>
                        <w:top w:val="none" w:sz="0" w:space="0" w:color="auto"/>
                        <w:left w:val="none" w:sz="0" w:space="0" w:color="auto"/>
                        <w:bottom w:val="none" w:sz="0" w:space="0" w:color="auto"/>
                        <w:right w:val="none" w:sz="0" w:space="0" w:color="auto"/>
                      </w:divBdr>
                    </w:div>
                  </w:divsChild>
                </w:div>
                <w:div w:id="1402678720">
                  <w:marLeft w:val="0"/>
                  <w:marRight w:val="0"/>
                  <w:marTop w:val="0"/>
                  <w:marBottom w:val="0"/>
                  <w:divBdr>
                    <w:top w:val="none" w:sz="0" w:space="0" w:color="auto"/>
                    <w:left w:val="none" w:sz="0" w:space="0" w:color="auto"/>
                    <w:bottom w:val="none" w:sz="0" w:space="0" w:color="auto"/>
                    <w:right w:val="none" w:sz="0" w:space="0" w:color="auto"/>
                  </w:divBdr>
                  <w:divsChild>
                    <w:div w:id="879627997">
                      <w:marLeft w:val="0"/>
                      <w:marRight w:val="0"/>
                      <w:marTop w:val="0"/>
                      <w:marBottom w:val="0"/>
                      <w:divBdr>
                        <w:top w:val="none" w:sz="0" w:space="0" w:color="auto"/>
                        <w:left w:val="none" w:sz="0" w:space="0" w:color="auto"/>
                        <w:bottom w:val="none" w:sz="0" w:space="0" w:color="auto"/>
                        <w:right w:val="none" w:sz="0" w:space="0" w:color="auto"/>
                      </w:divBdr>
                    </w:div>
                    <w:div w:id="1610552019">
                      <w:marLeft w:val="0"/>
                      <w:marRight w:val="0"/>
                      <w:marTop w:val="0"/>
                      <w:marBottom w:val="0"/>
                      <w:divBdr>
                        <w:top w:val="none" w:sz="0" w:space="0" w:color="auto"/>
                        <w:left w:val="none" w:sz="0" w:space="0" w:color="auto"/>
                        <w:bottom w:val="none" w:sz="0" w:space="0" w:color="auto"/>
                        <w:right w:val="none" w:sz="0" w:space="0" w:color="auto"/>
                      </w:divBdr>
                    </w:div>
                  </w:divsChild>
                </w:div>
                <w:div w:id="1413698798">
                  <w:marLeft w:val="0"/>
                  <w:marRight w:val="0"/>
                  <w:marTop w:val="0"/>
                  <w:marBottom w:val="0"/>
                  <w:divBdr>
                    <w:top w:val="none" w:sz="0" w:space="0" w:color="auto"/>
                    <w:left w:val="none" w:sz="0" w:space="0" w:color="auto"/>
                    <w:bottom w:val="none" w:sz="0" w:space="0" w:color="auto"/>
                    <w:right w:val="none" w:sz="0" w:space="0" w:color="auto"/>
                  </w:divBdr>
                  <w:divsChild>
                    <w:div w:id="1774013664">
                      <w:marLeft w:val="0"/>
                      <w:marRight w:val="0"/>
                      <w:marTop w:val="0"/>
                      <w:marBottom w:val="0"/>
                      <w:divBdr>
                        <w:top w:val="none" w:sz="0" w:space="0" w:color="auto"/>
                        <w:left w:val="none" w:sz="0" w:space="0" w:color="auto"/>
                        <w:bottom w:val="none" w:sz="0" w:space="0" w:color="auto"/>
                        <w:right w:val="none" w:sz="0" w:space="0" w:color="auto"/>
                      </w:divBdr>
                    </w:div>
                  </w:divsChild>
                </w:div>
                <w:div w:id="1421372173">
                  <w:marLeft w:val="0"/>
                  <w:marRight w:val="0"/>
                  <w:marTop w:val="0"/>
                  <w:marBottom w:val="0"/>
                  <w:divBdr>
                    <w:top w:val="none" w:sz="0" w:space="0" w:color="auto"/>
                    <w:left w:val="none" w:sz="0" w:space="0" w:color="auto"/>
                    <w:bottom w:val="none" w:sz="0" w:space="0" w:color="auto"/>
                    <w:right w:val="none" w:sz="0" w:space="0" w:color="auto"/>
                  </w:divBdr>
                  <w:divsChild>
                    <w:div w:id="247076304">
                      <w:marLeft w:val="0"/>
                      <w:marRight w:val="0"/>
                      <w:marTop w:val="0"/>
                      <w:marBottom w:val="0"/>
                      <w:divBdr>
                        <w:top w:val="none" w:sz="0" w:space="0" w:color="auto"/>
                        <w:left w:val="none" w:sz="0" w:space="0" w:color="auto"/>
                        <w:bottom w:val="none" w:sz="0" w:space="0" w:color="auto"/>
                        <w:right w:val="none" w:sz="0" w:space="0" w:color="auto"/>
                      </w:divBdr>
                    </w:div>
                  </w:divsChild>
                </w:div>
                <w:div w:id="1435320874">
                  <w:marLeft w:val="0"/>
                  <w:marRight w:val="0"/>
                  <w:marTop w:val="0"/>
                  <w:marBottom w:val="0"/>
                  <w:divBdr>
                    <w:top w:val="none" w:sz="0" w:space="0" w:color="auto"/>
                    <w:left w:val="none" w:sz="0" w:space="0" w:color="auto"/>
                    <w:bottom w:val="none" w:sz="0" w:space="0" w:color="auto"/>
                    <w:right w:val="none" w:sz="0" w:space="0" w:color="auto"/>
                  </w:divBdr>
                  <w:divsChild>
                    <w:div w:id="359354819">
                      <w:marLeft w:val="0"/>
                      <w:marRight w:val="0"/>
                      <w:marTop w:val="0"/>
                      <w:marBottom w:val="0"/>
                      <w:divBdr>
                        <w:top w:val="none" w:sz="0" w:space="0" w:color="auto"/>
                        <w:left w:val="none" w:sz="0" w:space="0" w:color="auto"/>
                        <w:bottom w:val="none" w:sz="0" w:space="0" w:color="auto"/>
                        <w:right w:val="none" w:sz="0" w:space="0" w:color="auto"/>
                      </w:divBdr>
                    </w:div>
                  </w:divsChild>
                </w:div>
                <w:div w:id="1439568114">
                  <w:marLeft w:val="0"/>
                  <w:marRight w:val="0"/>
                  <w:marTop w:val="0"/>
                  <w:marBottom w:val="0"/>
                  <w:divBdr>
                    <w:top w:val="none" w:sz="0" w:space="0" w:color="auto"/>
                    <w:left w:val="none" w:sz="0" w:space="0" w:color="auto"/>
                    <w:bottom w:val="none" w:sz="0" w:space="0" w:color="auto"/>
                    <w:right w:val="none" w:sz="0" w:space="0" w:color="auto"/>
                  </w:divBdr>
                  <w:divsChild>
                    <w:div w:id="1531843174">
                      <w:marLeft w:val="0"/>
                      <w:marRight w:val="0"/>
                      <w:marTop w:val="0"/>
                      <w:marBottom w:val="0"/>
                      <w:divBdr>
                        <w:top w:val="none" w:sz="0" w:space="0" w:color="auto"/>
                        <w:left w:val="none" w:sz="0" w:space="0" w:color="auto"/>
                        <w:bottom w:val="none" w:sz="0" w:space="0" w:color="auto"/>
                        <w:right w:val="none" w:sz="0" w:space="0" w:color="auto"/>
                      </w:divBdr>
                    </w:div>
                  </w:divsChild>
                </w:div>
                <w:div w:id="1446847888">
                  <w:marLeft w:val="0"/>
                  <w:marRight w:val="0"/>
                  <w:marTop w:val="0"/>
                  <w:marBottom w:val="0"/>
                  <w:divBdr>
                    <w:top w:val="none" w:sz="0" w:space="0" w:color="auto"/>
                    <w:left w:val="none" w:sz="0" w:space="0" w:color="auto"/>
                    <w:bottom w:val="none" w:sz="0" w:space="0" w:color="auto"/>
                    <w:right w:val="none" w:sz="0" w:space="0" w:color="auto"/>
                  </w:divBdr>
                  <w:divsChild>
                    <w:div w:id="1499687612">
                      <w:marLeft w:val="0"/>
                      <w:marRight w:val="0"/>
                      <w:marTop w:val="0"/>
                      <w:marBottom w:val="0"/>
                      <w:divBdr>
                        <w:top w:val="none" w:sz="0" w:space="0" w:color="auto"/>
                        <w:left w:val="none" w:sz="0" w:space="0" w:color="auto"/>
                        <w:bottom w:val="none" w:sz="0" w:space="0" w:color="auto"/>
                        <w:right w:val="none" w:sz="0" w:space="0" w:color="auto"/>
                      </w:divBdr>
                    </w:div>
                  </w:divsChild>
                </w:div>
                <w:div w:id="1471366227">
                  <w:marLeft w:val="0"/>
                  <w:marRight w:val="0"/>
                  <w:marTop w:val="0"/>
                  <w:marBottom w:val="0"/>
                  <w:divBdr>
                    <w:top w:val="none" w:sz="0" w:space="0" w:color="auto"/>
                    <w:left w:val="none" w:sz="0" w:space="0" w:color="auto"/>
                    <w:bottom w:val="none" w:sz="0" w:space="0" w:color="auto"/>
                    <w:right w:val="none" w:sz="0" w:space="0" w:color="auto"/>
                  </w:divBdr>
                  <w:divsChild>
                    <w:div w:id="405030032">
                      <w:marLeft w:val="0"/>
                      <w:marRight w:val="0"/>
                      <w:marTop w:val="0"/>
                      <w:marBottom w:val="0"/>
                      <w:divBdr>
                        <w:top w:val="none" w:sz="0" w:space="0" w:color="auto"/>
                        <w:left w:val="none" w:sz="0" w:space="0" w:color="auto"/>
                        <w:bottom w:val="none" w:sz="0" w:space="0" w:color="auto"/>
                        <w:right w:val="none" w:sz="0" w:space="0" w:color="auto"/>
                      </w:divBdr>
                    </w:div>
                  </w:divsChild>
                </w:div>
                <w:div w:id="1501389268">
                  <w:marLeft w:val="0"/>
                  <w:marRight w:val="0"/>
                  <w:marTop w:val="0"/>
                  <w:marBottom w:val="0"/>
                  <w:divBdr>
                    <w:top w:val="none" w:sz="0" w:space="0" w:color="auto"/>
                    <w:left w:val="none" w:sz="0" w:space="0" w:color="auto"/>
                    <w:bottom w:val="none" w:sz="0" w:space="0" w:color="auto"/>
                    <w:right w:val="none" w:sz="0" w:space="0" w:color="auto"/>
                  </w:divBdr>
                  <w:divsChild>
                    <w:div w:id="1353457802">
                      <w:marLeft w:val="0"/>
                      <w:marRight w:val="0"/>
                      <w:marTop w:val="0"/>
                      <w:marBottom w:val="0"/>
                      <w:divBdr>
                        <w:top w:val="none" w:sz="0" w:space="0" w:color="auto"/>
                        <w:left w:val="none" w:sz="0" w:space="0" w:color="auto"/>
                        <w:bottom w:val="none" w:sz="0" w:space="0" w:color="auto"/>
                        <w:right w:val="none" w:sz="0" w:space="0" w:color="auto"/>
                      </w:divBdr>
                    </w:div>
                  </w:divsChild>
                </w:div>
                <w:div w:id="1529097109">
                  <w:marLeft w:val="0"/>
                  <w:marRight w:val="0"/>
                  <w:marTop w:val="0"/>
                  <w:marBottom w:val="0"/>
                  <w:divBdr>
                    <w:top w:val="none" w:sz="0" w:space="0" w:color="auto"/>
                    <w:left w:val="none" w:sz="0" w:space="0" w:color="auto"/>
                    <w:bottom w:val="none" w:sz="0" w:space="0" w:color="auto"/>
                    <w:right w:val="none" w:sz="0" w:space="0" w:color="auto"/>
                  </w:divBdr>
                  <w:divsChild>
                    <w:div w:id="1404402879">
                      <w:marLeft w:val="0"/>
                      <w:marRight w:val="0"/>
                      <w:marTop w:val="0"/>
                      <w:marBottom w:val="0"/>
                      <w:divBdr>
                        <w:top w:val="none" w:sz="0" w:space="0" w:color="auto"/>
                        <w:left w:val="none" w:sz="0" w:space="0" w:color="auto"/>
                        <w:bottom w:val="none" w:sz="0" w:space="0" w:color="auto"/>
                        <w:right w:val="none" w:sz="0" w:space="0" w:color="auto"/>
                      </w:divBdr>
                    </w:div>
                  </w:divsChild>
                </w:div>
                <w:div w:id="1541892824">
                  <w:marLeft w:val="0"/>
                  <w:marRight w:val="0"/>
                  <w:marTop w:val="0"/>
                  <w:marBottom w:val="0"/>
                  <w:divBdr>
                    <w:top w:val="none" w:sz="0" w:space="0" w:color="auto"/>
                    <w:left w:val="none" w:sz="0" w:space="0" w:color="auto"/>
                    <w:bottom w:val="none" w:sz="0" w:space="0" w:color="auto"/>
                    <w:right w:val="none" w:sz="0" w:space="0" w:color="auto"/>
                  </w:divBdr>
                  <w:divsChild>
                    <w:div w:id="1717117086">
                      <w:marLeft w:val="0"/>
                      <w:marRight w:val="0"/>
                      <w:marTop w:val="0"/>
                      <w:marBottom w:val="0"/>
                      <w:divBdr>
                        <w:top w:val="none" w:sz="0" w:space="0" w:color="auto"/>
                        <w:left w:val="none" w:sz="0" w:space="0" w:color="auto"/>
                        <w:bottom w:val="none" w:sz="0" w:space="0" w:color="auto"/>
                        <w:right w:val="none" w:sz="0" w:space="0" w:color="auto"/>
                      </w:divBdr>
                    </w:div>
                  </w:divsChild>
                </w:div>
                <w:div w:id="1558125963">
                  <w:marLeft w:val="0"/>
                  <w:marRight w:val="0"/>
                  <w:marTop w:val="0"/>
                  <w:marBottom w:val="0"/>
                  <w:divBdr>
                    <w:top w:val="none" w:sz="0" w:space="0" w:color="auto"/>
                    <w:left w:val="none" w:sz="0" w:space="0" w:color="auto"/>
                    <w:bottom w:val="none" w:sz="0" w:space="0" w:color="auto"/>
                    <w:right w:val="none" w:sz="0" w:space="0" w:color="auto"/>
                  </w:divBdr>
                  <w:divsChild>
                    <w:div w:id="79178731">
                      <w:marLeft w:val="0"/>
                      <w:marRight w:val="0"/>
                      <w:marTop w:val="0"/>
                      <w:marBottom w:val="0"/>
                      <w:divBdr>
                        <w:top w:val="none" w:sz="0" w:space="0" w:color="auto"/>
                        <w:left w:val="none" w:sz="0" w:space="0" w:color="auto"/>
                        <w:bottom w:val="none" w:sz="0" w:space="0" w:color="auto"/>
                        <w:right w:val="none" w:sz="0" w:space="0" w:color="auto"/>
                      </w:divBdr>
                    </w:div>
                  </w:divsChild>
                </w:div>
                <w:div w:id="1586844220">
                  <w:marLeft w:val="0"/>
                  <w:marRight w:val="0"/>
                  <w:marTop w:val="0"/>
                  <w:marBottom w:val="0"/>
                  <w:divBdr>
                    <w:top w:val="none" w:sz="0" w:space="0" w:color="auto"/>
                    <w:left w:val="none" w:sz="0" w:space="0" w:color="auto"/>
                    <w:bottom w:val="none" w:sz="0" w:space="0" w:color="auto"/>
                    <w:right w:val="none" w:sz="0" w:space="0" w:color="auto"/>
                  </w:divBdr>
                  <w:divsChild>
                    <w:div w:id="66802623">
                      <w:marLeft w:val="0"/>
                      <w:marRight w:val="0"/>
                      <w:marTop w:val="0"/>
                      <w:marBottom w:val="0"/>
                      <w:divBdr>
                        <w:top w:val="none" w:sz="0" w:space="0" w:color="auto"/>
                        <w:left w:val="none" w:sz="0" w:space="0" w:color="auto"/>
                        <w:bottom w:val="none" w:sz="0" w:space="0" w:color="auto"/>
                        <w:right w:val="none" w:sz="0" w:space="0" w:color="auto"/>
                      </w:divBdr>
                    </w:div>
                  </w:divsChild>
                </w:div>
                <w:div w:id="1590501807">
                  <w:marLeft w:val="0"/>
                  <w:marRight w:val="0"/>
                  <w:marTop w:val="0"/>
                  <w:marBottom w:val="0"/>
                  <w:divBdr>
                    <w:top w:val="none" w:sz="0" w:space="0" w:color="auto"/>
                    <w:left w:val="none" w:sz="0" w:space="0" w:color="auto"/>
                    <w:bottom w:val="none" w:sz="0" w:space="0" w:color="auto"/>
                    <w:right w:val="none" w:sz="0" w:space="0" w:color="auto"/>
                  </w:divBdr>
                  <w:divsChild>
                    <w:div w:id="2009752569">
                      <w:marLeft w:val="0"/>
                      <w:marRight w:val="0"/>
                      <w:marTop w:val="0"/>
                      <w:marBottom w:val="0"/>
                      <w:divBdr>
                        <w:top w:val="none" w:sz="0" w:space="0" w:color="auto"/>
                        <w:left w:val="none" w:sz="0" w:space="0" w:color="auto"/>
                        <w:bottom w:val="none" w:sz="0" w:space="0" w:color="auto"/>
                        <w:right w:val="none" w:sz="0" w:space="0" w:color="auto"/>
                      </w:divBdr>
                    </w:div>
                  </w:divsChild>
                </w:div>
                <w:div w:id="1592158207">
                  <w:marLeft w:val="0"/>
                  <w:marRight w:val="0"/>
                  <w:marTop w:val="0"/>
                  <w:marBottom w:val="0"/>
                  <w:divBdr>
                    <w:top w:val="none" w:sz="0" w:space="0" w:color="auto"/>
                    <w:left w:val="none" w:sz="0" w:space="0" w:color="auto"/>
                    <w:bottom w:val="none" w:sz="0" w:space="0" w:color="auto"/>
                    <w:right w:val="none" w:sz="0" w:space="0" w:color="auto"/>
                  </w:divBdr>
                  <w:divsChild>
                    <w:div w:id="1594825305">
                      <w:marLeft w:val="0"/>
                      <w:marRight w:val="0"/>
                      <w:marTop w:val="0"/>
                      <w:marBottom w:val="0"/>
                      <w:divBdr>
                        <w:top w:val="none" w:sz="0" w:space="0" w:color="auto"/>
                        <w:left w:val="none" w:sz="0" w:space="0" w:color="auto"/>
                        <w:bottom w:val="none" w:sz="0" w:space="0" w:color="auto"/>
                        <w:right w:val="none" w:sz="0" w:space="0" w:color="auto"/>
                      </w:divBdr>
                    </w:div>
                  </w:divsChild>
                </w:div>
                <w:div w:id="1595626278">
                  <w:marLeft w:val="0"/>
                  <w:marRight w:val="0"/>
                  <w:marTop w:val="0"/>
                  <w:marBottom w:val="0"/>
                  <w:divBdr>
                    <w:top w:val="none" w:sz="0" w:space="0" w:color="auto"/>
                    <w:left w:val="none" w:sz="0" w:space="0" w:color="auto"/>
                    <w:bottom w:val="none" w:sz="0" w:space="0" w:color="auto"/>
                    <w:right w:val="none" w:sz="0" w:space="0" w:color="auto"/>
                  </w:divBdr>
                  <w:divsChild>
                    <w:div w:id="1103308468">
                      <w:marLeft w:val="0"/>
                      <w:marRight w:val="0"/>
                      <w:marTop w:val="0"/>
                      <w:marBottom w:val="0"/>
                      <w:divBdr>
                        <w:top w:val="none" w:sz="0" w:space="0" w:color="auto"/>
                        <w:left w:val="none" w:sz="0" w:space="0" w:color="auto"/>
                        <w:bottom w:val="none" w:sz="0" w:space="0" w:color="auto"/>
                        <w:right w:val="none" w:sz="0" w:space="0" w:color="auto"/>
                      </w:divBdr>
                    </w:div>
                  </w:divsChild>
                </w:div>
                <w:div w:id="1612936369">
                  <w:marLeft w:val="0"/>
                  <w:marRight w:val="0"/>
                  <w:marTop w:val="0"/>
                  <w:marBottom w:val="0"/>
                  <w:divBdr>
                    <w:top w:val="none" w:sz="0" w:space="0" w:color="auto"/>
                    <w:left w:val="none" w:sz="0" w:space="0" w:color="auto"/>
                    <w:bottom w:val="none" w:sz="0" w:space="0" w:color="auto"/>
                    <w:right w:val="none" w:sz="0" w:space="0" w:color="auto"/>
                  </w:divBdr>
                  <w:divsChild>
                    <w:div w:id="217789599">
                      <w:marLeft w:val="0"/>
                      <w:marRight w:val="0"/>
                      <w:marTop w:val="0"/>
                      <w:marBottom w:val="0"/>
                      <w:divBdr>
                        <w:top w:val="none" w:sz="0" w:space="0" w:color="auto"/>
                        <w:left w:val="none" w:sz="0" w:space="0" w:color="auto"/>
                        <w:bottom w:val="none" w:sz="0" w:space="0" w:color="auto"/>
                        <w:right w:val="none" w:sz="0" w:space="0" w:color="auto"/>
                      </w:divBdr>
                    </w:div>
                  </w:divsChild>
                </w:div>
                <w:div w:id="1626228802">
                  <w:marLeft w:val="0"/>
                  <w:marRight w:val="0"/>
                  <w:marTop w:val="0"/>
                  <w:marBottom w:val="0"/>
                  <w:divBdr>
                    <w:top w:val="none" w:sz="0" w:space="0" w:color="auto"/>
                    <w:left w:val="none" w:sz="0" w:space="0" w:color="auto"/>
                    <w:bottom w:val="none" w:sz="0" w:space="0" w:color="auto"/>
                    <w:right w:val="none" w:sz="0" w:space="0" w:color="auto"/>
                  </w:divBdr>
                  <w:divsChild>
                    <w:div w:id="1339389442">
                      <w:marLeft w:val="0"/>
                      <w:marRight w:val="0"/>
                      <w:marTop w:val="0"/>
                      <w:marBottom w:val="0"/>
                      <w:divBdr>
                        <w:top w:val="none" w:sz="0" w:space="0" w:color="auto"/>
                        <w:left w:val="none" w:sz="0" w:space="0" w:color="auto"/>
                        <w:bottom w:val="none" w:sz="0" w:space="0" w:color="auto"/>
                        <w:right w:val="none" w:sz="0" w:space="0" w:color="auto"/>
                      </w:divBdr>
                    </w:div>
                  </w:divsChild>
                </w:div>
                <w:div w:id="1626889749">
                  <w:marLeft w:val="0"/>
                  <w:marRight w:val="0"/>
                  <w:marTop w:val="0"/>
                  <w:marBottom w:val="0"/>
                  <w:divBdr>
                    <w:top w:val="none" w:sz="0" w:space="0" w:color="auto"/>
                    <w:left w:val="none" w:sz="0" w:space="0" w:color="auto"/>
                    <w:bottom w:val="none" w:sz="0" w:space="0" w:color="auto"/>
                    <w:right w:val="none" w:sz="0" w:space="0" w:color="auto"/>
                  </w:divBdr>
                  <w:divsChild>
                    <w:div w:id="1584560703">
                      <w:marLeft w:val="0"/>
                      <w:marRight w:val="0"/>
                      <w:marTop w:val="0"/>
                      <w:marBottom w:val="0"/>
                      <w:divBdr>
                        <w:top w:val="none" w:sz="0" w:space="0" w:color="auto"/>
                        <w:left w:val="none" w:sz="0" w:space="0" w:color="auto"/>
                        <w:bottom w:val="none" w:sz="0" w:space="0" w:color="auto"/>
                        <w:right w:val="none" w:sz="0" w:space="0" w:color="auto"/>
                      </w:divBdr>
                    </w:div>
                  </w:divsChild>
                </w:div>
                <w:div w:id="1632712878">
                  <w:marLeft w:val="0"/>
                  <w:marRight w:val="0"/>
                  <w:marTop w:val="0"/>
                  <w:marBottom w:val="0"/>
                  <w:divBdr>
                    <w:top w:val="none" w:sz="0" w:space="0" w:color="auto"/>
                    <w:left w:val="none" w:sz="0" w:space="0" w:color="auto"/>
                    <w:bottom w:val="none" w:sz="0" w:space="0" w:color="auto"/>
                    <w:right w:val="none" w:sz="0" w:space="0" w:color="auto"/>
                  </w:divBdr>
                  <w:divsChild>
                    <w:div w:id="1391541531">
                      <w:marLeft w:val="0"/>
                      <w:marRight w:val="0"/>
                      <w:marTop w:val="0"/>
                      <w:marBottom w:val="0"/>
                      <w:divBdr>
                        <w:top w:val="none" w:sz="0" w:space="0" w:color="auto"/>
                        <w:left w:val="none" w:sz="0" w:space="0" w:color="auto"/>
                        <w:bottom w:val="none" w:sz="0" w:space="0" w:color="auto"/>
                        <w:right w:val="none" w:sz="0" w:space="0" w:color="auto"/>
                      </w:divBdr>
                    </w:div>
                  </w:divsChild>
                </w:div>
                <w:div w:id="1656257188">
                  <w:marLeft w:val="0"/>
                  <w:marRight w:val="0"/>
                  <w:marTop w:val="0"/>
                  <w:marBottom w:val="0"/>
                  <w:divBdr>
                    <w:top w:val="none" w:sz="0" w:space="0" w:color="auto"/>
                    <w:left w:val="none" w:sz="0" w:space="0" w:color="auto"/>
                    <w:bottom w:val="none" w:sz="0" w:space="0" w:color="auto"/>
                    <w:right w:val="none" w:sz="0" w:space="0" w:color="auto"/>
                  </w:divBdr>
                  <w:divsChild>
                    <w:div w:id="876239661">
                      <w:marLeft w:val="0"/>
                      <w:marRight w:val="0"/>
                      <w:marTop w:val="0"/>
                      <w:marBottom w:val="0"/>
                      <w:divBdr>
                        <w:top w:val="none" w:sz="0" w:space="0" w:color="auto"/>
                        <w:left w:val="none" w:sz="0" w:space="0" w:color="auto"/>
                        <w:bottom w:val="none" w:sz="0" w:space="0" w:color="auto"/>
                        <w:right w:val="none" w:sz="0" w:space="0" w:color="auto"/>
                      </w:divBdr>
                    </w:div>
                  </w:divsChild>
                </w:div>
                <w:div w:id="1670786731">
                  <w:marLeft w:val="0"/>
                  <w:marRight w:val="0"/>
                  <w:marTop w:val="0"/>
                  <w:marBottom w:val="0"/>
                  <w:divBdr>
                    <w:top w:val="none" w:sz="0" w:space="0" w:color="auto"/>
                    <w:left w:val="none" w:sz="0" w:space="0" w:color="auto"/>
                    <w:bottom w:val="none" w:sz="0" w:space="0" w:color="auto"/>
                    <w:right w:val="none" w:sz="0" w:space="0" w:color="auto"/>
                  </w:divBdr>
                  <w:divsChild>
                    <w:div w:id="472793592">
                      <w:marLeft w:val="0"/>
                      <w:marRight w:val="0"/>
                      <w:marTop w:val="0"/>
                      <w:marBottom w:val="0"/>
                      <w:divBdr>
                        <w:top w:val="none" w:sz="0" w:space="0" w:color="auto"/>
                        <w:left w:val="none" w:sz="0" w:space="0" w:color="auto"/>
                        <w:bottom w:val="none" w:sz="0" w:space="0" w:color="auto"/>
                        <w:right w:val="none" w:sz="0" w:space="0" w:color="auto"/>
                      </w:divBdr>
                    </w:div>
                  </w:divsChild>
                </w:div>
                <w:div w:id="1675112398">
                  <w:marLeft w:val="0"/>
                  <w:marRight w:val="0"/>
                  <w:marTop w:val="0"/>
                  <w:marBottom w:val="0"/>
                  <w:divBdr>
                    <w:top w:val="none" w:sz="0" w:space="0" w:color="auto"/>
                    <w:left w:val="none" w:sz="0" w:space="0" w:color="auto"/>
                    <w:bottom w:val="none" w:sz="0" w:space="0" w:color="auto"/>
                    <w:right w:val="none" w:sz="0" w:space="0" w:color="auto"/>
                  </w:divBdr>
                  <w:divsChild>
                    <w:div w:id="1173687653">
                      <w:marLeft w:val="0"/>
                      <w:marRight w:val="0"/>
                      <w:marTop w:val="0"/>
                      <w:marBottom w:val="0"/>
                      <w:divBdr>
                        <w:top w:val="none" w:sz="0" w:space="0" w:color="auto"/>
                        <w:left w:val="none" w:sz="0" w:space="0" w:color="auto"/>
                        <w:bottom w:val="none" w:sz="0" w:space="0" w:color="auto"/>
                        <w:right w:val="none" w:sz="0" w:space="0" w:color="auto"/>
                      </w:divBdr>
                    </w:div>
                  </w:divsChild>
                </w:div>
                <w:div w:id="1686832533">
                  <w:marLeft w:val="0"/>
                  <w:marRight w:val="0"/>
                  <w:marTop w:val="0"/>
                  <w:marBottom w:val="0"/>
                  <w:divBdr>
                    <w:top w:val="none" w:sz="0" w:space="0" w:color="auto"/>
                    <w:left w:val="none" w:sz="0" w:space="0" w:color="auto"/>
                    <w:bottom w:val="none" w:sz="0" w:space="0" w:color="auto"/>
                    <w:right w:val="none" w:sz="0" w:space="0" w:color="auto"/>
                  </w:divBdr>
                  <w:divsChild>
                    <w:div w:id="1682318258">
                      <w:marLeft w:val="0"/>
                      <w:marRight w:val="0"/>
                      <w:marTop w:val="0"/>
                      <w:marBottom w:val="0"/>
                      <w:divBdr>
                        <w:top w:val="none" w:sz="0" w:space="0" w:color="auto"/>
                        <w:left w:val="none" w:sz="0" w:space="0" w:color="auto"/>
                        <w:bottom w:val="none" w:sz="0" w:space="0" w:color="auto"/>
                        <w:right w:val="none" w:sz="0" w:space="0" w:color="auto"/>
                      </w:divBdr>
                    </w:div>
                  </w:divsChild>
                </w:div>
                <w:div w:id="1691376059">
                  <w:marLeft w:val="0"/>
                  <w:marRight w:val="0"/>
                  <w:marTop w:val="0"/>
                  <w:marBottom w:val="0"/>
                  <w:divBdr>
                    <w:top w:val="none" w:sz="0" w:space="0" w:color="auto"/>
                    <w:left w:val="none" w:sz="0" w:space="0" w:color="auto"/>
                    <w:bottom w:val="none" w:sz="0" w:space="0" w:color="auto"/>
                    <w:right w:val="none" w:sz="0" w:space="0" w:color="auto"/>
                  </w:divBdr>
                  <w:divsChild>
                    <w:div w:id="296953684">
                      <w:marLeft w:val="0"/>
                      <w:marRight w:val="0"/>
                      <w:marTop w:val="0"/>
                      <w:marBottom w:val="0"/>
                      <w:divBdr>
                        <w:top w:val="none" w:sz="0" w:space="0" w:color="auto"/>
                        <w:left w:val="none" w:sz="0" w:space="0" w:color="auto"/>
                        <w:bottom w:val="none" w:sz="0" w:space="0" w:color="auto"/>
                        <w:right w:val="none" w:sz="0" w:space="0" w:color="auto"/>
                      </w:divBdr>
                    </w:div>
                  </w:divsChild>
                </w:div>
                <w:div w:id="1715084146">
                  <w:marLeft w:val="0"/>
                  <w:marRight w:val="0"/>
                  <w:marTop w:val="0"/>
                  <w:marBottom w:val="0"/>
                  <w:divBdr>
                    <w:top w:val="none" w:sz="0" w:space="0" w:color="auto"/>
                    <w:left w:val="none" w:sz="0" w:space="0" w:color="auto"/>
                    <w:bottom w:val="none" w:sz="0" w:space="0" w:color="auto"/>
                    <w:right w:val="none" w:sz="0" w:space="0" w:color="auto"/>
                  </w:divBdr>
                  <w:divsChild>
                    <w:div w:id="573853057">
                      <w:marLeft w:val="0"/>
                      <w:marRight w:val="0"/>
                      <w:marTop w:val="0"/>
                      <w:marBottom w:val="0"/>
                      <w:divBdr>
                        <w:top w:val="none" w:sz="0" w:space="0" w:color="auto"/>
                        <w:left w:val="none" w:sz="0" w:space="0" w:color="auto"/>
                        <w:bottom w:val="none" w:sz="0" w:space="0" w:color="auto"/>
                        <w:right w:val="none" w:sz="0" w:space="0" w:color="auto"/>
                      </w:divBdr>
                    </w:div>
                  </w:divsChild>
                </w:div>
                <w:div w:id="1716346257">
                  <w:marLeft w:val="0"/>
                  <w:marRight w:val="0"/>
                  <w:marTop w:val="0"/>
                  <w:marBottom w:val="0"/>
                  <w:divBdr>
                    <w:top w:val="none" w:sz="0" w:space="0" w:color="auto"/>
                    <w:left w:val="none" w:sz="0" w:space="0" w:color="auto"/>
                    <w:bottom w:val="none" w:sz="0" w:space="0" w:color="auto"/>
                    <w:right w:val="none" w:sz="0" w:space="0" w:color="auto"/>
                  </w:divBdr>
                  <w:divsChild>
                    <w:div w:id="1221360154">
                      <w:marLeft w:val="0"/>
                      <w:marRight w:val="0"/>
                      <w:marTop w:val="0"/>
                      <w:marBottom w:val="0"/>
                      <w:divBdr>
                        <w:top w:val="none" w:sz="0" w:space="0" w:color="auto"/>
                        <w:left w:val="none" w:sz="0" w:space="0" w:color="auto"/>
                        <w:bottom w:val="none" w:sz="0" w:space="0" w:color="auto"/>
                        <w:right w:val="none" w:sz="0" w:space="0" w:color="auto"/>
                      </w:divBdr>
                    </w:div>
                  </w:divsChild>
                </w:div>
                <w:div w:id="1725563403">
                  <w:marLeft w:val="0"/>
                  <w:marRight w:val="0"/>
                  <w:marTop w:val="0"/>
                  <w:marBottom w:val="0"/>
                  <w:divBdr>
                    <w:top w:val="none" w:sz="0" w:space="0" w:color="auto"/>
                    <w:left w:val="none" w:sz="0" w:space="0" w:color="auto"/>
                    <w:bottom w:val="none" w:sz="0" w:space="0" w:color="auto"/>
                    <w:right w:val="none" w:sz="0" w:space="0" w:color="auto"/>
                  </w:divBdr>
                  <w:divsChild>
                    <w:div w:id="1123306377">
                      <w:marLeft w:val="0"/>
                      <w:marRight w:val="0"/>
                      <w:marTop w:val="0"/>
                      <w:marBottom w:val="0"/>
                      <w:divBdr>
                        <w:top w:val="none" w:sz="0" w:space="0" w:color="auto"/>
                        <w:left w:val="none" w:sz="0" w:space="0" w:color="auto"/>
                        <w:bottom w:val="none" w:sz="0" w:space="0" w:color="auto"/>
                        <w:right w:val="none" w:sz="0" w:space="0" w:color="auto"/>
                      </w:divBdr>
                    </w:div>
                  </w:divsChild>
                </w:div>
                <w:div w:id="1746949674">
                  <w:marLeft w:val="0"/>
                  <w:marRight w:val="0"/>
                  <w:marTop w:val="0"/>
                  <w:marBottom w:val="0"/>
                  <w:divBdr>
                    <w:top w:val="none" w:sz="0" w:space="0" w:color="auto"/>
                    <w:left w:val="none" w:sz="0" w:space="0" w:color="auto"/>
                    <w:bottom w:val="none" w:sz="0" w:space="0" w:color="auto"/>
                    <w:right w:val="none" w:sz="0" w:space="0" w:color="auto"/>
                  </w:divBdr>
                  <w:divsChild>
                    <w:div w:id="582881591">
                      <w:marLeft w:val="0"/>
                      <w:marRight w:val="0"/>
                      <w:marTop w:val="0"/>
                      <w:marBottom w:val="0"/>
                      <w:divBdr>
                        <w:top w:val="none" w:sz="0" w:space="0" w:color="auto"/>
                        <w:left w:val="none" w:sz="0" w:space="0" w:color="auto"/>
                        <w:bottom w:val="none" w:sz="0" w:space="0" w:color="auto"/>
                        <w:right w:val="none" w:sz="0" w:space="0" w:color="auto"/>
                      </w:divBdr>
                    </w:div>
                  </w:divsChild>
                </w:div>
                <w:div w:id="1767995705">
                  <w:marLeft w:val="0"/>
                  <w:marRight w:val="0"/>
                  <w:marTop w:val="0"/>
                  <w:marBottom w:val="0"/>
                  <w:divBdr>
                    <w:top w:val="none" w:sz="0" w:space="0" w:color="auto"/>
                    <w:left w:val="none" w:sz="0" w:space="0" w:color="auto"/>
                    <w:bottom w:val="none" w:sz="0" w:space="0" w:color="auto"/>
                    <w:right w:val="none" w:sz="0" w:space="0" w:color="auto"/>
                  </w:divBdr>
                  <w:divsChild>
                    <w:div w:id="509834458">
                      <w:marLeft w:val="0"/>
                      <w:marRight w:val="0"/>
                      <w:marTop w:val="0"/>
                      <w:marBottom w:val="0"/>
                      <w:divBdr>
                        <w:top w:val="none" w:sz="0" w:space="0" w:color="auto"/>
                        <w:left w:val="none" w:sz="0" w:space="0" w:color="auto"/>
                        <w:bottom w:val="none" w:sz="0" w:space="0" w:color="auto"/>
                        <w:right w:val="none" w:sz="0" w:space="0" w:color="auto"/>
                      </w:divBdr>
                    </w:div>
                  </w:divsChild>
                </w:div>
                <w:div w:id="1772583211">
                  <w:marLeft w:val="0"/>
                  <w:marRight w:val="0"/>
                  <w:marTop w:val="0"/>
                  <w:marBottom w:val="0"/>
                  <w:divBdr>
                    <w:top w:val="none" w:sz="0" w:space="0" w:color="auto"/>
                    <w:left w:val="none" w:sz="0" w:space="0" w:color="auto"/>
                    <w:bottom w:val="none" w:sz="0" w:space="0" w:color="auto"/>
                    <w:right w:val="none" w:sz="0" w:space="0" w:color="auto"/>
                  </w:divBdr>
                  <w:divsChild>
                    <w:div w:id="112287890">
                      <w:marLeft w:val="0"/>
                      <w:marRight w:val="0"/>
                      <w:marTop w:val="0"/>
                      <w:marBottom w:val="0"/>
                      <w:divBdr>
                        <w:top w:val="none" w:sz="0" w:space="0" w:color="auto"/>
                        <w:left w:val="none" w:sz="0" w:space="0" w:color="auto"/>
                        <w:bottom w:val="none" w:sz="0" w:space="0" w:color="auto"/>
                        <w:right w:val="none" w:sz="0" w:space="0" w:color="auto"/>
                      </w:divBdr>
                    </w:div>
                  </w:divsChild>
                </w:div>
                <w:div w:id="1785811535">
                  <w:marLeft w:val="0"/>
                  <w:marRight w:val="0"/>
                  <w:marTop w:val="0"/>
                  <w:marBottom w:val="0"/>
                  <w:divBdr>
                    <w:top w:val="none" w:sz="0" w:space="0" w:color="auto"/>
                    <w:left w:val="none" w:sz="0" w:space="0" w:color="auto"/>
                    <w:bottom w:val="none" w:sz="0" w:space="0" w:color="auto"/>
                    <w:right w:val="none" w:sz="0" w:space="0" w:color="auto"/>
                  </w:divBdr>
                  <w:divsChild>
                    <w:div w:id="2114587001">
                      <w:marLeft w:val="0"/>
                      <w:marRight w:val="0"/>
                      <w:marTop w:val="0"/>
                      <w:marBottom w:val="0"/>
                      <w:divBdr>
                        <w:top w:val="none" w:sz="0" w:space="0" w:color="auto"/>
                        <w:left w:val="none" w:sz="0" w:space="0" w:color="auto"/>
                        <w:bottom w:val="none" w:sz="0" w:space="0" w:color="auto"/>
                        <w:right w:val="none" w:sz="0" w:space="0" w:color="auto"/>
                      </w:divBdr>
                    </w:div>
                  </w:divsChild>
                </w:div>
                <w:div w:id="1796409146">
                  <w:marLeft w:val="0"/>
                  <w:marRight w:val="0"/>
                  <w:marTop w:val="0"/>
                  <w:marBottom w:val="0"/>
                  <w:divBdr>
                    <w:top w:val="none" w:sz="0" w:space="0" w:color="auto"/>
                    <w:left w:val="none" w:sz="0" w:space="0" w:color="auto"/>
                    <w:bottom w:val="none" w:sz="0" w:space="0" w:color="auto"/>
                    <w:right w:val="none" w:sz="0" w:space="0" w:color="auto"/>
                  </w:divBdr>
                  <w:divsChild>
                    <w:div w:id="1563903774">
                      <w:marLeft w:val="0"/>
                      <w:marRight w:val="0"/>
                      <w:marTop w:val="0"/>
                      <w:marBottom w:val="0"/>
                      <w:divBdr>
                        <w:top w:val="none" w:sz="0" w:space="0" w:color="auto"/>
                        <w:left w:val="none" w:sz="0" w:space="0" w:color="auto"/>
                        <w:bottom w:val="none" w:sz="0" w:space="0" w:color="auto"/>
                        <w:right w:val="none" w:sz="0" w:space="0" w:color="auto"/>
                      </w:divBdr>
                    </w:div>
                  </w:divsChild>
                </w:div>
                <w:div w:id="1800415443">
                  <w:marLeft w:val="0"/>
                  <w:marRight w:val="0"/>
                  <w:marTop w:val="0"/>
                  <w:marBottom w:val="0"/>
                  <w:divBdr>
                    <w:top w:val="none" w:sz="0" w:space="0" w:color="auto"/>
                    <w:left w:val="none" w:sz="0" w:space="0" w:color="auto"/>
                    <w:bottom w:val="none" w:sz="0" w:space="0" w:color="auto"/>
                    <w:right w:val="none" w:sz="0" w:space="0" w:color="auto"/>
                  </w:divBdr>
                  <w:divsChild>
                    <w:div w:id="1049498905">
                      <w:marLeft w:val="0"/>
                      <w:marRight w:val="0"/>
                      <w:marTop w:val="0"/>
                      <w:marBottom w:val="0"/>
                      <w:divBdr>
                        <w:top w:val="none" w:sz="0" w:space="0" w:color="auto"/>
                        <w:left w:val="none" w:sz="0" w:space="0" w:color="auto"/>
                        <w:bottom w:val="none" w:sz="0" w:space="0" w:color="auto"/>
                        <w:right w:val="none" w:sz="0" w:space="0" w:color="auto"/>
                      </w:divBdr>
                    </w:div>
                  </w:divsChild>
                </w:div>
                <w:div w:id="1811435985">
                  <w:marLeft w:val="0"/>
                  <w:marRight w:val="0"/>
                  <w:marTop w:val="0"/>
                  <w:marBottom w:val="0"/>
                  <w:divBdr>
                    <w:top w:val="none" w:sz="0" w:space="0" w:color="auto"/>
                    <w:left w:val="none" w:sz="0" w:space="0" w:color="auto"/>
                    <w:bottom w:val="none" w:sz="0" w:space="0" w:color="auto"/>
                    <w:right w:val="none" w:sz="0" w:space="0" w:color="auto"/>
                  </w:divBdr>
                  <w:divsChild>
                    <w:div w:id="643506821">
                      <w:marLeft w:val="0"/>
                      <w:marRight w:val="0"/>
                      <w:marTop w:val="0"/>
                      <w:marBottom w:val="0"/>
                      <w:divBdr>
                        <w:top w:val="none" w:sz="0" w:space="0" w:color="auto"/>
                        <w:left w:val="none" w:sz="0" w:space="0" w:color="auto"/>
                        <w:bottom w:val="none" w:sz="0" w:space="0" w:color="auto"/>
                        <w:right w:val="none" w:sz="0" w:space="0" w:color="auto"/>
                      </w:divBdr>
                    </w:div>
                  </w:divsChild>
                </w:div>
                <w:div w:id="1823347276">
                  <w:marLeft w:val="0"/>
                  <w:marRight w:val="0"/>
                  <w:marTop w:val="0"/>
                  <w:marBottom w:val="0"/>
                  <w:divBdr>
                    <w:top w:val="none" w:sz="0" w:space="0" w:color="auto"/>
                    <w:left w:val="none" w:sz="0" w:space="0" w:color="auto"/>
                    <w:bottom w:val="none" w:sz="0" w:space="0" w:color="auto"/>
                    <w:right w:val="none" w:sz="0" w:space="0" w:color="auto"/>
                  </w:divBdr>
                  <w:divsChild>
                    <w:div w:id="17968180">
                      <w:marLeft w:val="0"/>
                      <w:marRight w:val="0"/>
                      <w:marTop w:val="0"/>
                      <w:marBottom w:val="0"/>
                      <w:divBdr>
                        <w:top w:val="none" w:sz="0" w:space="0" w:color="auto"/>
                        <w:left w:val="none" w:sz="0" w:space="0" w:color="auto"/>
                        <w:bottom w:val="none" w:sz="0" w:space="0" w:color="auto"/>
                        <w:right w:val="none" w:sz="0" w:space="0" w:color="auto"/>
                      </w:divBdr>
                    </w:div>
                  </w:divsChild>
                </w:div>
                <w:div w:id="1823962438">
                  <w:marLeft w:val="0"/>
                  <w:marRight w:val="0"/>
                  <w:marTop w:val="0"/>
                  <w:marBottom w:val="0"/>
                  <w:divBdr>
                    <w:top w:val="none" w:sz="0" w:space="0" w:color="auto"/>
                    <w:left w:val="none" w:sz="0" w:space="0" w:color="auto"/>
                    <w:bottom w:val="none" w:sz="0" w:space="0" w:color="auto"/>
                    <w:right w:val="none" w:sz="0" w:space="0" w:color="auto"/>
                  </w:divBdr>
                  <w:divsChild>
                    <w:div w:id="1149251140">
                      <w:marLeft w:val="0"/>
                      <w:marRight w:val="0"/>
                      <w:marTop w:val="0"/>
                      <w:marBottom w:val="0"/>
                      <w:divBdr>
                        <w:top w:val="none" w:sz="0" w:space="0" w:color="auto"/>
                        <w:left w:val="none" w:sz="0" w:space="0" w:color="auto"/>
                        <w:bottom w:val="none" w:sz="0" w:space="0" w:color="auto"/>
                        <w:right w:val="none" w:sz="0" w:space="0" w:color="auto"/>
                      </w:divBdr>
                    </w:div>
                  </w:divsChild>
                </w:div>
                <w:div w:id="1824850171">
                  <w:marLeft w:val="0"/>
                  <w:marRight w:val="0"/>
                  <w:marTop w:val="0"/>
                  <w:marBottom w:val="0"/>
                  <w:divBdr>
                    <w:top w:val="none" w:sz="0" w:space="0" w:color="auto"/>
                    <w:left w:val="none" w:sz="0" w:space="0" w:color="auto"/>
                    <w:bottom w:val="none" w:sz="0" w:space="0" w:color="auto"/>
                    <w:right w:val="none" w:sz="0" w:space="0" w:color="auto"/>
                  </w:divBdr>
                  <w:divsChild>
                    <w:div w:id="1989288378">
                      <w:marLeft w:val="0"/>
                      <w:marRight w:val="0"/>
                      <w:marTop w:val="0"/>
                      <w:marBottom w:val="0"/>
                      <w:divBdr>
                        <w:top w:val="none" w:sz="0" w:space="0" w:color="auto"/>
                        <w:left w:val="none" w:sz="0" w:space="0" w:color="auto"/>
                        <w:bottom w:val="none" w:sz="0" w:space="0" w:color="auto"/>
                        <w:right w:val="none" w:sz="0" w:space="0" w:color="auto"/>
                      </w:divBdr>
                    </w:div>
                  </w:divsChild>
                </w:div>
                <w:div w:id="1825390549">
                  <w:marLeft w:val="0"/>
                  <w:marRight w:val="0"/>
                  <w:marTop w:val="0"/>
                  <w:marBottom w:val="0"/>
                  <w:divBdr>
                    <w:top w:val="none" w:sz="0" w:space="0" w:color="auto"/>
                    <w:left w:val="none" w:sz="0" w:space="0" w:color="auto"/>
                    <w:bottom w:val="none" w:sz="0" w:space="0" w:color="auto"/>
                    <w:right w:val="none" w:sz="0" w:space="0" w:color="auto"/>
                  </w:divBdr>
                  <w:divsChild>
                    <w:div w:id="174808520">
                      <w:marLeft w:val="0"/>
                      <w:marRight w:val="0"/>
                      <w:marTop w:val="0"/>
                      <w:marBottom w:val="0"/>
                      <w:divBdr>
                        <w:top w:val="none" w:sz="0" w:space="0" w:color="auto"/>
                        <w:left w:val="none" w:sz="0" w:space="0" w:color="auto"/>
                        <w:bottom w:val="none" w:sz="0" w:space="0" w:color="auto"/>
                        <w:right w:val="none" w:sz="0" w:space="0" w:color="auto"/>
                      </w:divBdr>
                    </w:div>
                  </w:divsChild>
                </w:div>
                <w:div w:id="1830511577">
                  <w:marLeft w:val="0"/>
                  <w:marRight w:val="0"/>
                  <w:marTop w:val="0"/>
                  <w:marBottom w:val="0"/>
                  <w:divBdr>
                    <w:top w:val="none" w:sz="0" w:space="0" w:color="auto"/>
                    <w:left w:val="none" w:sz="0" w:space="0" w:color="auto"/>
                    <w:bottom w:val="none" w:sz="0" w:space="0" w:color="auto"/>
                    <w:right w:val="none" w:sz="0" w:space="0" w:color="auto"/>
                  </w:divBdr>
                  <w:divsChild>
                    <w:div w:id="1274629238">
                      <w:marLeft w:val="0"/>
                      <w:marRight w:val="0"/>
                      <w:marTop w:val="0"/>
                      <w:marBottom w:val="0"/>
                      <w:divBdr>
                        <w:top w:val="none" w:sz="0" w:space="0" w:color="auto"/>
                        <w:left w:val="none" w:sz="0" w:space="0" w:color="auto"/>
                        <w:bottom w:val="none" w:sz="0" w:space="0" w:color="auto"/>
                        <w:right w:val="none" w:sz="0" w:space="0" w:color="auto"/>
                      </w:divBdr>
                    </w:div>
                  </w:divsChild>
                </w:div>
                <w:div w:id="1830905660">
                  <w:marLeft w:val="0"/>
                  <w:marRight w:val="0"/>
                  <w:marTop w:val="0"/>
                  <w:marBottom w:val="0"/>
                  <w:divBdr>
                    <w:top w:val="none" w:sz="0" w:space="0" w:color="auto"/>
                    <w:left w:val="none" w:sz="0" w:space="0" w:color="auto"/>
                    <w:bottom w:val="none" w:sz="0" w:space="0" w:color="auto"/>
                    <w:right w:val="none" w:sz="0" w:space="0" w:color="auto"/>
                  </w:divBdr>
                  <w:divsChild>
                    <w:div w:id="1702436959">
                      <w:marLeft w:val="0"/>
                      <w:marRight w:val="0"/>
                      <w:marTop w:val="0"/>
                      <w:marBottom w:val="0"/>
                      <w:divBdr>
                        <w:top w:val="none" w:sz="0" w:space="0" w:color="auto"/>
                        <w:left w:val="none" w:sz="0" w:space="0" w:color="auto"/>
                        <w:bottom w:val="none" w:sz="0" w:space="0" w:color="auto"/>
                        <w:right w:val="none" w:sz="0" w:space="0" w:color="auto"/>
                      </w:divBdr>
                    </w:div>
                  </w:divsChild>
                </w:div>
                <w:div w:id="1834175644">
                  <w:marLeft w:val="0"/>
                  <w:marRight w:val="0"/>
                  <w:marTop w:val="0"/>
                  <w:marBottom w:val="0"/>
                  <w:divBdr>
                    <w:top w:val="none" w:sz="0" w:space="0" w:color="auto"/>
                    <w:left w:val="none" w:sz="0" w:space="0" w:color="auto"/>
                    <w:bottom w:val="none" w:sz="0" w:space="0" w:color="auto"/>
                    <w:right w:val="none" w:sz="0" w:space="0" w:color="auto"/>
                  </w:divBdr>
                  <w:divsChild>
                    <w:div w:id="2035425875">
                      <w:marLeft w:val="0"/>
                      <w:marRight w:val="0"/>
                      <w:marTop w:val="0"/>
                      <w:marBottom w:val="0"/>
                      <w:divBdr>
                        <w:top w:val="none" w:sz="0" w:space="0" w:color="auto"/>
                        <w:left w:val="none" w:sz="0" w:space="0" w:color="auto"/>
                        <w:bottom w:val="none" w:sz="0" w:space="0" w:color="auto"/>
                        <w:right w:val="none" w:sz="0" w:space="0" w:color="auto"/>
                      </w:divBdr>
                    </w:div>
                  </w:divsChild>
                </w:div>
                <w:div w:id="1835028485">
                  <w:marLeft w:val="0"/>
                  <w:marRight w:val="0"/>
                  <w:marTop w:val="0"/>
                  <w:marBottom w:val="0"/>
                  <w:divBdr>
                    <w:top w:val="none" w:sz="0" w:space="0" w:color="auto"/>
                    <w:left w:val="none" w:sz="0" w:space="0" w:color="auto"/>
                    <w:bottom w:val="none" w:sz="0" w:space="0" w:color="auto"/>
                    <w:right w:val="none" w:sz="0" w:space="0" w:color="auto"/>
                  </w:divBdr>
                  <w:divsChild>
                    <w:div w:id="1677032933">
                      <w:marLeft w:val="0"/>
                      <w:marRight w:val="0"/>
                      <w:marTop w:val="0"/>
                      <w:marBottom w:val="0"/>
                      <w:divBdr>
                        <w:top w:val="none" w:sz="0" w:space="0" w:color="auto"/>
                        <w:left w:val="none" w:sz="0" w:space="0" w:color="auto"/>
                        <w:bottom w:val="none" w:sz="0" w:space="0" w:color="auto"/>
                        <w:right w:val="none" w:sz="0" w:space="0" w:color="auto"/>
                      </w:divBdr>
                    </w:div>
                  </w:divsChild>
                </w:div>
                <w:div w:id="1847790687">
                  <w:marLeft w:val="0"/>
                  <w:marRight w:val="0"/>
                  <w:marTop w:val="0"/>
                  <w:marBottom w:val="0"/>
                  <w:divBdr>
                    <w:top w:val="none" w:sz="0" w:space="0" w:color="auto"/>
                    <w:left w:val="none" w:sz="0" w:space="0" w:color="auto"/>
                    <w:bottom w:val="none" w:sz="0" w:space="0" w:color="auto"/>
                    <w:right w:val="none" w:sz="0" w:space="0" w:color="auto"/>
                  </w:divBdr>
                  <w:divsChild>
                    <w:div w:id="22832081">
                      <w:marLeft w:val="0"/>
                      <w:marRight w:val="0"/>
                      <w:marTop w:val="0"/>
                      <w:marBottom w:val="0"/>
                      <w:divBdr>
                        <w:top w:val="none" w:sz="0" w:space="0" w:color="auto"/>
                        <w:left w:val="none" w:sz="0" w:space="0" w:color="auto"/>
                        <w:bottom w:val="none" w:sz="0" w:space="0" w:color="auto"/>
                        <w:right w:val="none" w:sz="0" w:space="0" w:color="auto"/>
                      </w:divBdr>
                    </w:div>
                  </w:divsChild>
                </w:div>
                <w:div w:id="1876845239">
                  <w:marLeft w:val="0"/>
                  <w:marRight w:val="0"/>
                  <w:marTop w:val="0"/>
                  <w:marBottom w:val="0"/>
                  <w:divBdr>
                    <w:top w:val="none" w:sz="0" w:space="0" w:color="auto"/>
                    <w:left w:val="none" w:sz="0" w:space="0" w:color="auto"/>
                    <w:bottom w:val="none" w:sz="0" w:space="0" w:color="auto"/>
                    <w:right w:val="none" w:sz="0" w:space="0" w:color="auto"/>
                  </w:divBdr>
                  <w:divsChild>
                    <w:div w:id="760948011">
                      <w:marLeft w:val="0"/>
                      <w:marRight w:val="0"/>
                      <w:marTop w:val="0"/>
                      <w:marBottom w:val="0"/>
                      <w:divBdr>
                        <w:top w:val="none" w:sz="0" w:space="0" w:color="auto"/>
                        <w:left w:val="none" w:sz="0" w:space="0" w:color="auto"/>
                        <w:bottom w:val="none" w:sz="0" w:space="0" w:color="auto"/>
                        <w:right w:val="none" w:sz="0" w:space="0" w:color="auto"/>
                      </w:divBdr>
                    </w:div>
                  </w:divsChild>
                </w:div>
                <w:div w:id="1886941496">
                  <w:marLeft w:val="0"/>
                  <w:marRight w:val="0"/>
                  <w:marTop w:val="0"/>
                  <w:marBottom w:val="0"/>
                  <w:divBdr>
                    <w:top w:val="none" w:sz="0" w:space="0" w:color="auto"/>
                    <w:left w:val="none" w:sz="0" w:space="0" w:color="auto"/>
                    <w:bottom w:val="none" w:sz="0" w:space="0" w:color="auto"/>
                    <w:right w:val="none" w:sz="0" w:space="0" w:color="auto"/>
                  </w:divBdr>
                  <w:divsChild>
                    <w:div w:id="385371171">
                      <w:marLeft w:val="0"/>
                      <w:marRight w:val="0"/>
                      <w:marTop w:val="0"/>
                      <w:marBottom w:val="0"/>
                      <w:divBdr>
                        <w:top w:val="none" w:sz="0" w:space="0" w:color="auto"/>
                        <w:left w:val="none" w:sz="0" w:space="0" w:color="auto"/>
                        <w:bottom w:val="none" w:sz="0" w:space="0" w:color="auto"/>
                        <w:right w:val="none" w:sz="0" w:space="0" w:color="auto"/>
                      </w:divBdr>
                    </w:div>
                  </w:divsChild>
                </w:div>
                <w:div w:id="1897617608">
                  <w:marLeft w:val="0"/>
                  <w:marRight w:val="0"/>
                  <w:marTop w:val="0"/>
                  <w:marBottom w:val="0"/>
                  <w:divBdr>
                    <w:top w:val="none" w:sz="0" w:space="0" w:color="auto"/>
                    <w:left w:val="none" w:sz="0" w:space="0" w:color="auto"/>
                    <w:bottom w:val="none" w:sz="0" w:space="0" w:color="auto"/>
                    <w:right w:val="none" w:sz="0" w:space="0" w:color="auto"/>
                  </w:divBdr>
                  <w:divsChild>
                    <w:div w:id="1555042551">
                      <w:marLeft w:val="0"/>
                      <w:marRight w:val="0"/>
                      <w:marTop w:val="0"/>
                      <w:marBottom w:val="0"/>
                      <w:divBdr>
                        <w:top w:val="none" w:sz="0" w:space="0" w:color="auto"/>
                        <w:left w:val="none" w:sz="0" w:space="0" w:color="auto"/>
                        <w:bottom w:val="none" w:sz="0" w:space="0" w:color="auto"/>
                        <w:right w:val="none" w:sz="0" w:space="0" w:color="auto"/>
                      </w:divBdr>
                    </w:div>
                  </w:divsChild>
                </w:div>
                <w:div w:id="1910921496">
                  <w:marLeft w:val="0"/>
                  <w:marRight w:val="0"/>
                  <w:marTop w:val="0"/>
                  <w:marBottom w:val="0"/>
                  <w:divBdr>
                    <w:top w:val="none" w:sz="0" w:space="0" w:color="auto"/>
                    <w:left w:val="none" w:sz="0" w:space="0" w:color="auto"/>
                    <w:bottom w:val="none" w:sz="0" w:space="0" w:color="auto"/>
                    <w:right w:val="none" w:sz="0" w:space="0" w:color="auto"/>
                  </w:divBdr>
                  <w:divsChild>
                    <w:div w:id="1668560986">
                      <w:marLeft w:val="0"/>
                      <w:marRight w:val="0"/>
                      <w:marTop w:val="0"/>
                      <w:marBottom w:val="0"/>
                      <w:divBdr>
                        <w:top w:val="none" w:sz="0" w:space="0" w:color="auto"/>
                        <w:left w:val="none" w:sz="0" w:space="0" w:color="auto"/>
                        <w:bottom w:val="none" w:sz="0" w:space="0" w:color="auto"/>
                        <w:right w:val="none" w:sz="0" w:space="0" w:color="auto"/>
                      </w:divBdr>
                    </w:div>
                  </w:divsChild>
                </w:div>
                <w:div w:id="1926759974">
                  <w:marLeft w:val="0"/>
                  <w:marRight w:val="0"/>
                  <w:marTop w:val="0"/>
                  <w:marBottom w:val="0"/>
                  <w:divBdr>
                    <w:top w:val="none" w:sz="0" w:space="0" w:color="auto"/>
                    <w:left w:val="none" w:sz="0" w:space="0" w:color="auto"/>
                    <w:bottom w:val="none" w:sz="0" w:space="0" w:color="auto"/>
                    <w:right w:val="none" w:sz="0" w:space="0" w:color="auto"/>
                  </w:divBdr>
                  <w:divsChild>
                    <w:div w:id="1694263076">
                      <w:marLeft w:val="0"/>
                      <w:marRight w:val="0"/>
                      <w:marTop w:val="0"/>
                      <w:marBottom w:val="0"/>
                      <w:divBdr>
                        <w:top w:val="none" w:sz="0" w:space="0" w:color="auto"/>
                        <w:left w:val="none" w:sz="0" w:space="0" w:color="auto"/>
                        <w:bottom w:val="none" w:sz="0" w:space="0" w:color="auto"/>
                        <w:right w:val="none" w:sz="0" w:space="0" w:color="auto"/>
                      </w:divBdr>
                    </w:div>
                  </w:divsChild>
                </w:div>
                <w:div w:id="1929465677">
                  <w:marLeft w:val="0"/>
                  <w:marRight w:val="0"/>
                  <w:marTop w:val="0"/>
                  <w:marBottom w:val="0"/>
                  <w:divBdr>
                    <w:top w:val="none" w:sz="0" w:space="0" w:color="auto"/>
                    <w:left w:val="none" w:sz="0" w:space="0" w:color="auto"/>
                    <w:bottom w:val="none" w:sz="0" w:space="0" w:color="auto"/>
                    <w:right w:val="none" w:sz="0" w:space="0" w:color="auto"/>
                  </w:divBdr>
                  <w:divsChild>
                    <w:div w:id="2020157062">
                      <w:marLeft w:val="0"/>
                      <w:marRight w:val="0"/>
                      <w:marTop w:val="0"/>
                      <w:marBottom w:val="0"/>
                      <w:divBdr>
                        <w:top w:val="none" w:sz="0" w:space="0" w:color="auto"/>
                        <w:left w:val="none" w:sz="0" w:space="0" w:color="auto"/>
                        <w:bottom w:val="none" w:sz="0" w:space="0" w:color="auto"/>
                        <w:right w:val="none" w:sz="0" w:space="0" w:color="auto"/>
                      </w:divBdr>
                    </w:div>
                  </w:divsChild>
                </w:div>
                <w:div w:id="1944535144">
                  <w:marLeft w:val="0"/>
                  <w:marRight w:val="0"/>
                  <w:marTop w:val="0"/>
                  <w:marBottom w:val="0"/>
                  <w:divBdr>
                    <w:top w:val="none" w:sz="0" w:space="0" w:color="auto"/>
                    <w:left w:val="none" w:sz="0" w:space="0" w:color="auto"/>
                    <w:bottom w:val="none" w:sz="0" w:space="0" w:color="auto"/>
                    <w:right w:val="none" w:sz="0" w:space="0" w:color="auto"/>
                  </w:divBdr>
                  <w:divsChild>
                    <w:div w:id="108400744">
                      <w:marLeft w:val="0"/>
                      <w:marRight w:val="0"/>
                      <w:marTop w:val="0"/>
                      <w:marBottom w:val="0"/>
                      <w:divBdr>
                        <w:top w:val="none" w:sz="0" w:space="0" w:color="auto"/>
                        <w:left w:val="none" w:sz="0" w:space="0" w:color="auto"/>
                        <w:bottom w:val="none" w:sz="0" w:space="0" w:color="auto"/>
                        <w:right w:val="none" w:sz="0" w:space="0" w:color="auto"/>
                      </w:divBdr>
                    </w:div>
                  </w:divsChild>
                </w:div>
                <w:div w:id="1954746673">
                  <w:marLeft w:val="0"/>
                  <w:marRight w:val="0"/>
                  <w:marTop w:val="0"/>
                  <w:marBottom w:val="0"/>
                  <w:divBdr>
                    <w:top w:val="none" w:sz="0" w:space="0" w:color="auto"/>
                    <w:left w:val="none" w:sz="0" w:space="0" w:color="auto"/>
                    <w:bottom w:val="none" w:sz="0" w:space="0" w:color="auto"/>
                    <w:right w:val="none" w:sz="0" w:space="0" w:color="auto"/>
                  </w:divBdr>
                  <w:divsChild>
                    <w:div w:id="1302152557">
                      <w:marLeft w:val="0"/>
                      <w:marRight w:val="0"/>
                      <w:marTop w:val="0"/>
                      <w:marBottom w:val="0"/>
                      <w:divBdr>
                        <w:top w:val="none" w:sz="0" w:space="0" w:color="auto"/>
                        <w:left w:val="none" w:sz="0" w:space="0" w:color="auto"/>
                        <w:bottom w:val="none" w:sz="0" w:space="0" w:color="auto"/>
                        <w:right w:val="none" w:sz="0" w:space="0" w:color="auto"/>
                      </w:divBdr>
                    </w:div>
                  </w:divsChild>
                </w:div>
                <w:div w:id="1955750434">
                  <w:marLeft w:val="0"/>
                  <w:marRight w:val="0"/>
                  <w:marTop w:val="0"/>
                  <w:marBottom w:val="0"/>
                  <w:divBdr>
                    <w:top w:val="none" w:sz="0" w:space="0" w:color="auto"/>
                    <w:left w:val="none" w:sz="0" w:space="0" w:color="auto"/>
                    <w:bottom w:val="none" w:sz="0" w:space="0" w:color="auto"/>
                    <w:right w:val="none" w:sz="0" w:space="0" w:color="auto"/>
                  </w:divBdr>
                  <w:divsChild>
                    <w:div w:id="857040506">
                      <w:marLeft w:val="0"/>
                      <w:marRight w:val="0"/>
                      <w:marTop w:val="0"/>
                      <w:marBottom w:val="0"/>
                      <w:divBdr>
                        <w:top w:val="none" w:sz="0" w:space="0" w:color="auto"/>
                        <w:left w:val="none" w:sz="0" w:space="0" w:color="auto"/>
                        <w:bottom w:val="none" w:sz="0" w:space="0" w:color="auto"/>
                        <w:right w:val="none" w:sz="0" w:space="0" w:color="auto"/>
                      </w:divBdr>
                    </w:div>
                  </w:divsChild>
                </w:div>
                <w:div w:id="1969046110">
                  <w:marLeft w:val="0"/>
                  <w:marRight w:val="0"/>
                  <w:marTop w:val="0"/>
                  <w:marBottom w:val="0"/>
                  <w:divBdr>
                    <w:top w:val="none" w:sz="0" w:space="0" w:color="auto"/>
                    <w:left w:val="none" w:sz="0" w:space="0" w:color="auto"/>
                    <w:bottom w:val="none" w:sz="0" w:space="0" w:color="auto"/>
                    <w:right w:val="none" w:sz="0" w:space="0" w:color="auto"/>
                  </w:divBdr>
                  <w:divsChild>
                    <w:div w:id="831487615">
                      <w:marLeft w:val="0"/>
                      <w:marRight w:val="0"/>
                      <w:marTop w:val="0"/>
                      <w:marBottom w:val="0"/>
                      <w:divBdr>
                        <w:top w:val="none" w:sz="0" w:space="0" w:color="auto"/>
                        <w:left w:val="none" w:sz="0" w:space="0" w:color="auto"/>
                        <w:bottom w:val="none" w:sz="0" w:space="0" w:color="auto"/>
                        <w:right w:val="none" w:sz="0" w:space="0" w:color="auto"/>
                      </w:divBdr>
                    </w:div>
                  </w:divsChild>
                </w:div>
                <w:div w:id="1991590545">
                  <w:marLeft w:val="0"/>
                  <w:marRight w:val="0"/>
                  <w:marTop w:val="0"/>
                  <w:marBottom w:val="0"/>
                  <w:divBdr>
                    <w:top w:val="none" w:sz="0" w:space="0" w:color="auto"/>
                    <w:left w:val="none" w:sz="0" w:space="0" w:color="auto"/>
                    <w:bottom w:val="none" w:sz="0" w:space="0" w:color="auto"/>
                    <w:right w:val="none" w:sz="0" w:space="0" w:color="auto"/>
                  </w:divBdr>
                  <w:divsChild>
                    <w:div w:id="810637158">
                      <w:marLeft w:val="0"/>
                      <w:marRight w:val="0"/>
                      <w:marTop w:val="0"/>
                      <w:marBottom w:val="0"/>
                      <w:divBdr>
                        <w:top w:val="none" w:sz="0" w:space="0" w:color="auto"/>
                        <w:left w:val="none" w:sz="0" w:space="0" w:color="auto"/>
                        <w:bottom w:val="none" w:sz="0" w:space="0" w:color="auto"/>
                        <w:right w:val="none" w:sz="0" w:space="0" w:color="auto"/>
                      </w:divBdr>
                    </w:div>
                  </w:divsChild>
                </w:div>
                <w:div w:id="2004234502">
                  <w:marLeft w:val="0"/>
                  <w:marRight w:val="0"/>
                  <w:marTop w:val="0"/>
                  <w:marBottom w:val="0"/>
                  <w:divBdr>
                    <w:top w:val="none" w:sz="0" w:space="0" w:color="auto"/>
                    <w:left w:val="none" w:sz="0" w:space="0" w:color="auto"/>
                    <w:bottom w:val="none" w:sz="0" w:space="0" w:color="auto"/>
                    <w:right w:val="none" w:sz="0" w:space="0" w:color="auto"/>
                  </w:divBdr>
                  <w:divsChild>
                    <w:div w:id="78446835">
                      <w:marLeft w:val="0"/>
                      <w:marRight w:val="0"/>
                      <w:marTop w:val="0"/>
                      <w:marBottom w:val="0"/>
                      <w:divBdr>
                        <w:top w:val="none" w:sz="0" w:space="0" w:color="auto"/>
                        <w:left w:val="none" w:sz="0" w:space="0" w:color="auto"/>
                        <w:bottom w:val="none" w:sz="0" w:space="0" w:color="auto"/>
                        <w:right w:val="none" w:sz="0" w:space="0" w:color="auto"/>
                      </w:divBdr>
                    </w:div>
                  </w:divsChild>
                </w:div>
                <w:div w:id="2014067896">
                  <w:marLeft w:val="0"/>
                  <w:marRight w:val="0"/>
                  <w:marTop w:val="0"/>
                  <w:marBottom w:val="0"/>
                  <w:divBdr>
                    <w:top w:val="none" w:sz="0" w:space="0" w:color="auto"/>
                    <w:left w:val="none" w:sz="0" w:space="0" w:color="auto"/>
                    <w:bottom w:val="none" w:sz="0" w:space="0" w:color="auto"/>
                    <w:right w:val="none" w:sz="0" w:space="0" w:color="auto"/>
                  </w:divBdr>
                  <w:divsChild>
                    <w:div w:id="19168288">
                      <w:marLeft w:val="0"/>
                      <w:marRight w:val="0"/>
                      <w:marTop w:val="0"/>
                      <w:marBottom w:val="0"/>
                      <w:divBdr>
                        <w:top w:val="none" w:sz="0" w:space="0" w:color="auto"/>
                        <w:left w:val="none" w:sz="0" w:space="0" w:color="auto"/>
                        <w:bottom w:val="none" w:sz="0" w:space="0" w:color="auto"/>
                        <w:right w:val="none" w:sz="0" w:space="0" w:color="auto"/>
                      </w:divBdr>
                    </w:div>
                  </w:divsChild>
                </w:div>
                <w:div w:id="2016032043">
                  <w:marLeft w:val="0"/>
                  <w:marRight w:val="0"/>
                  <w:marTop w:val="0"/>
                  <w:marBottom w:val="0"/>
                  <w:divBdr>
                    <w:top w:val="none" w:sz="0" w:space="0" w:color="auto"/>
                    <w:left w:val="none" w:sz="0" w:space="0" w:color="auto"/>
                    <w:bottom w:val="none" w:sz="0" w:space="0" w:color="auto"/>
                    <w:right w:val="none" w:sz="0" w:space="0" w:color="auto"/>
                  </w:divBdr>
                  <w:divsChild>
                    <w:div w:id="2044944073">
                      <w:marLeft w:val="0"/>
                      <w:marRight w:val="0"/>
                      <w:marTop w:val="0"/>
                      <w:marBottom w:val="0"/>
                      <w:divBdr>
                        <w:top w:val="none" w:sz="0" w:space="0" w:color="auto"/>
                        <w:left w:val="none" w:sz="0" w:space="0" w:color="auto"/>
                        <w:bottom w:val="none" w:sz="0" w:space="0" w:color="auto"/>
                        <w:right w:val="none" w:sz="0" w:space="0" w:color="auto"/>
                      </w:divBdr>
                    </w:div>
                  </w:divsChild>
                </w:div>
                <w:div w:id="2018801442">
                  <w:marLeft w:val="0"/>
                  <w:marRight w:val="0"/>
                  <w:marTop w:val="0"/>
                  <w:marBottom w:val="0"/>
                  <w:divBdr>
                    <w:top w:val="none" w:sz="0" w:space="0" w:color="auto"/>
                    <w:left w:val="none" w:sz="0" w:space="0" w:color="auto"/>
                    <w:bottom w:val="none" w:sz="0" w:space="0" w:color="auto"/>
                    <w:right w:val="none" w:sz="0" w:space="0" w:color="auto"/>
                  </w:divBdr>
                  <w:divsChild>
                    <w:div w:id="1641960117">
                      <w:marLeft w:val="0"/>
                      <w:marRight w:val="0"/>
                      <w:marTop w:val="0"/>
                      <w:marBottom w:val="0"/>
                      <w:divBdr>
                        <w:top w:val="none" w:sz="0" w:space="0" w:color="auto"/>
                        <w:left w:val="none" w:sz="0" w:space="0" w:color="auto"/>
                        <w:bottom w:val="none" w:sz="0" w:space="0" w:color="auto"/>
                        <w:right w:val="none" w:sz="0" w:space="0" w:color="auto"/>
                      </w:divBdr>
                    </w:div>
                  </w:divsChild>
                </w:div>
                <w:div w:id="2035035195">
                  <w:marLeft w:val="0"/>
                  <w:marRight w:val="0"/>
                  <w:marTop w:val="0"/>
                  <w:marBottom w:val="0"/>
                  <w:divBdr>
                    <w:top w:val="none" w:sz="0" w:space="0" w:color="auto"/>
                    <w:left w:val="none" w:sz="0" w:space="0" w:color="auto"/>
                    <w:bottom w:val="none" w:sz="0" w:space="0" w:color="auto"/>
                    <w:right w:val="none" w:sz="0" w:space="0" w:color="auto"/>
                  </w:divBdr>
                  <w:divsChild>
                    <w:div w:id="1560357507">
                      <w:marLeft w:val="0"/>
                      <w:marRight w:val="0"/>
                      <w:marTop w:val="0"/>
                      <w:marBottom w:val="0"/>
                      <w:divBdr>
                        <w:top w:val="none" w:sz="0" w:space="0" w:color="auto"/>
                        <w:left w:val="none" w:sz="0" w:space="0" w:color="auto"/>
                        <w:bottom w:val="none" w:sz="0" w:space="0" w:color="auto"/>
                        <w:right w:val="none" w:sz="0" w:space="0" w:color="auto"/>
                      </w:divBdr>
                    </w:div>
                  </w:divsChild>
                </w:div>
                <w:div w:id="2045902998">
                  <w:marLeft w:val="0"/>
                  <w:marRight w:val="0"/>
                  <w:marTop w:val="0"/>
                  <w:marBottom w:val="0"/>
                  <w:divBdr>
                    <w:top w:val="none" w:sz="0" w:space="0" w:color="auto"/>
                    <w:left w:val="none" w:sz="0" w:space="0" w:color="auto"/>
                    <w:bottom w:val="none" w:sz="0" w:space="0" w:color="auto"/>
                    <w:right w:val="none" w:sz="0" w:space="0" w:color="auto"/>
                  </w:divBdr>
                  <w:divsChild>
                    <w:div w:id="1323510623">
                      <w:marLeft w:val="0"/>
                      <w:marRight w:val="0"/>
                      <w:marTop w:val="0"/>
                      <w:marBottom w:val="0"/>
                      <w:divBdr>
                        <w:top w:val="none" w:sz="0" w:space="0" w:color="auto"/>
                        <w:left w:val="none" w:sz="0" w:space="0" w:color="auto"/>
                        <w:bottom w:val="none" w:sz="0" w:space="0" w:color="auto"/>
                        <w:right w:val="none" w:sz="0" w:space="0" w:color="auto"/>
                      </w:divBdr>
                    </w:div>
                  </w:divsChild>
                </w:div>
                <w:div w:id="2046909285">
                  <w:marLeft w:val="0"/>
                  <w:marRight w:val="0"/>
                  <w:marTop w:val="0"/>
                  <w:marBottom w:val="0"/>
                  <w:divBdr>
                    <w:top w:val="none" w:sz="0" w:space="0" w:color="auto"/>
                    <w:left w:val="none" w:sz="0" w:space="0" w:color="auto"/>
                    <w:bottom w:val="none" w:sz="0" w:space="0" w:color="auto"/>
                    <w:right w:val="none" w:sz="0" w:space="0" w:color="auto"/>
                  </w:divBdr>
                  <w:divsChild>
                    <w:div w:id="51538518">
                      <w:marLeft w:val="0"/>
                      <w:marRight w:val="0"/>
                      <w:marTop w:val="0"/>
                      <w:marBottom w:val="0"/>
                      <w:divBdr>
                        <w:top w:val="none" w:sz="0" w:space="0" w:color="auto"/>
                        <w:left w:val="none" w:sz="0" w:space="0" w:color="auto"/>
                        <w:bottom w:val="none" w:sz="0" w:space="0" w:color="auto"/>
                        <w:right w:val="none" w:sz="0" w:space="0" w:color="auto"/>
                      </w:divBdr>
                    </w:div>
                  </w:divsChild>
                </w:div>
                <w:div w:id="2050255539">
                  <w:marLeft w:val="0"/>
                  <w:marRight w:val="0"/>
                  <w:marTop w:val="0"/>
                  <w:marBottom w:val="0"/>
                  <w:divBdr>
                    <w:top w:val="none" w:sz="0" w:space="0" w:color="auto"/>
                    <w:left w:val="none" w:sz="0" w:space="0" w:color="auto"/>
                    <w:bottom w:val="none" w:sz="0" w:space="0" w:color="auto"/>
                    <w:right w:val="none" w:sz="0" w:space="0" w:color="auto"/>
                  </w:divBdr>
                  <w:divsChild>
                    <w:div w:id="2126730633">
                      <w:marLeft w:val="0"/>
                      <w:marRight w:val="0"/>
                      <w:marTop w:val="0"/>
                      <w:marBottom w:val="0"/>
                      <w:divBdr>
                        <w:top w:val="none" w:sz="0" w:space="0" w:color="auto"/>
                        <w:left w:val="none" w:sz="0" w:space="0" w:color="auto"/>
                        <w:bottom w:val="none" w:sz="0" w:space="0" w:color="auto"/>
                        <w:right w:val="none" w:sz="0" w:space="0" w:color="auto"/>
                      </w:divBdr>
                    </w:div>
                  </w:divsChild>
                </w:div>
                <w:div w:id="2059628169">
                  <w:marLeft w:val="0"/>
                  <w:marRight w:val="0"/>
                  <w:marTop w:val="0"/>
                  <w:marBottom w:val="0"/>
                  <w:divBdr>
                    <w:top w:val="none" w:sz="0" w:space="0" w:color="auto"/>
                    <w:left w:val="none" w:sz="0" w:space="0" w:color="auto"/>
                    <w:bottom w:val="none" w:sz="0" w:space="0" w:color="auto"/>
                    <w:right w:val="none" w:sz="0" w:space="0" w:color="auto"/>
                  </w:divBdr>
                  <w:divsChild>
                    <w:div w:id="149061200">
                      <w:marLeft w:val="0"/>
                      <w:marRight w:val="0"/>
                      <w:marTop w:val="0"/>
                      <w:marBottom w:val="0"/>
                      <w:divBdr>
                        <w:top w:val="none" w:sz="0" w:space="0" w:color="auto"/>
                        <w:left w:val="none" w:sz="0" w:space="0" w:color="auto"/>
                        <w:bottom w:val="none" w:sz="0" w:space="0" w:color="auto"/>
                        <w:right w:val="none" w:sz="0" w:space="0" w:color="auto"/>
                      </w:divBdr>
                    </w:div>
                  </w:divsChild>
                </w:div>
                <w:div w:id="2062095266">
                  <w:marLeft w:val="0"/>
                  <w:marRight w:val="0"/>
                  <w:marTop w:val="0"/>
                  <w:marBottom w:val="0"/>
                  <w:divBdr>
                    <w:top w:val="none" w:sz="0" w:space="0" w:color="auto"/>
                    <w:left w:val="none" w:sz="0" w:space="0" w:color="auto"/>
                    <w:bottom w:val="none" w:sz="0" w:space="0" w:color="auto"/>
                    <w:right w:val="none" w:sz="0" w:space="0" w:color="auto"/>
                  </w:divBdr>
                  <w:divsChild>
                    <w:div w:id="1982804969">
                      <w:marLeft w:val="0"/>
                      <w:marRight w:val="0"/>
                      <w:marTop w:val="0"/>
                      <w:marBottom w:val="0"/>
                      <w:divBdr>
                        <w:top w:val="none" w:sz="0" w:space="0" w:color="auto"/>
                        <w:left w:val="none" w:sz="0" w:space="0" w:color="auto"/>
                        <w:bottom w:val="none" w:sz="0" w:space="0" w:color="auto"/>
                        <w:right w:val="none" w:sz="0" w:space="0" w:color="auto"/>
                      </w:divBdr>
                    </w:div>
                  </w:divsChild>
                </w:div>
                <w:div w:id="2067138965">
                  <w:marLeft w:val="0"/>
                  <w:marRight w:val="0"/>
                  <w:marTop w:val="0"/>
                  <w:marBottom w:val="0"/>
                  <w:divBdr>
                    <w:top w:val="none" w:sz="0" w:space="0" w:color="auto"/>
                    <w:left w:val="none" w:sz="0" w:space="0" w:color="auto"/>
                    <w:bottom w:val="none" w:sz="0" w:space="0" w:color="auto"/>
                    <w:right w:val="none" w:sz="0" w:space="0" w:color="auto"/>
                  </w:divBdr>
                  <w:divsChild>
                    <w:div w:id="285279559">
                      <w:marLeft w:val="0"/>
                      <w:marRight w:val="0"/>
                      <w:marTop w:val="0"/>
                      <w:marBottom w:val="0"/>
                      <w:divBdr>
                        <w:top w:val="none" w:sz="0" w:space="0" w:color="auto"/>
                        <w:left w:val="none" w:sz="0" w:space="0" w:color="auto"/>
                        <w:bottom w:val="none" w:sz="0" w:space="0" w:color="auto"/>
                        <w:right w:val="none" w:sz="0" w:space="0" w:color="auto"/>
                      </w:divBdr>
                    </w:div>
                  </w:divsChild>
                </w:div>
                <w:div w:id="2075662413">
                  <w:marLeft w:val="0"/>
                  <w:marRight w:val="0"/>
                  <w:marTop w:val="0"/>
                  <w:marBottom w:val="0"/>
                  <w:divBdr>
                    <w:top w:val="none" w:sz="0" w:space="0" w:color="auto"/>
                    <w:left w:val="none" w:sz="0" w:space="0" w:color="auto"/>
                    <w:bottom w:val="none" w:sz="0" w:space="0" w:color="auto"/>
                    <w:right w:val="none" w:sz="0" w:space="0" w:color="auto"/>
                  </w:divBdr>
                  <w:divsChild>
                    <w:div w:id="220023156">
                      <w:marLeft w:val="0"/>
                      <w:marRight w:val="0"/>
                      <w:marTop w:val="0"/>
                      <w:marBottom w:val="0"/>
                      <w:divBdr>
                        <w:top w:val="none" w:sz="0" w:space="0" w:color="auto"/>
                        <w:left w:val="none" w:sz="0" w:space="0" w:color="auto"/>
                        <w:bottom w:val="none" w:sz="0" w:space="0" w:color="auto"/>
                        <w:right w:val="none" w:sz="0" w:space="0" w:color="auto"/>
                      </w:divBdr>
                    </w:div>
                  </w:divsChild>
                </w:div>
                <w:div w:id="2097170586">
                  <w:marLeft w:val="0"/>
                  <w:marRight w:val="0"/>
                  <w:marTop w:val="0"/>
                  <w:marBottom w:val="0"/>
                  <w:divBdr>
                    <w:top w:val="none" w:sz="0" w:space="0" w:color="auto"/>
                    <w:left w:val="none" w:sz="0" w:space="0" w:color="auto"/>
                    <w:bottom w:val="none" w:sz="0" w:space="0" w:color="auto"/>
                    <w:right w:val="none" w:sz="0" w:space="0" w:color="auto"/>
                  </w:divBdr>
                  <w:divsChild>
                    <w:div w:id="1573924053">
                      <w:marLeft w:val="0"/>
                      <w:marRight w:val="0"/>
                      <w:marTop w:val="0"/>
                      <w:marBottom w:val="0"/>
                      <w:divBdr>
                        <w:top w:val="none" w:sz="0" w:space="0" w:color="auto"/>
                        <w:left w:val="none" w:sz="0" w:space="0" w:color="auto"/>
                        <w:bottom w:val="none" w:sz="0" w:space="0" w:color="auto"/>
                        <w:right w:val="none" w:sz="0" w:space="0" w:color="auto"/>
                      </w:divBdr>
                    </w:div>
                  </w:divsChild>
                </w:div>
                <w:div w:id="2102144239">
                  <w:marLeft w:val="0"/>
                  <w:marRight w:val="0"/>
                  <w:marTop w:val="0"/>
                  <w:marBottom w:val="0"/>
                  <w:divBdr>
                    <w:top w:val="none" w:sz="0" w:space="0" w:color="auto"/>
                    <w:left w:val="none" w:sz="0" w:space="0" w:color="auto"/>
                    <w:bottom w:val="none" w:sz="0" w:space="0" w:color="auto"/>
                    <w:right w:val="none" w:sz="0" w:space="0" w:color="auto"/>
                  </w:divBdr>
                  <w:divsChild>
                    <w:div w:id="770246993">
                      <w:marLeft w:val="0"/>
                      <w:marRight w:val="0"/>
                      <w:marTop w:val="0"/>
                      <w:marBottom w:val="0"/>
                      <w:divBdr>
                        <w:top w:val="none" w:sz="0" w:space="0" w:color="auto"/>
                        <w:left w:val="none" w:sz="0" w:space="0" w:color="auto"/>
                        <w:bottom w:val="none" w:sz="0" w:space="0" w:color="auto"/>
                        <w:right w:val="none" w:sz="0" w:space="0" w:color="auto"/>
                      </w:divBdr>
                    </w:div>
                  </w:divsChild>
                </w:div>
                <w:div w:id="2106921349">
                  <w:marLeft w:val="0"/>
                  <w:marRight w:val="0"/>
                  <w:marTop w:val="0"/>
                  <w:marBottom w:val="0"/>
                  <w:divBdr>
                    <w:top w:val="none" w:sz="0" w:space="0" w:color="auto"/>
                    <w:left w:val="none" w:sz="0" w:space="0" w:color="auto"/>
                    <w:bottom w:val="none" w:sz="0" w:space="0" w:color="auto"/>
                    <w:right w:val="none" w:sz="0" w:space="0" w:color="auto"/>
                  </w:divBdr>
                  <w:divsChild>
                    <w:div w:id="1951935724">
                      <w:marLeft w:val="0"/>
                      <w:marRight w:val="0"/>
                      <w:marTop w:val="0"/>
                      <w:marBottom w:val="0"/>
                      <w:divBdr>
                        <w:top w:val="none" w:sz="0" w:space="0" w:color="auto"/>
                        <w:left w:val="none" w:sz="0" w:space="0" w:color="auto"/>
                        <w:bottom w:val="none" w:sz="0" w:space="0" w:color="auto"/>
                        <w:right w:val="none" w:sz="0" w:space="0" w:color="auto"/>
                      </w:divBdr>
                    </w:div>
                  </w:divsChild>
                </w:div>
                <w:div w:id="2113669620">
                  <w:marLeft w:val="0"/>
                  <w:marRight w:val="0"/>
                  <w:marTop w:val="0"/>
                  <w:marBottom w:val="0"/>
                  <w:divBdr>
                    <w:top w:val="none" w:sz="0" w:space="0" w:color="auto"/>
                    <w:left w:val="none" w:sz="0" w:space="0" w:color="auto"/>
                    <w:bottom w:val="none" w:sz="0" w:space="0" w:color="auto"/>
                    <w:right w:val="none" w:sz="0" w:space="0" w:color="auto"/>
                  </w:divBdr>
                  <w:divsChild>
                    <w:div w:id="550776655">
                      <w:marLeft w:val="0"/>
                      <w:marRight w:val="0"/>
                      <w:marTop w:val="0"/>
                      <w:marBottom w:val="0"/>
                      <w:divBdr>
                        <w:top w:val="none" w:sz="0" w:space="0" w:color="auto"/>
                        <w:left w:val="none" w:sz="0" w:space="0" w:color="auto"/>
                        <w:bottom w:val="none" w:sz="0" w:space="0" w:color="auto"/>
                        <w:right w:val="none" w:sz="0" w:space="0" w:color="auto"/>
                      </w:divBdr>
                    </w:div>
                  </w:divsChild>
                </w:div>
                <w:div w:id="2117015026">
                  <w:marLeft w:val="0"/>
                  <w:marRight w:val="0"/>
                  <w:marTop w:val="0"/>
                  <w:marBottom w:val="0"/>
                  <w:divBdr>
                    <w:top w:val="none" w:sz="0" w:space="0" w:color="auto"/>
                    <w:left w:val="none" w:sz="0" w:space="0" w:color="auto"/>
                    <w:bottom w:val="none" w:sz="0" w:space="0" w:color="auto"/>
                    <w:right w:val="none" w:sz="0" w:space="0" w:color="auto"/>
                  </w:divBdr>
                  <w:divsChild>
                    <w:div w:id="1691028411">
                      <w:marLeft w:val="0"/>
                      <w:marRight w:val="0"/>
                      <w:marTop w:val="0"/>
                      <w:marBottom w:val="0"/>
                      <w:divBdr>
                        <w:top w:val="none" w:sz="0" w:space="0" w:color="auto"/>
                        <w:left w:val="none" w:sz="0" w:space="0" w:color="auto"/>
                        <w:bottom w:val="none" w:sz="0" w:space="0" w:color="auto"/>
                        <w:right w:val="none" w:sz="0" w:space="0" w:color="auto"/>
                      </w:divBdr>
                    </w:div>
                  </w:divsChild>
                </w:div>
                <w:div w:id="2132823708">
                  <w:marLeft w:val="0"/>
                  <w:marRight w:val="0"/>
                  <w:marTop w:val="0"/>
                  <w:marBottom w:val="0"/>
                  <w:divBdr>
                    <w:top w:val="none" w:sz="0" w:space="0" w:color="auto"/>
                    <w:left w:val="none" w:sz="0" w:space="0" w:color="auto"/>
                    <w:bottom w:val="none" w:sz="0" w:space="0" w:color="auto"/>
                    <w:right w:val="none" w:sz="0" w:space="0" w:color="auto"/>
                  </w:divBdr>
                  <w:divsChild>
                    <w:div w:id="569383878">
                      <w:marLeft w:val="0"/>
                      <w:marRight w:val="0"/>
                      <w:marTop w:val="0"/>
                      <w:marBottom w:val="0"/>
                      <w:divBdr>
                        <w:top w:val="none" w:sz="0" w:space="0" w:color="auto"/>
                        <w:left w:val="none" w:sz="0" w:space="0" w:color="auto"/>
                        <w:bottom w:val="none" w:sz="0" w:space="0" w:color="auto"/>
                        <w:right w:val="none" w:sz="0" w:space="0" w:color="auto"/>
                      </w:divBdr>
                    </w:div>
                  </w:divsChild>
                </w:div>
                <w:div w:id="2138181796">
                  <w:marLeft w:val="0"/>
                  <w:marRight w:val="0"/>
                  <w:marTop w:val="0"/>
                  <w:marBottom w:val="0"/>
                  <w:divBdr>
                    <w:top w:val="none" w:sz="0" w:space="0" w:color="auto"/>
                    <w:left w:val="none" w:sz="0" w:space="0" w:color="auto"/>
                    <w:bottom w:val="none" w:sz="0" w:space="0" w:color="auto"/>
                    <w:right w:val="none" w:sz="0" w:space="0" w:color="auto"/>
                  </w:divBdr>
                  <w:divsChild>
                    <w:div w:id="2091734292">
                      <w:marLeft w:val="0"/>
                      <w:marRight w:val="0"/>
                      <w:marTop w:val="0"/>
                      <w:marBottom w:val="0"/>
                      <w:divBdr>
                        <w:top w:val="none" w:sz="0" w:space="0" w:color="auto"/>
                        <w:left w:val="none" w:sz="0" w:space="0" w:color="auto"/>
                        <w:bottom w:val="none" w:sz="0" w:space="0" w:color="auto"/>
                        <w:right w:val="none" w:sz="0" w:space="0" w:color="auto"/>
                      </w:divBdr>
                    </w:div>
                  </w:divsChild>
                </w:div>
                <w:div w:id="2143303034">
                  <w:marLeft w:val="0"/>
                  <w:marRight w:val="0"/>
                  <w:marTop w:val="0"/>
                  <w:marBottom w:val="0"/>
                  <w:divBdr>
                    <w:top w:val="none" w:sz="0" w:space="0" w:color="auto"/>
                    <w:left w:val="none" w:sz="0" w:space="0" w:color="auto"/>
                    <w:bottom w:val="none" w:sz="0" w:space="0" w:color="auto"/>
                    <w:right w:val="none" w:sz="0" w:space="0" w:color="auto"/>
                  </w:divBdr>
                  <w:divsChild>
                    <w:div w:id="207847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534425">
          <w:marLeft w:val="0"/>
          <w:marRight w:val="0"/>
          <w:marTop w:val="0"/>
          <w:marBottom w:val="0"/>
          <w:divBdr>
            <w:top w:val="none" w:sz="0" w:space="0" w:color="auto"/>
            <w:left w:val="none" w:sz="0" w:space="0" w:color="auto"/>
            <w:bottom w:val="none" w:sz="0" w:space="0" w:color="auto"/>
            <w:right w:val="none" w:sz="0" w:space="0" w:color="auto"/>
          </w:divBdr>
        </w:div>
        <w:div w:id="1922713460">
          <w:marLeft w:val="0"/>
          <w:marRight w:val="0"/>
          <w:marTop w:val="0"/>
          <w:marBottom w:val="0"/>
          <w:divBdr>
            <w:top w:val="none" w:sz="0" w:space="0" w:color="auto"/>
            <w:left w:val="none" w:sz="0" w:space="0" w:color="auto"/>
            <w:bottom w:val="none" w:sz="0" w:space="0" w:color="auto"/>
            <w:right w:val="none" w:sz="0" w:space="0" w:color="auto"/>
          </w:divBdr>
        </w:div>
        <w:div w:id="2131431628">
          <w:marLeft w:val="0"/>
          <w:marRight w:val="0"/>
          <w:marTop w:val="0"/>
          <w:marBottom w:val="0"/>
          <w:divBdr>
            <w:top w:val="none" w:sz="0" w:space="0" w:color="auto"/>
            <w:left w:val="none" w:sz="0" w:space="0" w:color="auto"/>
            <w:bottom w:val="none" w:sz="0" w:space="0" w:color="auto"/>
            <w:right w:val="none" w:sz="0" w:space="0" w:color="auto"/>
          </w:divBdr>
        </w:div>
      </w:divsChild>
    </w:div>
    <w:div w:id="1142581993">
      <w:bodyDiv w:val="1"/>
      <w:marLeft w:val="0"/>
      <w:marRight w:val="0"/>
      <w:marTop w:val="0"/>
      <w:marBottom w:val="0"/>
      <w:divBdr>
        <w:top w:val="none" w:sz="0" w:space="0" w:color="auto"/>
        <w:left w:val="none" w:sz="0" w:space="0" w:color="auto"/>
        <w:bottom w:val="none" w:sz="0" w:space="0" w:color="auto"/>
        <w:right w:val="none" w:sz="0" w:space="0" w:color="auto"/>
      </w:divBdr>
    </w:div>
    <w:div w:id="1151561834">
      <w:bodyDiv w:val="1"/>
      <w:marLeft w:val="0"/>
      <w:marRight w:val="0"/>
      <w:marTop w:val="0"/>
      <w:marBottom w:val="0"/>
      <w:divBdr>
        <w:top w:val="none" w:sz="0" w:space="0" w:color="auto"/>
        <w:left w:val="none" w:sz="0" w:space="0" w:color="auto"/>
        <w:bottom w:val="none" w:sz="0" w:space="0" w:color="auto"/>
        <w:right w:val="none" w:sz="0" w:space="0" w:color="auto"/>
      </w:divBdr>
    </w:div>
    <w:div w:id="1162769194">
      <w:bodyDiv w:val="1"/>
      <w:marLeft w:val="0"/>
      <w:marRight w:val="0"/>
      <w:marTop w:val="0"/>
      <w:marBottom w:val="0"/>
      <w:divBdr>
        <w:top w:val="none" w:sz="0" w:space="0" w:color="auto"/>
        <w:left w:val="none" w:sz="0" w:space="0" w:color="auto"/>
        <w:bottom w:val="none" w:sz="0" w:space="0" w:color="auto"/>
        <w:right w:val="none" w:sz="0" w:space="0" w:color="auto"/>
      </w:divBdr>
    </w:div>
    <w:div w:id="1205094700">
      <w:bodyDiv w:val="1"/>
      <w:marLeft w:val="0"/>
      <w:marRight w:val="0"/>
      <w:marTop w:val="0"/>
      <w:marBottom w:val="0"/>
      <w:divBdr>
        <w:top w:val="none" w:sz="0" w:space="0" w:color="auto"/>
        <w:left w:val="none" w:sz="0" w:space="0" w:color="auto"/>
        <w:bottom w:val="none" w:sz="0" w:space="0" w:color="auto"/>
        <w:right w:val="none" w:sz="0" w:space="0" w:color="auto"/>
      </w:divBdr>
    </w:div>
    <w:div w:id="1207840415">
      <w:bodyDiv w:val="1"/>
      <w:marLeft w:val="0"/>
      <w:marRight w:val="0"/>
      <w:marTop w:val="0"/>
      <w:marBottom w:val="0"/>
      <w:divBdr>
        <w:top w:val="none" w:sz="0" w:space="0" w:color="auto"/>
        <w:left w:val="none" w:sz="0" w:space="0" w:color="auto"/>
        <w:bottom w:val="none" w:sz="0" w:space="0" w:color="auto"/>
        <w:right w:val="none" w:sz="0" w:space="0" w:color="auto"/>
      </w:divBdr>
    </w:div>
    <w:div w:id="1230724098">
      <w:bodyDiv w:val="1"/>
      <w:marLeft w:val="0"/>
      <w:marRight w:val="0"/>
      <w:marTop w:val="0"/>
      <w:marBottom w:val="0"/>
      <w:divBdr>
        <w:top w:val="none" w:sz="0" w:space="0" w:color="auto"/>
        <w:left w:val="none" w:sz="0" w:space="0" w:color="auto"/>
        <w:bottom w:val="none" w:sz="0" w:space="0" w:color="auto"/>
        <w:right w:val="none" w:sz="0" w:space="0" w:color="auto"/>
      </w:divBdr>
      <w:divsChild>
        <w:div w:id="2060937078">
          <w:marLeft w:val="0"/>
          <w:marRight w:val="0"/>
          <w:marTop w:val="0"/>
          <w:marBottom w:val="0"/>
          <w:divBdr>
            <w:top w:val="none" w:sz="0" w:space="0" w:color="auto"/>
            <w:left w:val="none" w:sz="0" w:space="0" w:color="auto"/>
            <w:bottom w:val="none" w:sz="0" w:space="0" w:color="auto"/>
            <w:right w:val="none" w:sz="0" w:space="0" w:color="auto"/>
          </w:divBdr>
        </w:div>
      </w:divsChild>
    </w:div>
    <w:div w:id="1264875058">
      <w:bodyDiv w:val="1"/>
      <w:marLeft w:val="0"/>
      <w:marRight w:val="0"/>
      <w:marTop w:val="0"/>
      <w:marBottom w:val="0"/>
      <w:divBdr>
        <w:top w:val="none" w:sz="0" w:space="0" w:color="auto"/>
        <w:left w:val="none" w:sz="0" w:space="0" w:color="auto"/>
        <w:bottom w:val="none" w:sz="0" w:space="0" w:color="auto"/>
        <w:right w:val="none" w:sz="0" w:space="0" w:color="auto"/>
      </w:divBdr>
    </w:div>
    <w:div w:id="1270164940">
      <w:bodyDiv w:val="1"/>
      <w:marLeft w:val="0"/>
      <w:marRight w:val="0"/>
      <w:marTop w:val="0"/>
      <w:marBottom w:val="0"/>
      <w:divBdr>
        <w:top w:val="none" w:sz="0" w:space="0" w:color="auto"/>
        <w:left w:val="none" w:sz="0" w:space="0" w:color="auto"/>
        <w:bottom w:val="none" w:sz="0" w:space="0" w:color="auto"/>
        <w:right w:val="none" w:sz="0" w:space="0" w:color="auto"/>
      </w:divBdr>
      <w:divsChild>
        <w:div w:id="1347051529">
          <w:marLeft w:val="0"/>
          <w:marRight w:val="0"/>
          <w:marTop w:val="450"/>
          <w:marBottom w:val="0"/>
          <w:divBdr>
            <w:top w:val="none" w:sz="0" w:space="0" w:color="auto"/>
            <w:left w:val="none" w:sz="0" w:space="0" w:color="auto"/>
            <w:bottom w:val="none" w:sz="0" w:space="0" w:color="auto"/>
            <w:right w:val="none" w:sz="0" w:space="0" w:color="auto"/>
          </w:divBdr>
        </w:div>
      </w:divsChild>
    </w:div>
    <w:div w:id="1270506812">
      <w:bodyDiv w:val="1"/>
      <w:marLeft w:val="0"/>
      <w:marRight w:val="0"/>
      <w:marTop w:val="0"/>
      <w:marBottom w:val="0"/>
      <w:divBdr>
        <w:top w:val="none" w:sz="0" w:space="0" w:color="auto"/>
        <w:left w:val="none" w:sz="0" w:space="0" w:color="auto"/>
        <w:bottom w:val="none" w:sz="0" w:space="0" w:color="auto"/>
        <w:right w:val="none" w:sz="0" w:space="0" w:color="auto"/>
      </w:divBdr>
    </w:div>
    <w:div w:id="1278835971">
      <w:bodyDiv w:val="1"/>
      <w:marLeft w:val="0"/>
      <w:marRight w:val="0"/>
      <w:marTop w:val="0"/>
      <w:marBottom w:val="0"/>
      <w:divBdr>
        <w:top w:val="none" w:sz="0" w:space="0" w:color="auto"/>
        <w:left w:val="none" w:sz="0" w:space="0" w:color="auto"/>
        <w:bottom w:val="none" w:sz="0" w:space="0" w:color="auto"/>
        <w:right w:val="none" w:sz="0" w:space="0" w:color="auto"/>
      </w:divBdr>
    </w:div>
    <w:div w:id="1286620265">
      <w:bodyDiv w:val="1"/>
      <w:marLeft w:val="0"/>
      <w:marRight w:val="0"/>
      <w:marTop w:val="0"/>
      <w:marBottom w:val="0"/>
      <w:divBdr>
        <w:top w:val="none" w:sz="0" w:space="0" w:color="auto"/>
        <w:left w:val="none" w:sz="0" w:space="0" w:color="auto"/>
        <w:bottom w:val="none" w:sz="0" w:space="0" w:color="auto"/>
        <w:right w:val="none" w:sz="0" w:space="0" w:color="auto"/>
      </w:divBdr>
    </w:div>
    <w:div w:id="1292973981">
      <w:bodyDiv w:val="1"/>
      <w:marLeft w:val="0"/>
      <w:marRight w:val="0"/>
      <w:marTop w:val="0"/>
      <w:marBottom w:val="0"/>
      <w:divBdr>
        <w:top w:val="none" w:sz="0" w:space="0" w:color="auto"/>
        <w:left w:val="none" w:sz="0" w:space="0" w:color="auto"/>
        <w:bottom w:val="none" w:sz="0" w:space="0" w:color="auto"/>
        <w:right w:val="none" w:sz="0" w:space="0" w:color="auto"/>
      </w:divBdr>
    </w:div>
    <w:div w:id="1319187195">
      <w:bodyDiv w:val="1"/>
      <w:marLeft w:val="0"/>
      <w:marRight w:val="0"/>
      <w:marTop w:val="0"/>
      <w:marBottom w:val="0"/>
      <w:divBdr>
        <w:top w:val="none" w:sz="0" w:space="0" w:color="auto"/>
        <w:left w:val="none" w:sz="0" w:space="0" w:color="auto"/>
        <w:bottom w:val="none" w:sz="0" w:space="0" w:color="auto"/>
        <w:right w:val="none" w:sz="0" w:space="0" w:color="auto"/>
      </w:divBdr>
    </w:div>
    <w:div w:id="1321537327">
      <w:bodyDiv w:val="1"/>
      <w:marLeft w:val="0"/>
      <w:marRight w:val="0"/>
      <w:marTop w:val="0"/>
      <w:marBottom w:val="0"/>
      <w:divBdr>
        <w:top w:val="none" w:sz="0" w:space="0" w:color="auto"/>
        <w:left w:val="none" w:sz="0" w:space="0" w:color="auto"/>
        <w:bottom w:val="none" w:sz="0" w:space="0" w:color="auto"/>
        <w:right w:val="none" w:sz="0" w:space="0" w:color="auto"/>
      </w:divBdr>
    </w:div>
    <w:div w:id="1330404912">
      <w:bodyDiv w:val="1"/>
      <w:marLeft w:val="0"/>
      <w:marRight w:val="0"/>
      <w:marTop w:val="0"/>
      <w:marBottom w:val="0"/>
      <w:divBdr>
        <w:top w:val="none" w:sz="0" w:space="0" w:color="auto"/>
        <w:left w:val="none" w:sz="0" w:space="0" w:color="auto"/>
        <w:bottom w:val="none" w:sz="0" w:space="0" w:color="auto"/>
        <w:right w:val="none" w:sz="0" w:space="0" w:color="auto"/>
      </w:divBdr>
    </w:div>
    <w:div w:id="1340159825">
      <w:bodyDiv w:val="1"/>
      <w:marLeft w:val="0"/>
      <w:marRight w:val="0"/>
      <w:marTop w:val="0"/>
      <w:marBottom w:val="0"/>
      <w:divBdr>
        <w:top w:val="none" w:sz="0" w:space="0" w:color="auto"/>
        <w:left w:val="none" w:sz="0" w:space="0" w:color="auto"/>
        <w:bottom w:val="none" w:sz="0" w:space="0" w:color="auto"/>
        <w:right w:val="none" w:sz="0" w:space="0" w:color="auto"/>
      </w:divBdr>
      <w:divsChild>
        <w:div w:id="146019338">
          <w:marLeft w:val="0"/>
          <w:marRight w:val="0"/>
          <w:marTop w:val="0"/>
          <w:marBottom w:val="0"/>
          <w:divBdr>
            <w:top w:val="none" w:sz="0" w:space="0" w:color="auto"/>
            <w:left w:val="none" w:sz="0" w:space="0" w:color="auto"/>
            <w:bottom w:val="none" w:sz="0" w:space="0" w:color="auto"/>
            <w:right w:val="none" w:sz="0" w:space="0" w:color="auto"/>
          </w:divBdr>
        </w:div>
        <w:div w:id="1419206980">
          <w:marLeft w:val="0"/>
          <w:marRight w:val="0"/>
          <w:marTop w:val="0"/>
          <w:marBottom w:val="0"/>
          <w:divBdr>
            <w:top w:val="none" w:sz="0" w:space="0" w:color="auto"/>
            <w:left w:val="none" w:sz="0" w:space="0" w:color="auto"/>
            <w:bottom w:val="none" w:sz="0" w:space="0" w:color="auto"/>
            <w:right w:val="none" w:sz="0" w:space="0" w:color="auto"/>
          </w:divBdr>
        </w:div>
      </w:divsChild>
    </w:div>
    <w:div w:id="1346251282">
      <w:bodyDiv w:val="1"/>
      <w:marLeft w:val="0"/>
      <w:marRight w:val="0"/>
      <w:marTop w:val="0"/>
      <w:marBottom w:val="0"/>
      <w:divBdr>
        <w:top w:val="none" w:sz="0" w:space="0" w:color="auto"/>
        <w:left w:val="none" w:sz="0" w:space="0" w:color="auto"/>
        <w:bottom w:val="none" w:sz="0" w:space="0" w:color="auto"/>
        <w:right w:val="none" w:sz="0" w:space="0" w:color="auto"/>
      </w:divBdr>
    </w:div>
    <w:div w:id="1452898131">
      <w:bodyDiv w:val="1"/>
      <w:marLeft w:val="0"/>
      <w:marRight w:val="0"/>
      <w:marTop w:val="0"/>
      <w:marBottom w:val="0"/>
      <w:divBdr>
        <w:top w:val="none" w:sz="0" w:space="0" w:color="auto"/>
        <w:left w:val="none" w:sz="0" w:space="0" w:color="auto"/>
        <w:bottom w:val="none" w:sz="0" w:space="0" w:color="auto"/>
        <w:right w:val="none" w:sz="0" w:space="0" w:color="auto"/>
      </w:divBdr>
      <w:divsChild>
        <w:div w:id="828908605">
          <w:marLeft w:val="0"/>
          <w:marRight w:val="0"/>
          <w:marTop w:val="0"/>
          <w:marBottom w:val="0"/>
          <w:divBdr>
            <w:top w:val="none" w:sz="0" w:space="0" w:color="auto"/>
            <w:left w:val="none" w:sz="0" w:space="0" w:color="auto"/>
            <w:bottom w:val="none" w:sz="0" w:space="0" w:color="auto"/>
            <w:right w:val="none" w:sz="0" w:space="0" w:color="auto"/>
          </w:divBdr>
        </w:div>
        <w:div w:id="996147511">
          <w:marLeft w:val="0"/>
          <w:marRight w:val="0"/>
          <w:marTop w:val="0"/>
          <w:marBottom w:val="0"/>
          <w:divBdr>
            <w:top w:val="none" w:sz="0" w:space="0" w:color="auto"/>
            <w:left w:val="none" w:sz="0" w:space="0" w:color="auto"/>
            <w:bottom w:val="none" w:sz="0" w:space="0" w:color="auto"/>
            <w:right w:val="none" w:sz="0" w:space="0" w:color="auto"/>
          </w:divBdr>
        </w:div>
      </w:divsChild>
    </w:div>
    <w:div w:id="1455369481">
      <w:bodyDiv w:val="1"/>
      <w:marLeft w:val="0"/>
      <w:marRight w:val="0"/>
      <w:marTop w:val="0"/>
      <w:marBottom w:val="0"/>
      <w:divBdr>
        <w:top w:val="none" w:sz="0" w:space="0" w:color="auto"/>
        <w:left w:val="none" w:sz="0" w:space="0" w:color="auto"/>
        <w:bottom w:val="none" w:sz="0" w:space="0" w:color="auto"/>
        <w:right w:val="none" w:sz="0" w:space="0" w:color="auto"/>
      </w:divBdr>
    </w:div>
    <w:div w:id="1467351971">
      <w:bodyDiv w:val="1"/>
      <w:marLeft w:val="0"/>
      <w:marRight w:val="0"/>
      <w:marTop w:val="0"/>
      <w:marBottom w:val="0"/>
      <w:divBdr>
        <w:top w:val="none" w:sz="0" w:space="0" w:color="auto"/>
        <w:left w:val="none" w:sz="0" w:space="0" w:color="auto"/>
        <w:bottom w:val="none" w:sz="0" w:space="0" w:color="auto"/>
        <w:right w:val="none" w:sz="0" w:space="0" w:color="auto"/>
      </w:divBdr>
    </w:div>
    <w:div w:id="1472476876">
      <w:bodyDiv w:val="1"/>
      <w:marLeft w:val="0"/>
      <w:marRight w:val="0"/>
      <w:marTop w:val="0"/>
      <w:marBottom w:val="0"/>
      <w:divBdr>
        <w:top w:val="none" w:sz="0" w:space="0" w:color="auto"/>
        <w:left w:val="none" w:sz="0" w:space="0" w:color="auto"/>
        <w:bottom w:val="none" w:sz="0" w:space="0" w:color="auto"/>
        <w:right w:val="none" w:sz="0" w:space="0" w:color="auto"/>
      </w:divBdr>
    </w:div>
    <w:div w:id="1495800952">
      <w:bodyDiv w:val="1"/>
      <w:marLeft w:val="0"/>
      <w:marRight w:val="0"/>
      <w:marTop w:val="0"/>
      <w:marBottom w:val="0"/>
      <w:divBdr>
        <w:top w:val="none" w:sz="0" w:space="0" w:color="auto"/>
        <w:left w:val="none" w:sz="0" w:space="0" w:color="auto"/>
        <w:bottom w:val="none" w:sz="0" w:space="0" w:color="auto"/>
        <w:right w:val="none" w:sz="0" w:space="0" w:color="auto"/>
      </w:divBdr>
      <w:divsChild>
        <w:div w:id="623659315">
          <w:marLeft w:val="0"/>
          <w:marRight w:val="0"/>
          <w:marTop w:val="0"/>
          <w:marBottom w:val="0"/>
          <w:divBdr>
            <w:top w:val="none" w:sz="0" w:space="0" w:color="auto"/>
            <w:left w:val="none" w:sz="0" w:space="0" w:color="auto"/>
            <w:bottom w:val="none" w:sz="0" w:space="0" w:color="auto"/>
            <w:right w:val="none" w:sz="0" w:space="0" w:color="auto"/>
          </w:divBdr>
        </w:div>
        <w:div w:id="1028798153">
          <w:marLeft w:val="0"/>
          <w:marRight w:val="0"/>
          <w:marTop w:val="0"/>
          <w:marBottom w:val="0"/>
          <w:divBdr>
            <w:top w:val="none" w:sz="0" w:space="0" w:color="auto"/>
            <w:left w:val="none" w:sz="0" w:space="0" w:color="auto"/>
            <w:bottom w:val="none" w:sz="0" w:space="0" w:color="auto"/>
            <w:right w:val="none" w:sz="0" w:space="0" w:color="auto"/>
          </w:divBdr>
        </w:div>
        <w:div w:id="1104150556">
          <w:marLeft w:val="0"/>
          <w:marRight w:val="0"/>
          <w:marTop w:val="0"/>
          <w:marBottom w:val="0"/>
          <w:divBdr>
            <w:top w:val="none" w:sz="0" w:space="0" w:color="auto"/>
            <w:left w:val="none" w:sz="0" w:space="0" w:color="auto"/>
            <w:bottom w:val="none" w:sz="0" w:space="0" w:color="auto"/>
            <w:right w:val="none" w:sz="0" w:space="0" w:color="auto"/>
          </w:divBdr>
        </w:div>
        <w:div w:id="1287854345">
          <w:marLeft w:val="0"/>
          <w:marRight w:val="0"/>
          <w:marTop w:val="0"/>
          <w:marBottom w:val="0"/>
          <w:divBdr>
            <w:top w:val="none" w:sz="0" w:space="0" w:color="auto"/>
            <w:left w:val="none" w:sz="0" w:space="0" w:color="auto"/>
            <w:bottom w:val="none" w:sz="0" w:space="0" w:color="auto"/>
            <w:right w:val="none" w:sz="0" w:space="0" w:color="auto"/>
          </w:divBdr>
        </w:div>
        <w:div w:id="1669089671">
          <w:marLeft w:val="0"/>
          <w:marRight w:val="0"/>
          <w:marTop w:val="0"/>
          <w:marBottom w:val="0"/>
          <w:divBdr>
            <w:top w:val="none" w:sz="0" w:space="0" w:color="auto"/>
            <w:left w:val="none" w:sz="0" w:space="0" w:color="auto"/>
            <w:bottom w:val="none" w:sz="0" w:space="0" w:color="auto"/>
            <w:right w:val="none" w:sz="0" w:space="0" w:color="auto"/>
          </w:divBdr>
        </w:div>
        <w:div w:id="1821383791">
          <w:marLeft w:val="0"/>
          <w:marRight w:val="0"/>
          <w:marTop w:val="0"/>
          <w:marBottom w:val="0"/>
          <w:divBdr>
            <w:top w:val="none" w:sz="0" w:space="0" w:color="auto"/>
            <w:left w:val="none" w:sz="0" w:space="0" w:color="auto"/>
            <w:bottom w:val="none" w:sz="0" w:space="0" w:color="auto"/>
            <w:right w:val="none" w:sz="0" w:space="0" w:color="auto"/>
          </w:divBdr>
        </w:div>
        <w:div w:id="2096172275">
          <w:marLeft w:val="0"/>
          <w:marRight w:val="0"/>
          <w:marTop w:val="0"/>
          <w:marBottom w:val="0"/>
          <w:divBdr>
            <w:top w:val="none" w:sz="0" w:space="0" w:color="auto"/>
            <w:left w:val="none" w:sz="0" w:space="0" w:color="auto"/>
            <w:bottom w:val="none" w:sz="0" w:space="0" w:color="auto"/>
            <w:right w:val="none" w:sz="0" w:space="0" w:color="auto"/>
          </w:divBdr>
        </w:div>
      </w:divsChild>
    </w:div>
    <w:div w:id="1507749250">
      <w:bodyDiv w:val="1"/>
      <w:marLeft w:val="0"/>
      <w:marRight w:val="0"/>
      <w:marTop w:val="0"/>
      <w:marBottom w:val="0"/>
      <w:divBdr>
        <w:top w:val="none" w:sz="0" w:space="0" w:color="auto"/>
        <w:left w:val="none" w:sz="0" w:space="0" w:color="auto"/>
        <w:bottom w:val="none" w:sz="0" w:space="0" w:color="auto"/>
        <w:right w:val="none" w:sz="0" w:space="0" w:color="auto"/>
      </w:divBdr>
    </w:div>
    <w:div w:id="1518227189">
      <w:bodyDiv w:val="1"/>
      <w:marLeft w:val="0"/>
      <w:marRight w:val="0"/>
      <w:marTop w:val="0"/>
      <w:marBottom w:val="0"/>
      <w:divBdr>
        <w:top w:val="none" w:sz="0" w:space="0" w:color="auto"/>
        <w:left w:val="none" w:sz="0" w:space="0" w:color="auto"/>
        <w:bottom w:val="none" w:sz="0" w:space="0" w:color="auto"/>
        <w:right w:val="none" w:sz="0" w:space="0" w:color="auto"/>
      </w:divBdr>
    </w:div>
    <w:div w:id="1532958694">
      <w:bodyDiv w:val="1"/>
      <w:marLeft w:val="0"/>
      <w:marRight w:val="0"/>
      <w:marTop w:val="0"/>
      <w:marBottom w:val="0"/>
      <w:divBdr>
        <w:top w:val="none" w:sz="0" w:space="0" w:color="auto"/>
        <w:left w:val="none" w:sz="0" w:space="0" w:color="auto"/>
        <w:bottom w:val="none" w:sz="0" w:space="0" w:color="auto"/>
        <w:right w:val="none" w:sz="0" w:space="0" w:color="auto"/>
      </w:divBdr>
    </w:div>
    <w:div w:id="1540513963">
      <w:bodyDiv w:val="1"/>
      <w:marLeft w:val="0"/>
      <w:marRight w:val="0"/>
      <w:marTop w:val="0"/>
      <w:marBottom w:val="0"/>
      <w:divBdr>
        <w:top w:val="none" w:sz="0" w:space="0" w:color="auto"/>
        <w:left w:val="none" w:sz="0" w:space="0" w:color="auto"/>
        <w:bottom w:val="none" w:sz="0" w:space="0" w:color="auto"/>
        <w:right w:val="none" w:sz="0" w:space="0" w:color="auto"/>
      </w:divBdr>
    </w:div>
    <w:div w:id="1553344513">
      <w:bodyDiv w:val="1"/>
      <w:marLeft w:val="0"/>
      <w:marRight w:val="0"/>
      <w:marTop w:val="0"/>
      <w:marBottom w:val="0"/>
      <w:divBdr>
        <w:top w:val="none" w:sz="0" w:space="0" w:color="auto"/>
        <w:left w:val="none" w:sz="0" w:space="0" w:color="auto"/>
        <w:bottom w:val="none" w:sz="0" w:space="0" w:color="auto"/>
        <w:right w:val="none" w:sz="0" w:space="0" w:color="auto"/>
      </w:divBdr>
      <w:divsChild>
        <w:div w:id="228924737">
          <w:marLeft w:val="0"/>
          <w:marRight w:val="0"/>
          <w:marTop w:val="0"/>
          <w:marBottom w:val="0"/>
          <w:divBdr>
            <w:top w:val="none" w:sz="0" w:space="0" w:color="auto"/>
            <w:left w:val="none" w:sz="0" w:space="0" w:color="auto"/>
            <w:bottom w:val="none" w:sz="0" w:space="0" w:color="auto"/>
            <w:right w:val="none" w:sz="0" w:space="0" w:color="auto"/>
          </w:divBdr>
        </w:div>
        <w:div w:id="1096293527">
          <w:marLeft w:val="0"/>
          <w:marRight w:val="0"/>
          <w:marTop w:val="0"/>
          <w:marBottom w:val="0"/>
          <w:divBdr>
            <w:top w:val="none" w:sz="0" w:space="0" w:color="auto"/>
            <w:left w:val="none" w:sz="0" w:space="0" w:color="auto"/>
            <w:bottom w:val="none" w:sz="0" w:space="0" w:color="auto"/>
            <w:right w:val="none" w:sz="0" w:space="0" w:color="auto"/>
          </w:divBdr>
        </w:div>
        <w:div w:id="1295990318">
          <w:marLeft w:val="0"/>
          <w:marRight w:val="0"/>
          <w:marTop w:val="0"/>
          <w:marBottom w:val="0"/>
          <w:divBdr>
            <w:top w:val="none" w:sz="0" w:space="0" w:color="auto"/>
            <w:left w:val="none" w:sz="0" w:space="0" w:color="auto"/>
            <w:bottom w:val="none" w:sz="0" w:space="0" w:color="auto"/>
            <w:right w:val="none" w:sz="0" w:space="0" w:color="auto"/>
          </w:divBdr>
        </w:div>
        <w:div w:id="1563980371">
          <w:marLeft w:val="0"/>
          <w:marRight w:val="0"/>
          <w:marTop w:val="0"/>
          <w:marBottom w:val="0"/>
          <w:divBdr>
            <w:top w:val="none" w:sz="0" w:space="0" w:color="auto"/>
            <w:left w:val="none" w:sz="0" w:space="0" w:color="auto"/>
            <w:bottom w:val="none" w:sz="0" w:space="0" w:color="auto"/>
            <w:right w:val="none" w:sz="0" w:space="0" w:color="auto"/>
          </w:divBdr>
        </w:div>
        <w:div w:id="1920018927">
          <w:marLeft w:val="0"/>
          <w:marRight w:val="0"/>
          <w:marTop w:val="0"/>
          <w:marBottom w:val="0"/>
          <w:divBdr>
            <w:top w:val="none" w:sz="0" w:space="0" w:color="auto"/>
            <w:left w:val="none" w:sz="0" w:space="0" w:color="auto"/>
            <w:bottom w:val="none" w:sz="0" w:space="0" w:color="auto"/>
            <w:right w:val="none" w:sz="0" w:space="0" w:color="auto"/>
          </w:divBdr>
        </w:div>
      </w:divsChild>
    </w:div>
    <w:div w:id="1555316598">
      <w:bodyDiv w:val="1"/>
      <w:marLeft w:val="0"/>
      <w:marRight w:val="0"/>
      <w:marTop w:val="0"/>
      <w:marBottom w:val="0"/>
      <w:divBdr>
        <w:top w:val="none" w:sz="0" w:space="0" w:color="auto"/>
        <w:left w:val="none" w:sz="0" w:space="0" w:color="auto"/>
        <w:bottom w:val="none" w:sz="0" w:space="0" w:color="auto"/>
        <w:right w:val="none" w:sz="0" w:space="0" w:color="auto"/>
      </w:divBdr>
    </w:div>
    <w:div w:id="1561599278">
      <w:bodyDiv w:val="1"/>
      <w:marLeft w:val="0"/>
      <w:marRight w:val="0"/>
      <w:marTop w:val="0"/>
      <w:marBottom w:val="0"/>
      <w:divBdr>
        <w:top w:val="none" w:sz="0" w:space="0" w:color="auto"/>
        <w:left w:val="none" w:sz="0" w:space="0" w:color="auto"/>
        <w:bottom w:val="none" w:sz="0" w:space="0" w:color="auto"/>
        <w:right w:val="none" w:sz="0" w:space="0" w:color="auto"/>
      </w:divBdr>
    </w:div>
    <w:div w:id="1562516818">
      <w:bodyDiv w:val="1"/>
      <w:marLeft w:val="0"/>
      <w:marRight w:val="0"/>
      <w:marTop w:val="0"/>
      <w:marBottom w:val="0"/>
      <w:divBdr>
        <w:top w:val="none" w:sz="0" w:space="0" w:color="auto"/>
        <w:left w:val="none" w:sz="0" w:space="0" w:color="auto"/>
        <w:bottom w:val="none" w:sz="0" w:space="0" w:color="auto"/>
        <w:right w:val="none" w:sz="0" w:space="0" w:color="auto"/>
      </w:divBdr>
      <w:divsChild>
        <w:div w:id="79644626">
          <w:marLeft w:val="0"/>
          <w:marRight w:val="0"/>
          <w:marTop w:val="0"/>
          <w:marBottom w:val="0"/>
          <w:divBdr>
            <w:top w:val="none" w:sz="0" w:space="0" w:color="auto"/>
            <w:left w:val="none" w:sz="0" w:space="0" w:color="auto"/>
            <w:bottom w:val="none" w:sz="0" w:space="0" w:color="auto"/>
            <w:right w:val="none" w:sz="0" w:space="0" w:color="auto"/>
          </w:divBdr>
        </w:div>
        <w:div w:id="184364154">
          <w:marLeft w:val="0"/>
          <w:marRight w:val="0"/>
          <w:marTop w:val="0"/>
          <w:marBottom w:val="0"/>
          <w:divBdr>
            <w:top w:val="none" w:sz="0" w:space="0" w:color="auto"/>
            <w:left w:val="none" w:sz="0" w:space="0" w:color="auto"/>
            <w:bottom w:val="none" w:sz="0" w:space="0" w:color="auto"/>
            <w:right w:val="none" w:sz="0" w:space="0" w:color="auto"/>
          </w:divBdr>
        </w:div>
        <w:div w:id="229655617">
          <w:marLeft w:val="0"/>
          <w:marRight w:val="0"/>
          <w:marTop w:val="0"/>
          <w:marBottom w:val="0"/>
          <w:divBdr>
            <w:top w:val="none" w:sz="0" w:space="0" w:color="auto"/>
            <w:left w:val="none" w:sz="0" w:space="0" w:color="auto"/>
            <w:bottom w:val="none" w:sz="0" w:space="0" w:color="auto"/>
            <w:right w:val="none" w:sz="0" w:space="0" w:color="auto"/>
          </w:divBdr>
        </w:div>
        <w:div w:id="1479765040">
          <w:marLeft w:val="0"/>
          <w:marRight w:val="0"/>
          <w:marTop w:val="0"/>
          <w:marBottom w:val="0"/>
          <w:divBdr>
            <w:top w:val="none" w:sz="0" w:space="0" w:color="auto"/>
            <w:left w:val="none" w:sz="0" w:space="0" w:color="auto"/>
            <w:bottom w:val="none" w:sz="0" w:space="0" w:color="auto"/>
            <w:right w:val="none" w:sz="0" w:space="0" w:color="auto"/>
          </w:divBdr>
        </w:div>
      </w:divsChild>
    </w:div>
    <w:div w:id="1568494612">
      <w:bodyDiv w:val="1"/>
      <w:marLeft w:val="0"/>
      <w:marRight w:val="0"/>
      <w:marTop w:val="0"/>
      <w:marBottom w:val="0"/>
      <w:divBdr>
        <w:top w:val="none" w:sz="0" w:space="0" w:color="auto"/>
        <w:left w:val="none" w:sz="0" w:space="0" w:color="auto"/>
        <w:bottom w:val="none" w:sz="0" w:space="0" w:color="auto"/>
        <w:right w:val="none" w:sz="0" w:space="0" w:color="auto"/>
      </w:divBdr>
    </w:div>
    <w:div w:id="1575428405">
      <w:bodyDiv w:val="1"/>
      <w:marLeft w:val="0"/>
      <w:marRight w:val="0"/>
      <w:marTop w:val="0"/>
      <w:marBottom w:val="0"/>
      <w:divBdr>
        <w:top w:val="none" w:sz="0" w:space="0" w:color="auto"/>
        <w:left w:val="none" w:sz="0" w:space="0" w:color="auto"/>
        <w:bottom w:val="none" w:sz="0" w:space="0" w:color="auto"/>
        <w:right w:val="none" w:sz="0" w:space="0" w:color="auto"/>
      </w:divBdr>
      <w:divsChild>
        <w:div w:id="69932223">
          <w:marLeft w:val="0"/>
          <w:marRight w:val="0"/>
          <w:marTop w:val="0"/>
          <w:marBottom w:val="0"/>
          <w:divBdr>
            <w:top w:val="none" w:sz="0" w:space="0" w:color="auto"/>
            <w:left w:val="none" w:sz="0" w:space="0" w:color="auto"/>
            <w:bottom w:val="none" w:sz="0" w:space="0" w:color="auto"/>
            <w:right w:val="none" w:sz="0" w:space="0" w:color="auto"/>
          </w:divBdr>
        </w:div>
        <w:div w:id="152533648">
          <w:marLeft w:val="0"/>
          <w:marRight w:val="0"/>
          <w:marTop w:val="0"/>
          <w:marBottom w:val="0"/>
          <w:divBdr>
            <w:top w:val="none" w:sz="0" w:space="0" w:color="auto"/>
            <w:left w:val="none" w:sz="0" w:space="0" w:color="auto"/>
            <w:bottom w:val="none" w:sz="0" w:space="0" w:color="auto"/>
            <w:right w:val="none" w:sz="0" w:space="0" w:color="auto"/>
          </w:divBdr>
        </w:div>
        <w:div w:id="340857331">
          <w:marLeft w:val="0"/>
          <w:marRight w:val="0"/>
          <w:marTop w:val="0"/>
          <w:marBottom w:val="0"/>
          <w:divBdr>
            <w:top w:val="none" w:sz="0" w:space="0" w:color="auto"/>
            <w:left w:val="none" w:sz="0" w:space="0" w:color="auto"/>
            <w:bottom w:val="none" w:sz="0" w:space="0" w:color="auto"/>
            <w:right w:val="none" w:sz="0" w:space="0" w:color="auto"/>
          </w:divBdr>
        </w:div>
        <w:div w:id="450395846">
          <w:marLeft w:val="0"/>
          <w:marRight w:val="0"/>
          <w:marTop w:val="0"/>
          <w:marBottom w:val="0"/>
          <w:divBdr>
            <w:top w:val="none" w:sz="0" w:space="0" w:color="auto"/>
            <w:left w:val="none" w:sz="0" w:space="0" w:color="auto"/>
            <w:bottom w:val="none" w:sz="0" w:space="0" w:color="auto"/>
            <w:right w:val="none" w:sz="0" w:space="0" w:color="auto"/>
          </w:divBdr>
        </w:div>
        <w:div w:id="575240123">
          <w:marLeft w:val="0"/>
          <w:marRight w:val="0"/>
          <w:marTop w:val="0"/>
          <w:marBottom w:val="0"/>
          <w:divBdr>
            <w:top w:val="none" w:sz="0" w:space="0" w:color="auto"/>
            <w:left w:val="none" w:sz="0" w:space="0" w:color="auto"/>
            <w:bottom w:val="none" w:sz="0" w:space="0" w:color="auto"/>
            <w:right w:val="none" w:sz="0" w:space="0" w:color="auto"/>
          </w:divBdr>
        </w:div>
        <w:div w:id="1486316047">
          <w:marLeft w:val="0"/>
          <w:marRight w:val="0"/>
          <w:marTop w:val="0"/>
          <w:marBottom w:val="0"/>
          <w:divBdr>
            <w:top w:val="none" w:sz="0" w:space="0" w:color="auto"/>
            <w:left w:val="none" w:sz="0" w:space="0" w:color="auto"/>
            <w:bottom w:val="none" w:sz="0" w:space="0" w:color="auto"/>
            <w:right w:val="none" w:sz="0" w:space="0" w:color="auto"/>
          </w:divBdr>
        </w:div>
        <w:div w:id="1602643110">
          <w:marLeft w:val="0"/>
          <w:marRight w:val="0"/>
          <w:marTop w:val="0"/>
          <w:marBottom w:val="0"/>
          <w:divBdr>
            <w:top w:val="none" w:sz="0" w:space="0" w:color="auto"/>
            <w:left w:val="none" w:sz="0" w:space="0" w:color="auto"/>
            <w:bottom w:val="none" w:sz="0" w:space="0" w:color="auto"/>
            <w:right w:val="none" w:sz="0" w:space="0" w:color="auto"/>
          </w:divBdr>
        </w:div>
        <w:div w:id="1875074034">
          <w:marLeft w:val="0"/>
          <w:marRight w:val="0"/>
          <w:marTop w:val="0"/>
          <w:marBottom w:val="0"/>
          <w:divBdr>
            <w:top w:val="none" w:sz="0" w:space="0" w:color="auto"/>
            <w:left w:val="none" w:sz="0" w:space="0" w:color="auto"/>
            <w:bottom w:val="none" w:sz="0" w:space="0" w:color="auto"/>
            <w:right w:val="none" w:sz="0" w:space="0" w:color="auto"/>
          </w:divBdr>
        </w:div>
        <w:div w:id="2112117779">
          <w:marLeft w:val="0"/>
          <w:marRight w:val="0"/>
          <w:marTop w:val="0"/>
          <w:marBottom w:val="0"/>
          <w:divBdr>
            <w:top w:val="none" w:sz="0" w:space="0" w:color="auto"/>
            <w:left w:val="none" w:sz="0" w:space="0" w:color="auto"/>
            <w:bottom w:val="none" w:sz="0" w:space="0" w:color="auto"/>
            <w:right w:val="none" w:sz="0" w:space="0" w:color="auto"/>
          </w:divBdr>
        </w:div>
      </w:divsChild>
    </w:div>
    <w:div w:id="1576428614">
      <w:bodyDiv w:val="1"/>
      <w:marLeft w:val="0"/>
      <w:marRight w:val="0"/>
      <w:marTop w:val="0"/>
      <w:marBottom w:val="0"/>
      <w:divBdr>
        <w:top w:val="none" w:sz="0" w:space="0" w:color="auto"/>
        <w:left w:val="none" w:sz="0" w:space="0" w:color="auto"/>
        <w:bottom w:val="none" w:sz="0" w:space="0" w:color="auto"/>
        <w:right w:val="none" w:sz="0" w:space="0" w:color="auto"/>
      </w:divBdr>
    </w:div>
    <w:div w:id="1608543452">
      <w:bodyDiv w:val="1"/>
      <w:marLeft w:val="0"/>
      <w:marRight w:val="0"/>
      <w:marTop w:val="0"/>
      <w:marBottom w:val="0"/>
      <w:divBdr>
        <w:top w:val="none" w:sz="0" w:space="0" w:color="auto"/>
        <w:left w:val="none" w:sz="0" w:space="0" w:color="auto"/>
        <w:bottom w:val="none" w:sz="0" w:space="0" w:color="auto"/>
        <w:right w:val="none" w:sz="0" w:space="0" w:color="auto"/>
      </w:divBdr>
    </w:div>
    <w:div w:id="1615595350">
      <w:bodyDiv w:val="1"/>
      <w:marLeft w:val="0"/>
      <w:marRight w:val="0"/>
      <w:marTop w:val="0"/>
      <w:marBottom w:val="0"/>
      <w:divBdr>
        <w:top w:val="none" w:sz="0" w:space="0" w:color="auto"/>
        <w:left w:val="none" w:sz="0" w:space="0" w:color="auto"/>
        <w:bottom w:val="none" w:sz="0" w:space="0" w:color="auto"/>
        <w:right w:val="none" w:sz="0" w:space="0" w:color="auto"/>
      </w:divBdr>
      <w:divsChild>
        <w:div w:id="1536844760">
          <w:marLeft w:val="0"/>
          <w:marRight w:val="0"/>
          <w:marTop w:val="0"/>
          <w:marBottom w:val="0"/>
          <w:divBdr>
            <w:top w:val="none" w:sz="0" w:space="0" w:color="auto"/>
            <w:left w:val="none" w:sz="0" w:space="0" w:color="auto"/>
            <w:bottom w:val="none" w:sz="0" w:space="0" w:color="auto"/>
            <w:right w:val="none" w:sz="0" w:space="0" w:color="auto"/>
          </w:divBdr>
        </w:div>
        <w:div w:id="1793867362">
          <w:marLeft w:val="0"/>
          <w:marRight w:val="0"/>
          <w:marTop w:val="0"/>
          <w:marBottom w:val="0"/>
          <w:divBdr>
            <w:top w:val="none" w:sz="0" w:space="0" w:color="auto"/>
            <w:left w:val="none" w:sz="0" w:space="0" w:color="auto"/>
            <w:bottom w:val="none" w:sz="0" w:space="0" w:color="auto"/>
            <w:right w:val="none" w:sz="0" w:space="0" w:color="auto"/>
          </w:divBdr>
          <w:divsChild>
            <w:div w:id="1158955289">
              <w:marLeft w:val="0"/>
              <w:marRight w:val="0"/>
              <w:marTop w:val="30"/>
              <w:marBottom w:val="30"/>
              <w:divBdr>
                <w:top w:val="none" w:sz="0" w:space="0" w:color="auto"/>
                <w:left w:val="none" w:sz="0" w:space="0" w:color="auto"/>
                <w:bottom w:val="none" w:sz="0" w:space="0" w:color="auto"/>
                <w:right w:val="none" w:sz="0" w:space="0" w:color="auto"/>
              </w:divBdr>
              <w:divsChild>
                <w:div w:id="49615081">
                  <w:marLeft w:val="0"/>
                  <w:marRight w:val="0"/>
                  <w:marTop w:val="0"/>
                  <w:marBottom w:val="0"/>
                  <w:divBdr>
                    <w:top w:val="none" w:sz="0" w:space="0" w:color="auto"/>
                    <w:left w:val="none" w:sz="0" w:space="0" w:color="auto"/>
                    <w:bottom w:val="none" w:sz="0" w:space="0" w:color="auto"/>
                    <w:right w:val="none" w:sz="0" w:space="0" w:color="auto"/>
                  </w:divBdr>
                  <w:divsChild>
                    <w:div w:id="562184106">
                      <w:marLeft w:val="0"/>
                      <w:marRight w:val="0"/>
                      <w:marTop w:val="0"/>
                      <w:marBottom w:val="0"/>
                      <w:divBdr>
                        <w:top w:val="none" w:sz="0" w:space="0" w:color="auto"/>
                        <w:left w:val="none" w:sz="0" w:space="0" w:color="auto"/>
                        <w:bottom w:val="none" w:sz="0" w:space="0" w:color="auto"/>
                        <w:right w:val="none" w:sz="0" w:space="0" w:color="auto"/>
                      </w:divBdr>
                    </w:div>
                  </w:divsChild>
                </w:div>
                <w:div w:id="176970578">
                  <w:marLeft w:val="0"/>
                  <w:marRight w:val="0"/>
                  <w:marTop w:val="0"/>
                  <w:marBottom w:val="0"/>
                  <w:divBdr>
                    <w:top w:val="none" w:sz="0" w:space="0" w:color="auto"/>
                    <w:left w:val="none" w:sz="0" w:space="0" w:color="auto"/>
                    <w:bottom w:val="none" w:sz="0" w:space="0" w:color="auto"/>
                    <w:right w:val="none" w:sz="0" w:space="0" w:color="auto"/>
                  </w:divBdr>
                  <w:divsChild>
                    <w:div w:id="467168364">
                      <w:marLeft w:val="0"/>
                      <w:marRight w:val="0"/>
                      <w:marTop w:val="0"/>
                      <w:marBottom w:val="0"/>
                      <w:divBdr>
                        <w:top w:val="none" w:sz="0" w:space="0" w:color="auto"/>
                        <w:left w:val="none" w:sz="0" w:space="0" w:color="auto"/>
                        <w:bottom w:val="none" w:sz="0" w:space="0" w:color="auto"/>
                        <w:right w:val="none" w:sz="0" w:space="0" w:color="auto"/>
                      </w:divBdr>
                    </w:div>
                  </w:divsChild>
                </w:div>
                <w:div w:id="190652265">
                  <w:marLeft w:val="0"/>
                  <w:marRight w:val="0"/>
                  <w:marTop w:val="0"/>
                  <w:marBottom w:val="0"/>
                  <w:divBdr>
                    <w:top w:val="none" w:sz="0" w:space="0" w:color="auto"/>
                    <w:left w:val="none" w:sz="0" w:space="0" w:color="auto"/>
                    <w:bottom w:val="none" w:sz="0" w:space="0" w:color="auto"/>
                    <w:right w:val="none" w:sz="0" w:space="0" w:color="auto"/>
                  </w:divBdr>
                  <w:divsChild>
                    <w:div w:id="735470085">
                      <w:marLeft w:val="0"/>
                      <w:marRight w:val="0"/>
                      <w:marTop w:val="0"/>
                      <w:marBottom w:val="0"/>
                      <w:divBdr>
                        <w:top w:val="none" w:sz="0" w:space="0" w:color="auto"/>
                        <w:left w:val="none" w:sz="0" w:space="0" w:color="auto"/>
                        <w:bottom w:val="none" w:sz="0" w:space="0" w:color="auto"/>
                        <w:right w:val="none" w:sz="0" w:space="0" w:color="auto"/>
                      </w:divBdr>
                    </w:div>
                  </w:divsChild>
                </w:div>
                <w:div w:id="190799763">
                  <w:marLeft w:val="0"/>
                  <w:marRight w:val="0"/>
                  <w:marTop w:val="0"/>
                  <w:marBottom w:val="0"/>
                  <w:divBdr>
                    <w:top w:val="none" w:sz="0" w:space="0" w:color="auto"/>
                    <w:left w:val="none" w:sz="0" w:space="0" w:color="auto"/>
                    <w:bottom w:val="none" w:sz="0" w:space="0" w:color="auto"/>
                    <w:right w:val="none" w:sz="0" w:space="0" w:color="auto"/>
                  </w:divBdr>
                  <w:divsChild>
                    <w:div w:id="1640762763">
                      <w:marLeft w:val="0"/>
                      <w:marRight w:val="0"/>
                      <w:marTop w:val="0"/>
                      <w:marBottom w:val="0"/>
                      <w:divBdr>
                        <w:top w:val="none" w:sz="0" w:space="0" w:color="auto"/>
                        <w:left w:val="none" w:sz="0" w:space="0" w:color="auto"/>
                        <w:bottom w:val="none" w:sz="0" w:space="0" w:color="auto"/>
                        <w:right w:val="none" w:sz="0" w:space="0" w:color="auto"/>
                      </w:divBdr>
                    </w:div>
                  </w:divsChild>
                </w:div>
                <w:div w:id="325474175">
                  <w:marLeft w:val="0"/>
                  <w:marRight w:val="0"/>
                  <w:marTop w:val="0"/>
                  <w:marBottom w:val="0"/>
                  <w:divBdr>
                    <w:top w:val="none" w:sz="0" w:space="0" w:color="auto"/>
                    <w:left w:val="none" w:sz="0" w:space="0" w:color="auto"/>
                    <w:bottom w:val="none" w:sz="0" w:space="0" w:color="auto"/>
                    <w:right w:val="none" w:sz="0" w:space="0" w:color="auto"/>
                  </w:divBdr>
                  <w:divsChild>
                    <w:div w:id="1434785063">
                      <w:marLeft w:val="0"/>
                      <w:marRight w:val="0"/>
                      <w:marTop w:val="0"/>
                      <w:marBottom w:val="0"/>
                      <w:divBdr>
                        <w:top w:val="none" w:sz="0" w:space="0" w:color="auto"/>
                        <w:left w:val="none" w:sz="0" w:space="0" w:color="auto"/>
                        <w:bottom w:val="none" w:sz="0" w:space="0" w:color="auto"/>
                        <w:right w:val="none" w:sz="0" w:space="0" w:color="auto"/>
                      </w:divBdr>
                    </w:div>
                  </w:divsChild>
                </w:div>
                <w:div w:id="360282162">
                  <w:marLeft w:val="0"/>
                  <w:marRight w:val="0"/>
                  <w:marTop w:val="0"/>
                  <w:marBottom w:val="0"/>
                  <w:divBdr>
                    <w:top w:val="none" w:sz="0" w:space="0" w:color="auto"/>
                    <w:left w:val="none" w:sz="0" w:space="0" w:color="auto"/>
                    <w:bottom w:val="none" w:sz="0" w:space="0" w:color="auto"/>
                    <w:right w:val="none" w:sz="0" w:space="0" w:color="auto"/>
                  </w:divBdr>
                  <w:divsChild>
                    <w:div w:id="609707456">
                      <w:marLeft w:val="0"/>
                      <w:marRight w:val="0"/>
                      <w:marTop w:val="0"/>
                      <w:marBottom w:val="0"/>
                      <w:divBdr>
                        <w:top w:val="none" w:sz="0" w:space="0" w:color="auto"/>
                        <w:left w:val="none" w:sz="0" w:space="0" w:color="auto"/>
                        <w:bottom w:val="none" w:sz="0" w:space="0" w:color="auto"/>
                        <w:right w:val="none" w:sz="0" w:space="0" w:color="auto"/>
                      </w:divBdr>
                    </w:div>
                  </w:divsChild>
                </w:div>
                <w:div w:id="386685187">
                  <w:marLeft w:val="0"/>
                  <w:marRight w:val="0"/>
                  <w:marTop w:val="0"/>
                  <w:marBottom w:val="0"/>
                  <w:divBdr>
                    <w:top w:val="none" w:sz="0" w:space="0" w:color="auto"/>
                    <w:left w:val="none" w:sz="0" w:space="0" w:color="auto"/>
                    <w:bottom w:val="none" w:sz="0" w:space="0" w:color="auto"/>
                    <w:right w:val="none" w:sz="0" w:space="0" w:color="auto"/>
                  </w:divBdr>
                  <w:divsChild>
                    <w:div w:id="1217860440">
                      <w:marLeft w:val="0"/>
                      <w:marRight w:val="0"/>
                      <w:marTop w:val="0"/>
                      <w:marBottom w:val="0"/>
                      <w:divBdr>
                        <w:top w:val="none" w:sz="0" w:space="0" w:color="auto"/>
                        <w:left w:val="none" w:sz="0" w:space="0" w:color="auto"/>
                        <w:bottom w:val="none" w:sz="0" w:space="0" w:color="auto"/>
                        <w:right w:val="none" w:sz="0" w:space="0" w:color="auto"/>
                      </w:divBdr>
                    </w:div>
                  </w:divsChild>
                </w:div>
                <w:div w:id="393284112">
                  <w:marLeft w:val="0"/>
                  <w:marRight w:val="0"/>
                  <w:marTop w:val="0"/>
                  <w:marBottom w:val="0"/>
                  <w:divBdr>
                    <w:top w:val="none" w:sz="0" w:space="0" w:color="auto"/>
                    <w:left w:val="none" w:sz="0" w:space="0" w:color="auto"/>
                    <w:bottom w:val="none" w:sz="0" w:space="0" w:color="auto"/>
                    <w:right w:val="none" w:sz="0" w:space="0" w:color="auto"/>
                  </w:divBdr>
                  <w:divsChild>
                    <w:div w:id="1426532936">
                      <w:marLeft w:val="0"/>
                      <w:marRight w:val="0"/>
                      <w:marTop w:val="0"/>
                      <w:marBottom w:val="0"/>
                      <w:divBdr>
                        <w:top w:val="none" w:sz="0" w:space="0" w:color="auto"/>
                        <w:left w:val="none" w:sz="0" w:space="0" w:color="auto"/>
                        <w:bottom w:val="none" w:sz="0" w:space="0" w:color="auto"/>
                        <w:right w:val="none" w:sz="0" w:space="0" w:color="auto"/>
                      </w:divBdr>
                    </w:div>
                  </w:divsChild>
                </w:div>
                <w:div w:id="419520032">
                  <w:marLeft w:val="0"/>
                  <w:marRight w:val="0"/>
                  <w:marTop w:val="0"/>
                  <w:marBottom w:val="0"/>
                  <w:divBdr>
                    <w:top w:val="none" w:sz="0" w:space="0" w:color="auto"/>
                    <w:left w:val="none" w:sz="0" w:space="0" w:color="auto"/>
                    <w:bottom w:val="none" w:sz="0" w:space="0" w:color="auto"/>
                    <w:right w:val="none" w:sz="0" w:space="0" w:color="auto"/>
                  </w:divBdr>
                  <w:divsChild>
                    <w:div w:id="747656959">
                      <w:marLeft w:val="0"/>
                      <w:marRight w:val="0"/>
                      <w:marTop w:val="0"/>
                      <w:marBottom w:val="0"/>
                      <w:divBdr>
                        <w:top w:val="none" w:sz="0" w:space="0" w:color="auto"/>
                        <w:left w:val="none" w:sz="0" w:space="0" w:color="auto"/>
                        <w:bottom w:val="none" w:sz="0" w:space="0" w:color="auto"/>
                        <w:right w:val="none" w:sz="0" w:space="0" w:color="auto"/>
                      </w:divBdr>
                    </w:div>
                  </w:divsChild>
                </w:div>
                <w:div w:id="458838109">
                  <w:marLeft w:val="0"/>
                  <w:marRight w:val="0"/>
                  <w:marTop w:val="0"/>
                  <w:marBottom w:val="0"/>
                  <w:divBdr>
                    <w:top w:val="none" w:sz="0" w:space="0" w:color="auto"/>
                    <w:left w:val="none" w:sz="0" w:space="0" w:color="auto"/>
                    <w:bottom w:val="none" w:sz="0" w:space="0" w:color="auto"/>
                    <w:right w:val="none" w:sz="0" w:space="0" w:color="auto"/>
                  </w:divBdr>
                  <w:divsChild>
                    <w:div w:id="584150968">
                      <w:marLeft w:val="0"/>
                      <w:marRight w:val="0"/>
                      <w:marTop w:val="0"/>
                      <w:marBottom w:val="0"/>
                      <w:divBdr>
                        <w:top w:val="none" w:sz="0" w:space="0" w:color="auto"/>
                        <w:left w:val="none" w:sz="0" w:space="0" w:color="auto"/>
                        <w:bottom w:val="none" w:sz="0" w:space="0" w:color="auto"/>
                        <w:right w:val="none" w:sz="0" w:space="0" w:color="auto"/>
                      </w:divBdr>
                    </w:div>
                  </w:divsChild>
                </w:div>
                <w:div w:id="475148103">
                  <w:marLeft w:val="0"/>
                  <w:marRight w:val="0"/>
                  <w:marTop w:val="0"/>
                  <w:marBottom w:val="0"/>
                  <w:divBdr>
                    <w:top w:val="none" w:sz="0" w:space="0" w:color="auto"/>
                    <w:left w:val="none" w:sz="0" w:space="0" w:color="auto"/>
                    <w:bottom w:val="none" w:sz="0" w:space="0" w:color="auto"/>
                    <w:right w:val="none" w:sz="0" w:space="0" w:color="auto"/>
                  </w:divBdr>
                  <w:divsChild>
                    <w:div w:id="1773475916">
                      <w:marLeft w:val="0"/>
                      <w:marRight w:val="0"/>
                      <w:marTop w:val="0"/>
                      <w:marBottom w:val="0"/>
                      <w:divBdr>
                        <w:top w:val="none" w:sz="0" w:space="0" w:color="auto"/>
                        <w:left w:val="none" w:sz="0" w:space="0" w:color="auto"/>
                        <w:bottom w:val="none" w:sz="0" w:space="0" w:color="auto"/>
                        <w:right w:val="none" w:sz="0" w:space="0" w:color="auto"/>
                      </w:divBdr>
                    </w:div>
                  </w:divsChild>
                </w:div>
                <w:div w:id="583219937">
                  <w:marLeft w:val="0"/>
                  <w:marRight w:val="0"/>
                  <w:marTop w:val="0"/>
                  <w:marBottom w:val="0"/>
                  <w:divBdr>
                    <w:top w:val="none" w:sz="0" w:space="0" w:color="auto"/>
                    <w:left w:val="none" w:sz="0" w:space="0" w:color="auto"/>
                    <w:bottom w:val="none" w:sz="0" w:space="0" w:color="auto"/>
                    <w:right w:val="none" w:sz="0" w:space="0" w:color="auto"/>
                  </w:divBdr>
                  <w:divsChild>
                    <w:div w:id="604121956">
                      <w:marLeft w:val="0"/>
                      <w:marRight w:val="0"/>
                      <w:marTop w:val="0"/>
                      <w:marBottom w:val="0"/>
                      <w:divBdr>
                        <w:top w:val="none" w:sz="0" w:space="0" w:color="auto"/>
                        <w:left w:val="none" w:sz="0" w:space="0" w:color="auto"/>
                        <w:bottom w:val="none" w:sz="0" w:space="0" w:color="auto"/>
                        <w:right w:val="none" w:sz="0" w:space="0" w:color="auto"/>
                      </w:divBdr>
                    </w:div>
                  </w:divsChild>
                </w:div>
                <w:div w:id="589780039">
                  <w:marLeft w:val="0"/>
                  <w:marRight w:val="0"/>
                  <w:marTop w:val="0"/>
                  <w:marBottom w:val="0"/>
                  <w:divBdr>
                    <w:top w:val="none" w:sz="0" w:space="0" w:color="auto"/>
                    <w:left w:val="none" w:sz="0" w:space="0" w:color="auto"/>
                    <w:bottom w:val="none" w:sz="0" w:space="0" w:color="auto"/>
                    <w:right w:val="none" w:sz="0" w:space="0" w:color="auto"/>
                  </w:divBdr>
                  <w:divsChild>
                    <w:div w:id="2091850658">
                      <w:marLeft w:val="0"/>
                      <w:marRight w:val="0"/>
                      <w:marTop w:val="0"/>
                      <w:marBottom w:val="0"/>
                      <w:divBdr>
                        <w:top w:val="none" w:sz="0" w:space="0" w:color="auto"/>
                        <w:left w:val="none" w:sz="0" w:space="0" w:color="auto"/>
                        <w:bottom w:val="none" w:sz="0" w:space="0" w:color="auto"/>
                        <w:right w:val="none" w:sz="0" w:space="0" w:color="auto"/>
                      </w:divBdr>
                    </w:div>
                  </w:divsChild>
                </w:div>
                <w:div w:id="659620074">
                  <w:marLeft w:val="0"/>
                  <w:marRight w:val="0"/>
                  <w:marTop w:val="0"/>
                  <w:marBottom w:val="0"/>
                  <w:divBdr>
                    <w:top w:val="none" w:sz="0" w:space="0" w:color="auto"/>
                    <w:left w:val="none" w:sz="0" w:space="0" w:color="auto"/>
                    <w:bottom w:val="none" w:sz="0" w:space="0" w:color="auto"/>
                    <w:right w:val="none" w:sz="0" w:space="0" w:color="auto"/>
                  </w:divBdr>
                  <w:divsChild>
                    <w:div w:id="415522110">
                      <w:marLeft w:val="0"/>
                      <w:marRight w:val="0"/>
                      <w:marTop w:val="0"/>
                      <w:marBottom w:val="0"/>
                      <w:divBdr>
                        <w:top w:val="none" w:sz="0" w:space="0" w:color="auto"/>
                        <w:left w:val="none" w:sz="0" w:space="0" w:color="auto"/>
                        <w:bottom w:val="none" w:sz="0" w:space="0" w:color="auto"/>
                        <w:right w:val="none" w:sz="0" w:space="0" w:color="auto"/>
                      </w:divBdr>
                    </w:div>
                  </w:divsChild>
                </w:div>
                <w:div w:id="712772475">
                  <w:marLeft w:val="0"/>
                  <w:marRight w:val="0"/>
                  <w:marTop w:val="0"/>
                  <w:marBottom w:val="0"/>
                  <w:divBdr>
                    <w:top w:val="none" w:sz="0" w:space="0" w:color="auto"/>
                    <w:left w:val="none" w:sz="0" w:space="0" w:color="auto"/>
                    <w:bottom w:val="none" w:sz="0" w:space="0" w:color="auto"/>
                    <w:right w:val="none" w:sz="0" w:space="0" w:color="auto"/>
                  </w:divBdr>
                  <w:divsChild>
                    <w:div w:id="1134448623">
                      <w:marLeft w:val="0"/>
                      <w:marRight w:val="0"/>
                      <w:marTop w:val="0"/>
                      <w:marBottom w:val="0"/>
                      <w:divBdr>
                        <w:top w:val="none" w:sz="0" w:space="0" w:color="auto"/>
                        <w:left w:val="none" w:sz="0" w:space="0" w:color="auto"/>
                        <w:bottom w:val="none" w:sz="0" w:space="0" w:color="auto"/>
                        <w:right w:val="none" w:sz="0" w:space="0" w:color="auto"/>
                      </w:divBdr>
                    </w:div>
                  </w:divsChild>
                </w:div>
                <w:div w:id="783161382">
                  <w:marLeft w:val="0"/>
                  <w:marRight w:val="0"/>
                  <w:marTop w:val="0"/>
                  <w:marBottom w:val="0"/>
                  <w:divBdr>
                    <w:top w:val="none" w:sz="0" w:space="0" w:color="auto"/>
                    <w:left w:val="none" w:sz="0" w:space="0" w:color="auto"/>
                    <w:bottom w:val="none" w:sz="0" w:space="0" w:color="auto"/>
                    <w:right w:val="none" w:sz="0" w:space="0" w:color="auto"/>
                  </w:divBdr>
                  <w:divsChild>
                    <w:div w:id="441191479">
                      <w:marLeft w:val="0"/>
                      <w:marRight w:val="0"/>
                      <w:marTop w:val="0"/>
                      <w:marBottom w:val="0"/>
                      <w:divBdr>
                        <w:top w:val="none" w:sz="0" w:space="0" w:color="auto"/>
                        <w:left w:val="none" w:sz="0" w:space="0" w:color="auto"/>
                        <w:bottom w:val="none" w:sz="0" w:space="0" w:color="auto"/>
                        <w:right w:val="none" w:sz="0" w:space="0" w:color="auto"/>
                      </w:divBdr>
                    </w:div>
                  </w:divsChild>
                </w:div>
                <w:div w:id="783963919">
                  <w:marLeft w:val="0"/>
                  <w:marRight w:val="0"/>
                  <w:marTop w:val="0"/>
                  <w:marBottom w:val="0"/>
                  <w:divBdr>
                    <w:top w:val="none" w:sz="0" w:space="0" w:color="auto"/>
                    <w:left w:val="none" w:sz="0" w:space="0" w:color="auto"/>
                    <w:bottom w:val="none" w:sz="0" w:space="0" w:color="auto"/>
                    <w:right w:val="none" w:sz="0" w:space="0" w:color="auto"/>
                  </w:divBdr>
                  <w:divsChild>
                    <w:div w:id="259683864">
                      <w:marLeft w:val="0"/>
                      <w:marRight w:val="0"/>
                      <w:marTop w:val="0"/>
                      <w:marBottom w:val="0"/>
                      <w:divBdr>
                        <w:top w:val="none" w:sz="0" w:space="0" w:color="auto"/>
                        <w:left w:val="none" w:sz="0" w:space="0" w:color="auto"/>
                        <w:bottom w:val="none" w:sz="0" w:space="0" w:color="auto"/>
                        <w:right w:val="none" w:sz="0" w:space="0" w:color="auto"/>
                      </w:divBdr>
                    </w:div>
                  </w:divsChild>
                </w:div>
                <w:div w:id="816848815">
                  <w:marLeft w:val="0"/>
                  <w:marRight w:val="0"/>
                  <w:marTop w:val="0"/>
                  <w:marBottom w:val="0"/>
                  <w:divBdr>
                    <w:top w:val="none" w:sz="0" w:space="0" w:color="auto"/>
                    <w:left w:val="none" w:sz="0" w:space="0" w:color="auto"/>
                    <w:bottom w:val="none" w:sz="0" w:space="0" w:color="auto"/>
                    <w:right w:val="none" w:sz="0" w:space="0" w:color="auto"/>
                  </w:divBdr>
                  <w:divsChild>
                    <w:div w:id="1097561000">
                      <w:marLeft w:val="0"/>
                      <w:marRight w:val="0"/>
                      <w:marTop w:val="0"/>
                      <w:marBottom w:val="0"/>
                      <w:divBdr>
                        <w:top w:val="none" w:sz="0" w:space="0" w:color="auto"/>
                        <w:left w:val="none" w:sz="0" w:space="0" w:color="auto"/>
                        <w:bottom w:val="none" w:sz="0" w:space="0" w:color="auto"/>
                        <w:right w:val="none" w:sz="0" w:space="0" w:color="auto"/>
                      </w:divBdr>
                    </w:div>
                  </w:divsChild>
                </w:div>
                <w:div w:id="818158830">
                  <w:marLeft w:val="0"/>
                  <w:marRight w:val="0"/>
                  <w:marTop w:val="0"/>
                  <w:marBottom w:val="0"/>
                  <w:divBdr>
                    <w:top w:val="none" w:sz="0" w:space="0" w:color="auto"/>
                    <w:left w:val="none" w:sz="0" w:space="0" w:color="auto"/>
                    <w:bottom w:val="none" w:sz="0" w:space="0" w:color="auto"/>
                    <w:right w:val="none" w:sz="0" w:space="0" w:color="auto"/>
                  </w:divBdr>
                  <w:divsChild>
                    <w:div w:id="204753262">
                      <w:marLeft w:val="0"/>
                      <w:marRight w:val="0"/>
                      <w:marTop w:val="0"/>
                      <w:marBottom w:val="0"/>
                      <w:divBdr>
                        <w:top w:val="none" w:sz="0" w:space="0" w:color="auto"/>
                        <w:left w:val="none" w:sz="0" w:space="0" w:color="auto"/>
                        <w:bottom w:val="none" w:sz="0" w:space="0" w:color="auto"/>
                        <w:right w:val="none" w:sz="0" w:space="0" w:color="auto"/>
                      </w:divBdr>
                    </w:div>
                  </w:divsChild>
                </w:div>
                <w:div w:id="835802185">
                  <w:marLeft w:val="0"/>
                  <w:marRight w:val="0"/>
                  <w:marTop w:val="0"/>
                  <w:marBottom w:val="0"/>
                  <w:divBdr>
                    <w:top w:val="none" w:sz="0" w:space="0" w:color="auto"/>
                    <w:left w:val="none" w:sz="0" w:space="0" w:color="auto"/>
                    <w:bottom w:val="none" w:sz="0" w:space="0" w:color="auto"/>
                    <w:right w:val="none" w:sz="0" w:space="0" w:color="auto"/>
                  </w:divBdr>
                  <w:divsChild>
                    <w:div w:id="158233102">
                      <w:marLeft w:val="0"/>
                      <w:marRight w:val="0"/>
                      <w:marTop w:val="0"/>
                      <w:marBottom w:val="0"/>
                      <w:divBdr>
                        <w:top w:val="none" w:sz="0" w:space="0" w:color="auto"/>
                        <w:left w:val="none" w:sz="0" w:space="0" w:color="auto"/>
                        <w:bottom w:val="none" w:sz="0" w:space="0" w:color="auto"/>
                        <w:right w:val="none" w:sz="0" w:space="0" w:color="auto"/>
                      </w:divBdr>
                    </w:div>
                  </w:divsChild>
                </w:div>
                <w:div w:id="878475584">
                  <w:marLeft w:val="0"/>
                  <w:marRight w:val="0"/>
                  <w:marTop w:val="0"/>
                  <w:marBottom w:val="0"/>
                  <w:divBdr>
                    <w:top w:val="none" w:sz="0" w:space="0" w:color="auto"/>
                    <w:left w:val="none" w:sz="0" w:space="0" w:color="auto"/>
                    <w:bottom w:val="none" w:sz="0" w:space="0" w:color="auto"/>
                    <w:right w:val="none" w:sz="0" w:space="0" w:color="auto"/>
                  </w:divBdr>
                  <w:divsChild>
                    <w:div w:id="1659724208">
                      <w:marLeft w:val="0"/>
                      <w:marRight w:val="0"/>
                      <w:marTop w:val="0"/>
                      <w:marBottom w:val="0"/>
                      <w:divBdr>
                        <w:top w:val="none" w:sz="0" w:space="0" w:color="auto"/>
                        <w:left w:val="none" w:sz="0" w:space="0" w:color="auto"/>
                        <w:bottom w:val="none" w:sz="0" w:space="0" w:color="auto"/>
                        <w:right w:val="none" w:sz="0" w:space="0" w:color="auto"/>
                      </w:divBdr>
                    </w:div>
                  </w:divsChild>
                </w:div>
                <w:div w:id="883981123">
                  <w:marLeft w:val="0"/>
                  <w:marRight w:val="0"/>
                  <w:marTop w:val="0"/>
                  <w:marBottom w:val="0"/>
                  <w:divBdr>
                    <w:top w:val="none" w:sz="0" w:space="0" w:color="auto"/>
                    <w:left w:val="none" w:sz="0" w:space="0" w:color="auto"/>
                    <w:bottom w:val="none" w:sz="0" w:space="0" w:color="auto"/>
                    <w:right w:val="none" w:sz="0" w:space="0" w:color="auto"/>
                  </w:divBdr>
                  <w:divsChild>
                    <w:div w:id="2012635751">
                      <w:marLeft w:val="0"/>
                      <w:marRight w:val="0"/>
                      <w:marTop w:val="0"/>
                      <w:marBottom w:val="0"/>
                      <w:divBdr>
                        <w:top w:val="none" w:sz="0" w:space="0" w:color="auto"/>
                        <w:left w:val="none" w:sz="0" w:space="0" w:color="auto"/>
                        <w:bottom w:val="none" w:sz="0" w:space="0" w:color="auto"/>
                        <w:right w:val="none" w:sz="0" w:space="0" w:color="auto"/>
                      </w:divBdr>
                    </w:div>
                  </w:divsChild>
                </w:div>
                <w:div w:id="902065838">
                  <w:marLeft w:val="0"/>
                  <w:marRight w:val="0"/>
                  <w:marTop w:val="0"/>
                  <w:marBottom w:val="0"/>
                  <w:divBdr>
                    <w:top w:val="none" w:sz="0" w:space="0" w:color="auto"/>
                    <w:left w:val="none" w:sz="0" w:space="0" w:color="auto"/>
                    <w:bottom w:val="none" w:sz="0" w:space="0" w:color="auto"/>
                    <w:right w:val="none" w:sz="0" w:space="0" w:color="auto"/>
                  </w:divBdr>
                  <w:divsChild>
                    <w:div w:id="1454784968">
                      <w:marLeft w:val="0"/>
                      <w:marRight w:val="0"/>
                      <w:marTop w:val="0"/>
                      <w:marBottom w:val="0"/>
                      <w:divBdr>
                        <w:top w:val="none" w:sz="0" w:space="0" w:color="auto"/>
                        <w:left w:val="none" w:sz="0" w:space="0" w:color="auto"/>
                        <w:bottom w:val="none" w:sz="0" w:space="0" w:color="auto"/>
                        <w:right w:val="none" w:sz="0" w:space="0" w:color="auto"/>
                      </w:divBdr>
                    </w:div>
                  </w:divsChild>
                </w:div>
                <w:div w:id="902912930">
                  <w:marLeft w:val="0"/>
                  <w:marRight w:val="0"/>
                  <w:marTop w:val="0"/>
                  <w:marBottom w:val="0"/>
                  <w:divBdr>
                    <w:top w:val="none" w:sz="0" w:space="0" w:color="auto"/>
                    <w:left w:val="none" w:sz="0" w:space="0" w:color="auto"/>
                    <w:bottom w:val="none" w:sz="0" w:space="0" w:color="auto"/>
                    <w:right w:val="none" w:sz="0" w:space="0" w:color="auto"/>
                  </w:divBdr>
                  <w:divsChild>
                    <w:div w:id="384531713">
                      <w:marLeft w:val="0"/>
                      <w:marRight w:val="0"/>
                      <w:marTop w:val="0"/>
                      <w:marBottom w:val="0"/>
                      <w:divBdr>
                        <w:top w:val="none" w:sz="0" w:space="0" w:color="auto"/>
                        <w:left w:val="none" w:sz="0" w:space="0" w:color="auto"/>
                        <w:bottom w:val="none" w:sz="0" w:space="0" w:color="auto"/>
                        <w:right w:val="none" w:sz="0" w:space="0" w:color="auto"/>
                      </w:divBdr>
                    </w:div>
                  </w:divsChild>
                </w:div>
                <w:div w:id="952441181">
                  <w:marLeft w:val="0"/>
                  <w:marRight w:val="0"/>
                  <w:marTop w:val="0"/>
                  <w:marBottom w:val="0"/>
                  <w:divBdr>
                    <w:top w:val="none" w:sz="0" w:space="0" w:color="auto"/>
                    <w:left w:val="none" w:sz="0" w:space="0" w:color="auto"/>
                    <w:bottom w:val="none" w:sz="0" w:space="0" w:color="auto"/>
                    <w:right w:val="none" w:sz="0" w:space="0" w:color="auto"/>
                  </w:divBdr>
                  <w:divsChild>
                    <w:div w:id="1964843632">
                      <w:marLeft w:val="0"/>
                      <w:marRight w:val="0"/>
                      <w:marTop w:val="0"/>
                      <w:marBottom w:val="0"/>
                      <w:divBdr>
                        <w:top w:val="none" w:sz="0" w:space="0" w:color="auto"/>
                        <w:left w:val="none" w:sz="0" w:space="0" w:color="auto"/>
                        <w:bottom w:val="none" w:sz="0" w:space="0" w:color="auto"/>
                        <w:right w:val="none" w:sz="0" w:space="0" w:color="auto"/>
                      </w:divBdr>
                    </w:div>
                  </w:divsChild>
                </w:div>
                <w:div w:id="1105228973">
                  <w:marLeft w:val="0"/>
                  <w:marRight w:val="0"/>
                  <w:marTop w:val="0"/>
                  <w:marBottom w:val="0"/>
                  <w:divBdr>
                    <w:top w:val="none" w:sz="0" w:space="0" w:color="auto"/>
                    <w:left w:val="none" w:sz="0" w:space="0" w:color="auto"/>
                    <w:bottom w:val="none" w:sz="0" w:space="0" w:color="auto"/>
                    <w:right w:val="none" w:sz="0" w:space="0" w:color="auto"/>
                  </w:divBdr>
                  <w:divsChild>
                    <w:div w:id="22052397">
                      <w:marLeft w:val="0"/>
                      <w:marRight w:val="0"/>
                      <w:marTop w:val="0"/>
                      <w:marBottom w:val="0"/>
                      <w:divBdr>
                        <w:top w:val="none" w:sz="0" w:space="0" w:color="auto"/>
                        <w:left w:val="none" w:sz="0" w:space="0" w:color="auto"/>
                        <w:bottom w:val="none" w:sz="0" w:space="0" w:color="auto"/>
                        <w:right w:val="none" w:sz="0" w:space="0" w:color="auto"/>
                      </w:divBdr>
                    </w:div>
                  </w:divsChild>
                </w:div>
                <w:div w:id="1138185339">
                  <w:marLeft w:val="0"/>
                  <w:marRight w:val="0"/>
                  <w:marTop w:val="0"/>
                  <w:marBottom w:val="0"/>
                  <w:divBdr>
                    <w:top w:val="none" w:sz="0" w:space="0" w:color="auto"/>
                    <w:left w:val="none" w:sz="0" w:space="0" w:color="auto"/>
                    <w:bottom w:val="none" w:sz="0" w:space="0" w:color="auto"/>
                    <w:right w:val="none" w:sz="0" w:space="0" w:color="auto"/>
                  </w:divBdr>
                  <w:divsChild>
                    <w:div w:id="1224368997">
                      <w:marLeft w:val="0"/>
                      <w:marRight w:val="0"/>
                      <w:marTop w:val="0"/>
                      <w:marBottom w:val="0"/>
                      <w:divBdr>
                        <w:top w:val="none" w:sz="0" w:space="0" w:color="auto"/>
                        <w:left w:val="none" w:sz="0" w:space="0" w:color="auto"/>
                        <w:bottom w:val="none" w:sz="0" w:space="0" w:color="auto"/>
                        <w:right w:val="none" w:sz="0" w:space="0" w:color="auto"/>
                      </w:divBdr>
                    </w:div>
                  </w:divsChild>
                </w:div>
                <w:div w:id="1169905055">
                  <w:marLeft w:val="0"/>
                  <w:marRight w:val="0"/>
                  <w:marTop w:val="0"/>
                  <w:marBottom w:val="0"/>
                  <w:divBdr>
                    <w:top w:val="none" w:sz="0" w:space="0" w:color="auto"/>
                    <w:left w:val="none" w:sz="0" w:space="0" w:color="auto"/>
                    <w:bottom w:val="none" w:sz="0" w:space="0" w:color="auto"/>
                    <w:right w:val="none" w:sz="0" w:space="0" w:color="auto"/>
                  </w:divBdr>
                  <w:divsChild>
                    <w:div w:id="1108236823">
                      <w:marLeft w:val="0"/>
                      <w:marRight w:val="0"/>
                      <w:marTop w:val="0"/>
                      <w:marBottom w:val="0"/>
                      <w:divBdr>
                        <w:top w:val="none" w:sz="0" w:space="0" w:color="auto"/>
                        <w:left w:val="none" w:sz="0" w:space="0" w:color="auto"/>
                        <w:bottom w:val="none" w:sz="0" w:space="0" w:color="auto"/>
                        <w:right w:val="none" w:sz="0" w:space="0" w:color="auto"/>
                      </w:divBdr>
                    </w:div>
                  </w:divsChild>
                </w:div>
                <w:div w:id="1199589823">
                  <w:marLeft w:val="0"/>
                  <w:marRight w:val="0"/>
                  <w:marTop w:val="0"/>
                  <w:marBottom w:val="0"/>
                  <w:divBdr>
                    <w:top w:val="none" w:sz="0" w:space="0" w:color="auto"/>
                    <w:left w:val="none" w:sz="0" w:space="0" w:color="auto"/>
                    <w:bottom w:val="none" w:sz="0" w:space="0" w:color="auto"/>
                    <w:right w:val="none" w:sz="0" w:space="0" w:color="auto"/>
                  </w:divBdr>
                  <w:divsChild>
                    <w:div w:id="141435688">
                      <w:marLeft w:val="0"/>
                      <w:marRight w:val="0"/>
                      <w:marTop w:val="0"/>
                      <w:marBottom w:val="0"/>
                      <w:divBdr>
                        <w:top w:val="none" w:sz="0" w:space="0" w:color="auto"/>
                        <w:left w:val="none" w:sz="0" w:space="0" w:color="auto"/>
                        <w:bottom w:val="none" w:sz="0" w:space="0" w:color="auto"/>
                        <w:right w:val="none" w:sz="0" w:space="0" w:color="auto"/>
                      </w:divBdr>
                    </w:div>
                  </w:divsChild>
                </w:div>
                <w:div w:id="1300575577">
                  <w:marLeft w:val="0"/>
                  <w:marRight w:val="0"/>
                  <w:marTop w:val="0"/>
                  <w:marBottom w:val="0"/>
                  <w:divBdr>
                    <w:top w:val="none" w:sz="0" w:space="0" w:color="auto"/>
                    <w:left w:val="none" w:sz="0" w:space="0" w:color="auto"/>
                    <w:bottom w:val="none" w:sz="0" w:space="0" w:color="auto"/>
                    <w:right w:val="none" w:sz="0" w:space="0" w:color="auto"/>
                  </w:divBdr>
                  <w:divsChild>
                    <w:div w:id="1509052233">
                      <w:marLeft w:val="0"/>
                      <w:marRight w:val="0"/>
                      <w:marTop w:val="0"/>
                      <w:marBottom w:val="0"/>
                      <w:divBdr>
                        <w:top w:val="none" w:sz="0" w:space="0" w:color="auto"/>
                        <w:left w:val="none" w:sz="0" w:space="0" w:color="auto"/>
                        <w:bottom w:val="none" w:sz="0" w:space="0" w:color="auto"/>
                        <w:right w:val="none" w:sz="0" w:space="0" w:color="auto"/>
                      </w:divBdr>
                    </w:div>
                  </w:divsChild>
                </w:div>
                <w:div w:id="1382829843">
                  <w:marLeft w:val="0"/>
                  <w:marRight w:val="0"/>
                  <w:marTop w:val="0"/>
                  <w:marBottom w:val="0"/>
                  <w:divBdr>
                    <w:top w:val="none" w:sz="0" w:space="0" w:color="auto"/>
                    <w:left w:val="none" w:sz="0" w:space="0" w:color="auto"/>
                    <w:bottom w:val="none" w:sz="0" w:space="0" w:color="auto"/>
                    <w:right w:val="none" w:sz="0" w:space="0" w:color="auto"/>
                  </w:divBdr>
                  <w:divsChild>
                    <w:div w:id="423495829">
                      <w:marLeft w:val="0"/>
                      <w:marRight w:val="0"/>
                      <w:marTop w:val="0"/>
                      <w:marBottom w:val="0"/>
                      <w:divBdr>
                        <w:top w:val="none" w:sz="0" w:space="0" w:color="auto"/>
                        <w:left w:val="none" w:sz="0" w:space="0" w:color="auto"/>
                        <w:bottom w:val="none" w:sz="0" w:space="0" w:color="auto"/>
                        <w:right w:val="none" w:sz="0" w:space="0" w:color="auto"/>
                      </w:divBdr>
                    </w:div>
                  </w:divsChild>
                </w:div>
                <w:div w:id="1461803591">
                  <w:marLeft w:val="0"/>
                  <w:marRight w:val="0"/>
                  <w:marTop w:val="0"/>
                  <w:marBottom w:val="0"/>
                  <w:divBdr>
                    <w:top w:val="none" w:sz="0" w:space="0" w:color="auto"/>
                    <w:left w:val="none" w:sz="0" w:space="0" w:color="auto"/>
                    <w:bottom w:val="none" w:sz="0" w:space="0" w:color="auto"/>
                    <w:right w:val="none" w:sz="0" w:space="0" w:color="auto"/>
                  </w:divBdr>
                  <w:divsChild>
                    <w:div w:id="491335565">
                      <w:marLeft w:val="0"/>
                      <w:marRight w:val="0"/>
                      <w:marTop w:val="0"/>
                      <w:marBottom w:val="0"/>
                      <w:divBdr>
                        <w:top w:val="none" w:sz="0" w:space="0" w:color="auto"/>
                        <w:left w:val="none" w:sz="0" w:space="0" w:color="auto"/>
                        <w:bottom w:val="none" w:sz="0" w:space="0" w:color="auto"/>
                        <w:right w:val="none" w:sz="0" w:space="0" w:color="auto"/>
                      </w:divBdr>
                    </w:div>
                  </w:divsChild>
                </w:div>
                <w:div w:id="1499464473">
                  <w:marLeft w:val="0"/>
                  <w:marRight w:val="0"/>
                  <w:marTop w:val="0"/>
                  <w:marBottom w:val="0"/>
                  <w:divBdr>
                    <w:top w:val="none" w:sz="0" w:space="0" w:color="auto"/>
                    <w:left w:val="none" w:sz="0" w:space="0" w:color="auto"/>
                    <w:bottom w:val="none" w:sz="0" w:space="0" w:color="auto"/>
                    <w:right w:val="none" w:sz="0" w:space="0" w:color="auto"/>
                  </w:divBdr>
                  <w:divsChild>
                    <w:div w:id="68121550">
                      <w:marLeft w:val="0"/>
                      <w:marRight w:val="0"/>
                      <w:marTop w:val="0"/>
                      <w:marBottom w:val="0"/>
                      <w:divBdr>
                        <w:top w:val="none" w:sz="0" w:space="0" w:color="auto"/>
                        <w:left w:val="none" w:sz="0" w:space="0" w:color="auto"/>
                        <w:bottom w:val="none" w:sz="0" w:space="0" w:color="auto"/>
                        <w:right w:val="none" w:sz="0" w:space="0" w:color="auto"/>
                      </w:divBdr>
                    </w:div>
                  </w:divsChild>
                </w:div>
                <w:div w:id="1514808251">
                  <w:marLeft w:val="0"/>
                  <w:marRight w:val="0"/>
                  <w:marTop w:val="0"/>
                  <w:marBottom w:val="0"/>
                  <w:divBdr>
                    <w:top w:val="none" w:sz="0" w:space="0" w:color="auto"/>
                    <w:left w:val="none" w:sz="0" w:space="0" w:color="auto"/>
                    <w:bottom w:val="none" w:sz="0" w:space="0" w:color="auto"/>
                    <w:right w:val="none" w:sz="0" w:space="0" w:color="auto"/>
                  </w:divBdr>
                  <w:divsChild>
                    <w:div w:id="501432717">
                      <w:marLeft w:val="0"/>
                      <w:marRight w:val="0"/>
                      <w:marTop w:val="0"/>
                      <w:marBottom w:val="0"/>
                      <w:divBdr>
                        <w:top w:val="none" w:sz="0" w:space="0" w:color="auto"/>
                        <w:left w:val="none" w:sz="0" w:space="0" w:color="auto"/>
                        <w:bottom w:val="none" w:sz="0" w:space="0" w:color="auto"/>
                        <w:right w:val="none" w:sz="0" w:space="0" w:color="auto"/>
                      </w:divBdr>
                    </w:div>
                  </w:divsChild>
                </w:div>
                <w:div w:id="1526869495">
                  <w:marLeft w:val="0"/>
                  <w:marRight w:val="0"/>
                  <w:marTop w:val="0"/>
                  <w:marBottom w:val="0"/>
                  <w:divBdr>
                    <w:top w:val="none" w:sz="0" w:space="0" w:color="auto"/>
                    <w:left w:val="none" w:sz="0" w:space="0" w:color="auto"/>
                    <w:bottom w:val="none" w:sz="0" w:space="0" w:color="auto"/>
                    <w:right w:val="none" w:sz="0" w:space="0" w:color="auto"/>
                  </w:divBdr>
                  <w:divsChild>
                    <w:div w:id="309752402">
                      <w:marLeft w:val="0"/>
                      <w:marRight w:val="0"/>
                      <w:marTop w:val="0"/>
                      <w:marBottom w:val="0"/>
                      <w:divBdr>
                        <w:top w:val="none" w:sz="0" w:space="0" w:color="auto"/>
                        <w:left w:val="none" w:sz="0" w:space="0" w:color="auto"/>
                        <w:bottom w:val="none" w:sz="0" w:space="0" w:color="auto"/>
                        <w:right w:val="none" w:sz="0" w:space="0" w:color="auto"/>
                      </w:divBdr>
                    </w:div>
                  </w:divsChild>
                </w:div>
                <w:div w:id="1546285642">
                  <w:marLeft w:val="0"/>
                  <w:marRight w:val="0"/>
                  <w:marTop w:val="0"/>
                  <w:marBottom w:val="0"/>
                  <w:divBdr>
                    <w:top w:val="none" w:sz="0" w:space="0" w:color="auto"/>
                    <w:left w:val="none" w:sz="0" w:space="0" w:color="auto"/>
                    <w:bottom w:val="none" w:sz="0" w:space="0" w:color="auto"/>
                    <w:right w:val="none" w:sz="0" w:space="0" w:color="auto"/>
                  </w:divBdr>
                  <w:divsChild>
                    <w:div w:id="2103720072">
                      <w:marLeft w:val="0"/>
                      <w:marRight w:val="0"/>
                      <w:marTop w:val="0"/>
                      <w:marBottom w:val="0"/>
                      <w:divBdr>
                        <w:top w:val="none" w:sz="0" w:space="0" w:color="auto"/>
                        <w:left w:val="none" w:sz="0" w:space="0" w:color="auto"/>
                        <w:bottom w:val="none" w:sz="0" w:space="0" w:color="auto"/>
                        <w:right w:val="none" w:sz="0" w:space="0" w:color="auto"/>
                      </w:divBdr>
                    </w:div>
                  </w:divsChild>
                </w:div>
                <w:div w:id="1555966935">
                  <w:marLeft w:val="0"/>
                  <w:marRight w:val="0"/>
                  <w:marTop w:val="0"/>
                  <w:marBottom w:val="0"/>
                  <w:divBdr>
                    <w:top w:val="none" w:sz="0" w:space="0" w:color="auto"/>
                    <w:left w:val="none" w:sz="0" w:space="0" w:color="auto"/>
                    <w:bottom w:val="none" w:sz="0" w:space="0" w:color="auto"/>
                    <w:right w:val="none" w:sz="0" w:space="0" w:color="auto"/>
                  </w:divBdr>
                  <w:divsChild>
                    <w:div w:id="1456606495">
                      <w:marLeft w:val="0"/>
                      <w:marRight w:val="0"/>
                      <w:marTop w:val="0"/>
                      <w:marBottom w:val="0"/>
                      <w:divBdr>
                        <w:top w:val="none" w:sz="0" w:space="0" w:color="auto"/>
                        <w:left w:val="none" w:sz="0" w:space="0" w:color="auto"/>
                        <w:bottom w:val="none" w:sz="0" w:space="0" w:color="auto"/>
                        <w:right w:val="none" w:sz="0" w:space="0" w:color="auto"/>
                      </w:divBdr>
                    </w:div>
                  </w:divsChild>
                </w:div>
                <w:div w:id="1640066790">
                  <w:marLeft w:val="0"/>
                  <w:marRight w:val="0"/>
                  <w:marTop w:val="0"/>
                  <w:marBottom w:val="0"/>
                  <w:divBdr>
                    <w:top w:val="none" w:sz="0" w:space="0" w:color="auto"/>
                    <w:left w:val="none" w:sz="0" w:space="0" w:color="auto"/>
                    <w:bottom w:val="none" w:sz="0" w:space="0" w:color="auto"/>
                    <w:right w:val="none" w:sz="0" w:space="0" w:color="auto"/>
                  </w:divBdr>
                  <w:divsChild>
                    <w:div w:id="738164280">
                      <w:marLeft w:val="0"/>
                      <w:marRight w:val="0"/>
                      <w:marTop w:val="0"/>
                      <w:marBottom w:val="0"/>
                      <w:divBdr>
                        <w:top w:val="none" w:sz="0" w:space="0" w:color="auto"/>
                        <w:left w:val="none" w:sz="0" w:space="0" w:color="auto"/>
                        <w:bottom w:val="none" w:sz="0" w:space="0" w:color="auto"/>
                        <w:right w:val="none" w:sz="0" w:space="0" w:color="auto"/>
                      </w:divBdr>
                    </w:div>
                  </w:divsChild>
                </w:div>
                <w:div w:id="1703439726">
                  <w:marLeft w:val="0"/>
                  <w:marRight w:val="0"/>
                  <w:marTop w:val="0"/>
                  <w:marBottom w:val="0"/>
                  <w:divBdr>
                    <w:top w:val="none" w:sz="0" w:space="0" w:color="auto"/>
                    <w:left w:val="none" w:sz="0" w:space="0" w:color="auto"/>
                    <w:bottom w:val="none" w:sz="0" w:space="0" w:color="auto"/>
                    <w:right w:val="none" w:sz="0" w:space="0" w:color="auto"/>
                  </w:divBdr>
                  <w:divsChild>
                    <w:div w:id="1176920791">
                      <w:marLeft w:val="0"/>
                      <w:marRight w:val="0"/>
                      <w:marTop w:val="0"/>
                      <w:marBottom w:val="0"/>
                      <w:divBdr>
                        <w:top w:val="none" w:sz="0" w:space="0" w:color="auto"/>
                        <w:left w:val="none" w:sz="0" w:space="0" w:color="auto"/>
                        <w:bottom w:val="none" w:sz="0" w:space="0" w:color="auto"/>
                        <w:right w:val="none" w:sz="0" w:space="0" w:color="auto"/>
                      </w:divBdr>
                    </w:div>
                  </w:divsChild>
                </w:div>
                <w:div w:id="1759322876">
                  <w:marLeft w:val="0"/>
                  <w:marRight w:val="0"/>
                  <w:marTop w:val="0"/>
                  <w:marBottom w:val="0"/>
                  <w:divBdr>
                    <w:top w:val="none" w:sz="0" w:space="0" w:color="auto"/>
                    <w:left w:val="none" w:sz="0" w:space="0" w:color="auto"/>
                    <w:bottom w:val="none" w:sz="0" w:space="0" w:color="auto"/>
                    <w:right w:val="none" w:sz="0" w:space="0" w:color="auto"/>
                  </w:divBdr>
                  <w:divsChild>
                    <w:div w:id="962469132">
                      <w:marLeft w:val="0"/>
                      <w:marRight w:val="0"/>
                      <w:marTop w:val="0"/>
                      <w:marBottom w:val="0"/>
                      <w:divBdr>
                        <w:top w:val="none" w:sz="0" w:space="0" w:color="auto"/>
                        <w:left w:val="none" w:sz="0" w:space="0" w:color="auto"/>
                        <w:bottom w:val="none" w:sz="0" w:space="0" w:color="auto"/>
                        <w:right w:val="none" w:sz="0" w:space="0" w:color="auto"/>
                      </w:divBdr>
                    </w:div>
                  </w:divsChild>
                </w:div>
                <w:div w:id="1781491198">
                  <w:marLeft w:val="0"/>
                  <w:marRight w:val="0"/>
                  <w:marTop w:val="0"/>
                  <w:marBottom w:val="0"/>
                  <w:divBdr>
                    <w:top w:val="none" w:sz="0" w:space="0" w:color="auto"/>
                    <w:left w:val="none" w:sz="0" w:space="0" w:color="auto"/>
                    <w:bottom w:val="none" w:sz="0" w:space="0" w:color="auto"/>
                    <w:right w:val="none" w:sz="0" w:space="0" w:color="auto"/>
                  </w:divBdr>
                  <w:divsChild>
                    <w:div w:id="925040689">
                      <w:marLeft w:val="0"/>
                      <w:marRight w:val="0"/>
                      <w:marTop w:val="0"/>
                      <w:marBottom w:val="0"/>
                      <w:divBdr>
                        <w:top w:val="none" w:sz="0" w:space="0" w:color="auto"/>
                        <w:left w:val="none" w:sz="0" w:space="0" w:color="auto"/>
                        <w:bottom w:val="none" w:sz="0" w:space="0" w:color="auto"/>
                        <w:right w:val="none" w:sz="0" w:space="0" w:color="auto"/>
                      </w:divBdr>
                    </w:div>
                  </w:divsChild>
                </w:div>
                <w:div w:id="1834493419">
                  <w:marLeft w:val="0"/>
                  <w:marRight w:val="0"/>
                  <w:marTop w:val="0"/>
                  <w:marBottom w:val="0"/>
                  <w:divBdr>
                    <w:top w:val="none" w:sz="0" w:space="0" w:color="auto"/>
                    <w:left w:val="none" w:sz="0" w:space="0" w:color="auto"/>
                    <w:bottom w:val="none" w:sz="0" w:space="0" w:color="auto"/>
                    <w:right w:val="none" w:sz="0" w:space="0" w:color="auto"/>
                  </w:divBdr>
                  <w:divsChild>
                    <w:div w:id="1905066317">
                      <w:marLeft w:val="0"/>
                      <w:marRight w:val="0"/>
                      <w:marTop w:val="0"/>
                      <w:marBottom w:val="0"/>
                      <w:divBdr>
                        <w:top w:val="none" w:sz="0" w:space="0" w:color="auto"/>
                        <w:left w:val="none" w:sz="0" w:space="0" w:color="auto"/>
                        <w:bottom w:val="none" w:sz="0" w:space="0" w:color="auto"/>
                        <w:right w:val="none" w:sz="0" w:space="0" w:color="auto"/>
                      </w:divBdr>
                    </w:div>
                  </w:divsChild>
                </w:div>
                <w:div w:id="1916894241">
                  <w:marLeft w:val="0"/>
                  <w:marRight w:val="0"/>
                  <w:marTop w:val="0"/>
                  <w:marBottom w:val="0"/>
                  <w:divBdr>
                    <w:top w:val="none" w:sz="0" w:space="0" w:color="auto"/>
                    <w:left w:val="none" w:sz="0" w:space="0" w:color="auto"/>
                    <w:bottom w:val="none" w:sz="0" w:space="0" w:color="auto"/>
                    <w:right w:val="none" w:sz="0" w:space="0" w:color="auto"/>
                  </w:divBdr>
                  <w:divsChild>
                    <w:div w:id="2137864963">
                      <w:marLeft w:val="0"/>
                      <w:marRight w:val="0"/>
                      <w:marTop w:val="0"/>
                      <w:marBottom w:val="0"/>
                      <w:divBdr>
                        <w:top w:val="none" w:sz="0" w:space="0" w:color="auto"/>
                        <w:left w:val="none" w:sz="0" w:space="0" w:color="auto"/>
                        <w:bottom w:val="none" w:sz="0" w:space="0" w:color="auto"/>
                        <w:right w:val="none" w:sz="0" w:space="0" w:color="auto"/>
                      </w:divBdr>
                    </w:div>
                  </w:divsChild>
                </w:div>
                <w:div w:id="1933976072">
                  <w:marLeft w:val="0"/>
                  <w:marRight w:val="0"/>
                  <w:marTop w:val="0"/>
                  <w:marBottom w:val="0"/>
                  <w:divBdr>
                    <w:top w:val="none" w:sz="0" w:space="0" w:color="auto"/>
                    <w:left w:val="none" w:sz="0" w:space="0" w:color="auto"/>
                    <w:bottom w:val="none" w:sz="0" w:space="0" w:color="auto"/>
                    <w:right w:val="none" w:sz="0" w:space="0" w:color="auto"/>
                  </w:divBdr>
                  <w:divsChild>
                    <w:div w:id="1421103313">
                      <w:marLeft w:val="0"/>
                      <w:marRight w:val="0"/>
                      <w:marTop w:val="0"/>
                      <w:marBottom w:val="0"/>
                      <w:divBdr>
                        <w:top w:val="none" w:sz="0" w:space="0" w:color="auto"/>
                        <w:left w:val="none" w:sz="0" w:space="0" w:color="auto"/>
                        <w:bottom w:val="none" w:sz="0" w:space="0" w:color="auto"/>
                        <w:right w:val="none" w:sz="0" w:space="0" w:color="auto"/>
                      </w:divBdr>
                    </w:div>
                  </w:divsChild>
                </w:div>
                <w:div w:id="2031563447">
                  <w:marLeft w:val="0"/>
                  <w:marRight w:val="0"/>
                  <w:marTop w:val="0"/>
                  <w:marBottom w:val="0"/>
                  <w:divBdr>
                    <w:top w:val="none" w:sz="0" w:space="0" w:color="auto"/>
                    <w:left w:val="none" w:sz="0" w:space="0" w:color="auto"/>
                    <w:bottom w:val="none" w:sz="0" w:space="0" w:color="auto"/>
                    <w:right w:val="none" w:sz="0" w:space="0" w:color="auto"/>
                  </w:divBdr>
                  <w:divsChild>
                    <w:div w:id="1174413584">
                      <w:marLeft w:val="0"/>
                      <w:marRight w:val="0"/>
                      <w:marTop w:val="0"/>
                      <w:marBottom w:val="0"/>
                      <w:divBdr>
                        <w:top w:val="none" w:sz="0" w:space="0" w:color="auto"/>
                        <w:left w:val="none" w:sz="0" w:space="0" w:color="auto"/>
                        <w:bottom w:val="none" w:sz="0" w:space="0" w:color="auto"/>
                        <w:right w:val="none" w:sz="0" w:space="0" w:color="auto"/>
                      </w:divBdr>
                    </w:div>
                  </w:divsChild>
                </w:div>
                <w:div w:id="2035882027">
                  <w:marLeft w:val="0"/>
                  <w:marRight w:val="0"/>
                  <w:marTop w:val="0"/>
                  <w:marBottom w:val="0"/>
                  <w:divBdr>
                    <w:top w:val="none" w:sz="0" w:space="0" w:color="auto"/>
                    <w:left w:val="none" w:sz="0" w:space="0" w:color="auto"/>
                    <w:bottom w:val="none" w:sz="0" w:space="0" w:color="auto"/>
                    <w:right w:val="none" w:sz="0" w:space="0" w:color="auto"/>
                  </w:divBdr>
                  <w:divsChild>
                    <w:div w:id="1128858614">
                      <w:marLeft w:val="0"/>
                      <w:marRight w:val="0"/>
                      <w:marTop w:val="0"/>
                      <w:marBottom w:val="0"/>
                      <w:divBdr>
                        <w:top w:val="none" w:sz="0" w:space="0" w:color="auto"/>
                        <w:left w:val="none" w:sz="0" w:space="0" w:color="auto"/>
                        <w:bottom w:val="none" w:sz="0" w:space="0" w:color="auto"/>
                        <w:right w:val="none" w:sz="0" w:space="0" w:color="auto"/>
                      </w:divBdr>
                    </w:div>
                  </w:divsChild>
                </w:div>
                <w:div w:id="2089033060">
                  <w:marLeft w:val="0"/>
                  <w:marRight w:val="0"/>
                  <w:marTop w:val="0"/>
                  <w:marBottom w:val="0"/>
                  <w:divBdr>
                    <w:top w:val="none" w:sz="0" w:space="0" w:color="auto"/>
                    <w:left w:val="none" w:sz="0" w:space="0" w:color="auto"/>
                    <w:bottom w:val="none" w:sz="0" w:space="0" w:color="auto"/>
                    <w:right w:val="none" w:sz="0" w:space="0" w:color="auto"/>
                  </w:divBdr>
                  <w:divsChild>
                    <w:div w:id="2077975232">
                      <w:marLeft w:val="0"/>
                      <w:marRight w:val="0"/>
                      <w:marTop w:val="0"/>
                      <w:marBottom w:val="0"/>
                      <w:divBdr>
                        <w:top w:val="none" w:sz="0" w:space="0" w:color="auto"/>
                        <w:left w:val="none" w:sz="0" w:space="0" w:color="auto"/>
                        <w:bottom w:val="none" w:sz="0" w:space="0" w:color="auto"/>
                        <w:right w:val="none" w:sz="0" w:space="0" w:color="auto"/>
                      </w:divBdr>
                    </w:div>
                  </w:divsChild>
                </w:div>
                <w:div w:id="2128810722">
                  <w:marLeft w:val="0"/>
                  <w:marRight w:val="0"/>
                  <w:marTop w:val="0"/>
                  <w:marBottom w:val="0"/>
                  <w:divBdr>
                    <w:top w:val="none" w:sz="0" w:space="0" w:color="auto"/>
                    <w:left w:val="none" w:sz="0" w:space="0" w:color="auto"/>
                    <w:bottom w:val="none" w:sz="0" w:space="0" w:color="auto"/>
                    <w:right w:val="none" w:sz="0" w:space="0" w:color="auto"/>
                  </w:divBdr>
                  <w:divsChild>
                    <w:div w:id="98593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19328">
          <w:marLeft w:val="0"/>
          <w:marRight w:val="0"/>
          <w:marTop w:val="0"/>
          <w:marBottom w:val="0"/>
          <w:divBdr>
            <w:top w:val="none" w:sz="0" w:space="0" w:color="auto"/>
            <w:left w:val="none" w:sz="0" w:space="0" w:color="auto"/>
            <w:bottom w:val="none" w:sz="0" w:space="0" w:color="auto"/>
            <w:right w:val="none" w:sz="0" w:space="0" w:color="auto"/>
          </w:divBdr>
        </w:div>
      </w:divsChild>
    </w:div>
    <w:div w:id="1615939288">
      <w:bodyDiv w:val="1"/>
      <w:marLeft w:val="0"/>
      <w:marRight w:val="0"/>
      <w:marTop w:val="0"/>
      <w:marBottom w:val="0"/>
      <w:divBdr>
        <w:top w:val="none" w:sz="0" w:space="0" w:color="auto"/>
        <w:left w:val="none" w:sz="0" w:space="0" w:color="auto"/>
        <w:bottom w:val="none" w:sz="0" w:space="0" w:color="auto"/>
        <w:right w:val="none" w:sz="0" w:space="0" w:color="auto"/>
      </w:divBdr>
      <w:divsChild>
        <w:div w:id="17396640">
          <w:marLeft w:val="0"/>
          <w:marRight w:val="0"/>
          <w:marTop w:val="0"/>
          <w:marBottom w:val="0"/>
          <w:divBdr>
            <w:top w:val="none" w:sz="0" w:space="0" w:color="auto"/>
            <w:left w:val="none" w:sz="0" w:space="0" w:color="auto"/>
            <w:bottom w:val="none" w:sz="0" w:space="0" w:color="auto"/>
            <w:right w:val="none" w:sz="0" w:space="0" w:color="auto"/>
          </w:divBdr>
          <w:divsChild>
            <w:div w:id="1815021685">
              <w:marLeft w:val="0"/>
              <w:marRight w:val="0"/>
              <w:marTop w:val="0"/>
              <w:marBottom w:val="0"/>
              <w:divBdr>
                <w:top w:val="none" w:sz="0" w:space="0" w:color="auto"/>
                <w:left w:val="none" w:sz="0" w:space="0" w:color="auto"/>
                <w:bottom w:val="none" w:sz="0" w:space="0" w:color="auto"/>
                <w:right w:val="none" w:sz="0" w:space="0" w:color="auto"/>
              </w:divBdr>
            </w:div>
          </w:divsChild>
        </w:div>
        <w:div w:id="41485114">
          <w:marLeft w:val="0"/>
          <w:marRight w:val="0"/>
          <w:marTop w:val="0"/>
          <w:marBottom w:val="0"/>
          <w:divBdr>
            <w:top w:val="none" w:sz="0" w:space="0" w:color="auto"/>
            <w:left w:val="none" w:sz="0" w:space="0" w:color="auto"/>
            <w:bottom w:val="none" w:sz="0" w:space="0" w:color="auto"/>
            <w:right w:val="none" w:sz="0" w:space="0" w:color="auto"/>
          </w:divBdr>
          <w:divsChild>
            <w:div w:id="774712880">
              <w:marLeft w:val="0"/>
              <w:marRight w:val="0"/>
              <w:marTop w:val="0"/>
              <w:marBottom w:val="0"/>
              <w:divBdr>
                <w:top w:val="none" w:sz="0" w:space="0" w:color="auto"/>
                <w:left w:val="none" w:sz="0" w:space="0" w:color="auto"/>
                <w:bottom w:val="none" w:sz="0" w:space="0" w:color="auto"/>
                <w:right w:val="none" w:sz="0" w:space="0" w:color="auto"/>
              </w:divBdr>
            </w:div>
          </w:divsChild>
        </w:div>
        <w:div w:id="41901567">
          <w:marLeft w:val="0"/>
          <w:marRight w:val="0"/>
          <w:marTop w:val="0"/>
          <w:marBottom w:val="0"/>
          <w:divBdr>
            <w:top w:val="none" w:sz="0" w:space="0" w:color="auto"/>
            <w:left w:val="none" w:sz="0" w:space="0" w:color="auto"/>
            <w:bottom w:val="none" w:sz="0" w:space="0" w:color="auto"/>
            <w:right w:val="none" w:sz="0" w:space="0" w:color="auto"/>
          </w:divBdr>
          <w:divsChild>
            <w:div w:id="1247111372">
              <w:marLeft w:val="0"/>
              <w:marRight w:val="0"/>
              <w:marTop w:val="0"/>
              <w:marBottom w:val="0"/>
              <w:divBdr>
                <w:top w:val="none" w:sz="0" w:space="0" w:color="auto"/>
                <w:left w:val="none" w:sz="0" w:space="0" w:color="auto"/>
                <w:bottom w:val="none" w:sz="0" w:space="0" w:color="auto"/>
                <w:right w:val="none" w:sz="0" w:space="0" w:color="auto"/>
              </w:divBdr>
            </w:div>
          </w:divsChild>
        </w:div>
        <w:div w:id="135413841">
          <w:marLeft w:val="0"/>
          <w:marRight w:val="0"/>
          <w:marTop w:val="0"/>
          <w:marBottom w:val="0"/>
          <w:divBdr>
            <w:top w:val="none" w:sz="0" w:space="0" w:color="auto"/>
            <w:left w:val="none" w:sz="0" w:space="0" w:color="auto"/>
            <w:bottom w:val="none" w:sz="0" w:space="0" w:color="auto"/>
            <w:right w:val="none" w:sz="0" w:space="0" w:color="auto"/>
          </w:divBdr>
          <w:divsChild>
            <w:div w:id="19938615">
              <w:marLeft w:val="0"/>
              <w:marRight w:val="0"/>
              <w:marTop w:val="0"/>
              <w:marBottom w:val="0"/>
              <w:divBdr>
                <w:top w:val="none" w:sz="0" w:space="0" w:color="auto"/>
                <w:left w:val="none" w:sz="0" w:space="0" w:color="auto"/>
                <w:bottom w:val="none" w:sz="0" w:space="0" w:color="auto"/>
                <w:right w:val="none" w:sz="0" w:space="0" w:color="auto"/>
              </w:divBdr>
            </w:div>
          </w:divsChild>
        </w:div>
        <w:div w:id="138616262">
          <w:marLeft w:val="0"/>
          <w:marRight w:val="0"/>
          <w:marTop w:val="0"/>
          <w:marBottom w:val="0"/>
          <w:divBdr>
            <w:top w:val="none" w:sz="0" w:space="0" w:color="auto"/>
            <w:left w:val="none" w:sz="0" w:space="0" w:color="auto"/>
            <w:bottom w:val="none" w:sz="0" w:space="0" w:color="auto"/>
            <w:right w:val="none" w:sz="0" w:space="0" w:color="auto"/>
          </w:divBdr>
          <w:divsChild>
            <w:div w:id="132493">
              <w:marLeft w:val="0"/>
              <w:marRight w:val="0"/>
              <w:marTop w:val="0"/>
              <w:marBottom w:val="0"/>
              <w:divBdr>
                <w:top w:val="none" w:sz="0" w:space="0" w:color="auto"/>
                <w:left w:val="none" w:sz="0" w:space="0" w:color="auto"/>
                <w:bottom w:val="none" w:sz="0" w:space="0" w:color="auto"/>
                <w:right w:val="none" w:sz="0" w:space="0" w:color="auto"/>
              </w:divBdr>
            </w:div>
          </w:divsChild>
        </w:div>
        <w:div w:id="139807078">
          <w:marLeft w:val="0"/>
          <w:marRight w:val="0"/>
          <w:marTop w:val="0"/>
          <w:marBottom w:val="0"/>
          <w:divBdr>
            <w:top w:val="none" w:sz="0" w:space="0" w:color="auto"/>
            <w:left w:val="none" w:sz="0" w:space="0" w:color="auto"/>
            <w:bottom w:val="none" w:sz="0" w:space="0" w:color="auto"/>
            <w:right w:val="none" w:sz="0" w:space="0" w:color="auto"/>
          </w:divBdr>
          <w:divsChild>
            <w:div w:id="470755207">
              <w:marLeft w:val="0"/>
              <w:marRight w:val="0"/>
              <w:marTop w:val="0"/>
              <w:marBottom w:val="0"/>
              <w:divBdr>
                <w:top w:val="none" w:sz="0" w:space="0" w:color="auto"/>
                <w:left w:val="none" w:sz="0" w:space="0" w:color="auto"/>
                <w:bottom w:val="none" w:sz="0" w:space="0" w:color="auto"/>
                <w:right w:val="none" w:sz="0" w:space="0" w:color="auto"/>
              </w:divBdr>
            </w:div>
          </w:divsChild>
        </w:div>
        <w:div w:id="142282924">
          <w:marLeft w:val="0"/>
          <w:marRight w:val="0"/>
          <w:marTop w:val="0"/>
          <w:marBottom w:val="0"/>
          <w:divBdr>
            <w:top w:val="none" w:sz="0" w:space="0" w:color="auto"/>
            <w:left w:val="none" w:sz="0" w:space="0" w:color="auto"/>
            <w:bottom w:val="none" w:sz="0" w:space="0" w:color="auto"/>
            <w:right w:val="none" w:sz="0" w:space="0" w:color="auto"/>
          </w:divBdr>
          <w:divsChild>
            <w:div w:id="1782187225">
              <w:marLeft w:val="0"/>
              <w:marRight w:val="0"/>
              <w:marTop w:val="0"/>
              <w:marBottom w:val="0"/>
              <w:divBdr>
                <w:top w:val="none" w:sz="0" w:space="0" w:color="auto"/>
                <w:left w:val="none" w:sz="0" w:space="0" w:color="auto"/>
                <w:bottom w:val="none" w:sz="0" w:space="0" w:color="auto"/>
                <w:right w:val="none" w:sz="0" w:space="0" w:color="auto"/>
              </w:divBdr>
            </w:div>
          </w:divsChild>
        </w:div>
        <w:div w:id="144323202">
          <w:marLeft w:val="0"/>
          <w:marRight w:val="0"/>
          <w:marTop w:val="0"/>
          <w:marBottom w:val="0"/>
          <w:divBdr>
            <w:top w:val="none" w:sz="0" w:space="0" w:color="auto"/>
            <w:left w:val="none" w:sz="0" w:space="0" w:color="auto"/>
            <w:bottom w:val="none" w:sz="0" w:space="0" w:color="auto"/>
            <w:right w:val="none" w:sz="0" w:space="0" w:color="auto"/>
          </w:divBdr>
          <w:divsChild>
            <w:div w:id="19933681">
              <w:marLeft w:val="0"/>
              <w:marRight w:val="0"/>
              <w:marTop w:val="0"/>
              <w:marBottom w:val="0"/>
              <w:divBdr>
                <w:top w:val="none" w:sz="0" w:space="0" w:color="auto"/>
                <w:left w:val="none" w:sz="0" w:space="0" w:color="auto"/>
                <w:bottom w:val="none" w:sz="0" w:space="0" w:color="auto"/>
                <w:right w:val="none" w:sz="0" w:space="0" w:color="auto"/>
              </w:divBdr>
            </w:div>
          </w:divsChild>
        </w:div>
        <w:div w:id="150676399">
          <w:marLeft w:val="0"/>
          <w:marRight w:val="0"/>
          <w:marTop w:val="0"/>
          <w:marBottom w:val="0"/>
          <w:divBdr>
            <w:top w:val="none" w:sz="0" w:space="0" w:color="auto"/>
            <w:left w:val="none" w:sz="0" w:space="0" w:color="auto"/>
            <w:bottom w:val="none" w:sz="0" w:space="0" w:color="auto"/>
            <w:right w:val="none" w:sz="0" w:space="0" w:color="auto"/>
          </w:divBdr>
          <w:divsChild>
            <w:div w:id="588123484">
              <w:marLeft w:val="0"/>
              <w:marRight w:val="0"/>
              <w:marTop w:val="0"/>
              <w:marBottom w:val="0"/>
              <w:divBdr>
                <w:top w:val="none" w:sz="0" w:space="0" w:color="auto"/>
                <w:left w:val="none" w:sz="0" w:space="0" w:color="auto"/>
                <w:bottom w:val="none" w:sz="0" w:space="0" w:color="auto"/>
                <w:right w:val="none" w:sz="0" w:space="0" w:color="auto"/>
              </w:divBdr>
            </w:div>
          </w:divsChild>
        </w:div>
        <w:div w:id="151990002">
          <w:marLeft w:val="0"/>
          <w:marRight w:val="0"/>
          <w:marTop w:val="0"/>
          <w:marBottom w:val="0"/>
          <w:divBdr>
            <w:top w:val="none" w:sz="0" w:space="0" w:color="auto"/>
            <w:left w:val="none" w:sz="0" w:space="0" w:color="auto"/>
            <w:bottom w:val="none" w:sz="0" w:space="0" w:color="auto"/>
            <w:right w:val="none" w:sz="0" w:space="0" w:color="auto"/>
          </w:divBdr>
          <w:divsChild>
            <w:div w:id="543904674">
              <w:marLeft w:val="0"/>
              <w:marRight w:val="0"/>
              <w:marTop w:val="0"/>
              <w:marBottom w:val="0"/>
              <w:divBdr>
                <w:top w:val="none" w:sz="0" w:space="0" w:color="auto"/>
                <w:left w:val="none" w:sz="0" w:space="0" w:color="auto"/>
                <w:bottom w:val="none" w:sz="0" w:space="0" w:color="auto"/>
                <w:right w:val="none" w:sz="0" w:space="0" w:color="auto"/>
              </w:divBdr>
            </w:div>
          </w:divsChild>
        </w:div>
        <w:div w:id="151990674">
          <w:marLeft w:val="0"/>
          <w:marRight w:val="0"/>
          <w:marTop w:val="0"/>
          <w:marBottom w:val="0"/>
          <w:divBdr>
            <w:top w:val="none" w:sz="0" w:space="0" w:color="auto"/>
            <w:left w:val="none" w:sz="0" w:space="0" w:color="auto"/>
            <w:bottom w:val="none" w:sz="0" w:space="0" w:color="auto"/>
            <w:right w:val="none" w:sz="0" w:space="0" w:color="auto"/>
          </w:divBdr>
          <w:divsChild>
            <w:div w:id="485778899">
              <w:marLeft w:val="0"/>
              <w:marRight w:val="0"/>
              <w:marTop w:val="0"/>
              <w:marBottom w:val="0"/>
              <w:divBdr>
                <w:top w:val="none" w:sz="0" w:space="0" w:color="auto"/>
                <w:left w:val="none" w:sz="0" w:space="0" w:color="auto"/>
                <w:bottom w:val="none" w:sz="0" w:space="0" w:color="auto"/>
                <w:right w:val="none" w:sz="0" w:space="0" w:color="auto"/>
              </w:divBdr>
            </w:div>
          </w:divsChild>
        </w:div>
        <w:div w:id="175853602">
          <w:marLeft w:val="0"/>
          <w:marRight w:val="0"/>
          <w:marTop w:val="0"/>
          <w:marBottom w:val="0"/>
          <w:divBdr>
            <w:top w:val="none" w:sz="0" w:space="0" w:color="auto"/>
            <w:left w:val="none" w:sz="0" w:space="0" w:color="auto"/>
            <w:bottom w:val="none" w:sz="0" w:space="0" w:color="auto"/>
            <w:right w:val="none" w:sz="0" w:space="0" w:color="auto"/>
          </w:divBdr>
          <w:divsChild>
            <w:div w:id="1689603251">
              <w:marLeft w:val="0"/>
              <w:marRight w:val="0"/>
              <w:marTop w:val="0"/>
              <w:marBottom w:val="0"/>
              <w:divBdr>
                <w:top w:val="none" w:sz="0" w:space="0" w:color="auto"/>
                <w:left w:val="none" w:sz="0" w:space="0" w:color="auto"/>
                <w:bottom w:val="none" w:sz="0" w:space="0" w:color="auto"/>
                <w:right w:val="none" w:sz="0" w:space="0" w:color="auto"/>
              </w:divBdr>
            </w:div>
          </w:divsChild>
        </w:div>
        <w:div w:id="183523780">
          <w:marLeft w:val="0"/>
          <w:marRight w:val="0"/>
          <w:marTop w:val="0"/>
          <w:marBottom w:val="0"/>
          <w:divBdr>
            <w:top w:val="none" w:sz="0" w:space="0" w:color="auto"/>
            <w:left w:val="none" w:sz="0" w:space="0" w:color="auto"/>
            <w:bottom w:val="none" w:sz="0" w:space="0" w:color="auto"/>
            <w:right w:val="none" w:sz="0" w:space="0" w:color="auto"/>
          </w:divBdr>
          <w:divsChild>
            <w:div w:id="889338464">
              <w:marLeft w:val="0"/>
              <w:marRight w:val="0"/>
              <w:marTop w:val="0"/>
              <w:marBottom w:val="0"/>
              <w:divBdr>
                <w:top w:val="none" w:sz="0" w:space="0" w:color="auto"/>
                <w:left w:val="none" w:sz="0" w:space="0" w:color="auto"/>
                <w:bottom w:val="none" w:sz="0" w:space="0" w:color="auto"/>
                <w:right w:val="none" w:sz="0" w:space="0" w:color="auto"/>
              </w:divBdr>
            </w:div>
          </w:divsChild>
        </w:div>
        <w:div w:id="185556216">
          <w:marLeft w:val="0"/>
          <w:marRight w:val="0"/>
          <w:marTop w:val="0"/>
          <w:marBottom w:val="0"/>
          <w:divBdr>
            <w:top w:val="none" w:sz="0" w:space="0" w:color="auto"/>
            <w:left w:val="none" w:sz="0" w:space="0" w:color="auto"/>
            <w:bottom w:val="none" w:sz="0" w:space="0" w:color="auto"/>
            <w:right w:val="none" w:sz="0" w:space="0" w:color="auto"/>
          </w:divBdr>
          <w:divsChild>
            <w:div w:id="2079815495">
              <w:marLeft w:val="0"/>
              <w:marRight w:val="0"/>
              <w:marTop w:val="0"/>
              <w:marBottom w:val="0"/>
              <w:divBdr>
                <w:top w:val="none" w:sz="0" w:space="0" w:color="auto"/>
                <w:left w:val="none" w:sz="0" w:space="0" w:color="auto"/>
                <w:bottom w:val="none" w:sz="0" w:space="0" w:color="auto"/>
                <w:right w:val="none" w:sz="0" w:space="0" w:color="auto"/>
              </w:divBdr>
            </w:div>
          </w:divsChild>
        </w:div>
        <w:div w:id="186456011">
          <w:marLeft w:val="0"/>
          <w:marRight w:val="0"/>
          <w:marTop w:val="0"/>
          <w:marBottom w:val="0"/>
          <w:divBdr>
            <w:top w:val="none" w:sz="0" w:space="0" w:color="auto"/>
            <w:left w:val="none" w:sz="0" w:space="0" w:color="auto"/>
            <w:bottom w:val="none" w:sz="0" w:space="0" w:color="auto"/>
            <w:right w:val="none" w:sz="0" w:space="0" w:color="auto"/>
          </w:divBdr>
          <w:divsChild>
            <w:div w:id="2027557366">
              <w:marLeft w:val="0"/>
              <w:marRight w:val="0"/>
              <w:marTop w:val="0"/>
              <w:marBottom w:val="0"/>
              <w:divBdr>
                <w:top w:val="none" w:sz="0" w:space="0" w:color="auto"/>
                <w:left w:val="none" w:sz="0" w:space="0" w:color="auto"/>
                <w:bottom w:val="none" w:sz="0" w:space="0" w:color="auto"/>
                <w:right w:val="none" w:sz="0" w:space="0" w:color="auto"/>
              </w:divBdr>
            </w:div>
          </w:divsChild>
        </w:div>
        <w:div w:id="186870589">
          <w:marLeft w:val="0"/>
          <w:marRight w:val="0"/>
          <w:marTop w:val="0"/>
          <w:marBottom w:val="0"/>
          <w:divBdr>
            <w:top w:val="none" w:sz="0" w:space="0" w:color="auto"/>
            <w:left w:val="none" w:sz="0" w:space="0" w:color="auto"/>
            <w:bottom w:val="none" w:sz="0" w:space="0" w:color="auto"/>
            <w:right w:val="none" w:sz="0" w:space="0" w:color="auto"/>
          </w:divBdr>
          <w:divsChild>
            <w:div w:id="1629818861">
              <w:marLeft w:val="0"/>
              <w:marRight w:val="0"/>
              <w:marTop w:val="0"/>
              <w:marBottom w:val="0"/>
              <w:divBdr>
                <w:top w:val="none" w:sz="0" w:space="0" w:color="auto"/>
                <w:left w:val="none" w:sz="0" w:space="0" w:color="auto"/>
                <w:bottom w:val="none" w:sz="0" w:space="0" w:color="auto"/>
                <w:right w:val="none" w:sz="0" w:space="0" w:color="auto"/>
              </w:divBdr>
            </w:div>
          </w:divsChild>
        </w:div>
        <w:div w:id="188303824">
          <w:marLeft w:val="0"/>
          <w:marRight w:val="0"/>
          <w:marTop w:val="0"/>
          <w:marBottom w:val="0"/>
          <w:divBdr>
            <w:top w:val="none" w:sz="0" w:space="0" w:color="auto"/>
            <w:left w:val="none" w:sz="0" w:space="0" w:color="auto"/>
            <w:bottom w:val="none" w:sz="0" w:space="0" w:color="auto"/>
            <w:right w:val="none" w:sz="0" w:space="0" w:color="auto"/>
          </w:divBdr>
          <w:divsChild>
            <w:div w:id="1176729589">
              <w:marLeft w:val="0"/>
              <w:marRight w:val="0"/>
              <w:marTop w:val="0"/>
              <w:marBottom w:val="0"/>
              <w:divBdr>
                <w:top w:val="none" w:sz="0" w:space="0" w:color="auto"/>
                <w:left w:val="none" w:sz="0" w:space="0" w:color="auto"/>
                <w:bottom w:val="none" w:sz="0" w:space="0" w:color="auto"/>
                <w:right w:val="none" w:sz="0" w:space="0" w:color="auto"/>
              </w:divBdr>
            </w:div>
          </w:divsChild>
        </w:div>
        <w:div w:id="191236568">
          <w:marLeft w:val="0"/>
          <w:marRight w:val="0"/>
          <w:marTop w:val="0"/>
          <w:marBottom w:val="0"/>
          <w:divBdr>
            <w:top w:val="none" w:sz="0" w:space="0" w:color="auto"/>
            <w:left w:val="none" w:sz="0" w:space="0" w:color="auto"/>
            <w:bottom w:val="none" w:sz="0" w:space="0" w:color="auto"/>
            <w:right w:val="none" w:sz="0" w:space="0" w:color="auto"/>
          </w:divBdr>
          <w:divsChild>
            <w:div w:id="995261846">
              <w:marLeft w:val="0"/>
              <w:marRight w:val="0"/>
              <w:marTop w:val="0"/>
              <w:marBottom w:val="0"/>
              <w:divBdr>
                <w:top w:val="none" w:sz="0" w:space="0" w:color="auto"/>
                <w:left w:val="none" w:sz="0" w:space="0" w:color="auto"/>
                <w:bottom w:val="none" w:sz="0" w:space="0" w:color="auto"/>
                <w:right w:val="none" w:sz="0" w:space="0" w:color="auto"/>
              </w:divBdr>
            </w:div>
          </w:divsChild>
        </w:div>
        <w:div w:id="194003836">
          <w:marLeft w:val="0"/>
          <w:marRight w:val="0"/>
          <w:marTop w:val="0"/>
          <w:marBottom w:val="0"/>
          <w:divBdr>
            <w:top w:val="none" w:sz="0" w:space="0" w:color="auto"/>
            <w:left w:val="none" w:sz="0" w:space="0" w:color="auto"/>
            <w:bottom w:val="none" w:sz="0" w:space="0" w:color="auto"/>
            <w:right w:val="none" w:sz="0" w:space="0" w:color="auto"/>
          </w:divBdr>
          <w:divsChild>
            <w:div w:id="134764487">
              <w:marLeft w:val="0"/>
              <w:marRight w:val="0"/>
              <w:marTop w:val="0"/>
              <w:marBottom w:val="0"/>
              <w:divBdr>
                <w:top w:val="none" w:sz="0" w:space="0" w:color="auto"/>
                <w:left w:val="none" w:sz="0" w:space="0" w:color="auto"/>
                <w:bottom w:val="none" w:sz="0" w:space="0" w:color="auto"/>
                <w:right w:val="none" w:sz="0" w:space="0" w:color="auto"/>
              </w:divBdr>
            </w:div>
          </w:divsChild>
        </w:div>
        <w:div w:id="195123549">
          <w:marLeft w:val="0"/>
          <w:marRight w:val="0"/>
          <w:marTop w:val="0"/>
          <w:marBottom w:val="0"/>
          <w:divBdr>
            <w:top w:val="none" w:sz="0" w:space="0" w:color="auto"/>
            <w:left w:val="none" w:sz="0" w:space="0" w:color="auto"/>
            <w:bottom w:val="none" w:sz="0" w:space="0" w:color="auto"/>
            <w:right w:val="none" w:sz="0" w:space="0" w:color="auto"/>
          </w:divBdr>
          <w:divsChild>
            <w:div w:id="636179856">
              <w:marLeft w:val="0"/>
              <w:marRight w:val="0"/>
              <w:marTop w:val="0"/>
              <w:marBottom w:val="0"/>
              <w:divBdr>
                <w:top w:val="none" w:sz="0" w:space="0" w:color="auto"/>
                <w:left w:val="none" w:sz="0" w:space="0" w:color="auto"/>
                <w:bottom w:val="none" w:sz="0" w:space="0" w:color="auto"/>
                <w:right w:val="none" w:sz="0" w:space="0" w:color="auto"/>
              </w:divBdr>
            </w:div>
          </w:divsChild>
        </w:div>
        <w:div w:id="204295089">
          <w:marLeft w:val="0"/>
          <w:marRight w:val="0"/>
          <w:marTop w:val="0"/>
          <w:marBottom w:val="0"/>
          <w:divBdr>
            <w:top w:val="none" w:sz="0" w:space="0" w:color="auto"/>
            <w:left w:val="none" w:sz="0" w:space="0" w:color="auto"/>
            <w:bottom w:val="none" w:sz="0" w:space="0" w:color="auto"/>
            <w:right w:val="none" w:sz="0" w:space="0" w:color="auto"/>
          </w:divBdr>
          <w:divsChild>
            <w:div w:id="1432042837">
              <w:marLeft w:val="0"/>
              <w:marRight w:val="0"/>
              <w:marTop w:val="0"/>
              <w:marBottom w:val="0"/>
              <w:divBdr>
                <w:top w:val="none" w:sz="0" w:space="0" w:color="auto"/>
                <w:left w:val="none" w:sz="0" w:space="0" w:color="auto"/>
                <w:bottom w:val="none" w:sz="0" w:space="0" w:color="auto"/>
                <w:right w:val="none" w:sz="0" w:space="0" w:color="auto"/>
              </w:divBdr>
            </w:div>
          </w:divsChild>
        </w:div>
        <w:div w:id="213127353">
          <w:marLeft w:val="0"/>
          <w:marRight w:val="0"/>
          <w:marTop w:val="0"/>
          <w:marBottom w:val="0"/>
          <w:divBdr>
            <w:top w:val="none" w:sz="0" w:space="0" w:color="auto"/>
            <w:left w:val="none" w:sz="0" w:space="0" w:color="auto"/>
            <w:bottom w:val="none" w:sz="0" w:space="0" w:color="auto"/>
            <w:right w:val="none" w:sz="0" w:space="0" w:color="auto"/>
          </w:divBdr>
          <w:divsChild>
            <w:div w:id="1985620855">
              <w:marLeft w:val="0"/>
              <w:marRight w:val="0"/>
              <w:marTop w:val="0"/>
              <w:marBottom w:val="0"/>
              <w:divBdr>
                <w:top w:val="none" w:sz="0" w:space="0" w:color="auto"/>
                <w:left w:val="none" w:sz="0" w:space="0" w:color="auto"/>
                <w:bottom w:val="none" w:sz="0" w:space="0" w:color="auto"/>
                <w:right w:val="none" w:sz="0" w:space="0" w:color="auto"/>
              </w:divBdr>
            </w:div>
          </w:divsChild>
        </w:div>
        <w:div w:id="214199179">
          <w:marLeft w:val="0"/>
          <w:marRight w:val="0"/>
          <w:marTop w:val="0"/>
          <w:marBottom w:val="0"/>
          <w:divBdr>
            <w:top w:val="none" w:sz="0" w:space="0" w:color="auto"/>
            <w:left w:val="none" w:sz="0" w:space="0" w:color="auto"/>
            <w:bottom w:val="none" w:sz="0" w:space="0" w:color="auto"/>
            <w:right w:val="none" w:sz="0" w:space="0" w:color="auto"/>
          </w:divBdr>
          <w:divsChild>
            <w:div w:id="372658822">
              <w:marLeft w:val="0"/>
              <w:marRight w:val="0"/>
              <w:marTop w:val="0"/>
              <w:marBottom w:val="0"/>
              <w:divBdr>
                <w:top w:val="none" w:sz="0" w:space="0" w:color="auto"/>
                <w:left w:val="none" w:sz="0" w:space="0" w:color="auto"/>
                <w:bottom w:val="none" w:sz="0" w:space="0" w:color="auto"/>
                <w:right w:val="none" w:sz="0" w:space="0" w:color="auto"/>
              </w:divBdr>
            </w:div>
          </w:divsChild>
        </w:div>
        <w:div w:id="231895819">
          <w:marLeft w:val="0"/>
          <w:marRight w:val="0"/>
          <w:marTop w:val="0"/>
          <w:marBottom w:val="0"/>
          <w:divBdr>
            <w:top w:val="none" w:sz="0" w:space="0" w:color="auto"/>
            <w:left w:val="none" w:sz="0" w:space="0" w:color="auto"/>
            <w:bottom w:val="none" w:sz="0" w:space="0" w:color="auto"/>
            <w:right w:val="none" w:sz="0" w:space="0" w:color="auto"/>
          </w:divBdr>
          <w:divsChild>
            <w:div w:id="499779852">
              <w:marLeft w:val="0"/>
              <w:marRight w:val="0"/>
              <w:marTop w:val="0"/>
              <w:marBottom w:val="0"/>
              <w:divBdr>
                <w:top w:val="none" w:sz="0" w:space="0" w:color="auto"/>
                <w:left w:val="none" w:sz="0" w:space="0" w:color="auto"/>
                <w:bottom w:val="none" w:sz="0" w:space="0" w:color="auto"/>
                <w:right w:val="none" w:sz="0" w:space="0" w:color="auto"/>
              </w:divBdr>
            </w:div>
          </w:divsChild>
        </w:div>
        <w:div w:id="246428579">
          <w:marLeft w:val="0"/>
          <w:marRight w:val="0"/>
          <w:marTop w:val="0"/>
          <w:marBottom w:val="0"/>
          <w:divBdr>
            <w:top w:val="none" w:sz="0" w:space="0" w:color="auto"/>
            <w:left w:val="none" w:sz="0" w:space="0" w:color="auto"/>
            <w:bottom w:val="none" w:sz="0" w:space="0" w:color="auto"/>
            <w:right w:val="none" w:sz="0" w:space="0" w:color="auto"/>
          </w:divBdr>
          <w:divsChild>
            <w:div w:id="349184947">
              <w:marLeft w:val="0"/>
              <w:marRight w:val="0"/>
              <w:marTop w:val="0"/>
              <w:marBottom w:val="0"/>
              <w:divBdr>
                <w:top w:val="none" w:sz="0" w:space="0" w:color="auto"/>
                <w:left w:val="none" w:sz="0" w:space="0" w:color="auto"/>
                <w:bottom w:val="none" w:sz="0" w:space="0" w:color="auto"/>
                <w:right w:val="none" w:sz="0" w:space="0" w:color="auto"/>
              </w:divBdr>
            </w:div>
          </w:divsChild>
        </w:div>
        <w:div w:id="272326363">
          <w:marLeft w:val="0"/>
          <w:marRight w:val="0"/>
          <w:marTop w:val="0"/>
          <w:marBottom w:val="0"/>
          <w:divBdr>
            <w:top w:val="none" w:sz="0" w:space="0" w:color="auto"/>
            <w:left w:val="none" w:sz="0" w:space="0" w:color="auto"/>
            <w:bottom w:val="none" w:sz="0" w:space="0" w:color="auto"/>
            <w:right w:val="none" w:sz="0" w:space="0" w:color="auto"/>
          </w:divBdr>
          <w:divsChild>
            <w:div w:id="573973887">
              <w:marLeft w:val="0"/>
              <w:marRight w:val="0"/>
              <w:marTop w:val="0"/>
              <w:marBottom w:val="0"/>
              <w:divBdr>
                <w:top w:val="none" w:sz="0" w:space="0" w:color="auto"/>
                <w:left w:val="none" w:sz="0" w:space="0" w:color="auto"/>
                <w:bottom w:val="none" w:sz="0" w:space="0" w:color="auto"/>
                <w:right w:val="none" w:sz="0" w:space="0" w:color="auto"/>
              </w:divBdr>
            </w:div>
          </w:divsChild>
        </w:div>
        <w:div w:id="290136140">
          <w:marLeft w:val="0"/>
          <w:marRight w:val="0"/>
          <w:marTop w:val="0"/>
          <w:marBottom w:val="0"/>
          <w:divBdr>
            <w:top w:val="none" w:sz="0" w:space="0" w:color="auto"/>
            <w:left w:val="none" w:sz="0" w:space="0" w:color="auto"/>
            <w:bottom w:val="none" w:sz="0" w:space="0" w:color="auto"/>
            <w:right w:val="none" w:sz="0" w:space="0" w:color="auto"/>
          </w:divBdr>
          <w:divsChild>
            <w:div w:id="2085645520">
              <w:marLeft w:val="0"/>
              <w:marRight w:val="0"/>
              <w:marTop w:val="0"/>
              <w:marBottom w:val="0"/>
              <w:divBdr>
                <w:top w:val="none" w:sz="0" w:space="0" w:color="auto"/>
                <w:left w:val="none" w:sz="0" w:space="0" w:color="auto"/>
                <w:bottom w:val="none" w:sz="0" w:space="0" w:color="auto"/>
                <w:right w:val="none" w:sz="0" w:space="0" w:color="auto"/>
              </w:divBdr>
            </w:div>
          </w:divsChild>
        </w:div>
        <w:div w:id="295112295">
          <w:marLeft w:val="0"/>
          <w:marRight w:val="0"/>
          <w:marTop w:val="0"/>
          <w:marBottom w:val="0"/>
          <w:divBdr>
            <w:top w:val="none" w:sz="0" w:space="0" w:color="auto"/>
            <w:left w:val="none" w:sz="0" w:space="0" w:color="auto"/>
            <w:bottom w:val="none" w:sz="0" w:space="0" w:color="auto"/>
            <w:right w:val="none" w:sz="0" w:space="0" w:color="auto"/>
          </w:divBdr>
          <w:divsChild>
            <w:div w:id="727921828">
              <w:marLeft w:val="0"/>
              <w:marRight w:val="0"/>
              <w:marTop w:val="0"/>
              <w:marBottom w:val="0"/>
              <w:divBdr>
                <w:top w:val="none" w:sz="0" w:space="0" w:color="auto"/>
                <w:left w:val="none" w:sz="0" w:space="0" w:color="auto"/>
                <w:bottom w:val="none" w:sz="0" w:space="0" w:color="auto"/>
                <w:right w:val="none" w:sz="0" w:space="0" w:color="auto"/>
              </w:divBdr>
            </w:div>
          </w:divsChild>
        </w:div>
        <w:div w:id="297607534">
          <w:marLeft w:val="0"/>
          <w:marRight w:val="0"/>
          <w:marTop w:val="0"/>
          <w:marBottom w:val="0"/>
          <w:divBdr>
            <w:top w:val="none" w:sz="0" w:space="0" w:color="auto"/>
            <w:left w:val="none" w:sz="0" w:space="0" w:color="auto"/>
            <w:bottom w:val="none" w:sz="0" w:space="0" w:color="auto"/>
            <w:right w:val="none" w:sz="0" w:space="0" w:color="auto"/>
          </w:divBdr>
          <w:divsChild>
            <w:div w:id="1117064747">
              <w:marLeft w:val="0"/>
              <w:marRight w:val="0"/>
              <w:marTop w:val="0"/>
              <w:marBottom w:val="0"/>
              <w:divBdr>
                <w:top w:val="none" w:sz="0" w:space="0" w:color="auto"/>
                <w:left w:val="none" w:sz="0" w:space="0" w:color="auto"/>
                <w:bottom w:val="none" w:sz="0" w:space="0" w:color="auto"/>
                <w:right w:val="none" w:sz="0" w:space="0" w:color="auto"/>
              </w:divBdr>
            </w:div>
          </w:divsChild>
        </w:div>
        <w:div w:id="298456975">
          <w:marLeft w:val="0"/>
          <w:marRight w:val="0"/>
          <w:marTop w:val="0"/>
          <w:marBottom w:val="0"/>
          <w:divBdr>
            <w:top w:val="none" w:sz="0" w:space="0" w:color="auto"/>
            <w:left w:val="none" w:sz="0" w:space="0" w:color="auto"/>
            <w:bottom w:val="none" w:sz="0" w:space="0" w:color="auto"/>
            <w:right w:val="none" w:sz="0" w:space="0" w:color="auto"/>
          </w:divBdr>
          <w:divsChild>
            <w:div w:id="1262643268">
              <w:marLeft w:val="0"/>
              <w:marRight w:val="0"/>
              <w:marTop w:val="0"/>
              <w:marBottom w:val="0"/>
              <w:divBdr>
                <w:top w:val="none" w:sz="0" w:space="0" w:color="auto"/>
                <w:left w:val="none" w:sz="0" w:space="0" w:color="auto"/>
                <w:bottom w:val="none" w:sz="0" w:space="0" w:color="auto"/>
                <w:right w:val="none" w:sz="0" w:space="0" w:color="auto"/>
              </w:divBdr>
            </w:div>
          </w:divsChild>
        </w:div>
        <w:div w:id="299267499">
          <w:marLeft w:val="0"/>
          <w:marRight w:val="0"/>
          <w:marTop w:val="0"/>
          <w:marBottom w:val="0"/>
          <w:divBdr>
            <w:top w:val="none" w:sz="0" w:space="0" w:color="auto"/>
            <w:left w:val="none" w:sz="0" w:space="0" w:color="auto"/>
            <w:bottom w:val="none" w:sz="0" w:space="0" w:color="auto"/>
            <w:right w:val="none" w:sz="0" w:space="0" w:color="auto"/>
          </w:divBdr>
          <w:divsChild>
            <w:div w:id="1585383648">
              <w:marLeft w:val="0"/>
              <w:marRight w:val="0"/>
              <w:marTop w:val="0"/>
              <w:marBottom w:val="0"/>
              <w:divBdr>
                <w:top w:val="none" w:sz="0" w:space="0" w:color="auto"/>
                <w:left w:val="none" w:sz="0" w:space="0" w:color="auto"/>
                <w:bottom w:val="none" w:sz="0" w:space="0" w:color="auto"/>
                <w:right w:val="none" w:sz="0" w:space="0" w:color="auto"/>
              </w:divBdr>
            </w:div>
          </w:divsChild>
        </w:div>
        <w:div w:id="305860943">
          <w:marLeft w:val="0"/>
          <w:marRight w:val="0"/>
          <w:marTop w:val="0"/>
          <w:marBottom w:val="0"/>
          <w:divBdr>
            <w:top w:val="none" w:sz="0" w:space="0" w:color="auto"/>
            <w:left w:val="none" w:sz="0" w:space="0" w:color="auto"/>
            <w:bottom w:val="none" w:sz="0" w:space="0" w:color="auto"/>
            <w:right w:val="none" w:sz="0" w:space="0" w:color="auto"/>
          </w:divBdr>
          <w:divsChild>
            <w:div w:id="884221842">
              <w:marLeft w:val="0"/>
              <w:marRight w:val="0"/>
              <w:marTop w:val="0"/>
              <w:marBottom w:val="0"/>
              <w:divBdr>
                <w:top w:val="none" w:sz="0" w:space="0" w:color="auto"/>
                <w:left w:val="none" w:sz="0" w:space="0" w:color="auto"/>
                <w:bottom w:val="none" w:sz="0" w:space="0" w:color="auto"/>
                <w:right w:val="none" w:sz="0" w:space="0" w:color="auto"/>
              </w:divBdr>
            </w:div>
          </w:divsChild>
        </w:div>
        <w:div w:id="323749168">
          <w:marLeft w:val="0"/>
          <w:marRight w:val="0"/>
          <w:marTop w:val="0"/>
          <w:marBottom w:val="0"/>
          <w:divBdr>
            <w:top w:val="none" w:sz="0" w:space="0" w:color="auto"/>
            <w:left w:val="none" w:sz="0" w:space="0" w:color="auto"/>
            <w:bottom w:val="none" w:sz="0" w:space="0" w:color="auto"/>
            <w:right w:val="none" w:sz="0" w:space="0" w:color="auto"/>
          </w:divBdr>
          <w:divsChild>
            <w:div w:id="365179224">
              <w:marLeft w:val="0"/>
              <w:marRight w:val="0"/>
              <w:marTop w:val="0"/>
              <w:marBottom w:val="0"/>
              <w:divBdr>
                <w:top w:val="none" w:sz="0" w:space="0" w:color="auto"/>
                <w:left w:val="none" w:sz="0" w:space="0" w:color="auto"/>
                <w:bottom w:val="none" w:sz="0" w:space="0" w:color="auto"/>
                <w:right w:val="none" w:sz="0" w:space="0" w:color="auto"/>
              </w:divBdr>
            </w:div>
          </w:divsChild>
        </w:div>
        <w:div w:id="339894034">
          <w:marLeft w:val="0"/>
          <w:marRight w:val="0"/>
          <w:marTop w:val="0"/>
          <w:marBottom w:val="0"/>
          <w:divBdr>
            <w:top w:val="none" w:sz="0" w:space="0" w:color="auto"/>
            <w:left w:val="none" w:sz="0" w:space="0" w:color="auto"/>
            <w:bottom w:val="none" w:sz="0" w:space="0" w:color="auto"/>
            <w:right w:val="none" w:sz="0" w:space="0" w:color="auto"/>
          </w:divBdr>
          <w:divsChild>
            <w:div w:id="1578518684">
              <w:marLeft w:val="0"/>
              <w:marRight w:val="0"/>
              <w:marTop w:val="0"/>
              <w:marBottom w:val="0"/>
              <w:divBdr>
                <w:top w:val="none" w:sz="0" w:space="0" w:color="auto"/>
                <w:left w:val="none" w:sz="0" w:space="0" w:color="auto"/>
                <w:bottom w:val="none" w:sz="0" w:space="0" w:color="auto"/>
                <w:right w:val="none" w:sz="0" w:space="0" w:color="auto"/>
              </w:divBdr>
            </w:div>
          </w:divsChild>
        </w:div>
        <w:div w:id="341125628">
          <w:marLeft w:val="0"/>
          <w:marRight w:val="0"/>
          <w:marTop w:val="0"/>
          <w:marBottom w:val="0"/>
          <w:divBdr>
            <w:top w:val="none" w:sz="0" w:space="0" w:color="auto"/>
            <w:left w:val="none" w:sz="0" w:space="0" w:color="auto"/>
            <w:bottom w:val="none" w:sz="0" w:space="0" w:color="auto"/>
            <w:right w:val="none" w:sz="0" w:space="0" w:color="auto"/>
          </w:divBdr>
          <w:divsChild>
            <w:div w:id="1239175855">
              <w:marLeft w:val="0"/>
              <w:marRight w:val="0"/>
              <w:marTop w:val="0"/>
              <w:marBottom w:val="0"/>
              <w:divBdr>
                <w:top w:val="none" w:sz="0" w:space="0" w:color="auto"/>
                <w:left w:val="none" w:sz="0" w:space="0" w:color="auto"/>
                <w:bottom w:val="none" w:sz="0" w:space="0" w:color="auto"/>
                <w:right w:val="none" w:sz="0" w:space="0" w:color="auto"/>
              </w:divBdr>
            </w:div>
          </w:divsChild>
        </w:div>
        <w:div w:id="342897351">
          <w:marLeft w:val="0"/>
          <w:marRight w:val="0"/>
          <w:marTop w:val="0"/>
          <w:marBottom w:val="0"/>
          <w:divBdr>
            <w:top w:val="none" w:sz="0" w:space="0" w:color="auto"/>
            <w:left w:val="none" w:sz="0" w:space="0" w:color="auto"/>
            <w:bottom w:val="none" w:sz="0" w:space="0" w:color="auto"/>
            <w:right w:val="none" w:sz="0" w:space="0" w:color="auto"/>
          </w:divBdr>
          <w:divsChild>
            <w:div w:id="1745561910">
              <w:marLeft w:val="0"/>
              <w:marRight w:val="0"/>
              <w:marTop w:val="0"/>
              <w:marBottom w:val="0"/>
              <w:divBdr>
                <w:top w:val="none" w:sz="0" w:space="0" w:color="auto"/>
                <w:left w:val="none" w:sz="0" w:space="0" w:color="auto"/>
                <w:bottom w:val="none" w:sz="0" w:space="0" w:color="auto"/>
                <w:right w:val="none" w:sz="0" w:space="0" w:color="auto"/>
              </w:divBdr>
            </w:div>
          </w:divsChild>
        </w:div>
        <w:div w:id="350880856">
          <w:marLeft w:val="0"/>
          <w:marRight w:val="0"/>
          <w:marTop w:val="0"/>
          <w:marBottom w:val="0"/>
          <w:divBdr>
            <w:top w:val="none" w:sz="0" w:space="0" w:color="auto"/>
            <w:left w:val="none" w:sz="0" w:space="0" w:color="auto"/>
            <w:bottom w:val="none" w:sz="0" w:space="0" w:color="auto"/>
            <w:right w:val="none" w:sz="0" w:space="0" w:color="auto"/>
          </w:divBdr>
          <w:divsChild>
            <w:div w:id="458649098">
              <w:marLeft w:val="0"/>
              <w:marRight w:val="0"/>
              <w:marTop w:val="0"/>
              <w:marBottom w:val="0"/>
              <w:divBdr>
                <w:top w:val="none" w:sz="0" w:space="0" w:color="auto"/>
                <w:left w:val="none" w:sz="0" w:space="0" w:color="auto"/>
                <w:bottom w:val="none" w:sz="0" w:space="0" w:color="auto"/>
                <w:right w:val="none" w:sz="0" w:space="0" w:color="auto"/>
              </w:divBdr>
            </w:div>
          </w:divsChild>
        </w:div>
        <w:div w:id="351340650">
          <w:marLeft w:val="0"/>
          <w:marRight w:val="0"/>
          <w:marTop w:val="0"/>
          <w:marBottom w:val="0"/>
          <w:divBdr>
            <w:top w:val="none" w:sz="0" w:space="0" w:color="auto"/>
            <w:left w:val="none" w:sz="0" w:space="0" w:color="auto"/>
            <w:bottom w:val="none" w:sz="0" w:space="0" w:color="auto"/>
            <w:right w:val="none" w:sz="0" w:space="0" w:color="auto"/>
          </w:divBdr>
          <w:divsChild>
            <w:div w:id="1417900464">
              <w:marLeft w:val="0"/>
              <w:marRight w:val="0"/>
              <w:marTop w:val="0"/>
              <w:marBottom w:val="0"/>
              <w:divBdr>
                <w:top w:val="none" w:sz="0" w:space="0" w:color="auto"/>
                <w:left w:val="none" w:sz="0" w:space="0" w:color="auto"/>
                <w:bottom w:val="none" w:sz="0" w:space="0" w:color="auto"/>
                <w:right w:val="none" w:sz="0" w:space="0" w:color="auto"/>
              </w:divBdr>
            </w:div>
          </w:divsChild>
        </w:div>
        <w:div w:id="360937051">
          <w:marLeft w:val="0"/>
          <w:marRight w:val="0"/>
          <w:marTop w:val="0"/>
          <w:marBottom w:val="0"/>
          <w:divBdr>
            <w:top w:val="none" w:sz="0" w:space="0" w:color="auto"/>
            <w:left w:val="none" w:sz="0" w:space="0" w:color="auto"/>
            <w:bottom w:val="none" w:sz="0" w:space="0" w:color="auto"/>
            <w:right w:val="none" w:sz="0" w:space="0" w:color="auto"/>
          </w:divBdr>
          <w:divsChild>
            <w:div w:id="123088796">
              <w:marLeft w:val="0"/>
              <w:marRight w:val="0"/>
              <w:marTop w:val="0"/>
              <w:marBottom w:val="0"/>
              <w:divBdr>
                <w:top w:val="none" w:sz="0" w:space="0" w:color="auto"/>
                <w:left w:val="none" w:sz="0" w:space="0" w:color="auto"/>
                <w:bottom w:val="none" w:sz="0" w:space="0" w:color="auto"/>
                <w:right w:val="none" w:sz="0" w:space="0" w:color="auto"/>
              </w:divBdr>
            </w:div>
          </w:divsChild>
        </w:div>
        <w:div w:id="361439693">
          <w:marLeft w:val="0"/>
          <w:marRight w:val="0"/>
          <w:marTop w:val="0"/>
          <w:marBottom w:val="0"/>
          <w:divBdr>
            <w:top w:val="none" w:sz="0" w:space="0" w:color="auto"/>
            <w:left w:val="none" w:sz="0" w:space="0" w:color="auto"/>
            <w:bottom w:val="none" w:sz="0" w:space="0" w:color="auto"/>
            <w:right w:val="none" w:sz="0" w:space="0" w:color="auto"/>
          </w:divBdr>
          <w:divsChild>
            <w:div w:id="186719505">
              <w:marLeft w:val="0"/>
              <w:marRight w:val="0"/>
              <w:marTop w:val="0"/>
              <w:marBottom w:val="0"/>
              <w:divBdr>
                <w:top w:val="none" w:sz="0" w:space="0" w:color="auto"/>
                <w:left w:val="none" w:sz="0" w:space="0" w:color="auto"/>
                <w:bottom w:val="none" w:sz="0" w:space="0" w:color="auto"/>
                <w:right w:val="none" w:sz="0" w:space="0" w:color="auto"/>
              </w:divBdr>
            </w:div>
          </w:divsChild>
        </w:div>
        <w:div w:id="376854821">
          <w:marLeft w:val="0"/>
          <w:marRight w:val="0"/>
          <w:marTop w:val="0"/>
          <w:marBottom w:val="0"/>
          <w:divBdr>
            <w:top w:val="none" w:sz="0" w:space="0" w:color="auto"/>
            <w:left w:val="none" w:sz="0" w:space="0" w:color="auto"/>
            <w:bottom w:val="none" w:sz="0" w:space="0" w:color="auto"/>
            <w:right w:val="none" w:sz="0" w:space="0" w:color="auto"/>
          </w:divBdr>
          <w:divsChild>
            <w:div w:id="390663883">
              <w:marLeft w:val="0"/>
              <w:marRight w:val="0"/>
              <w:marTop w:val="0"/>
              <w:marBottom w:val="0"/>
              <w:divBdr>
                <w:top w:val="none" w:sz="0" w:space="0" w:color="auto"/>
                <w:left w:val="none" w:sz="0" w:space="0" w:color="auto"/>
                <w:bottom w:val="none" w:sz="0" w:space="0" w:color="auto"/>
                <w:right w:val="none" w:sz="0" w:space="0" w:color="auto"/>
              </w:divBdr>
            </w:div>
          </w:divsChild>
        </w:div>
        <w:div w:id="393091672">
          <w:marLeft w:val="0"/>
          <w:marRight w:val="0"/>
          <w:marTop w:val="0"/>
          <w:marBottom w:val="0"/>
          <w:divBdr>
            <w:top w:val="none" w:sz="0" w:space="0" w:color="auto"/>
            <w:left w:val="none" w:sz="0" w:space="0" w:color="auto"/>
            <w:bottom w:val="none" w:sz="0" w:space="0" w:color="auto"/>
            <w:right w:val="none" w:sz="0" w:space="0" w:color="auto"/>
          </w:divBdr>
          <w:divsChild>
            <w:div w:id="746149724">
              <w:marLeft w:val="0"/>
              <w:marRight w:val="0"/>
              <w:marTop w:val="0"/>
              <w:marBottom w:val="0"/>
              <w:divBdr>
                <w:top w:val="none" w:sz="0" w:space="0" w:color="auto"/>
                <w:left w:val="none" w:sz="0" w:space="0" w:color="auto"/>
                <w:bottom w:val="none" w:sz="0" w:space="0" w:color="auto"/>
                <w:right w:val="none" w:sz="0" w:space="0" w:color="auto"/>
              </w:divBdr>
            </w:div>
          </w:divsChild>
        </w:div>
        <w:div w:id="400560103">
          <w:marLeft w:val="0"/>
          <w:marRight w:val="0"/>
          <w:marTop w:val="0"/>
          <w:marBottom w:val="0"/>
          <w:divBdr>
            <w:top w:val="none" w:sz="0" w:space="0" w:color="auto"/>
            <w:left w:val="none" w:sz="0" w:space="0" w:color="auto"/>
            <w:bottom w:val="none" w:sz="0" w:space="0" w:color="auto"/>
            <w:right w:val="none" w:sz="0" w:space="0" w:color="auto"/>
          </w:divBdr>
          <w:divsChild>
            <w:div w:id="501353683">
              <w:marLeft w:val="0"/>
              <w:marRight w:val="0"/>
              <w:marTop w:val="0"/>
              <w:marBottom w:val="0"/>
              <w:divBdr>
                <w:top w:val="none" w:sz="0" w:space="0" w:color="auto"/>
                <w:left w:val="none" w:sz="0" w:space="0" w:color="auto"/>
                <w:bottom w:val="none" w:sz="0" w:space="0" w:color="auto"/>
                <w:right w:val="none" w:sz="0" w:space="0" w:color="auto"/>
              </w:divBdr>
            </w:div>
          </w:divsChild>
        </w:div>
        <w:div w:id="407776689">
          <w:marLeft w:val="0"/>
          <w:marRight w:val="0"/>
          <w:marTop w:val="0"/>
          <w:marBottom w:val="0"/>
          <w:divBdr>
            <w:top w:val="none" w:sz="0" w:space="0" w:color="auto"/>
            <w:left w:val="none" w:sz="0" w:space="0" w:color="auto"/>
            <w:bottom w:val="none" w:sz="0" w:space="0" w:color="auto"/>
            <w:right w:val="none" w:sz="0" w:space="0" w:color="auto"/>
          </w:divBdr>
          <w:divsChild>
            <w:div w:id="1256014983">
              <w:marLeft w:val="0"/>
              <w:marRight w:val="0"/>
              <w:marTop w:val="0"/>
              <w:marBottom w:val="0"/>
              <w:divBdr>
                <w:top w:val="none" w:sz="0" w:space="0" w:color="auto"/>
                <w:left w:val="none" w:sz="0" w:space="0" w:color="auto"/>
                <w:bottom w:val="none" w:sz="0" w:space="0" w:color="auto"/>
                <w:right w:val="none" w:sz="0" w:space="0" w:color="auto"/>
              </w:divBdr>
            </w:div>
          </w:divsChild>
        </w:div>
        <w:div w:id="409887825">
          <w:marLeft w:val="0"/>
          <w:marRight w:val="0"/>
          <w:marTop w:val="0"/>
          <w:marBottom w:val="0"/>
          <w:divBdr>
            <w:top w:val="none" w:sz="0" w:space="0" w:color="auto"/>
            <w:left w:val="none" w:sz="0" w:space="0" w:color="auto"/>
            <w:bottom w:val="none" w:sz="0" w:space="0" w:color="auto"/>
            <w:right w:val="none" w:sz="0" w:space="0" w:color="auto"/>
          </w:divBdr>
          <w:divsChild>
            <w:div w:id="1582182864">
              <w:marLeft w:val="0"/>
              <w:marRight w:val="0"/>
              <w:marTop w:val="0"/>
              <w:marBottom w:val="0"/>
              <w:divBdr>
                <w:top w:val="none" w:sz="0" w:space="0" w:color="auto"/>
                <w:left w:val="none" w:sz="0" w:space="0" w:color="auto"/>
                <w:bottom w:val="none" w:sz="0" w:space="0" w:color="auto"/>
                <w:right w:val="none" w:sz="0" w:space="0" w:color="auto"/>
              </w:divBdr>
            </w:div>
          </w:divsChild>
        </w:div>
        <w:div w:id="418451578">
          <w:marLeft w:val="0"/>
          <w:marRight w:val="0"/>
          <w:marTop w:val="0"/>
          <w:marBottom w:val="0"/>
          <w:divBdr>
            <w:top w:val="none" w:sz="0" w:space="0" w:color="auto"/>
            <w:left w:val="none" w:sz="0" w:space="0" w:color="auto"/>
            <w:bottom w:val="none" w:sz="0" w:space="0" w:color="auto"/>
            <w:right w:val="none" w:sz="0" w:space="0" w:color="auto"/>
          </w:divBdr>
          <w:divsChild>
            <w:div w:id="1767114309">
              <w:marLeft w:val="0"/>
              <w:marRight w:val="0"/>
              <w:marTop w:val="0"/>
              <w:marBottom w:val="0"/>
              <w:divBdr>
                <w:top w:val="none" w:sz="0" w:space="0" w:color="auto"/>
                <w:left w:val="none" w:sz="0" w:space="0" w:color="auto"/>
                <w:bottom w:val="none" w:sz="0" w:space="0" w:color="auto"/>
                <w:right w:val="none" w:sz="0" w:space="0" w:color="auto"/>
              </w:divBdr>
            </w:div>
          </w:divsChild>
        </w:div>
        <w:div w:id="422074690">
          <w:marLeft w:val="0"/>
          <w:marRight w:val="0"/>
          <w:marTop w:val="0"/>
          <w:marBottom w:val="0"/>
          <w:divBdr>
            <w:top w:val="none" w:sz="0" w:space="0" w:color="auto"/>
            <w:left w:val="none" w:sz="0" w:space="0" w:color="auto"/>
            <w:bottom w:val="none" w:sz="0" w:space="0" w:color="auto"/>
            <w:right w:val="none" w:sz="0" w:space="0" w:color="auto"/>
          </w:divBdr>
          <w:divsChild>
            <w:div w:id="1184706791">
              <w:marLeft w:val="0"/>
              <w:marRight w:val="0"/>
              <w:marTop w:val="0"/>
              <w:marBottom w:val="0"/>
              <w:divBdr>
                <w:top w:val="none" w:sz="0" w:space="0" w:color="auto"/>
                <w:left w:val="none" w:sz="0" w:space="0" w:color="auto"/>
                <w:bottom w:val="none" w:sz="0" w:space="0" w:color="auto"/>
                <w:right w:val="none" w:sz="0" w:space="0" w:color="auto"/>
              </w:divBdr>
            </w:div>
          </w:divsChild>
        </w:div>
        <w:div w:id="432171706">
          <w:marLeft w:val="0"/>
          <w:marRight w:val="0"/>
          <w:marTop w:val="0"/>
          <w:marBottom w:val="0"/>
          <w:divBdr>
            <w:top w:val="none" w:sz="0" w:space="0" w:color="auto"/>
            <w:left w:val="none" w:sz="0" w:space="0" w:color="auto"/>
            <w:bottom w:val="none" w:sz="0" w:space="0" w:color="auto"/>
            <w:right w:val="none" w:sz="0" w:space="0" w:color="auto"/>
          </w:divBdr>
          <w:divsChild>
            <w:div w:id="1622496739">
              <w:marLeft w:val="0"/>
              <w:marRight w:val="0"/>
              <w:marTop w:val="0"/>
              <w:marBottom w:val="0"/>
              <w:divBdr>
                <w:top w:val="none" w:sz="0" w:space="0" w:color="auto"/>
                <w:left w:val="none" w:sz="0" w:space="0" w:color="auto"/>
                <w:bottom w:val="none" w:sz="0" w:space="0" w:color="auto"/>
                <w:right w:val="none" w:sz="0" w:space="0" w:color="auto"/>
              </w:divBdr>
            </w:div>
          </w:divsChild>
        </w:div>
        <w:div w:id="459539735">
          <w:marLeft w:val="0"/>
          <w:marRight w:val="0"/>
          <w:marTop w:val="0"/>
          <w:marBottom w:val="0"/>
          <w:divBdr>
            <w:top w:val="none" w:sz="0" w:space="0" w:color="auto"/>
            <w:left w:val="none" w:sz="0" w:space="0" w:color="auto"/>
            <w:bottom w:val="none" w:sz="0" w:space="0" w:color="auto"/>
            <w:right w:val="none" w:sz="0" w:space="0" w:color="auto"/>
          </w:divBdr>
          <w:divsChild>
            <w:div w:id="1655068996">
              <w:marLeft w:val="0"/>
              <w:marRight w:val="0"/>
              <w:marTop w:val="0"/>
              <w:marBottom w:val="0"/>
              <w:divBdr>
                <w:top w:val="none" w:sz="0" w:space="0" w:color="auto"/>
                <w:left w:val="none" w:sz="0" w:space="0" w:color="auto"/>
                <w:bottom w:val="none" w:sz="0" w:space="0" w:color="auto"/>
                <w:right w:val="none" w:sz="0" w:space="0" w:color="auto"/>
              </w:divBdr>
            </w:div>
          </w:divsChild>
        </w:div>
        <w:div w:id="465585285">
          <w:marLeft w:val="0"/>
          <w:marRight w:val="0"/>
          <w:marTop w:val="0"/>
          <w:marBottom w:val="0"/>
          <w:divBdr>
            <w:top w:val="none" w:sz="0" w:space="0" w:color="auto"/>
            <w:left w:val="none" w:sz="0" w:space="0" w:color="auto"/>
            <w:bottom w:val="none" w:sz="0" w:space="0" w:color="auto"/>
            <w:right w:val="none" w:sz="0" w:space="0" w:color="auto"/>
          </w:divBdr>
          <w:divsChild>
            <w:div w:id="2099328018">
              <w:marLeft w:val="0"/>
              <w:marRight w:val="0"/>
              <w:marTop w:val="0"/>
              <w:marBottom w:val="0"/>
              <w:divBdr>
                <w:top w:val="none" w:sz="0" w:space="0" w:color="auto"/>
                <w:left w:val="none" w:sz="0" w:space="0" w:color="auto"/>
                <w:bottom w:val="none" w:sz="0" w:space="0" w:color="auto"/>
                <w:right w:val="none" w:sz="0" w:space="0" w:color="auto"/>
              </w:divBdr>
            </w:div>
          </w:divsChild>
        </w:div>
        <w:div w:id="494339045">
          <w:marLeft w:val="0"/>
          <w:marRight w:val="0"/>
          <w:marTop w:val="0"/>
          <w:marBottom w:val="0"/>
          <w:divBdr>
            <w:top w:val="none" w:sz="0" w:space="0" w:color="auto"/>
            <w:left w:val="none" w:sz="0" w:space="0" w:color="auto"/>
            <w:bottom w:val="none" w:sz="0" w:space="0" w:color="auto"/>
            <w:right w:val="none" w:sz="0" w:space="0" w:color="auto"/>
          </w:divBdr>
          <w:divsChild>
            <w:div w:id="283584">
              <w:marLeft w:val="0"/>
              <w:marRight w:val="0"/>
              <w:marTop w:val="0"/>
              <w:marBottom w:val="0"/>
              <w:divBdr>
                <w:top w:val="none" w:sz="0" w:space="0" w:color="auto"/>
                <w:left w:val="none" w:sz="0" w:space="0" w:color="auto"/>
                <w:bottom w:val="none" w:sz="0" w:space="0" w:color="auto"/>
                <w:right w:val="none" w:sz="0" w:space="0" w:color="auto"/>
              </w:divBdr>
            </w:div>
          </w:divsChild>
        </w:div>
        <w:div w:id="523174229">
          <w:marLeft w:val="0"/>
          <w:marRight w:val="0"/>
          <w:marTop w:val="0"/>
          <w:marBottom w:val="0"/>
          <w:divBdr>
            <w:top w:val="none" w:sz="0" w:space="0" w:color="auto"/>
            <w:left w:val="none" w:sz="0" w:space="0" w:color="auto"/>
            <w:bottom w:val="none" w:sz="0" w:space="0" w:color="auto"/>
            <w:right w:val="none" w:sz="0" w:space="0" w:color="auto"/>
          </w:divBdr>
          <w:divsChild>
            <w:div w:id="278611814">
              <w:marLeft w:val="0"/>
              <w:marRight w:val="0"/>
              <w:marTop w:val="0"/>
              <w:marBottom w:val="0"/>
              <w:divBdr>
                <w:top w:val="none" w:sz="0" w:space="0" w:color="auto"/>
                <w:left w:val="none" w:sz="0" w:space="0" w:color="auto"/>
                <w:bottom w:val="none" w:sz="0" w:space="0" w:color="auto"/>
                <w:right w:val="none" w:sz="0" w:space="0" w:color="auto"/>
              </w:divBdr>
            </w:div>
          </w:divsChild>
        </w:div>
        <w:div w:id="532577212">
          <w:marLeft w:val="0"/>
          <w:marRight w:val="0"/>
          <w:marTop w:val="0"/>
          <w:marBottom w:val="0"/>
          <w:divBdr>
            <w:top w:val="none" w:sz="0" w:space="0" w:color="auto"/>
            <w:left w:val="none" w:sz="0" w:space="0" w:color="auto"/>
            <w:bottom w:val="none" w:sz="0" w:space="0" w:color="auto"/>
            <w:right w:val="none" w:sz="0" w:space="0" w:color="auto"/>
          </w:divBdr>
          <w:divsChild>
            <w:div w:id="434249137">
              <w:marLeft w:val="0"/>
              <w:marRight w:val="0"/>
              <w:marTop w:val="0"/>
              <w:marBottom w:val="0"/>
              <w:divBdr>
                <w:top w:val="none" w:sz="0" w:space="0" w:color="auto"/>
                <w:left w:val="none" w:sz="0" w:space="0" w:color="auto"/>
                <w:bottom w:val="none" w:sz="0" w:space="0" w:color="auto"/>
                <w:right w:val="none" w:sz="0" w:space="0" w:color="auto"/>
              </w:divBdr>
            </w:div>
          </w:divsChild>
        </w:div>
        <w:div w:id="537813972">
          <w:marLeft w:val="0"/>
          <w:marRight w:val="0"/>
          <w:marTop w:val="0"/>
          <w:marBottom w:val="0"/>
          <w:divBdr>
            <w:top w:val="none" w:sz="0" w:space="0" w:color="auto"/>
            <w:left w:val="none" w:sz="0" w:space="0" w:color="auto"/>
            <w:bottom w:val="none" w:sz="0" w:space="0" w:color="auto"/>
            <w:right w:val="none" w:sz="0" w:space="0" w:color="auto"/>
          </w:divBdr>
          <w:divsChild>
            <w:div w:id="524636830">
              <w:marLeft w:val="0"/>
              <w:marRight w:val="0"/>
              <w:marTop w:val="0"/>
              <w:marBottom w:val="0"/>
              <w:divBdr>
                <w:top w:val="none" w:sz="0" w:space="0" w:color="auto"/>
                <w:left w:val="none" w:sz="0" w:space="0" w:color="auto"/>
                <w:bottom w:val="none" w:sz="0" w:space="0" w:color="auto"/>
                <w:right w:val="none" w:sz="0" w:space="0" w:color="auto"/>
              </w:divBdr>
            </w:div>
          </w:divsChild>
        </w:div>
        <w:div w:id="539053902">
          <w:marLeft w:val="0"/>
          <w:marRight w:val="0"/>
          <w:marTop w:val="0"/>
          <w:marBottom w:val="0"/>
          <w:divBdr>
            <w:top w:val="none" w:sz="0" w:space="0" w:color="auto"/>
            <w:left w:val="none" w:sz="0" w:space="0" w:color="auto"/>
            <w:bottom w:val="none" w:sz="0" w:space="0" w:color="auto"/>
            <w:right w:val="none" w:sz="0" w:space="0" w:color="auto"/>
          </w:divBdr>
          <w:divsChild>
            <w:div w:id="664821427">
              <w:marLeft w:val="0"/>
              <w:marRight w:val="0"/>
              <w:marTop w:val="0"/>
              <w:marBottom w:val="0"/>
              <w:divBdr>
                <w:top w:val="none" w:sz="0" w:space="0" w:color="auto"/>
                <w:left w:val="none" w:sz="0" w:space="0" w:color="auto"/>
                <w:bottom w:val="none" w:sz="0" w:space="0" w:color="auto"/>
                <w:right w:val="none" w:sz="0" w:space="0" w:color="auto"/>
              </w:divBdr>
            </w:div>
          </w:divsChild>
        </w:div>
        <w:div w:id="549848456">
          <w:marLeft w:val="0"/>
          <w:marRight w:val="0"/>
          <w:marTop w:val="0"/>
          <w:marBottom w:val="0"/>
          <w:divBdr>
            <w:top w:val="none" w:sz="0" w:space="0" w:color="auto"/>
            <w:left w:val="none" w:sz="0" w:space="0" w:color="auto"/>
            <w:bottom w:val="none" w:sz="0" w:space="0" w:color="auto"/>
            <w:right w:val="none" w:sz="0" w:space="0" w:color="auto"/>
          </w:divBdr>
          <w:divsChild>
            <w:div w:id="1996296921">
              <w:marLeft w:val="0"/>
              <w:marRight w:val="0"/>
              <w:marTop w:val="0"/>
              <w:marBottom w:val="0"/>
              <w:divBdr>
                <w:top w:val="none" w:sz="0" w:space="0" w:color="auto"/>
                <w:left w:val="none" w:sz="0" w:space="0" w:color="auto"/>
                <w:bottom w:val="none" w:sz="0" w:space="0" w:color="auto"/>
                <w:right w:val="none" w:sz="0" w:space="0" w:color="auto"/>
              </w:divBdr>
            </w:div>
          </w:divsChild>
        </w:div>
        <w:div w:id="555091738">
          <w:marLeft w:val="0"/>
          <w:marRight w:val="0"/>
          <w:marTop w:val="0"/>
          <w:marBottom w:val="0"/>
          <w:divBdr>
            <w:top w:val="none" w:sz="0" w:space="0" w:color="auto"/>
            <w:left w:val="none" w:sz="0" w:space="0" w:color="auto"/>
            <w:bottom w:val="none" w:sz="0" w:space="0" w:color="auto"/>
            <w:right w:val="none" w:sz="0" w:space="0" w:color="auto"/>
          </w:divBdr>
          <w:divsChild>
            <w:div w:id="2029401780">
              <w:marLeft w:val="0"/>
              <w:marRight w:val="0"/>
              <w:marTop w:val="0"/>
              <w:marBottom w:val="0"/>
              <w:divBdr>
                <w:top w:val="none" w:sz="0" w:space="0" w:color="auto"/>
                <w:left w:val="none" w:sz="0" w:space="0" w:color="auto"/>
                <w:bottom w:val="none" w:sz="0" w:space="0" w:color="auto"/>
                <w:right w:val="none" w:sz="0" w:space="0" w:color="auto"/>
              </w:divBdr>
            </w:div>
          </w:divsChild>
        </w:div>
        <w:div w:id="557784745">
          <w:marLeft w:val="0"/>
          <w:marRight w:val="0"/>
          <w:marTop w:val="0"/>
          <w:marBottom w:val="0"/>
          <w:divBdr>
            <w:top w:val="none" w:sz="0" w:space="0" w:color="auto"/>
            <w:left w:val="none" w:sz="0" w:space="0" w:color="auto"/>
            <w:bottom w:val="none" w:sz="0" w:space="0" w:color="auto"/>
            <w:right w:val="none" w:sz="0" w:space="0" w:color="auto"/>
          </w:divBdr>
          <w:divsChild>
            <w:div w:id="351685171">
              <w:marLeft w:val="0"/>
              <w:marRight w:val="0"/>
              <w:marTop w:val="0"/>
              <w:marBottom w:val="0"/>
              <w:divBdr>
                <w:top w:val="none" w:sz="0" w:space="0" w:color="auto"/>
                <w:left w:val="none" w:sz="0" w:space="0" w:color="auto"/>
                <w:bottom w:val="none" w:sz="0" w:space="0" w:color="auto"/>
                <w:right w:val="none" w:sz="0" w:space="0" w:color="auto"/>
              </w:divBdr>
            </w:div>
          </w:divsChild>
        </w:div>
        <w:div w:id="587929572">
          <w:marLeft w:val="0"/>
          <w:marRight w:val="0"/>
          <w:marTop w:val="0"/>
          <w:marBottom w:val="0"/>
          <w:divBdr>
            <w:top w:val="none" w:sz="0" w:space="0" w:color="auto"/>
            <w:left w:val="none" w:sz="0" w:space="0" w:color="auto"/>
            <w:bottom w:val="none" w:sz="0" w:space="0" w:color="auto"/>
            <w:right w:val="none" w:sz="0" w:space="0" w:color="auto"/>
          </w:divBdr>
          <w:divsChild>
            <w:div w:id="1327779296">
              <w:marLeft w:val="0"/>
              <w:marRight w:val="0"/>
              <w:marTop w:val="0"/>
              <w:marBottom w:val="0"/>
              <w:divBdr>
                <w:top w:val="none" w:sz="0" w:space="0" w:color="auto"/>
                <w:left w:val="none" w:sz="0" w:space="0" w:color="auto"/>
                <w:bottom w:val="none" w:sz="0" w:space="0" w:color="auto"/>
                <w:right w:val="none" w:sz="0" w:space="0" w:color="auto"/>
              </w:divBdr>
            </w:div>
          </w:divsChild>
        </w:div>
        <w:div w:id="604533112">
          <w:marLeft w:val="0"/>
          <w:marRight w:val="0"/>
          <w:marTop w:val="0"/>
          <w:marBottom w:val="0"/>
          <w:divBdr>
            <w:top w:val="none" w:sz="0" w:space="0" w:color="auto"/>
            <w:left w:val="none" w:sz="0" w:space="0" w:color="auto"/>
            <w:bottom w:val="none" w:sz="0" w:space="0" w:color="auto"/>
            <w:right w:val="none" w:sz="0" w:space="0" w:color="auto"/>
          </w:divBdr>
          <w:divsChild>
            <w:div w:id="2147117618">
              <w:marLeft w:val="0"/>
              <w:marRight w:val="0"/>
              <w:marTop w:val="0"/>
              <w:marBottom w:val="0"/>
              <w:divBdr>
                <w:top w:val="none" w:sz="0" w:space="0" w:color="auto"/>
                <w:left w:val="none" w:sz="0" w:space="0" w:color="auto"/>
                <w:bottom w:val="none" w:sz="0" w:space="0" w:color="auto"/>
                <w:right w:val="none" w:sz="0" w:space="0" w:color="auto"/>
              </w:divBdr>
            </w:div>
          </w:divsChild>
        </w:div>
        <w:div w:id="613947760">
          <w:marLeft w:val="0"/>
          <w:marRight w:val="0"/>
          <w:marTop w:val="0"/>
          <w:marBottom w:val="0"/>
          <w:divBdr>
            <w:top w:val="none" w:sz="0" w:space="0" w:color="auto"/>
            <w:left w:val="none" w:sz="0" w:space="0" w:color="auto"/>
            <w:bottom w:val="none" w:sz="0" w:space="0" w:color="auto"/>
            <w:right w:val="none" w:sz="0" w:space="0" w:color="auto"/>
          </w:divBdr>
          <w:divsChild>
            <w:div w:id="643703454">
              <w:marLeft w:val="0"/>
              <w:marRight w:val="0"/>
              <w:marTop w:val="0"/>
              <w:marBottom w:val="0"/>
              <w:divBdr>
                <w:top w:val="none" w:sz="0" w:space="0" w:color="auto"/>
                <w:left w:val="none" w:sz="0" w:space="0" w:color="auto"/>
                <w:bottom w:val="none" w:sz="0" w:space="0" w:color="auto"/>
                <w:right w:val="none" w:sz="0" w:space="0" w:color="auto"/>
              </w:divBdr>
            </w:div>
          </w:divsChild>
        </w:div>
        <w:div w:id="615527810">
          <w:marLeft w:val="0"/>
          <w:marRight w:val="0"/>
          <w:marTop w:val="0"/>
          <w:marBottom w:val="0"/>
          <w:divBdr>
            <w:top w:val="none" w:sz="0" w:space="0" w:color="auto"/>
            <w:left w:val="none" w:sz="0" w:space="0" w:color="auto"/>
            <w:bottom w:val="none" w:sz="0" w:space="0" w:color="auto"/>
            <w:right w:val="none" w:sz="0" w:space="0" w:color="auto"/>
          </w:divBdr>
          <w:divsChild>
            <w:div w:id="1578593195">
              <w:marLeft w:val="0"/>
              <w:marRight w:val="0"/>
              <w:marTop w:val="0"/>
              <w:marBottom w:val="0"/>
              <w:divBdr>
                <w:top w:val="none" w:sz="0" w:space="0" w:color="auto"/>
                <w:left w:val="none" w:sz="0" w:space="0" w:color="auto"/>
                <w:bottom w:val="none" w:sz="0" w:space="0" w:color="auto"/>
                <w:right w:val="none" w:sz="0" w:space="0" w:color="auto"/>
              </w:divBdr>
            </w:div>
          </w:divsChild>
        </w:div>
        <w:div w:id="618146801">
          <w:marLeft w:val="0"/>
          <w:marRight w:val="0"/>
          <w:marTop w:val="0"/>
          <w:marBottom w:val="0"/>
          <w:divBdr>
            <w:top w:val="none" w:sz="0" w:space="0" w:color="auto"/>
            <w:left w:val="none" w:sz="0" w:space="0" w:color="auto"/>
            <w:bottom w:val="none" w:sz="0" w:space="0" w:color="auto"/>
            <w:right w:val="none" w:sz="0" w:space="0" w:color="auto"/>
          </w:divBdr>
          <w:divsChild>
            <w:div w:id="226721381">
              <w:marLeft w:val="0"/>
              <w:marRight w:val="0"/>
              <w:marTop w:val="0"/>
              <w:marBottom w:val="0"/>
              <w:divBdr>
                <w:top w:val="none" w:sz="0" w:space="0" w:color="auto"/>
                <w:left w:val="none" w:sz="0" w:space="0" w:color="auto"/>
                <w:bottom w:val="none" w:sz="0" w:space="0" w:color="auto"/>
                <w:right w:val="none" w:sz="0" w:space="0" w:color="auto"/>
              </w:divBdr>
            </w:div>
          </w:divsChild>
        </w:div>
        <w:div w:id="621687775">
          <w:marLeft w:val="0"/>
          <w:marRight w:val="0"/>
          <w:marTop w:val="0"/>
          <w:marBottom w:val="0"/>
          <w:divBdr>
            <w:top w:val="none" w:sz="0" w:space="0" w:color="auto"/>
            <w:left w:val="none" w:sz="0" w:space="0" w:color="auto"/>
            <w:bottom w:val="none" w:sz="0" w:space="0" w:color="auto"/>
            <w:right w:val="none" w:sz="0" w:space="0" w:color="auto"/>
          </w:divBdr>
          <w:divsChild>
            <w:div w:id="698436084">
              <w:marLeft w:val="0"/>
              <w:marRight w:val="0"/>
              <w:marTop w:val="0"/>
              <w:marBottom w:val="0"/>
              <w:divBdr>
                <w:top w:val="none" w:sz="0" w:space="0" w:color="auto"/>
                <w:left w:val="none" w:sz="0" w:space="0" w:color="auto"/>
                <w:bottom w:val="none" w:sz="0" w:space="0" w:color="auto"/>
                <w:right w:val="none" w:sz="0" w:space="0" w:color="auto"/>
              </w:divBdr>
            </w:div>
          </w:divsChild>
        </w:div>
        <w:div w:id="622854488">
          <w:marLeft w:val="0"/>
          <w:marRight w:val="0"/>
          <w:marTop w:val="0"/>
          <w:marBottom w:val="0"/>
          <w:divBdr>
            <w:top w:val="none" w:sz="0" w:space="0" w:color="auto"/>
            <w:left w:val="none" w:sz="0" w:space="0" w:color="auto"/>
            <w:bottom w:val="none" w:sz="0" w:space="0" w:color="auto"/>
            <w:right w:val="none" w:sz="0" w:space="0" w:color="auto"/>
          </w:divBdr>
          <w:divsChild>
            <w:div w:id="792216054">
              <w:marLeft w:val="0"/>
              <w:marRight w:val="0"/>
              <w:marTop w:val="0"/>
              <w:marBottom w:val="0"/>
              <w:divBdr>
                <w:top w:val="none" w:sz="0" w:space="0" w:color="auto"/>
                <w:left w:val="none" w:sz="0" w:space="0" w:color="auto"/>
                <w:bottom w:val="none" w:sz="0" w:space="0" w:color="auto"/>
                <w:right w:val="none" w:sz="0" w:space="0" w:color="auto"/>
              </w:divBdr>
            </w:div>
          </w:divsChild>
        </w:div>
        <w:div w:id="628707227">
          <w:marLeft w:val="0"/>
          <w:marRight w:val="0"/>
          <w:marTop w:val="0"/>
          <w:marBottom w:val="0"/>
          <w:divBdr>
            <w:top w:val="none" w:sz="0" w:space="0" w:color="auto"/>
            <w:left w:val="none" w:sz="0" w:space="0" w:color="auto"/>
            <w:bottom w:val="none" w:sz="0" w:space="0" w:color="auto"/>
            <w:right w:val="none" w:sz="0" w:space="0" w:color="auto"/>
          </w:divBdr>
          <w:divsChild>
            <w:div w:id="521631206">
              <w:marLeft w:val="0"/>
              <w:marRight w:val="0"/>
              <w:marTop w:val="0"/>
              <w:marBottom w:val="0"/>
              <w:divBdr>
                <w:top w:val="none" w:sz="0" w:space="0" w:color="auto"/>
                <w:left w:val="none" w:sz="0" w:space="0" w:color="auto"/>
                <w:bottom w:val="none" w:sz="0" w:space="0" w:color="auto"/>
                <w:right w:val="none" w:sz="0" w:space="0" w:color="auto"/>
              </w:divBdr>
            </w:div>
          </w:divsChild>
        </w:div>
        <w:div w:id="631714364">
          <w:marLeft w:val="0"/>
          <w:marRight w:val="0"/>
          <w:marTop w:val="0"/>
          <w:marBottom w:val="0"/>
          <w:divBdr>
            <w:top w:val="none" w:sz="0" w:space="0" w:color="auto"/>
            <w:left w:val="none" w:sz="0" w:space="0" w:color="auto"/>
            <w:bottom w:val="none" w:sz="0" w:space="0" w:color="auto"/>
            <w:right w:val="none" w:sz="0" w:space="0" w:color="auto"/>
          </w:divBdr>
          <w:divsChild>
            <w:div w:id="1857772745">
              <w:marLeft w:val="0"/>
              <w:marRight w:val="0"/>
              <w:marTop w:val="0"/>
              <w:marBottom w:val="0"/>
              <w:divBdr>
                <w:top w:val="none" w:sz="0" w:space="0" w:color="auto"/>
                <w:left w:val="none" w:sz="0" w:space="0" w:color="auto"/>
                <w:bottom w:val="none" w:sz="0" w:space="0" w:color="auto"/>
                <w:right w:val="none" w:sz="0" w:space="0" w:color="auto"/>
              </w:divBdr>
            </w:div>
          </w:divsChild>
        </w:div>
        <w:div w:id="639189707">
          <w:marLeft w:val="0"/>
          <w:marRight w:val="0"/>
          <w:marTop w:val="0"/>
          <w:marBottom w:val="0"/>
          <w:divBdr>
            <w:top w:val="none" w:sz="0" w:space="0" w:color="auto"/>
            <w:left w:val="none" w:sz="0" w:space="0" w:color="auto"/>
            <w:bottom w:val="none" w:sz="0" w:space="0" w:color="auto"/>
            <w:right w:val="none" w:sz="0" w:space="0" w:color="auto"/>
          </w:divBdr>
          <w:divsChild>
            <w:div w:id="1450393542">
              <w:marLeft w:val="0"/>
              <w:marRight w:val="0"/>
              <w:marTop w:val="0"/>
              <w:marBottom w:val="0"/>
              <w:divBdr>
                <w:top w:val="none" w:sz="0" w:space="0" w:color="auto"/>
                <w:left w:val="none" w:sz="0" w:space="0" w:color="auto"/>
                <w:bottom w:val="none" w:sz="0" w:space="0" w:color="auto"/>
                <w:right w:val="none" w:sz="0" w:space="0" w:color="auto"/>
              </w:divBdr>
            </w:div>
          </w:divsChild>
        </w:div>
        <w:div w:id="642127305">
          <w:marLeft w:val="0"/>
          <w:marRight w:val="0"/>
          <w:marTop w:val="0"/>
          <w:marBottom w:val="0"/>
          <w:divBdr>
            <w:top w:val="none" w:sz="0" w:space="0" w:color="auto"/>
            <w:left w:val="none" w:sz="0" w:space="0" w:color="auto"/>
            <w:bottom w:val="none" w:sz="0" w:space="0" w:color="auto"/>
            <w:right w:val="none" w:sz="0" w:space="0" w:color="auto"/>
          </w:divBdr>
          <w:divsChild>
            <w:div w:id="617370087">
              <w:marLeft w:val="0"/>
              <w:marRight w:val="0"/>
              <w:marTop w:val="0"/>
              <w:marBottom w:val="0"/>
              <w:divBdr>
                <w:top w:val="none" w:sz="0" w:space="0" w:color="auto"/>
                <w:left w:val="none" w:sz="0" w:space="0" w:color="auto"/>
                <w:bottom w:val="none" w:sz="0" w:space="0" w:color="auto"/>
                <w:right w:val="none" w:sz="0" w:space="0" w:color="auto"/>
              </w:divBdr>
            </w:div>
          </w:divsChild>
        </w:div>
        <w:div w:id="649797156">
          <w:marLeft w:val="0"/>
          <w:marRight w:val="0"/>
          <w:marTop w:val="0"/>
          <w:marBottom w:val="0"/>
          <w:divBdr>
            <w:top w:val="none" w:sz="0" w:space="0" w:color="auto"/>
            <w:left w:val="none" w:sz="0" w:space="0" w:color="auto"/>
            <w:bottom w:val="none" w:sz="0" w:space="0" w:color="auto"/>
            <w:right w:val="none" w:sz="0" w:space="0" w:color="auto"/>
          </w:divBdr>
          <w:divsChild>
            <w:div w:id="1005787452">
              <w:marLeft w:val="0"/>
              <w:marRight w:val="0"/>
              <w:marTop w:val="0"/>
              <w:marBottom w:val="0"/>
              <w:divBdr>
                <w:top w:val="none" w:sz="0" w:space="0" w:color="auto"/>
                <w:left w:val="none" w:sz="0" w:space="0" w:color="auto"/>
                <w:bottom w:val="none" w:sz="0" w:space="0" w:color="auto"/>
                <w:right w:val="none" w:sz="0" w:space="0" w:color="auto"/>
              </w:divBdr>
            </w:div>
          </w:divsChild>
        </w:div>
        <w:div w:id="653294384">
          <w:marLeft w:val="0"/>
          <w:marRight w:val="0"/>
          <w:marTop w:val="0"/>
          <w:marBottom w:val="0"/>
          <w:divBdr>
            <w:top w:val="none" w:sz="0" w:space="0" w:color="auto"/>
            <w:left w:val="none" w:sz="0" w:space="0" w:color="auto"/>
            <w:bottom w:val="none" w:sz="0" w:space="0" w:color="auto"/>
            <w:right w:val="none" w:sz="0" w:space="0" w:color="auto"/>
          </w:divBdr>
          <w:divsChild>
            <w:div w:id="1363744167">
              <w:marLeft w:val="0"/>
              <w:marRight w:val="0"/>
              <w:marTop w:val="0"/>
              <w:marBottom w:val="0"/>
              <w:divBdr>
                <w:top w:val="none" w:sz="0" w:space="0" w:color="auto"/>
                <w:left w:val="none" w:sz="0" w:space="0" w:color="auto"/>
                <w:bottom w:val="none" w:sz="0" w:space="0" w:color="auto"/>
                <w:right w:val="none" w:sz="0" w:space="0" w:color="auto"/>
              </w:divBdr>
            </w:div>
          </w:divsChild>
        </w:div>
        <w:div w:id="654457211">
          <w:marLeft w:val="0"/>
          <w:marRight w:val="0"/>
          <w:marTop w:val="0"/>
          <w:marBottom w:val="0"/>
          <w:divBdr>
            <w:top w:val="none" w:sz="0" w:space="0" w:color="auto"/>
            <w:left w:val="none" w:sz="0" w:space="0" w:color="auto"/>
            <w:bottom w:val="none" w:sz="0" w:space="0" w:color="auto"/>
            <w:right w:val="none" w:sz="0" w:space="0" w:color="auto"/>
          </w:divBdr>
          <w:divsChild>
            <w:div w:id="1021513063">
              <w:marLeft w:val="0"/>
              <w:marRight w:val="0"/>
              <w:marTop w:val="0"/>
              <w:marBottom w:val="0"/>
              <w:divBdr>
                <w:top w:val="none" w:sz="0" w:space="0" w:color="auto"/>
                <w:left w:val="none" w:sz="0" w:space="0" w:color="auto"/>
                <w:bottom w:val="none" w:sz="0" w:space="0" w:color="auto"/>
                <w:right w:val="none" w:sz="0" w:space="0" w:color="auto"/>
              </w:divBdr>
            </w:div>
          </w:divsChild>
        </w:div>
        <w:div w:id="657538487">
          <w:marLeft w:val="0"/>
          <w:marRight w:val="0"/>
          <w:marTop w:val="0"/>
          <w:marBottom w:val="0"/>
          <w:divBdr>
            <w:top w:val="none" w:sz="0" w:space="0" w:color="auto"/>
            <w:left w:val="none" w:sz="0" w:space="0" w:color="auto"/>
            <w:bottom w:val="none" w:sz="0" w:space="0" w:color="auto"/>
            <w:right w:val="none" w:sz="0" w:space="0" w:color="auto"/>
          </w:divBdr>
          <w:divsChild>
            <w:div w:id="1873807702">
              <w:marLeft w:val="0"/>
              <w:marRight w:val="0"/>
              <w:marTop w:val="0"/>
              <w:marBottom w:val="0"/>
              <w:divBdr>
                <w:top w:val="none" w:sz="0" w:space="0" w:color="auto"/>
                <w:left w:val="none" w:sz="0" w:space="0" w:color="auto"/>
                <w:bottom w:val="none" w:sz="0" w:space="0" w:color="auto"/>
                <w:right w:val="none" w:sz="0" w:space="0" w:color="auto"/>
              </w:divBdr>
            </w:div>
          </w:divsChild>
        </w:div>
        <w:div w:id="661009683">
          <w:marLeft w:val="0"/>
          <w:marRight w:val="0"/>
          <w:marTop w:val="0"/>
          <w:marBottom w:val="0"/>
          <w:divBdr>
            <w:top w:val="none" w:sz="0" w:space="0" w:color="auto"/>
            <w:left w:val="none" w:sz="0" w:space="0" w:color="auto"/>
            <w:bottom w:val="none" w:sz="0" w:space="0" w:color="auto"/>
            <w:right w:val="none" w:sz="0" w:space="0" w:color="auto"/>
          </w:divBdr>
          <w:divsChild>
            <w:div w:id="633757340">
              <w:marLeft w:val="0"/>
              <w:marRight w:val="0"/>
              <w:marTop w:val="0"/>
              <w:marBottom w:val="0"/>
              <w:divBdr>
                <w:top w:val="none" w:sz="0" w:space="0" w:color="auto"/>
                <w:left w:val="none" w:sz="0" w:space="0" w:color="auto"/>
                <w:bottom w:val="none" w:sz="0" w:space="0" w:color="auto"/>
                <w:right w:val="none" w:sz="0" w:space="0" w:color="auto"/>
              </w:divBdr>
            </w:div>
          </w:divsChild>
        </w:div>
        <w:div w:id="668556593">
          <w:marLeft w:val="0"/>
          <w:marRight w:val="0"/>
          <w:marTop w:val="0"/>
          <w:marBottom w:val="0"/>
          <w:divBdr>
            <w:top w:val="none" w:sz="0" w:space="0" w:color="auto"/>
            <w:left w:val="none" w:sz="0" w:space="0" w:color="auto"/>
            <w:bottom w:val="none" w:sz="0" w:space="0" w:color="auto"/>
            <w:right w:val="none" w:sz="0" w:space="0" w:color="auto"/>
          </w:divBdr>
          <w:divsChild>
            <w:div w:id="1699236160">
              <w:marLeft w:val="0"/>
              <w:marRight w:val="0"/>
              <w:marTop w:val="0"/>
              <w:marBottom w:val="0"/>
              <w:divBdr>
                <w:top w:val="none" w:sz="0" w:space="0" w:color="auto"/>
                <w:left w:val="none" w:sz="0" w:space="0" w:color="auto"/>
                <w:bottom w:val="none" w:sz="0" w:space="0" w:color="auto"/>
                <w:right w:val="none" w:sz="0" w:space="0" w:color="auto"/>
              </w:divBdr>
            </w:div>
          </w:divsChild>
        </w:div>
        <w:div w:id="672072632">
          <w:marLeft w:val="0"/>
          <w:marRight w:val="0"/>
          <w:marTop w:val="0"/>
          <w:marBottom w:val="0"/>
          <w:divBdr>
            <w:top w:val="none" w:sz="0" w:space="0" w:color="auto"/>
            <w:left w:val="none" w:sz="0" w:space="0" w:color="auto"/>
            <w:bottom w:val="none" w:sz="0" w:space="0" w:color="auto"/>
            <w:right w:val="none" w:sz="0" w:space="0" w:color="auto"/>
          </w:divBdr>
          <w:divsChild>
            <w:div w:id="1175463232">
              <w:marLeft w:val="0"/>
              <w:marRight w:val="0"/>
              <w:marTop w:val="0"/>
              <w:marBottom w:val="0"/>
              <w:divBdr>
                <w:top w:val="none" w:sz="0" w:space="0" w:color="auto"/>
                <w:left w:val="none" w:sz="0" w:space="0" w:color="auto"/>
                <w:bottom w:val="none" w:sz="0" w:space="0" w:color="auto"/>
                <w:right w:val="none" w:sz="0" w:space="0" w:color="auto"/>
              </w:divBdr>
            </w:div>
          </w:divsChild>
        </w:div>
        <w:div w:id="689069282">
          <w:marLeft w:val="0"/>
          <w:marRight w:val="0"/>
          <w:marTop w:val="0"/>
          <w:marBottom w:val="0"/>
          <w:divBdr>
            <w:top w:val="none" w:sz="0" w:space="0" w:color="auto"/>
            <w:left w:val="none" w:sz="0" w:space="0" w:color="auto"/>
            <w:bottom w:val="none" w:sz="0" w:space="0" w:color="auto"/>
            <w:right w:val="none" w:sz="0" w:space="0" w:color="auto"/>
          </w:divBdr>
          <w:divsChild>
            <w:div w:id="878707990">
              <w:marLeft w:val="0"/>
              <w:marRight w:val="0"/>
              <w:marTop w:val="0"/>
              <w:marBottom w:val="0"/>
              <w:divBdr>
                <w:top w:val="none" w:sz="0" w:space="0" w:color="auto"/>
                <w:left w:val="none" w:sz="0" w:space="0" w:color="auto"/>
                <w:bottom w:val="none" w:sz="0" w:space="0" w:color="auto"/>
                <w:right w:val="none" w:sz="0" w:space="0" w:color="auto"/>
              </w:divBdr>
            </w:div>
          </w:divsChild>
        </w:div>
        <w:div w:id="707949511">
          <w:marLeft w:val="0"/>
          <w:marRight w:val="0"/>
          <w:marTop w:val="0"/>
          <w:marBottom w:val="0"/>
          <w:divBdr>
            <w:top w:val="none" w:sz="0" w:space="0" w:color="auto"/>
            <w:left w:val="none" w:sz="0" w:space="0" w:color="auto"/>
            <w:bottom w:val="none" w:sz="0" w:space="0" w:color="auto"/>
            <w:right w:val="none" w:sz="0" w:space="0" w:color="auto"/>
          </w:divBdr>
          <w:divsChild>
            <w:div w:id="115566130">
              <w:marLeft w:val="0"/>
              <w:marRight w:val="0"/>
              <w:marTop w:val="0"/>
              <w:marBottom w:val="0"/>
              <w:divBdr>
                <w:top w:val="none" w:sz="0" w:space="0" w:color="auto"/>
                <w:left w:val="none" w:sz="0" w:space="0" w:color="auto"/>
                <w:bottom w:val="none" w:sz="0" w:space="0" w:color="auto"/>
                <w:right w:val="none" w:sz="0" w:space="0" w:color="auto"/>
              </w:divBdr>
            </w:div>
          </w:divsChild>
        </w:div>
        <w:div w:id="710347321">
          <w:marLeft w:val="0"/>
          <w:marRight w:val="0"/>
          <w:marTop w:val="0"/>
          <w:marBottom w:val="0"/>
          <w:divBdr>
            <w:top w:val="none" w:sz="0" w:space="0" w:color="auto"/>
            <w:left w:val="none" w:sz="0" w:space="0" w:color="auto"/>
            <w:bottom w:val="none" w:sz="0" w:space="0" w:color="auto"/>
            <w:right w:val="none" w:sz="0" w:space="0" w:color="auto"/>
          </w:divBdr>
          <w:divsChild>
            <w:div w:id="1939945937">
              <w:marLeft w:val="0"/>
              <w:marRight w:val="0"/>
              <w:marTop w:val="0"/>
              <w:marBottom w:val="0"/>
              <w:divBdr>
                <w:top w:val="none" w:sz="0" w:space="0" w:color="auto"/>
                <w:left w:val="none" w:sz="0" w:space="0" w:color="auto"/>
                <w:bottom w:val="none" w:sz="0" w:space="0" w:color="auto"/>
                <w:right w:val="none" w:sz="0" w:space="0" w:color="auto"/>
              </w:divBdr>
            </w:div>
          </w:divsChild>
        </w:div>
        <w:div w:id="758218347">
          <w:marLeft w:val="0"/>
          <w:marRight w:val="0"/>
          <w:marTop w:val="0"/>
          <w:marBottom w:val="0"/>
          <w:divBdr>
            <w:top w:val="none" w:sz="0" w:space="0" w:color="auto"/>
            <w:left w:val="none" w:sz="0" w:space="0" w:color="auto"/>
            <w:bottom w:val="none" w:sz="0" w:space="0" w:color="auto"/>
            <w:right w:val="none" w:sz="0" w:space="0" w:color="auto"/>
          </w:divBdr>
          <w:divsChild>
            <w:div w:id="399405198">
              <w:marLeft w:val="0"/>
              <w:marRight w:val="0"/>
              <w:marTop w:val="0"/>
              <w:marBottom w:val="0"/>
              <w:divBdr>
                <w:top w:val="none" w:sz="0" w:space="0" w:color="auto"/>
                <w:left w:val="none" w:sz="0" w:space="0" w:color="auto"/>
                <w:bottom w:val="none" w:sz="0" w:space="0" w:color="auto"/>
                <w:right w:val="none" w:sz="0" w:space="0" w:color="auto"/>
              </w:divBdr>
            </w:div>
          </w:divsChild>
        </w:div>
        <w:div w:id="760878123">
          <w:marLeft w:val="0"/>
          <w:marRight w:val="0"/>
          <w:marTop w:val="0"/>
          <w:marBottom w:val="0"/>
          <w:divBdr>
            <w:top w:val="none" w:sz="0" w:space="0" w:color="auto"/>
            <w:left w:val="none" w:sz="0" w:space="0" w:color="auto"/>
            <w:bottom w:val="none" w:sz="0" w:space="0" w:color="auto"/>
            <w:right w:val="none" w:sz="0" w:space="0" w:color="auto"/>
          </w:divBdr>
          <w:divsChild>
            <w:div w:id="1841580098">
              <w:marLeft w:val="0"/>
              <w:marRight w:val="0"/>
              <w:marTop w:val="0"/>
              <w:marBottom w:val="0"/>
              <w:divBdr>
                <w:top w:val="none" w:sz="0" w:space="0" w:color="auto"/>
                <w:left w:val="none" w:sz="0" w:space="0" w:color="auto"/>
                <w:bottom w:val="none" w:sz="0" w:space="0" w:color="auto"/>
                <w:right w:val="none" w:sz="0" w:space="0" w:color="auto"/>
              </w:divBdr>
            </w:div>
          </w:divsChild>
        </w:div>
        <w:div w:id="771434392">
          <w:marLeft w:val="0"/>
          <w:marRight w:val="0"/>
          <w:marTop w:val="0"/>
          <w:marBottom w:val="0"/>
          <w:divBdr>
            <w:top w:val="none" w:sz="0" w:space="0" w:color="auto"/>
            <w:left w:val="none" w:sz="0" w:space="0" w:color="auto"/>
            <w:bottom w:val="none" w:sz="0" w:space="0" w:color="auto"/>
            <w:right w:val="none" w:sz="0" w:space="0" w:color="auto"/>
          </w:divBdr>
          <w:divsChild>
            <w:div w:id="1484663171">
              <w:marLeft w:val="0"/>
              <w:marRight w:val="0"/>
              <w:marTop w:val="0"/>
              <w:marBottom w:val="0"/>
              <w:divBdr>
                <w:top w:val="none" w:sz="0" w:space="0" w:color="auto"/>
                <w:left w:val="none" w:sz="0" w:space="0" w:color="auto"/>
                <w:bottom w:val="none" w:sz="0" w:space="0" w:color="auto"/>
                <w:right w:val="none" w:sz="0" w:space="0" w:color="auto"/>
              </w:divBdr>
            </w:div>
          </w:divsChild>
        </w:div>
        <w:div w:id="772164854">
          <w:marLeft w:val="0"/>
          <w:marRight w:val="0"/>
          <w:marTop w:val="0"/>
          <w:marBottom w:val="0"/>
          <w:divBdr>
            <w:top w:val="none" w:sz="0" w:space="0" w:color="auto"/>
            <w:left w:val="none" w:sz="0" w:space="0" w:color="auto"/>
            <w:bottom w:val="none" w:sz="0" w:space="0" w:color="auto"/>
            <w:right w:val="none" w:sz="0" w:space="0" w:color="auto"/>
          </w:divBdr>
          <w:divsChild>
            <w:div w:id="1212570778">
              <w:marLeft w:val="0"/>
              <w:marRight w:val="0"/>
              <w:marTop w:val="0"/>
              <w:marBottom w:val="0"/>
              <w:divBdr>
                <w:top w:val="none" w:sz="0" w:space="0" w:color="auto"/>
                <w:left w:val="none" w:sz="0" w:space="0" w:color="auto"/>
                <w:bottom w:val="none" w:sz="0" w:space="0" w:color="auto"/>
                <w:right w:val="none" w:sz="0" w:space="0" w:color="auto"/>
              </w:divBdr>
            </w:div>
          </w:divsChild>
        </w:div>
        <w:div w:id="782305674">
          <w:marLeft w:val="0"/>
          <w:marRight w:val="0"/>
          <w:marTop w:val="0"/>
          <w:marBottom w:val="0"/>
          <w:divBdr>
            <w:top w:val="none" w:sz="0" w:space="0" w:color="auto"/>
            <w:left w:val="none" w:sz="0" w:space="0" w:color="auto"/>
            <w:bottom w:val="none" w:sz="0" w:space="0" w:color="auto"/>
            <w:right w:val="none" w:sz="0" w:space="0" w:color="auto"/>
          </w:divBdr>
          <w:divsChild>
            <w:div w:id="591546831">
              <w:marLeft w:val="0"/>
              <w:marRight w:val="0"/>
              <w:marTop w:val="0"/>
              <w:marBottom w:val="0"/>
              <w:divBdr>
                <w:top w:val="none" w:sz="0" w:space="0" w:color="auto"/>
                <w:left w:val="none" w:sz="0" w:space="0" w:color="auto"/>
                <w:bottom w:val="none" w:sz="0" w:space="0" w:color="auto"/>
                <w:right w:val="none" w:sz="0" w:space="0" w:color="auto"/>
              </w:divBdr>
            </w:div>
          </w:divsChild>
        </w:div>
        <w:div w:id="793989811">
          <w:marLeft w:val="0"/>
          <w:marRight w:val="0"/>
          <w:marTop w:val="0"/>
          <w:marBottom w:val="0"/>
          <w:divBdr>
            <w:top w:val="none" w:sz="0" w:space="0" w:color="auto"/>
            <w:left w:val="none" w:sz="0" w:space="0" w:color="auto"/>
            <w:bottom w:val="none" w:sz="0" w:space="0" w:color="auto"/>
            <w:right w:val="none" w:sz="0" w:space="0" w:color="auto"/>
          </w:divBdr>
          <w:divsChild>
            <w:div w:id="490413860">
              <w:marLeft w:val="0"/>
              <w:marRight w:val="0"/>
              <w:marTop w:val="0"/>
              <w:marBottom w:val="0"/>
              <w:divBdr>
                <w:top w:val="none" w:sz="0" w:space="0" w:color="auto"/>
                <w:left w:val="none" w:sz="0" w:space="0" w:color="auto"/>
                <w:bottom w:val="none" w:sz="0" w:space="0" w:color="auto"/>
                <w:right w:val="none" w:sz="0" w:space="0" w:color="auto"/>
              </w:divBdr>
            </w:div>
          </w:divsChild>
        </w:div>
        <w:div w:id="804349526">
          <w:marLeft w:val="0"/>
          <w:marRight w:val="0"/>
          <w:marTop w:val="0"/>
          <w:marBottom w:val="0"/>
          <w:divBdr>
            <w:top w:val="none" w:sz="0" w:space="0" w:color="auto"/>
            <w:left w:val="none" w:sz="0" w:space="0" w:color="auto"/>
            <w:bottom w:val="none" w:sz="0" w:space="0" w:color="auto"/>
            <w:right w:val="none" w:sz="0" w:space="0" w:color="auto"/>
          </w:divBdr>
          <w:divsChild>
            <w:div w:id="704140285">
              <w:marLeft w:val="0"/>
              <w:marRight w:val="0"/>
              <w:marTop w:val="0"/>
              <w:marBottom w:val="0"/>
              <w:divBdr>
                <w:top w:val="none" w:sz="0" w:space="0" w:color="auto"/>
                <w:left w:val="none" w:sz="0" w:space="0" w:color="auto"/>
                <w:bottom w:val="none" w:sz="0" w:space="0" w:color="auto"/>
                <w:right w:val="none" w:sz="0" w:space="0" w:color="auto"/>
              </w:divBdr>
            </w:div>
          </w:divsChild>
        </w:div>
        <w:div w:id="806777437">
          <w:marLeft w:val="0"/>
          <w:marRight w:val="0"/>
          <w:marTop w:val="0"/>
          <w:marBottom w:val="0"/>
          <w:divBdr>
            <w:top w:val="none" w:sz="0" w:space="0" w:color="auto"/>
            <w:left w:val="none" w:sz="0" w:space="0" w:color="auto"/>
            <w:bottom w:val="none" w:sz="0" w:space="0" w:color="auto"/>
            <w:right w:val="none" w:sz="0" w:space="0" w:color="auto"/>
          </w:divBdr>
          <w:divsChild>
            <w:div w:id="1994328526">
              <w:marLeft w:val="0"/>
              <w:marRight w:val="0"/>
              <w:marTop w:val="0"/>
              <w:marBottom w:val="0"/>
              <w:divBdr>
                <w:top w:val="none" w:sz="0" w:space="0" w:color="auto"/>
                <w:left w:val="none" w:sz="0" w:space="0" w:color="auto"/>
                <w:bottom w:val="none" w:sz="0" w:space="0" w:color="auto"/>
                <w:right w:val="none" w:sz="0" w:space="0" w:color="auto"/>
              </w:divBdr>
            </w:div>
          </w:divsChild>
        </w:div>
        <w:div w:id="824661975">
          <w:marLeft w:val="0"/>
          <w:marRight w:val="0"/>
          <w:marTop w:val="0"/>
          <w:marBottom w:val="0"/>
          <w:divBdr>
            <w:top w:val="none" w:sz="0" w:space="0" w:color="auto"/>
            <w:left w:val="none" w:sz="0" w:space="0" w:color="auto"/>
            <w:bottom w:val="none" w:sz="0" w:space="0" w:color="auto"/>
            <w:right w:val="none" w:sz="0" w:space="0" w:color="auto"/>
          </w:divBdr>
          <w:divsChild>
            <w:div w:id="391776364">
              <w:marLeft w:val="0"/>
              <w:marRight w:val="0"/>
              <w:marTop w:val="0"/>
              <w:marBottom w:val="0"/>
              <w:divBdr>
                <w:top w:val="none" w:sz="0" w:space="0" w:color="auto"/>
                <w:left w:val="none" w:sz="0" w:space="0" w:color="auto"/>
                <w:bottom w:val="none" w:sz="0" w:space="0" w:color="auto"/>
                <w:right w:val="none" w:sz="0" w:space="0" w:color="auto"/>
              </w:divBdr>
            </w:div>
          </w:divsChild>
        </w:div>
        <w:div w:id="826047644">
          <w:marLeft w:val="0"/>
          <w:marRight w:val="0"/>
          <w:marTop w:val="0"/>
          <w:marBottom w:val="0"/>
          <w:divBdr>
            <w:top w:val="none" w:sz="0" w:space="0" w:color="auto"/>
            <w:left w:val="none" w:sz="0" w:space="0" w:color="auto"/>
            <w:bottom w:val="none" w:sz="0" w:space="0" w:color="auto"/>
            <w:right w:val="none" w:sz="0" w:space="0" w:color="auto"/>
          </w:divBdr>
          <w:divsChild>
            <w:div w:id="490828305">
              <w:marLeft w:val="0"/>
              <w:marRight w:val="0"/>
              <w:marTop w:val="0"/>
              <w:marBottom w:val="0"/>
              <w:divBdr>
                <w:top w:val="none" w:sz="0" w:space="0" w:color="auto"/>
                <w:left w:val="none" w:sz="0" w:space="0" w:color="auto"/>
                <w:bottom w:val="none" w:sz="0" w:space="0" w:color="auto"/>
                <w:right w:val="none" w:sz="0" w:space="0" w:color="auto"/>
              </w:divBdr>
            </w:div>
          </w:divsChild>
        </w:div>
        <w:div w:id="827015668">
          <w:marLeft w:val="0"/>
          <w:marRight w:val="0"/>
          <w:marTop w:val="0"/>
          <w:marBottom w:val="0"/>
          <w:divBdr>
            <w:top w:val="none" w:sz="0" w:space="0" w:color="auto"/>
            <w:left w:val="none" w:sz="0" w:space="0" w:color="auto"/>
            <w:bottom w:val="none" w:sz="0" w:space="0" w:color="auto"/>
            <w:right w:val="none" w:sz="0" w:space="0" w:color="auto"/>
          </w:divBdr>
          <w:divsChild>
            <w:div w:id="2011061486">
              <w:marLeft w:val="0"/>
              <w:marRight w:val="0"/>
              <w:marTop w:val="0"/>
              <w:marBottom w:val="0"/>
              <w:divBdr>
                <w:top w:val="none" w:sz="0" w:space="0" w:color="auto"/>
                <w:left w:val="none" w:sz="0" w:space="0" w:color="auto"/>
                <w:bottom w:val="none" w:sz="0" w:space="0" w:color="auto"/>
                <w:right w:val="none" w:sz="0" w:space="0" w:color="auto"/>
              </w:divBdr>
            </w:div>
          </w:divsChild>
        </w:div>
        <w:div w:id="832183791">
          <w:marLeft w:val="0"/>
          <w:marRight w:val="0"/>
          <w:marTop w:val="0"/>
          <w:marBottom w:val="0"/>
          <w:divBdr>
            <w:top w:val="none" w:sz="0" w:space="0" w:color="auto"/>
            <w:left w:val="none" w:sz="0" w:space="0" w:color="auto"/>
            <w:bottom w:val="none" w:sz="0" w:space="0" w:color="auto"/>
            <w:right w:val="none" w:sz="0" w:space="0" w:color="auto"/>
          </w:divBdr>
          <w:divsChild>
            <w:div w:id="771634671">
              <w:marLeft w:val="0"/>
              <w:marRight w:val="0"/>
              <w:marTop w:val="0"/>
              <w:marBottom w:val="0"/>
              <w:divBdr>
                <w:top w:val="none" w:sz="0" w:space="0" w:color="auto"/>
                <w:left w:val="none" w:sz="0" w:space="0" w:color="auto"/>
                <w:bottom w:val="none" w:sz="0" w:space="0" w:color="auto"/>
                <w:right w:val="none" w:sz="0" w:space="0" w:color="auto"/>
              </w:divBdr>
            </w:div>
          </w:divsChild>
        </w:div>
        <w:div w:id="843978452">
          <w:marLeft w:val="0"/>
          <w:marRight w:val="0"/>
          <w:marTop w:val="0"/>
          <w:marBottom w:val="0"/>
          <w:divBdr>
            <w:top w:val="none" w:sz="0" w:space="0" w:color="auto"/>
            <w:left w:val="none" w:sz="0" w:space="0" w:color="auto"/>
            <w:bottom w:val="none" w:sz="0" w:space="0" w:color="auto"/>
            <w:right w:val="none" w:sz="0" w:space="0" w:color="auto"/>
          </w:divBdr>
          <w:divsChild>
            <w:div w:id="2088647055">
              <w:marLeft w:val="0"/>
              <w:marRight w:val="0"/>
              <w:marTop w:val="0"/>
              <w:marBottom w:val="0"/>
              <w:divBdr>
                <w:top w:val="none" w:sz="0" w:space="0" w:color="auto"/>
                <w:left w:val="none" w:sz="0" w:space="0" w:color="auto"/>
                <w:bottom w:val="none" w:sz="0" w:space="0" w:color="auto"/>
                <w:right w:val="none" w:sz="0" w:space="0" w:color="auto"/>
              </w:divBdr>
            </w:div>
          </w:divsChild>
        </w:div>
        <w:div w:id="861868916">
          <w:marLeft w:val="0"/>
          <w:marRight w:val="0"/>
          <w:marTop w:val="0"/>
          <w:marBottom w:val="0"/>
          <w:divBdr>
            <w:top w:val="none" w:sz="0" w:space="0" w:color="auto"/>
            <w:left w:val="none" w:sz="0" w:space="0" w:color="auto"/>
            <w:bottom w:val="none" w:sz="0" w:space="0" w:color="auto"/>
            <w:right w:val="none" w:sz="0" w:space="0" w:color="auto"/>
          </w:divBdr>
          <w:divsChild>
            <w:div w:id="555238316">
              <w:marLeft w:val="0"/>
              <w:marRight w:val="0"/>
              <w:marTop w:val="0"/>
              <w:marBottom w:val="0"/>
              <w:divBdr>
                <w:top w:val="none" w:sz="0" w:space="0" w:color="auto"/>
                <w:left w:val="none" w:sz="0" w:space="0" w:color="auto"/>
                <w:bottom w:val="none" w:sz="0" w:space="0" w:color="auto"/>
                <w:right w:val="none" w:sz="0" w:space="0" w:color="auto"/>
              </w:divBdr>
            </w:div>
          </w:divsChild>
        </w:div>
        <w:div w:id="864489820">
          <w:marLeft w:val="0"/>
          <w:marRight w:val="0"/>
          <w:marTop w:val="0"/>
          <w:marBottom w:val="0"/>
          <w:divBdr>
            <w:top w:val="none" w:sz="0" w:space="0" w:color="auto"/>
            <w:left w:val="none" w:sz="0" w:space="0" w:color="auto"/>
            <w:bottom w:val="none" w:sz="0" w:space="0" w:color="auto"/>
            <w:right w:val="none" w:sz="0" w:space="0" w:color="auto"/>
          </w:divBdr>
          <w:divsChild>
            <w:div w:id="4132896">
              <w:marLeft w:val="0"/>
              <w:marRight w:val="0"/>
              <w:marTop w:val="0"/>
              <w:marBottom w:val="0"/>
              <w:divBdr>
                <w:top w:val="none" w:sz="0" w:space="0" w:color="auto"/>
                <w:left w:val="none" w:sz="0" w:space="0" w:color="auto"/>
                <w:bottom w:val="none" w:sz="0" w:space="0" w:color="auto"/>
                <w:right w:val="none" w:sz="0" w:space="0" w:color="auto"/>
              </w:divBdr>
            </w:div>
          </w:divsChild>
        </w:div>
        <w:div w:id="875043597">
          <w:marLeft w:val="0"/>
          <w:marRight w:val="0"/>
          <w:marTop w:val="0"/>
          <w:marBottom w:val="0"/>
          <w:divBdr>
            <w:top w:val="none" w:sz="0" w:space="0" w:color="auto"/>
            <w:left w:val="none" w:sz="0" w:space="0" w:color="auto"/>
            <w:bottom w:val="none" w:sz="0" w:space="0" w:color="auto"/>
            <w:right w:val="none" w:sz="0" w:space="0" w:color="auto"/>
          </w:divBdr>
          <w:divsChild>
            <w:div w:id="1990556905">
              <w:marLeft w:val="0"/>
              <w:marRight w:val="0"/>
              <w:marTop w:val="0"/>
              <w:marBottom w:val="0"/>
              <w:divBdr>
                <w:top w:val="none" w:sz="0" w:space="0" w:color="auto"/>
                <w:left w:val="none" w:sz="0" w:space="0" w:color="auto"/>
                <w:bottom w:val="none" w:sz="0" w:space="0" w:color="auto"/>
                <w:right w:val="none" w:sz="0" w:space="0" w:color="auto"/>
              </w:divBdr>
            </w:div>
          </w:divsChild>
        </w:div>
        <w:div w:id="875772490">
          <w:marLeft w:val="0"/>
          <w:marRight w:val="0"/>
          <w:marTop w:val="0"/>
          <w:marBottom w:val="0"/>
          <w:divBdr>
            <w:top w:val="none" w:sz="0" w:space="0" w:color="auto"/>
            <w:left w:val="none" w:sz="0" w:space="0" w:color="auto"/>
            <w:bottom w:val="none" w:sz="0" w:space="0" w:color="auto"/>
            <w:right w:val="none" w:sz="0" w:space="0" w:color="auto"/>
          </w:divBdr>
          <w:divsChild>
            <w:div w:id="1569222885">
              <w:marLeft w:val="0"/>
              <w:marRight w:val="0"/>
              <w:marTop w:val="0"/>
              <w:marBottom w:val="0"/>
              <w:divBdr>
                <w:top w:val="none" w:sz="0" w:space="0" w:color="auto"/>
                <w:left w:val="none" w:sz="0" w:space="0" w:color="auto"/>
                <w:bottom w:val="none" w:sz="0" w:space="0" w:color="auto"/>
                <w:right w:val="none" w:sz="0" w:space="0" w:color="auto"/>
              </w:divBdr>
            </w:div>
          </w:divsChild>
        </w:div>
        <w:div w:id="894698983">
          <w:marLeft w:val="0"/>
          <w:marRight w:val="0"/>
          <w:marTop w:val="0"/>
          <w:marBottom w:val="0"/>
          <w:divBdr>
            <w:top w:val="none" w:sz="0" w:space="0" w:color="auto"/>
            <w:left w:val="none" w:sz="0" w:space="0" w:color="auto"/>
            <w:bottom w:val="none" w:sz="0" w:space="0" w:color="auto"/>
            <w:right w:val="none" w:sz="0" w:space="0" w:color="auto"/>
          </w:divBdr>
          <w:divsChild>
            <w:div w:id="250242720">
              <w:marLeft w:val="0"/>
              <w:marRight w:val="0"/>
              <w:marTop w:val="0"/>
              <w:marBottom w:val="0"/>
              <w:divBdr>
                <w:top w:val="none" w:sz="0" w:space="0" w:color="auto"/>
                <w:left w:val="none" w:sz="0" w:space="0" w:color="auto"/>
                <w:bottom w:val="none" w:sz="0" w:space="0" w:color="auto"/>
                <w:right w:val="none" w:sz="0" w:space="0" w:color="auto"/>
              </w:divBdr>
            </w:div>
          </w:divsChild>
        </w:div>
        <w:div w:id="904492189">
          <w:marLeft w:val="0"/>
          <w:marRight w:val="0"/>
          <w:marTop w:val="0"/>
          <w:marBottom w:val="0"/>
          <w:divBdr>
            <w:top w:val="none" w:sz="0" w:space="0" w:color="auto"/>
            <w:left w:val="none" w:sz="0" w:space="0" w:color="auto"/>
            <w:bottom w:val="none" w:sz="0" w:space="0" w:color="auto"/>
            <w:right w:val="none" w:sz="0" w:space="0" w:color="auto"/>
          </w:divBdr>
          <w:divsChild>
            <w:div w:id="1770082171">
              <w:marLeft w:val="0"/>
              <w:marRight w:val="0"/>
              <w:marTop w:val="0"/>
              <w:marBottom w:val="0"/>
              <w:divBdr>
                <w:top w:val="none" w:sz="0" w:space="0" w:color="auto"/>
                <w:left w:val="none" w:sz="0" w:space="0" w:color="auto"/>
                <w:bottom w:val="none" w:sz="0" w:space="0" w:color="auto"/>
                <w:right w:val="none" w:sz="0" w:space="0" w:color="auto"/>
              </w:divBdr>
            </w:div>
          </w:divsChild>
        </w:div>
        <w:div w:id="926502326">
          <w:marLeft w:val="0"/>
          <w:marRight w:val="0"/>
          <w:marTop w:val="0"/>
          <w:marBottom w:val="0"/>
          <w:divBdr>
            <w:top w:val="none" w:sz="0" w:space="0" w:color="auto"/>
            <w:left w:val="none" w:sz="0" w:space="0" w:color="auto"/>
            <w:bottom w:val="none" w:sz="0" w:space="0" w:color="auto"/>
            <w:right w:val="none" w:sz="0" w:space="0" w:color="auto"/>
          </w:divBdr>
          <w:divsChild>
            <w:div w:id="330766913">
              <w:marLeft w:val="0"/>
              <w:marRight w:val="0"/>
              <w:marTop w:val="0"/>
              <w:marBottom w:val="0"/>
              <w:divBdr>
                <w:top w:val="none" w:sz="0" w:space="0" w:color="auto"/>
                <w:left w:val="none" w:sz="0" w:space="0" w:color="auto"/>
                <w:bottom w:val="none" w:sz="0" w:space="0" w:color="auto"/>
                <w:right w:val="none" w:sz="0" w:space="0" w:color="auto"/>
              </w:divBdr>
            </w:div>
          </w:divsChild>
        </w:div>
        <w:div w:id="929040787">
          <w:marLeft w:val="0"/>
          <w:marRight w:val="0"/>
          <w:marTop w:val="0"/>
          <w:marBottom w:val="0"/>
          <w:divBdr>
            <w:top w:val="none" w:sz="0" w:space="0" w:color="auto"/>
            <w:left w:val="none" w:sz="0" w:space="0" w:color="auto"/>
            <w:bottom w:val="none" w:sz="0" w:space="0" w:color="auto"/>
            <w:right w:val="none" w:sz="0" w:space="0" w:color="auto"/>
          </w:divBdr>
          <w:divsChild>
            <w:div w:id="514659070">
              <w:marLeft w:val="0"/>
              <w:marRight w:val="0"/>
              <w:marTop w:val="0"/>
              <w:marBottom w:val="0"/>
              <w:divBdr>
                <w:top w:val="none" w:sz="0" w:space="0" w:color="auto"/>
                <w:left w:val="none" w:sz="0" w:space="0" w:color="auto"/>
                <w:bottom w:val="none" w:sz="0" w:space="0" w:color="auto"/>
                <w:right w:val="none" w:sz="0" w:space="0" w:color="auto"/>
              </w:divBdr>
            </w:div>
          </w:divsChild>
        </w:div>
        <w:div w:id="937640692">
          <w:marLeft w:val="0"/>
          <w:marRight w:val="0"/>
          <w:marTop w:val="0"/>
          <w:marBottom w:val="0"/>
          <w:divBdr>
            <w:top w:val="none" w:sz="0" w:space="0" w:color="auto"/>
            <w:left w:val="none" w:sz="0" w:space="0" w:color="auto"/>
            <w:bottom w:val="none" w:sz="0" w:space="0" w:color="auto"/>
            <w:right w:val="none" w:sz="0" w:space="0" w:color="auto"/>
          </w:divBdr>
          <w:divsChild>
            <w:div w:id="1584990307">
              <w:marLeft w:val="0"/>
              <w:marRight w:val="0"/>
              <w:marTop w:val="0"/>
              <w:marBottom w:val="0"/>
              <w:divBdr>
                <w:top w:val="none" w:sz="0" w:space="0" w:color="auto"/>
                <w:left w:val="none" w:sz="0" w:space="0" w:color="auto"/>
                <w:bottom w:val="none" w:sz="0" w:space="0" w:color="auto"/>
                <w:right w:val="none" w:sz="0" w:space="0" w:color="auto"/>
              </w:divBdr>
            </w:div>
          </w:divsChild>
        </w:div>
        <w:div w:id="938413464">
          <w:marLeft w:val="0"/>
          <w:marRight w:val="0"/>
          <w:marTop w:val="0"/>
          <w:marBottom w:val="0"/>
          <w:divBdr>
            <w:top w:val="none" w:sz="0" w:space="0" w:color="auto"/>
            <w:left w:val="none" w:sz="0" w:space="0" w:color="auto"/>
            <w:bottom w:val="none" w:sz="0" w:space="0" w:color="auto"/>
            <w:right w:val="none" w:sz="0" w:space="0" w:color="auto"/>
          </w:divBdr>
          <w:divsChild>
            <w:div w:id="1280843833">
              <w:marLeft w:val="0"/>
              <w:marRight w:val="0"/>
              <w:marTop w:val="0"/>
              <w:marBottom w:val="0"/>
              <w:divBdr>
                <w:top w:val="none" w:sz="0" w:space="0" w:color="auto"/>
                <w:left w:val="none" w:sz="0" w:space="0" w:color="auto"/>
                <w:bottom w:val="none" w:sz="0" w:space="0" w:color="auto"/>
                <w:right w:val="none" w:sz="0" w:space="0" w:color="auto"/>
              </w:divBdr>
            </w:div>
          </w:divsChild>
        </w:div>
        <w:div w:id="941692068">
          <w:marLeft w:val="0"/>
          <w:marRight w:val="0"/>
          <w:marTop w:val="0"/>
          <w:marBottom w:val="0"/>
          <w:divBdr>
            <w:top w:val="none" w:sz="0" w:space="0" w:color="auto"/>
            <w:left w:val="none" w:sz="0" w:space="0" w:color="auto"/>
            <w:bottom w:val="none" w:sz="0" w:space="0" w:color="auto"/>
            <w:right w:val="none" w:sz="0" w:space="0" w:color="auto"/>
          </w:divBdr>
          <w:divsChild>
            <w:div w:id="1340350194">
              <w:marLeft w:val="0"/>
              <w:marRight w:val="0"/>
              <w:marTop w:val="0"/>
              <w:marBottom w:val="0"/>
              <w:divBdr>
                <w:top w:val="none" w:sz="0" w:space="0" w:color="auto"/>
                <w:left w:val="none" w:sz="0" w:space="0" w:color="auto"/>
                <w:bottom w:val="none" w:sz="0" w:space="0" w:color="auto"/>
                <w:right w:val="none" w:sz="0" w:space="0" w:color="auto"/>
              </w:divBdr>
            </w:div>
          </w:divsChild>
        </w:div>
        <w:div w:id="955284617">
          <w:marLeft w:val="0"/>
          <w:marRight w:val="0"/>
          <w:marTop w:val="0"/>
          <w:marBottom w:val="0"/>
          <w:divBdr>
            <w:top w:val="none" w:sz="0" w:space="0" w:color="auto"/>
            <w:left w:val="none" w:sz="0" w:space="0" w:color="auto"/>
            <w:bottom w:val="none" w:sz="0" w:space="0" w:color="auto"/>
            <w:right w:val="none" w:sz="0" w:space="0" w:color="auto"/>
          </w:divBdr>
          <w:divsChild>
            <w:div w:id="1400442946">
              <w:marLeft w:val="0"/>
              <w:marRight w:val="0"/>
              <w:marTop w:val="0"/>
              <w:marBottom w:val="0"/>
              <w:divBdr>
                <w:top w:val="none" w:sz="0" w:space="0" w:color="auto"/>
                <w:left w:val="none" w:sz="0" w:space="0" w:color="auto"/>
                <w:bottom w:val="none" w:sz="0" w:space="0" w:color="auto"/>
                <w:right w:val="none" w:sz="0" w:space="0" w:color="auto"/>
              </w:divBdr>
            </w:div>
          </w:divsChild>
        </w:div>
        <w:div w:id="969088621">
          <w:marLeft w:val="0"/>
          <w:marRight w:val="0"/>
          <w:marTop w:val="0"/>
          <w:marBottom w:val="0"/>
          <w:divBdr>
            <w:top w:val="none" w:sz="0" w:space="0" w:color="auto"/>
            <w:left w:val="none" w:sz="0" w:space="0" w:color="auto"/>
            <w:bottom w:val="none" w:sz="0" w:space="0" w:color="auto"/>
            <w:right w:val="none" w:sz="0" w:space="0" w:color="auto"/>
          </w:divBdr>
          <w:divsChild>
            <w:div w:id="59905854">
              <w:marLeft w:val="0"/>
              <w:marRight w:val="0"/>
              <w:marTop w:val="0"/>
              <w:marBottom w:val="0"/>
              <w:divBdr>
                <w:top w:val="none" w:sz="0" w:space="0" w:color="auto"/>
                <w:left w:val="none" w:sz="0" w:space="0" w:color="auto"/>
                <w:bottom w:val="none" w:sz="0" w:space="0" w:color="auto"/>
                <w:right w:val="none" w:sz="0" w:space="0" w:color="auto"/>
              </w:divBdr>
            </w:div>
          </w:divsChild>
        </w:div>
        <w:div w:id="975796876">
          <w:marLeft w:val="0"/>
          <w:marRight w:val="0"/>
          <w:marTop w:val="0"/>
          <w:marBottom w:val="0"/>
          <w:divBdr>
            <w:top w:val="none" w:sz="0" w:space="0" w:color="auto"/>
            <w:left w:val="none" w:sz="0" w:space="0" w:color="auto"/>
            <w:bottom w:val="none" w:sz="0" w:space="0" w:color="auto"/>
            <w:right w:val="none" w:sz="0" w:space="0" w:color="auto"/>
          </w:divBdr>
          <w:divsChild>
            <w:div w:id="690451879">
              <w:marLeft w:val="0"/>
              <w:marRight w:val="0"/>
              <w:marTop w:val="0"/>
              <w:marBottom w:val="0"/>
              <w:divBdr>
                <w:top w:val="none" w:sz="0" w:space="0" w:color="auto"/>
                <w:left w:val="none" w:sz="0" w:space="0" w:color="auto"/>
                <w:bottom w:val="none" w:sz="0" w:space="0" w:color="auto"/>
                <w:right w:val="none" w:sz="0" w:space="0" w:color="auto"/>
              </w:divBdr>
            </w:div>
          </w:divsChild>
        </w:div>
        <w:div w:id="983390434">
          <w:marLeft w:val="0"/>
          <w:marRight w:val="0"/>
          <w:marTop w:val="0"/>
          <w:marBottom w:val="0"/>
          <w:divBdr>
            <w:top w:val="none" w:sz="0" w:space="0" w:color="auto"/>
            <w:left w:val="none" w:sz="0" w:space="0" w:color="auto"/>
            <w:bottom w:val="none" w:sz="0" w:space="0" w:color="auto"/>
            <w:right w:val="none" w:sz="0" w:space="0" w:color="auto"/>
          </w:divBdr>
          <w:divsChild>
            <w:div w:id="884760427">
              <w:marLeft w:val="0"/>
              <w:marRight w:val="0"/>
              <w:marTop w:val="0"/>
              <w:marBottom w:val="0"/>
              <w:divBdr>
                <w:top w:val="none" w:sz="0" w:space="0" w:color="auto"/>
                <w:left w:val="none" w:sz="0" w:space="0" w:color="auto"/>
                <w:bottom w:val="none" w:sz="0" w:space="0" w:color="auto"/>
                <w:right w:val="none" w:sz="0" w:space="0" w:color="auto"/>
              </w:divBdr>
            </w:div>
          </w:divsChild>
        </w:div>
        <w:div w:id="992292403">
          <w:marLeft w:val="0"/>
          <w:marRight w:val="0"/>
          <w:marTop w:val="0"/>
          <w:marBottom w:val="0"/>
          <w:divBdr>
            <w:top w:val="none" w:sz="0" w:space="0" w:color="auto"/>
            <w:left w:val="none" w:sz="0" w:space="0" w:color="auto"/>
            <w:bottom w:val="none" w:sz="0" w:space="0" w:color="auto"/>
            <w:right w:val="none" w:sz="0" w:space="0" w:color="auto"/>
          </w:divBdr>
          <w:divsChild>
            <w:div w:id="1566144939">
              <w:marLeft w:val="0"/>
              <w:marRight w:val="0"/>
              <w:marTop w:val="0"/>
              <w:marBottom w:val="0"/>
              <w:divBdr>
                <w:top w:val="none" w:sz="0" w:space="0" w:color="auto"/>
                <w:left w:val="none" w:sz="0" w:space="0" w:color="auto"/>
                <w:bottom w:val="none" w:sz="0" w:space="0" w:color="auto"/>
                <w:right w:val="none" w:sz="0" w:space="0" w:color="auto"/>
              </w:divBdr>
            </w:div>
          </w:divsChild>
        </w:div>
        <w:div w:id="1001616080">
          <w:marLeft w:val="0"/>
          <w:marRight w:val="0"/>
          <w:marTop w:val="0"/>
          <w:marBottom w:val="0"/>
          <w:divBdr>
            <w:top w:val="none" w:sz="0" w:space="0" w:color="auto"/>
            <w:left w:val="none" w:sz="0" w:space="0" w:color="auto"/>
            <w:bottom w:val="none" w:sz="0" w:space="0" w:color="auto"/>
            <w:right w:val="none" w:sz="0" w:space="0" w:color="auto"/>
          </w:divBdr>
          <w:divsChild>
            <w:div w:id="1982223634">
              <w:marLeft w:val="0"/>
              <w:marRight w:val="0"/>
              <w:marTop w:val="0"/>
              <w:marBottom w:val="0"/>
              <w:divBdr>
                <w:top w:val="none" w:sz="0" w:space="0" w:color="auto"/>
                <w:left w:val="none" w:sz="0" w:space="0" w:color="auto"/>
                <w:bottom w:val="none" w:sz="0" w:space="0" w:color="auto"/>
                <w:right w:val="none" w:sz="0" w:space="0" w:color="auto"/>
              </w:divBdr>
            </w:div>
          </w:divsChild>
        </w:div>
        <w:div w:id="1008017605">
          <w:marLeft w:val="0"/>
          <w:marRight w:val="0"/>
          <w:marTop w:val="0"/>
          <w:marBottom w:val="0"/>
          <w:divBdr>
            <w:top w:val="none" w:sz="0" w:space="0" w:color="auto"/>
            <w:left w:val="none" w:sz="0" w:space="0" w:color="auto"/>
            <w:bottom w:val="none" w:sz="0" w:space="0" w:color="auto"/>
            <w:right w:val="none" w:sz="0" w:space="0" w:color="auto"/>
          </w:divBdr>
          <w:divsChild>
            <w:div w:id="334306915">
              <w:marLeft w:val="0"/>
              <w:marRight w:val="0"/>
              <w:marTop w:val="0"/>
              <w:marBottom w:val="0"/>
              <w:divBdr>
                <w:top w:val="none" w:sz="0" w:space="0" w:color="auto"/>
                <w:left w:val="none" w:sz="0" w:space="0" w:color="auto"/>
                <w:bottom w:val="none" w:sz="0" w:space="0" w:color="auto"/>
                <w:right w:val="none" w:sz="0" w:space="0" w:color="auto"/>
              </w:divBdr>
            </w:div>
          </w:divsChild>
        </w:div>
        <w:div w:id="1014308644">
          <w:marLeft w:val="0"/>
          <w:marRight w:val="0"/>
          <w:marTop w:val="0"/>
          <w:marBottom w:val="0"/>
          <w:divBdr>
            <w:top w:val="none" w:sz="0" w:space="0" w:color="auto"/>
            <w:left w:val="none" w:sz="0" w:space="0" w:color="auto"/>
            <w:bottom w:val="none" w:sz="0" w:space="0" w:color="auto"/>
            <w:right w:val="none" w:sz="0" w:space="0" w:color="auto"/>
          </w:divBdr>
          <w:divsChild>
            <w:div w:id="1652177222">
              <w:marLeft w:val="0"/>
              <w:marRight w:val="0"/>
              <w:marTop w:val="0"/>
              <w:marBottom w:val="0"/>
              <w:divBdr>
                <w:top w:val="none" w:sz="0" w:space="0" w:color="auto"/>
                <w:left w:val="none" w:sz="0" w:space="0" w:color="auto"/>
                <w:bottom w:val="none" w:sz="0" w:space="0" w:color="auto"/>
                <w:right w:val="none" w:sz="0" w:space="0" w:color="auto"/>
              </w:divBdr>
            </w:div>
          </w:divsChild>
        </w:div>
        <w:div w:id="1025713342">
          <w:marLeft w:val="0"/>
          <w:marRight w:val="0"/>
          <w:marTop w:val="0"/>
          <w:marBottom w:val="0"/>
          <w:divBdr>
            <w:top w:val="none" w:sz="0" w:space="0" w:color="auto"/>
            <w:left w:val="none" w:sz="0" w:space="0" w:color="auto"/>
            <w:bottom w:val="none" w:sz="0" w:space="0" w:color="auto"/>
            <w:right w:val="none" w:sz="0" w:space="0" w:color="auto"/>
          </w:divBdr>
          <w:divsChild>
            <w:div w:id="276060872">
              <w:marLeft w:val="0"/>
              <w:marRight w:val="0"/>
              <w:marTop w:val="0"/>
              <w:marBottom w:val="0"/>
              <w:divBdr>
                <w:top w:val="none" w:sz="0" w:space="0" w:color="auto"/>
                <w:left w:val="none" w:sz="0" w:space="0" w:color="auto"/>
                <w:bottom w:val="none" w:sz="0" w:space="0" w:color="auto"/>
                <w:right w:val="none" w:sz="0" w:space="0" w:color="auto"/>
              </w:divBdr>
            </w:div>
          </w:divsChild>
        </w:div>
        <w:div w:id="1027288859">
          <w:marLeft w:val="0"/>
          <w:marRight w:val="0"/>
          <w:marTop w:val="0"/>
          <w:marBottom w:val="0"/>
          <w:divBdr>
            <w:top w:val="none" w:sz="0" w:space="0" w:color="auto"/>
            <w:left w:val="none" w:sz="0" w:space="0" w:color="auto"/>
            <w:bottom w:val="none" w:sz="0" w:space="0" w:color="auto"/>
            <w:right w:val="none" w:sz="0" w:space="0" w:color="auto"/>
          </w:divBdr>
          <w:divsChild>
            <w:div w:id="1294948717">
              <w:marLeft w:val="0"/>
              <w:marRight w:val="0"/>
              <w:marTop w:val="0"/>
              <w:marBottom w:val="0"/>
              <w:divBdr>
                <w:top w:val="none" w:sz="0" w:space="0" w:color="auto"/>
                <w:left w:val="none" w:sz="0" w:space="0" w:color="auto"/>
                <w:bottom w:val="none" w:sz="0" w:space="0" w:color="auto"/>
                <w:right w:val="none" w:sz="0" w:space="0" w:color="auto"/>
              </w:divBdr>
            </w:div>
          </w:divsChild>
        </w:div>
        <w:div w:id="1028526921">
          <w:marLeft w:val="0"/>
          <w:marRight w:val="0"/>
          <w:marTop w:val="0"/>
          <w:marBottom w:val="0"/>
          <w:divBdr>
            <w:top w:val="none" w:sz="0" w:space="0" w:color="auto"/>
            <w:left w:val="none" w:sz="0" w:space="0" w:color="auto"/>
            <w:bottom w:val="none" w:sz="0" w:space="0" w:color="auto"/>
            <w:right w:val="none" w:sz="0" w:space="0" w:color="auto"/>
          </w:divBdr>
          <w:divsChild>
            <w:div w:id="445807866">
              <w:marLeft w:val="0"/>
              <w:marRight w:val="0"/>
              <w:marTop w:val="0"/>
              <w:marBottom w:val="0"/>
              <w:divBdr>
                <w:top w:val="none" w:sz="0" w:space="0" w:color="auto"/>
                <w:left w:val="none" w:sz="0" w:space="0" w:color="auto"/>
                <w:bottom w:val="none" w:sz="0" w:space="0" w:color="auto"/>
                <w:right w:val="none" w:sz="0" w:space="0" w:color="auto"/>
              </w:divBdr>
            </w:div>
          </w:divsChild>
        </w:div>
        <w:div w:id="1029526892">
          <w:marLeft w:val="0"/>
          <w:marRight w:val="0"/>
          <w:marTop w:val="0"/>
          <w:marBottom w:val="0"/>
          <w:divBdr>
            <w:top w:val="none" w:sz="0" w:space="0" w:color="auto"/>
            <w:left w:val="none" w:sz="0" w:space="0" w:color="auto"/>
            <w:bottom w:val="none" w:sz="0" w:space="0" w:color="auto"/>
            <w:right w:val="none" w:sz="0" w:space="0" w:color="auto"/>
          </w:divBdr>
          <w:divsChild>
            <w:div w:id="1460106653">
              <w:marLeft w:val="0"/>
              <w:marRight w:val="0"/>
              <w:marTop w:val="0"/>
              <w:marBottom w:val="0"/>
              <w:divBdr>
                <w:top w:val="none" w:sz="0" w:space="0" w:color="auto"/>
                <w:left w:val="none" w:sz="0" w:space="0" w:color="auto"/>
                <w:bottom w:val="none" w:sz="0" w:space="0" w:color="auto"/>
                <w:right w:val="none" w:sz="0" w:space="0" w:color="auto"/>
              </w:divBdr>
            </w:div>
          </w:divsChild>
        </w:div>
        <w:div w:id="1041125450">
          <w:marLeft w:val="0"/>
          <w:marRight w:val="0"/>
          <w:marTop w:val="0"/>
          <w:marBottom w:val="0"/>
          <w:divBdr>
            <w:top w:val="none" w:sz="0" w:space="0" w:color="auto"/>
            <w:left w:val="none" w:sz="0" w:space="0" w:color="auto"/>
            <w:bottom w:val="none" w:sz="0" w:space="0" w:color="auto"/>
            <w:right w:val="none" w:sz="0" w:space="0" w:color="auto"/>
          </w:divBdr>
          <w:divsChild>
            <w:div w:id="1314287572">
              <w:marLeft w:val="0"/>
              <w:marRight w:val="0"/>
              <w:marTop w:val="0"/>
              <w:marBottom w:val="0"/>
              <w:divBdr>
                <w:top w:val="none" w:sz="0" w:space="0" w:color="auto"/>
                <w:left w:val="none" w:sz="0" w:space="0" w:color="auto"/>
                <w:bottom w:val="none" w:sz="0" w:space="0" w:color="auto"/>
                <w:right w:val="none" w:sz="0" w:space="0" w:color="auto"/>
              </w:divBdr>
            </w:div>
          </w:divsChild>
        </w:div>
        <w:div w:id="1055619083">
          <w:marLeft w:val="0"/>
          <w:marRight w:val="0"/>
          <w:marTop w:val="0"/>
          <w:marBottom w:val="0"/>
          <w:divBdr>
            <w:top w:val="none" w:sz="0" w:space="0" w:color="auto"/>
            <w:left w:val="none" w:sz="0" w:space="0" w:color="auto"/>
            <w:bottom w:val="none" w:sz="0" w:space="0" w:color="auto"/>
            <w:right w:val="none" w:sz="0" w:space="0" w:color="auto"/>
          </w:divBdr>
          <w:divsChild>
            <w:div w:id="1389918542">
              <w:marLeft w:val="0"/>
              <w:marRight w:val="0"/>
              <w:marTop w:val="0"/>
              <w:marBottom w:val="0"/>
              <w:divBdr>
                <w:top w:val="none" w:sz="0" w:space="0" w:color="auto"/>
                <w:left w:val="none" w:sz="0" w:space="0" w:color="auto"/>
                <w:bottom w:val="none" w:sz="0" w:space="0" w:color="auto"/>
                <w:right w:val="none" w:sz="0" w:space="0" w:color="auto"/>
              </w:divBdr>
            </w:div>
          </w:divsChild>
        </w:div>
        <w:div w:id="1066105910">
          <w:marLeft w:val="0"/>
          <w:marRight w:val="0"/>
          <w:marTop w:val="0"/>
          <w:marBottom w:val="0"/>
          <w:divBdr>
            <w:top w:val="none" w:sz="0" w:space="0" w:color="auto"/>
            <w:left w:val="none" w:sz="0" w:space="0" w:color="auto"/>
            <w:bottom w:val="none" w:sz="0" w:space="0" w:color="auto"/>
            <w:right w:val="none" w:sz="0" w:space="0" w:color="auto"/>
          </w:divBdr>
          <w:divsChild>
            <w:div w:id="1835606146">
              <w:marLeft w:val="0"/>
              <w:marRight w:val="0"/>
              <w:marTop w:val="0"/>
              <w:marBottom w:val="0"/>
              <w:divBdr>
                <w:top w:val="none" w:sz="0" w:space="0" w:color="auto"/>
                <w:left w:val="none" w:sz="0" w:space="0" w:color="auto"/>
                <w:bottom w:val="none" w:sz="0" w:space="0" w:color="auto"/>
                <w:right w:val="none" w:sz="0" w:space="0" w:color="auto"/>
              </w:divBdr>
            </w:div>
          </w:divsChild>
        </w:div>
        <w:div w:id="1070881442">
          <w:marLeft w:val="0"/>
          <w:marRight w:val="0"/>
          <w:marTop w:val="0"/>
          <w:marBottom w:val="0"/>
          <w:divBdr>
            <w:top w:val="none" w:sz="0" w:space="0" w:color="auto"/>
            <w:left w:val="none" w:sz="0" w:space="0" w:color="auto"/>
            <w:bottom w:val="none" w:sz="0" w:space="0" w:color="auto"/>
            <w:right w:val="none" w:sz="0" w:space="0" w:color="auto"/>
          </w:divBdr>
          <w:divsChild>
            <w:div w:id="1498691236">
              <w:marLeft w:val="0"/>
              <w:marRight w:val="0"/>
              <w:marTop w:val="0"/>
              <w:marBottom w:val="0"/>
              <w:divBdr>
                <w:top w:val="none" w:sz="0" w:space="0" w:color="auto"/>
                <w:left w:val="none" w:sz="0" w:space="0" w:color="auto"/>
                <w:bottom w:val="none" w:sz="0" w:space="0" w:color="auto"/>
                <w:right w:val="none" w:sz="0" w:space="0" w:color="auto"/>
              </w:divBdr>
            </w:div>
          </w:divsChild>
        </w:div>
        <w:div w:id="1075779738">
          <w:marLeft w:val="0"/>
          <w:marRight w:val="0"/>
          <w:marTop w:val="0"/>
          <w:marBottom w:val="0"/>
          <w:divBdr>
            <w:top w:val="none" w:sz="0" w:space="0" w:color="auto"/>
            <w:left w:val="none" w:sz="0" w:space="0" w:color="auto"/>
            <w:bottom w:val="none" w:sz="0" w:space="0" w:color="auto"/>
            <w:right w:val="none" w:sz="0" w:space="0" w:color="auto"/>
          </w:divBdr>
          <w:divsChild>
            <w:div w:id="1980529217">
              <w:marLeft w:val="0"/>
              <w:marRight w:val="0"/>
              <w:marTop w:val="0"/>
              <w:marBottom w:val="0"/>
              <w:divBdr>
                <w:top w:val="none" w:sz="0" w:space="0" w:color="auto"/>
                <w:left w:val="none" w:sz="0" w:space="0" w:color="auto"/>
                <w:bottom w:val="none" w:sz="0" w:space="0" w:color="auto"/>
                <w:right w:val="none" w:sz="0" w:space="0" w:color="auto"/>
              </w:divBdr>
            </w:div>
          </w:divsChild>
        </w:div>
        <w:div w:id="1087193837">
          <w:marLeft w:val="0"/>
          <w:marRight w:val="0"/>
          <w:marTop w:val="0"/>
          <w:marBottom w:val="0"/>
          <w:divBdr>
            <w:top w:val="none" w:sz="0" w:space="0" w:color="auto"/>
            <w:left w:val="none" w:sz="0" w:space="0" w:color="auto"/>
            <w:bottom w:val="none" w:sz="0" w:space="0" w:color="auto"/>
            <w:right w:val="none" w:sz="0" w:space="0" w:color="auto"/>
          </w:divBdr>
          <w:divsChild>
            <w:div w:id="485360548">
              <w:marLeft w:val="0"/>
              <w:marRight w:val="0"/>
              <w:marTop w:val="0"/>
              <w:marBottom w:val="0"/>
              <w:divBdr>
                <w:top w:val="none" w:sz="0" w:space="0" w:color="auto"/>
                <w:left w:val="none" w:sz="0" w:space="0" w:color="auto"/>
                <w:bottom w:val="none" w:sz="0" w:space="0" w:color="auto"/>
                <w:right w:val="none" w:sz="0" w:space="0" w:color="auto"/>
              </w:divBdr>
            </w:div>
          </w:divsChild>
        </w:div>
        <w:div w:id="1096294523">
          <w:marLeft w:val="0"/>
          <w:marRight w:val="0"/>
          <w:marTop w:val="0"/>
          <w:marBottom w:val="0"/>
          <w:divBdr>
            <w:top w:val="none" w:sz="0" w:space="0" w:color="auto"/>
            <w:left w:val="none" w:sz="0" w:space="0" w:color="auto"/>
            <w:bottom w:val="none" w:sz="0" w:space="0" w:color="auto"/>
            <w:right w:val="none" w:sz="0" w:space="0" w:color="auto"/>
          </w:divBdr>
          <w:divsChild>
            <w:div w:id="1244222255">
              <w:marLeft w:val="0"/>
              <w:marRight w:val="0"/>
              <w:marTop w:val="0"/>
              <w:marBottom w:val="0"/>
              <w:divBdr>
                <w:top w:val="none" w:sz="0" w:space="0" w:color="auto"/>
                <w:left w:val="none" w:sz="0" w:space="0" w:color="auto"/>
                <w:bottom w:val="none" w:sz="0" w:space="0" w:color="auto"/>
                <w:right w:val="none" w:sz="0" w:space="0" w:color="auto"/>
              </w:divBdr>
            </w:div>
          </w:divsChild>
        </w:div>
        <w:div w:id="1098982262">
          <w:marLeft w:val="0"/>
          <w:marRight w:val="0"/>
          <w:marTop w:val="0"/>
          <w:marBottom w:val="0"/>
          <w:divBdr>
            <w:top w:val="none" w:sz="0" w:space="0" w:color="auto"/>
            <w:left w:val="none" w:sz="0" w:space="0" w:color="auto"/>
            <w:bottom w:val="none" w:sz="0" w:space="0" w:color="auto"/>
            <w:right w:val="none" w:sz="0" w:space="0" w:color="auto"/>
          </w:divBdr>
          <w:divsChild>
            <w:div w:id="1088230810">
              <w:marLeft w:val="0"/>
              <w:marRight w:val="0"/>
              <w:marTop w:val="0"/>
              <w:marBottom w:val="0"/>
              <w:divBdr>
                <w:top w:val="none" w:sz="0" w:space="0" w:color="auto"/>
                <w:left w:val="none" w:sz="0" w:space="0" w:color="auto"/>
                <w:bottom w:val="none" w:sz="0" w:space="0" w:color="auto"/>
                <w:right w:val="none" w:sz="0" w:space="0" w:color="auto"/>
              </w:divBdr>
            </w:div>
          </w:divsChild>
        </w:div>
        <w:div w:id="1100638282">
          <w:marLeft w:val="0"/>
          <w:marRight w:val="0"/>
          <w:marTop w:val="0"/>
          <w:marBottom w:val="0"/>
          <w:divBdr>
            <w:top w:val="none" w:sz="0" w:space="0" w:color="auto"/>
            <w:left w:val="none" w:sz="0" w:space="0" w:color="auto"/>
            <w:bottom w:val="none" w:sz="0" w:space="0" w:color="auto"/>
            <w:right w:val="none" w:sz="0" w:space="0" w:color="auto"/>
          </w:divBdr>
          <w:divsChild>
            <w:div w:id="1550267017">
              <w:marLeft w:val="0"/>
              <w:marRight w:val="0"/>
              <w:marTop w:val="0"/>
              <w:marBottom w:val="0"/>
              <w:divBdr>
                <w:top w:val="none" w:sz="0" w:space="0" w:color="auto"/>
                <w:left w:val="none" w:sz="0" w:space="0" w:color="auto"/>
                <w:bottom w:val="none" w:sz="0" w:space="0" w:color="auto"/>
                <w:right w:val="none" w:sz="0" w:space="0" w:color="auto"/>
              </w:divBdr>
            </w:div>
          </w:divsChild>
        </w:div>
        <w:div w:id="1105426008">
          <w:marLeft w:val="0"/>
          <w:marRight w:val="0"/>
          <w:marTop w:val="0"/>
          <w:marBottom w:val="0"/>
          <w:divBdr>
            <w:top w:val="none" w:sz="0" w:space="0" w:color="auto"/>
            <w:left w:val="none" w:sz="0" w:space="0" w:color="auto"/>
            <w:bottom w:val="none" w:sz="0" w:space="0" w:color="auto"/>
            <w:right w:val="none" w:sz="0" w:space="0" w:color="auto"/>
          </w:divBdr>
          <w:divsChild>
            <w:div w:id="2011129241">
              <w:marLeft w:val="0"/>
              <w:marRight w:val="0"/>
              <w:marTop w:val="0"/>
              <w:marBottom w:val="0"/>
              <w:divBdr>
                <w:top w:val="none" w:sz="0" w:space="0" w:color="auto"/>
                <w:left w:val="none" w:sz="0" w:space="0" w:color="auto"/>
                <w:bottom w:val="none" w:sz="0" w:space="0" w:color="auto"/>
                <w:right w:val="none" w:sz="0" w:space="0" w:color="auto"/>
              </w:divBdr>
            </w:div>
          </w:divsChild>
        </w:div>
        <w:div w:id="1108693330">
          <w:marLeft w:val="0"/>
          <w:marRight w:val="0"/>
          <w:marTop w:val="0"/>
          <w:marBottom w:val="0"/>
          <w:divBdr>
            <w:top w:val="none" w:sz="0" w:space="0" w:color="auto"/>
            <w:left w:val="none" w:sz="0" w:space="0" w:color="auto"/>
            <w:bottom w:val="none" w:sz="0" w:space="0" w:color="auto"/>
            <w:right w:val="none" w:sz="0" w:space="0" w:color="auto"/>
          </w:divBdr>
          <w:divsChild>
            <w:div w:id="1165587212">
              <w:marLeft w:val="0"/>
              <w:marRight w:val="0"/>
              <w:marTop w:val="0"/>
              <w:marBottom w:val="0"/>
              <w:divBdr>
                <w:top w:val="none" w:sz="0" w:space="0" w:color="auto"/>
                <w:left w:val="none" w:sz="0" w:space="0" w:color="auto"/>
                <w:bottom w:val="none" w:sz="0" w:space="0" w:color="auto"/>
                <w:right w:val="none" w:sz="0" w:space="0" w:color="auto"/>
              </w:divBdr>
            </w:div>
          </w:divsChild>
        </w:div>
        <w:div w:id="1151171766">
          <w:marLeft w:val="0"/>
          <w:marRight w:val="0"/>
          <w:marTop w:val="0"/>
          <w:marBottom w:val="0"/>
          <w:divBdr>
            <w:top w:val="none" w:sz="0" w:space="0" w:color="auto"/>
            <w:left w:val="none" w:sz="0" w:space="0" w:color="auto"/>
            <w:bottom w:val="none" w:sz="0" w:space="0" w:color="auto"/>
            <w:right w:val="none" w:sz="0" w:space="0" w:color="auto"/>
          </w:divBdr>
          <w:divsChild>
            <w:div w:id="1968050963">
              <w:marLeft w:val="0"/>
              <w:marRight w:val="0"/>
              <w:marTop w:val="0"/>
              <w:marBottom w:val="0"/>
              <w:divBdr>
                <w:top w:val="none" w:sz="0" w:space="0" w:color="auto"/>
                <w:left w:val="none" w:sz="0" w:space="0" w:color="auto"/>
                <w:bottom w:val="none" w:sz="0" w:space="0" w:color="auto"/>
                <w:right w:val="none" w:sz="0" w:space="0" w:color="auto"/>
              </w:divBdr>
            </w:div>
          </w:divsChild>
        </w:div>
        <w:div w:id="1154031926">
          <w:marLeft w:val="0"/>
          <w:marRight w:val="0"/>
          <w:marTop w:val="0"/>
          <w:marBottom w:val="0"/>
          <w:divBdr>
            <w:top w:val="none" w:sz="0" w:space="0" w:color="auto"/>
            <w:left w:val="none" w:sz="0" w:space="0" w:color="auto"/>
            <w:bottom w:val="none" w:sz="0" w:space="0" w:color="auto"/>
            <w:right w:val="none" w:sz="0" w:space="0" w:color="auto"/>
          </w:divBdr>
          <w:divsChild>
            <w:div w:id="1133866367">
              <w:marLeft w:val="0"/>
              <w:marRight w:val="0"/>
              <w:marTop w:val="0"/>
              <w:marBottom w:val="0"/>
              <w:divBdr>
                <w:top w:val="none" w:sz="0" w:space="0" w:color="auto"/>
                <w:left w:val="none" w:sz="0" w:space="0" w:color="auto"/>
                <w:bottom w:val="none" w:sz="0" w:space="0" w:color="auto"/>
                <w:right w:val="none" w:sz="0" w:space="0" w:color="auto"/>
              </w:divBdr>
            </w:div>
          </w:divsChild>
        </w:div>
        <w:div w:id="1160458889">
          <w:marLeft w:val="0"/>
          <w:marRight w:val="0"/>
          <w:marTop w:val="0"/>
          <w:marBottom w:val="0"/>
          <w:divBdr>
            <w:top w:val="none" w:sz="0" w:space="0" w:color="auto"/>
            <w:left w:val="none" w:sz="0" w:space="0" w:color="auto"/>
            <w:bottom w:val="none" w:sz="0" w:space="0" w:color="auto"/>
            <w:right w:val="none" w:sz="0" w:space="0" w:color="auto"/>
          </w:divBdr>
          <w:divsChild>
            <w:div w:id="130557723">
              <w:marLeft w:val="0"/>
              <w:marRight w:val="0"/>
              <w:marTop w:val="0"/>
              <w:marBottom w:val="0"/>
              <w:divBdr>
                <w:top w:val="none" w:sz="0" w:space="0" w:color="auto"/>
                <w:left w:val="none" w:sz="0" w:space="0" w:color="auto"/>
                <w:bottom w:val="none" w:sz="0" w:space="0" w:color="auto"/>
                <w:right w:val="none" w:sz="0" w:space="0" w:color="auto"/>
              </w:divBdr>
            </w:div>
          </w:divsChild>
        </w:div>
        <w:div w:id="1161429201">
          <w:marLeft w:val="0"/>
          <w:marRight w:val="0"/>
          <w:marTop w:val="0"/>
          <w:marBottom w:val="0"/>
          <w:divBdr>
            <w:top w:val="none" w:sz="0" w:space="0" w:color="auto"/>
            <w:left w:val="none" w:sz="0" w:space="0" w:color="auto"/>
            <w:bottom w:val="none" w:sz="0" w:space="0" w:color="auto"/>
            <w:right w:val="none" w:sz="0" w:space="0" w:color="auto"/>
          </w:divBdr>
          <w:divsChild>
            <w:div w:id="1362705320">
              <w:marLeft w:val="0"/>
              <w:marRight w:val="0"/>
              <w:marTop w:val="0"/>
              <w:marBottom w:val="0"/>
              <w:divBdr>
                <w:top w:val="none" w:sz="0" w:space="0" w:color="auto"/>
                <w:left w:val="none" w:sz="0" w:space="0" w:color="auto"/>
                <w:bottom w:val="none" w:sz="0" w:space="0" w:color="auto"/>
                <w:right w:val="none" w:sz="0" w:space="0" w:color="auto"/>
              </w:divBdr>
            </w:div>
          </w:divsChild>
        </w:div>
        <w:div w:id="1175342551">
          <w:marLeft w:val="0"/>
          <w:marRight w:val="0"/>
          <w:marTop w:val="0"/>
          <w:marBottom w:val="0"/>
          <w:divBdr>
            <w:top w:val="none" w:sz="0" w:space="0" w:color="auto"/>
            <w:left w:val="none" w:sz="0" w:space="0" w:color="auto"/>
            <w:bottom w:val="none" w:sz="0" w:space="0" w:color="auto"/>
            <w:right w:val="none" w:sz="0" w:space="0" w:color="auto"/>
          </w:divBdr>
          <w:divsChild>
            <w:div w:id="1116219620">
              <w:marLeft w:val="0"/>
              <w:marRight w:val="0"/>
              <w:marTop w:val="0"/>
              <w:marBottom w:val="0"/>
              <w:divBdr>
                <w:top w:val="none" w:sz="0" w:space="0" w:color="auto"/>
                <w:left w:val="none" w:sz="0" w:space="0" w:color="auto"/>
                <w:bottom w:val="none" w:sz="0" w:space="0" w:color="auto"/>
                <w:right w:val="none" w:sz="0" w:space="0" w:color="auto"/>
              </w:divBdr>
            </w:div>
          </w:divsChild>
        </w:div>
        <w:div w:id="1185827332">
          <w:marLeft w:val="0"/>
          <w:marRight w:val="0"/>
          <w:marTop w:val="0"/>
          <w:marBottom w:val="0"/>
          <w:divBdr>
            <w:top w:val="none" w:sz="0" w:space="0" w:color="auto"/>
            <w:left w:val="none" w:sz="0" w:space="0" w:color="auto"/>
            <w:bottom w:val="none" w:sz="0" w:space="0" w:color="auto"/>
            <w:right w:val="none" w:sz="0" w:space="0" w:color="auto"/>
          </w:divBdr>
          <w:divsChild>
            <w:div w:id="1562868196">
              <w:marLeft w:val="0"/>
              <w:marRight w:val="0"/>
              <w:marTop w:val="0"/>
              <w:marBottom w:val="0"/>
              <w:divBdr>
                <w:top w:val="none" w:sz="0" w:space="0" w:color="auto"/>
                <w:left w:val="none" w:sz="0" w:space="0" w:color="auto"/>
                <w:bottom w:val="none" w:sz="0" w:space="0" w:color="auto"/>
                <w:right w:val="none" w:sz="0" w:space="0" w:color="auto"/>
              </w:divBdr>
            </w:div>
          </w:divsChild>
        </w:div>
        <w:div w:id="1186752382">
          <w:marLeft w:val="0"/>
          <w:marRight w:val="0"/>
          <w:marTop w:val="0"/>
          <w:marBottom w:val="0"/>
          <w:divBdr>
            <w:top w:val="none" w:sz="0" w:space="0" w:color="auto"/>
            <w:left w:val="none" w:sz="0" w:space="0" w:color="auto"/>
            <w:bottom w:val="none" w:sz="0" w:space="0" w:color="auto"/>
            <w:right w:val="none" w:sz="0" w:space="0" w:color="auto"/>
          </w:divBdr>
          <w:divsChild>
            <w:div w:id="199325359">
              <w:marLeft w:val="0"/>
              <w:marRight w:val="0"/>
              <w:marTop w:val="0"/>
              <w:marBottom w:val="0"/>
              <w:divBdr>
                <w:top w:val="none" w:sz="0" w:space="0" w:color="auto"/>
                <w:left w:val="none" w:sz="0" w:space="0" w:color="auto"/>
                <w:bottom w:val="none" w:sz="0" w:space="0" w:color="auto"/>
                <w:right w:val="none" w:sz="0" w:space="0" w:color="auto"/>
              </w:divBdr>
            </w:div>
          </w:divsChild>
        </w:div>
        <w:div w:id="1187786931">
          <w:marLeft w:val="0"/>
          <w:marRight w:val="0"/>
          <w:marTop w:val="0"/>
          <w:marBottom w:val="0"/>
          <w:divBdr>
            <w:top w:val="none" w:sz="0" w:space="0" w:color="auto"/>
            <w:left w:val="none" w:sz="0" w:space="0" w:color="auto"/>
            <w:bottom w:val="none" w:sz="0" w:space="0" w:color="auto"/>
            <w:right w:val="none" w:sz="0" w:space="0" w:color="auto"/>
          </w:divBdr>
          <w:divsChild>
            <w:div w:id="355473491">
              <w:marLeft w:val="0"/>
              <w:marRight w:val="0"/>
              <w:marTop w:val="0"/>
              <w:marBottom w:val="0"/>
              <w:divBdr>
                <w:top w:val="none" w:sz="0" w:space="0" w:color="auto"/>
                <w:left w:val="none" w:sz="0" w:space="0" w:color="auto"/>
                <w:bottom w:val="none" w:sz="0" w:space="0" w:color="auto"/>
                <w:right w:val="none" w:sz="0" w:space="0" w:color="auto"/>
              </w:divBdr>
            </w:div>
          </w:divsChild>
        </w:div>
        <w:div w:id="1193222840">
          <w:marLeft w:val="0"/>
          <w:marRight w:val="0"/>
          <w:marTop w:val="0"/>
          <w:marBottom w:val="0"/>
          <w:divBdr>
            <w:top w:val="none" w:sz="0" w:space="0" w:color="auto"/>
            <w:left w:val="none" w:sz="0" w:space="0" w:color="auto"/>
            <w:bottom w:val="none" w:sz="0" w:space="0" w:color="auto"/>
            <w:right w:val="none" w:sz="0" w:space="0" w:color="auto"/>
          </w:divBdr>
          <w:divsChild>
            <w:div w:id="1921674756">
              <w:marLeft w:val="0"/>
              <w:marRight w:val="0"/>
              <w:marTop w:val="0"/>
              <w:marBottom w:val="0"/>
              <w:divBdr>
                <w:top w:val="none" w:sz="0" w:space="0" w:color="auto"/>
                <w:left w:val="none" w:sz="0" w:space="0" w:color="auto"/>
                <w:bottom w:val="none" w:sz="0" w:space="0" w:color="auto"/>
                <w:right w:val="none" w:sz="0" w:space="0" w:color="auto"/>
              </w:divBdr>
            </w:div>
          </w:divsChild>
        </w:div>
        <w:div w:id="1198810268">
          <w:marLeft w:val="0"/>
          <w:marRight w:val="0"/>
          <w:marTop w:val="0"/>
          <w:marBottom w:val="0"/>
          <w:divBdr>
            <w:top w:val="none" w:sz="0" w:space="0" w:color="auto"/>
            <w:left w:val="none" w:sz="0" w:space="0" w:color="auto"/>
            <w:bottom w:val="none" w:sz="0" w:space="0" w:color="auto"/>
            <w:right w:val="none" w:sz="0" w:space="0" w:color="auto"/>
          </w:divBdr>
          <w:divsChild>
            <w:div w:id="1980652122">
              <w:marLeft w:val="0"/>
              <w:marRight w:val="0"/>
              <w:marTop w:val="0"/>
              <w:marBottom w:val="0"/>
              <w:divBdr>
                <w:top w:val="none" w:sz="0" w:space="0" w:color="auto"/>
                <w:left w:val="none" w:sz="0" w:space="0" w:color="auto"/>
                <w:bottom w:val="none" w:sz="0" w:space="0" w:color="auto"/>
                <w:right w:val="none" w:sz="0" w:space="0" w:color="auto"/>
              </w:divBdr>
            </w:div>
          </w:divsChild>
        </w:div>
        <w:div w:id="1202783259">
          <w:marLeft w:val="0"/>
          <w:marRight w:val="0"/>
          <w:marTop w:val="0"/>
          <w:marBottom w:val="0"/>
          <w:divBdr>
            <w:top w:val="none" w:sz="0" w:space="0" w:color="auto"/>
            <w:left w:val="none" w:sz="0" w:space="0" w:color="auto"/>
            <w:bottom w:val="none" w:sz="0" w:space="0" w:color="auto"/>
            <w:right w:val="none" w:sz="0" w:space="0" w:color="auto"/>
          </w:divBdr>
          <w:divsChild>
            <w:div w:id="541212478">
              <w:marLeft w:val="0"/>
              <w:marRight w:val="0"/>
              <w:marTop w:val="0"/>
              <w:marBottom w:val="0"/>
              <w:divBdr>
                <w:top w:val="none" w:sz="0" w:space="0" w:color="auto"/>
                <w:left w:val="none" w:sz="0" w:space="0" w:color="auto"/>
                <w:bottom w:val="none" w:sz="0" w:space="0" w:color="auto"/>
                <w:right w:val="none" w:sz="0" w:space="0" w:color="auto"/>
              </w:divBdr>
            </w:div>
          </w:divsChild>
        </w:div>
        <w:div w:id="1204367541">
          <w:marLeft w:val="0"/>
          <w:marRight w:val="0"/>
          <w:marTop w:val="0"/>
          <w:marBottom w:val="0"/>
          <w:divBdr>
            <w:top w:val="none" w:sz="0" w:space="0" w:color="auto"/>
            <w:left w:val="none" w:sz="0" w:space="0" w:color="auto"/>
            <w:bottom w:val="none" w:sz="0" w:space="0" w:color="auto"/>
            <w:right w:val="none" w:sz="0" w:space="0" w:color="auto"/>
          </w:divBdr>
          <w:divsChild>
            <w:div w:id="400836908">
              <w:marLeft w:val="0"/>
              <w:marRight w:val="0"/>
              <w:marTop w:val="0"/>
              <w:marBottom w:val="0"/>
              <w:divBdr>
                <w:top w:val="none" w:sz="0" w:space="0" w:color="auto"/>
                <w:left w:val="none" w:sz="0" w:space="0" w:color="auto"/>
                <w:bottom w:val="none" w:sz="0" w:space="0" w:color="auto"/>
                <w:right w:val="none" w:sz="0" w:space="0" w:color="auto"/>
              </w:divBdr>
            </w:div>
          </w:divsChild>
        </w:div>
        <w:div w:id="1205945188">
          <w:marLeft w:val="0"/>
          <w:marRight w:val="0"/>
          <w:marTop w:val="0"/>
          <w:marBottom w:val="0"/>
          <w:divBdr>
            <w:top w:val="none" w:sz="0" w:space="0" w:color="auto"/>
            <w:left w:val="none" w:sz="0" w:space="0" w:color="auto"/>
            <w:bottom w:val="none" w:sz="0" w:space="0" w:color="auto"/>
            <w:right w:val="none" w:sz="0" w:space="0" w:color="auto"/>
          </w:divBdr>
          <w:divsChild>
            <w:div w:id="1061489860">
              <w:marLeft w:val="0"/>
              <w:marRight w:val="0"/>
              <w:marTop w:val="0"/>
              <w:marBottom w:val="0"/>
              <w:divBdr>
                <w:top w:val="none" w:sz="0" w:space="0" w:color="auto"/>
                <w:left w:val="none" w:sz="0" w:space="0" w:color="auto"/>
                <w:bottom w:val="none" w:sz="0" w:space="0" w:color="auto"/>
                <w:right w:val="none" w:sz="0" w:space="0" w:color="auto"/>
              </w:divBdr>
            </w:div>
          </w:divsChild>
        </w:div>
        <w:div w:id="1225412719">
          <w:marLeft w:val="0"/>
          <w:marRight w:val="0"/>
          <w:marTop w:val="0"/>
          <w:marBottom w:val="0"/>
          <w:divBdr>
            <w:top w:val="none" w:sz="0" w:space="0" w:color="auto"/>
            <w:left w:val="none" w:sz="0" w:space="0" w:color="auto"/>
            <w:bottom w:val="none" w:sz="0" w:space="0" w:color="auto"/>
            <w:right w:val="none" w:sz="0" w:space="0" w:color="auto"/>
          </w:divBdr>
          <w:divsChild>
            <w:div w:id="1311714889">
              <w:marLeft w:val="0"/>
              <w:marRight w:val="0"/>
              <w:marTop w:val="0"/>
              <w:marBottom w:val="0"/>
              <w:divBdr>
                <w:top w:val="none" w:sz="0" w:space="0" w:color="auto"/>
                <w:left w:val="none" w:sz="0" w:space="0" w:color="auto"/>
                <w:bottom w:val="none" w:sz="0" w:space="0" w:color="auto"/>
                <w:right w:val="none" w:sz="0" w:space="0" w:color="auto"/>
              </w:divBdr>
            </w:div>
          </w:divsChild>
        </w:div>
        <w:div w:id="1237978905">
          <w:marLeft w:val="0"/>
          <w:marRight w:val="0"/>
          <w:marTop w:val="0"/>
          <w:marBottom w:val="0"/>
          <w:divBdr>
            <w:top w:val="none" w:sz="0" w:space="0" w:color="auto"/>
            <w:left w:val="none" w:sz="0" w:space="0" w:color="auto"/>
            <w:bottom w:val="none" w:sz="0" w:space="0" w:color="auto"/>
            <w:right w:val="none" w:sz="0" w:space="0" w:color="auto"/>
          </w:divBdr>
          <w:divsChild>
            <w:div w:id="1718354292">
              <w:marLeft w:val="0"/>
              <w:marRight w:val="0"/>
              <w:marTop w:val="0"/>
              <w:marBottom w:val="0"/>
              <w:divBdr>
                <w:top w:val="none" w:sz="0" w:space="0" w:color="auto"/>
                <w:left w:val="none" w:sz="0" w:space="0" w:color="auto"/>
                <w:bottom w:val="none" w:sz="0" w:space="0" w:color="auto"/>
                <w:right w:val="none" w:sz="0" w:space="0" w:color="auto"/>
              </w:divBdr>
            </w:div>
          </w:divsChild>
        </w:div>
        <w:div w:id="1242249559">
          <w:marLeft w:val="0"/>
          <w:marRight w:val="0"/>
          <w:marTop w:val="0"/>
          <w:marBottom w:val="0"/>
          <w:divBdr>
            <w:top w:val="none" w:sz="0" w:space="0" w:color="auto"/>
            <w:left w:val="none" w:sz="0" w:space="0" w:color="auto"/>
            <w:bottom w:val="none" w:sz="0" w:space="0" w:color="auto"/>
            <w:right w:val="none" w:sz="0" w:space="0" w:color="auto"/>
          </w:divBdr>
          <w:divsChild>
            <w:div w:id="1773434476">
              <w:marLeft w:val="0"/>
              <w:marRight w:val="0"/>
              <w:marTop w:val="0"/>
              <w:marBottom w:val="0"/>
              <w:divBdr>
                <w:top w:val="none" w:sz="0" w:space="0" w:color="auto"/>
                <w:left w:val="none" w:sz="0" w:space="0" w:color="auto"/>
                <w:bottom w:val="none" w:sz="0" w:space="0" w:color="auto"/>
                <w:right w:val="none" w:sz="0" w:space="0" w:color="auto"/>
              </w:divBdr>
            </w:div>
          </w:divsChild>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677269878">
              <w:marLeft w:val="0"/>
              <w:marRight w:val="0"/>
              <w:marTop w:val="0"/>
              <w:marBottom w:val="0"/>
              <w:divBdr>
                <w:top w:val="none" w:sz="0" w:space="0" w:color="auto"/>
                <w:left w:val="none" w:sz="0" w:space="0" w:color="auto"/>
                <w:bottom w:val="none" w:sz="0" w:space="0" w:color="auto"/>
                <w:right w:val="none" w:sz="0" w:space="0" w:color="auto"/>
              </w:divBdr>
            </w:div>
          </w:divsChild>
        </w:div>
        <w:div w:id="1254051668">
          <w:marLeft w:val="0"/>
          <w:marRight w:val="0"/>
          <w:marTop w:val="0"/>
          <w:marBottom w:val="0"/>
          <w:divBdr>
            <w:top w:val="none" w:sz="0" w:space="0" w:color="auto"/>
            <w:left w:val="none" w:sz="0" w:space="0" w:color="auto"/>
            <w:bottom w:val="none" w:sz="0" w:space="0" w:color="auto"/>
            <w:right w:val="none" w:sz="0" w:space="0" w:color="auto"/>
          </w:divBdr>
          <w:divsChild>
            <w:div w:id="1340542468">
              <w:marLeft w:val="0"/>
              <w:marRight w:val="0"/>
              <w:marTop w:val="0"/>
              <w:marBottom w:val="0"/>
              <w:divBdr>
                <w:top w:val="none" w:sz="0" w:space="0" w:color="auto"/>
                <w:left w:val="none" w:sz="0" w:space="0" w:color="auto"/>
                <w:bottom w:val="none" w:sz="0" w:space="0" w:color="auto"/>
                <w:right w:val="none" w:sz="0" w:space="0" w:color="auto"/>
              </w:divBdr>
            </w:div>
          </w:divsChild>
        </w:div>
        <w:div w:id="1270822163">
          <w:marLeft w:val="0"/>
          <w:marRight w:val="0"/>
          <w:marTop w:val="0"/>
          <w:marBottom w:val="0"/>
          <w:divBdr>
            <w:top w:val="none" w:sz="0" w:space="0" w:color="auto"/>
            <w:left w:val="none" w:sz="0" w:space="0" w:color="auto"/>
            <w:bottom w:val="none" w:sz="0" w:space="0" w:color="auto"/>
            <w:right w:val="none" w:sz="0" w:space="0" w:color="auto"/>
          </w:divBdr>
          <w:divsChild>
            <w:div w:id="1234045324">
              <w:marLeft w:val="0"/>
              <w:marRight w:val="0"/>
              <w:marTop w:val="0"/>
              <w:marBottom w:val="0"/>
              <w:divBdr>
                <w:top w:val="none" w:sz="0" w:space="0" w:color="auto"/>
                <w:left w:val="none" w:sz="0" w:space="0" w:color="auto"/>
                <w:bottom w:val="none" w:sz="0" w:space="0" w:color="auto"/>
                <w:right w:val="none" w:sz="0" w:space="0" w:color="auto"/>
              </w:divBdr>
            </w:div>
          </w:divsChild>
        </w:div>
        <w:div w:id="1276520099">
          <w:marLeft w:val="0"/>
          <w:marRight w:val="0"/>
          <w:marTop w:val="0"/>
          <w:marBottom w:val="0"/>
          <w:divBdr>
            <w:top w:val="none" w:sz="0" w:space="0" w:color="auto"/>
            <w:left w:val="none" w:sz="0" w:space="0" w:color="auto"/>
            <w:bottom w:val="none" w:sz="0" w:space="0" w:color="auto"/>
            <w:right w:val="none" w:sz="0" w:space="0" w:color="auto"/>
          </w:divBdr>
          <w:divsChild>
            <w:div w:id="1276712013">
              <w:marLeft w:val="0"/>
              <w:marRight w:val="0"/>
              <w:marTop w:val="0"/>
              <w:marBottom w:val="0"/>
              <w:divBdr>
                <w:top w:val="none" w:sz="0" w:space="0" w:color="auto"/>
                <w:left w:val="none" w:sz="0" w:space="0" w:color="auto"/>
                <w:bottom w:val="none" w:sz="0" w:space="0" w:color="auto"/>
                <w:right w:val="none" w:sz="0" w:space="0" w:color="auto"/>
              </w:divBdr>
            </w:div>
          </w:divsChild>
        </w:div>
        <w:div w:id="1285306455">
          <w:marLeft w:val="0"/>
          <w:marRight w:val="0"/>
          <w:marTop w:val="0"/>
          <w:marBottom w:val="0"/>
          <w:divBdr>
            <w:top w:val="none" w:sz="0" w:space="0" w:color="auto"/>
            <w:left w:val="none" w:sz="0" w:space="0" w:color="auto"/>
            <w:bottom w:val="none" w:sz="0" w:space="0" w:color="auto"/>
            <w:right w:val="none" w:sz="0" w:space="0" w:color="auto"/>
          </w:divBdr>
          <w:divsChild>
            <w:div w:id="1002510376">
              <w:marLeft w:val="0"/>
              <w:marRight w:val="0"/>
              <w:marTop w:val="0"/>
              <w:marBottom w:val="0"/>
              <w:divBdr>
                <w:top w:val="none" w:sz="0" w:space="0" w:color="auto"/>
                <w:left w:val="none" w:sz="0" w:space="0" w:color="auto"/>
                <w:bottom w:val="none" w:sz="0" w:space="0" w:color="auto"/>
                <w:right w:val="none" w:sz="0" w:space="0" w:color="auto"/>
              </w:divBdr>
            </w:div>
          </w:divsChild>
        </w:div>
        <w:div w:id="1296985239">
          <w:marLeft w:val="0"/>
          <w:marRight w:val="0"/>
          <w:marTop w:val="0"/>
          <w:marBottom w:val="0"/>
          <w:divBdr>
            <w:top w:val="none" w:sz="0" w:space="0" w:color="auto"/>
            <w:left w:val="none" w:sz="0" w:space="0" w:color="auto"/>
            <w:bottom w:val="none" w:sz="0" w:space="0" w:color="auto"/>
            <w:right w:val="none" w:sz="0" w:space="0" w:color="auto"/>
          </w:divBdr>
          <w:divsChild>
            <w:div w:id="990250507">
              <w:marLeft w:val="0"/>
              <w:marRight w:val="0"/>
              <w:marTop w:val="0"/>
              <w:marBottom w:val="0"/>
              <w:divBdr>
                <w:top w:val="none" w:sz="0" w:space="0" w:color="auto"/>
                <w:left w:val="none" w:sz="0" w:space="0" w:color="auto"/>
                <w:bottom w:val="none" w:sz="0" w:space="0" w:color="auto"/>
                <w:right w:val="none" w:sz="0" w:space="0" w:color="auto"/>
              </w:divBdr>
            </w:div>
          </w:divsChild>
        </w:div>
        <w:div w:id="1299215735">
          <w:marLeft w:val="0"/>
          <w:marRight w:val="0"/>
          <w:marTop w:val="0"/>
          <w:marBottom w:val="0"/>
          <w:divBdr>
            <w:top w:val="none" w:sz="0" w:space="0" w:color="auto"/>
            <w:left w:val="none" w:sz="0" w:space="0" w:color="auto"/>
            <w:bottom w:val="none" w:sz="0" w:space="0" w:color="auto"/>
            <w:right w:val="none" w:sz="0" w:space="0" w:color="auto"/>
          </w:divBdr>
          <w:divsChild>
            <w:div w:id="968316072">
              <w:marLeft w:val="0"/>
              <w:marRight w:val="0"/>
              <w:marTop w:val="0"/>
              <w:marBottom w:val="0"/>
              <w:divBdr>
                <w:top w:val="none" w:sz="0" w:space="0" w:color="auto"/>
                <w:left w:val="none" w:sz="0" w:space="0" w:color="auto"/>
                <w:bottom w:val="none" w:sz="0" w:space="0" w:color="auto"/>
                <w:right w:val="none" w:sz="0" w:space="0" w:color="auto"/>
              </w:divBdr>
            </w:div>
          </w:divsChild>
        </w:div>
        <w:div w:id="1302270782">
          <w:marLeft w:val="0"/>
          <w:marRight w:val="0"/>
          <w:marTop w:val="0"/>
          <w:marBottom w:val="0"/>
          <w:divBdr>
            <w:top w:val="none" w:sz="0" w:space="0" w:color="auto"/>
            <w:left w:val="none" w:sz="0" w:space="0" w:color="auto"/>
            <w:bottom w:val="none" w:sz="0" w:space="0" w:color="auto"/>
            <w:right w:val="none" w:sz="0" w:space="0" w:color="auto"/>
          </w:divBdr>
          <w:divsChild>
            <w:div w:id="148403537">
              <w:marLeft w:val="0"/>
              <w:marRight w:val="0"/>
              <w:marTop w:val="0"/>
              <w:marBottom w:val="0"/>
              <w:divBdr>
                <w:top w:val="none" w:sz="0" w:space="0" w:color="auto"/>
                <w:left w:val="none" w:sz="0" w:space="0" w:color="auto"/>
                <w:bottom w:val="none" w:sz="0" w:space="0" w:color="auto"/>
                <w:right w:val="none" w:sz="0" w:space="0" w:color="auto"/>
              </w:divBdr>
            </w:div>
          </w:divsChild>
        </w:div>
        <w:div w:id="1307781693">
          <w:marLeft w:val="0"/>
          <w:marRight w:val="0"/>
          <w:marTop w:val="0"/>
          <w:marBottom w:val="0"/>
          <w:divBdr>
            <w:top w:val="none" w:sz="0" w:space="0" w:color="auto"/>
            <w:left w:val="none" w:sz="0" w:space="0" w:color="auto"/>
            <w:bottom w:val="none" w:sz="0" w:space="0" w:color="auto"/>
            <w:right w:val="none" w:sz="0" w:space="0" w:color="auto"/>
          </w:divBdr>
          <w:divsChild>
            <w:div w:id="1554657455">
              <w:marLeft w:val="0"/>
              <w:marRight w:val="0"/>
              <w:marTop w:val="0"/>
              <w:marBottom w:val="0"/>
              <w:divBdr>
                <w:top w:val="none" w:sz="0" w:space="0" w:color="auto"/>
                <w:left w:val="none" w:sz="0" w:space="0" w:color="auto"/>
                <w:bottom w:val="none" w:sz="0" w:space="0" w:color="auto"/>
                <w:right w:val="none" w:sz="0" w:space="0" w:color="auto"/>
              </w:divBdr>
            </w:div>
          </w:divsChild>
        </w:div>
        <w:div w:id="1312323263">
          <w:marLeft w:val="0"/>
          <w:marRight w:val="0"/>
          <w:marTop w:val="0"/>
          <w:marBottom w:val="0"/>
          <w:divBdr>
            <w:top w:val="none" w:sz="0" w:space="0" w:color="auto"/>
            <w:left w:val="none" w:sz="0" w:space="0" w:color="auto"/>
            <w:bottom w:val="none" w:sz="0" w:space="0" w:color="auto"/>
            <w:right w:val="none" w:sz="0" w:space="0" w:color="auto"/>
          </w:divBdr>
          <w:divsChild>
            <w:div w:id="331490749">
              <w:marLeft w:val="0"/>
              <w:marRight w:val="0"/>
              <w:marTop w:val="0"/>
              <w:marBottom w:val="0"/>
              <w:divBdr>
                <w:top w:val="none" w:sz="0" w:space="0" w:color="auto"/>
                <w:left w:val="none" w:sz="0" w:space="0" w:color="auto"/>
                <w:bottom w:val="none" w:sz="0" w:space="0" w:color="auto"/>
                <w:right w:val="none" w:sz="0" w:space="0" w:color="auto"/>
              </w:divBdr>
            </w:div>
          </w:divsChild>
        </w:div>
        <w:div w:id="1319727829">
          <w:marLeft w:val="0"/>
          <w:marRight w:val="0"/>
          <w:marTop w:val="0"/>
          <w:marBottom w:val="0"/>
          <w:divBdr>
            <w:top w:val="none" w:sz="0" w:space="0" w:color="auto"/>
            <w:left w:val="none" w:sz="0" w:space="0" w:color="auto"/>
            <w:bottom w:val="none" w:sz="0" w:space="0" w:color="auto"/>
            <w:right w:val="none" w:sz="0" w:space="0" w:color="auto"/>
          </w:divBdr>
          <w:divsChild>
            <w:div w:id="1223755018">
              <w:marLeft w:val="0"/>
              <w:marRight w:val="0"/>
              <w:marTop w:val="0"/>
              <w:marBottom w:val="0"/>
              <w:divBdr>
                <w:top w:val="none" w:sz="0" w:space="0" w:color="auto"/>
                <w:left w:val="none" w:sz="0" w:space="0" w:color="auto"/>
                <w:bottom w:val="none" w:sz="0" w:space="0" w:color="auto"/>
                <w:right w:val="none" w:sz="0" w:space="0" w:color="auto"/>
              </w:divBdr>
            </w:div>
          </w:divsChild>
        </w:div>
        <w:div w:id="1326517618">
          <w:marLeft w:val="0"/>
          <w:marRight w:val="0"/>
          <w:marTop w:val="0"/>
          <w:marBottom w:val="0"/>
          <w:divBdr>
            <w:top w:val="none" w:sz="0" w:space="0" w:color="auto"/>
            <w:left w:val="none" w:sz="0" w:space="0" w:color="auto"/>
            <w:bottom w:val="none" w:sz="0" w:space="0" w:color="auto"/>
            <w:right w:val="none" w:sz="0" w:space="0" w:color="auto"/>
          </w:divBdr>
          <w:divsChild>
            <w:div w:id="1583224802">
              <w:marLeft w:val="0"/>
              <w:marRight w:val="0"/>
              <w:marTop w:val="0"/>
              <w:marBottom w:val="0"/>
              <w:divBdr>
                <w:top w:val="none" w:sz="0" w:space="0" w:color="auto"/>
                <w:left w:val="none" w:sz="0" w:space="0" w:color="auto"/>
                <w:bottom w:val="none" w:sz="0" w:space="0" w:color="auto"/>
                <w:right w:val="none" w:sz="0" w:space="0" w:color="auto"/>
              </w:divBdr>
            </w:div>
          </w:divsChild>
        </w:div>
        <w:div w:id="1342121502">
          <w:marLeft w:val="0"/>
          <w:marRight w:val="0"/>
          <w:marTop w:val="0"/>
          <w:marBottom w:val="0"/>
          <w:divBdr>
            <w:top w:val="none" w:sz="0" w:space="0" w:color="auto"/>
            <w:left w:val="none" w:sz="0" w:space="0" w:color="auto"/>
            <w:bottom w:val="none" w:sz="0" w:space="0" w:color="auto"/>
            <w:right w:val="none" w:sz="0" w:space="0" w:color="auto"/>
          </w:divBdr>
          <w:divsChild>
            <w:div w:id="1997032302">
              <w:marLeft w:val="0"/>
              <w:marRight w:val="0"/>
              <w:marTop w:val="0"/>
              <w:marBottom w:val="0"/>
              <w:divBdr>
                <w:top w:val="none" w:sz="0" w:space="0" w:color="auto"/>
                <w:left w:val="none" w:sz="0" w:space="0" w:color="auto"/>
                <w:bottom w:val="none" w:sz="0" w:space="0" w:color="auto"/>
                <w:right w:val="none" w:sz="0" w:space="0" w:color="auto"/>
              </w:divBdr>
            </w:div>
          </w:divsChild>
        </w:div>
        <w:div w:id="1346906574">
          <w:marLeft w:val="0"/>
          <w:marRight w:val="0"/>
          <w:marTop w:val="0"/>
          <w:marBottom w:val="0"/>
          <w:divBdr>
            <w:top w:val="none" w:sz="0" w:space="0" w:color="auto"/>
            <w:left w:val="none" w:sz="0" w:space="0" w:color="auto"/>
            <w:bottom w:val="none" w:sz="0" w:space="0" w:color="auto"/>
            <w:right w:val="none" w:sz="0" w:space="0" w:color="auto"/>
          </w:divBdr>
          <w:divsChild>
            <w:div w:id="1331373711">
              <w:marLeft w:val="0"/>
              <w:marRight w:val="0"/>
              <w:marTop w:val="0"/>
              <w:marBottom w:val="0"/>
              <w:divBdr>
                <w:top w:val="none" w:sz="0" w:space="0" w:color="auto"/>
                <w:left w:val="none" w:sz="0" w:space="0" w:color="auto"/>
                <w:bottom w:val="none" w:sz="0" w:space="0" w:color="auto"/>
                <w:right w:val="none" w:sz="0" w:space="0" w:color="auto"/>
              </w:divBdr>
            </w:div>
          </w:divsChild>
        </w:div>
        <w:div w:id="1350641870">
          <w:marLeft w:val="0"/>
          <w:marRight w:val="0"/>
          <w:marTop w:val="0"/>
          <w:marBottom w:val="0"/>
          <w:divBdr>
            <w:top w:val="none" w:sz="0" w:space="0" w:color="auto"/>
            <w:left w:val="none" w:sz="0" w:space="0" w:color="auto"/>
            <w:bottom w:val="none" w:sz="0" w:space="0" w:color="auto"/>
            <w:right w:val="none" w:sz="0" w:space="0" w:color="auto"/>
          </w:divBdr>
          <w:divsChild>
            <w:div w:id="1584139961">
              <w:marLeft w:val="0"/>
              <w:marRight w:val="0"/>
              <w:marTop w:val="0"/>
              <w:marBottom w:val="0"/>
              <w:divBdr>
                <w:top w:val="none" w:sz="0" w:space="0" w:color="auto"/>
                <w:left w:val="none" w:sz="0" w:space="0" w:color="auto"/>
                <w:bottom w:val="none" w:sz="0" w:space="0" w:color="auto"/>
                <w:right w:val="none" w:sz="0" w:space="0" w:color="auto"/>
              </w:divBdr>
            </w:div>
          </w:divsChild>
        </w:div>
        <w:div w:id="1355575243">
          <w:marLeft w:val="0"/>
          <w:marRight w:val="0"/>
          <w:marTop w:val="0"/>
          <w:marBottom w:val="0"/>
          <w:divBdr>
            <w:top w:val="none" w:sz="0" w:space="0" w:color="auto"/>
            <w:left w:val="none" w:sz="0" w:space="0" w:color="auto"/>
            <w:bottom w:val="none" w:sz="0" w:space="0" w:color="auto"/>
            <w:right w:val="none" w:sz="0" w:space="0" w:color="auto"/>
          </w:divBdr>
          <w:divsChild>
            <w:div w:id="1725134328">
              <w:marLeft w:val="0"/>
              <w:marRight w:val="0"/>
              <w:marTop w:val="0"/>
              <w:marBottom w:val="0"/>
              <w:divBdr>
                <w:top w:val="none" w:sz="0" w:space="0" w:color="auto"/>
                <w:left w:val="none" w:sz="0" w:space="0" w:color="auto"/>
                <w:bottom w:val="none" w:sz="0" w:space="0" w:color="auto"/>
                <w:right w:val="none" w:sz="0" w:space="0" w:color="auto"/>
              </w:divBdr>
            </w:div>
          </w:divsChild>
        </w:div>
        <w:div w:id="1355691333">
          <w:marLeft w:val="0"/>
          <w:marRight w:val="0"/>
          <w:marTop w:val="0"/>
          <w:marBottom w:val="0"/>
          <w:divBdr>
            <w:top w:val="none" w:sz="0" w:space="0" w:color="auto"/>
            <w:left w:val="none" w:sz="0" w:space="0" w:color="auto"/>
            <w:bottom w:val="none" w:sz="0" w:space="0" w:color="auto"/>
            <w:right w:val="none" w:sz="0" w:space="0" w:color="auto"/>
          </w:divBdr>
          <w:divsChild>
            <w:div w:id="1792240803">
              <w:marLeft w:val="0"/>
              <w:marRight w:val="0"/>
              <w:marTop w:val="0"/>
              <w:marBottom w:val="0"/>
              <w:divBdr>
                <w:top w:val="none" w:sz="0" w:space="0" w:color="auto"/>
                <w:left w:val="none" w:sz="0" w:space="0" w:color="auto"/>
                <w:bottom w:val="none" w:sz="0" w:space="0" w:color="auto"/>
                <w:right w:val="none" w:sz="0" w:space="0" w:color="auto"/>
              </w:divBdr>
            </w:div>
          </w:divsChild>
        </w:div>
        <w:div w:id="1382364304">
          <w:marLeft w:val="0"/>
          <w:marRight w:val="0"/>
          <w:marTop w:val="0"/>
          <w:marBottom w:val="0"/>
          <w:divBdr>
            <w:top w:val="none" w:sz="0" w:space="0" w:color="auto"/>
            <w:left w:val="none" w:sz="0" w:space="0" w:color="auto"/>
            <w:bottom w:val="none" w:sz="0" w:space="0" w:color="auto"/>
            <w:right w:val="none" w:sz="0" w:space="0" w:color="auto"/>
          </w:divBdr>
          <w:divsChild>
            <w:div w:id="361321497">
              <w:marLeft w:val="0"/>
              <w:marRight w:val="0"/>
              <w:marTop w:val="0"/>
              <w:marBottom w:val="0"/>
              <w:divBdr>
                <w:top w:val="none" w:sz="0" w:space="0" w:color="auto"/>
                <w:left w:val="none" w:sz="0" w:space="0" w:color="auto"/>
                <w:bottom w:val="none" w:sz="0" w:space="0" w:color="auto"/>
                <w:right w:val="none" w:sz="0" w:space="0" w:color="auto"/>
              </w:divBdr>
            </w:div>
          </w:divsChild>
        </w:div>
        <w:div w:id="1384910977">
          <w:marLeft w:val="0"/>
          <w:marRight w:val="0"/>
          <w:marTop w:val="0"/>
          <w:marBottom w:val="0"/>
          <w:divBdr>
            <w:top w:val="none" w:sz="0" w:space="0" w:color="auto"/>
            <w:left w:val="none" w:sz="0" w:space="0" w:color="auto"/>
            <w:bottom w:val="none" w:sz="0" w:space="0" w:color="auto"/>
            <w:right w:val="none" w:sz="0" w:space="0" w:color="auto"/>
          </w:divBdr>
          <w:divsChild>
            <w:div w:id="490099686">
              <w:marLeft w:val="0"/>
              <w:marRight w:val="0"/>
              <w:marTop w:val="0"/>
              <w:marBottom w:val="0"/>
              <w:divBdr>
                <w:top w:val="none" w:sz="0" w:space="0" w:color="auto"/>
                <w:left w:val="none" w:sz="0" w:space="0" w:color="auto"/>
                <w:bottom w:val="none" w:sz="0" w:space="0" w:color="auto"/>
                <w:right w:val="none" w:sz="0" w:space="0" w:color="auto"/>
              </w:divBdr>
            </w:div>
          </w:divsChild>
        </w:div>
        <w:div w:id="1387921668">
          <w:marLeft w:val="0"/>
          <w:marRight w:val="0"/>
          <w:marTop w:val="0"/>
          <w:marBottom w:val="0"/>
          <w:divBdr>
            <w:top w:val="none" w:sz="0" w:space="0" w:color="auto"/>
            <w:left w:val="none" w:sz="0" w:space="0" w:color="auto"/>
            <w:bottom w:val="none" w:sz="0" w:space="0" w:color="auto"/>
            <w:right w:val="none" w:sz="0" w:space="0" w:color="auto"/>
          </w:divBdr>
          <w:divsChild>
            <w:div w:id="1165442158">
              <w:marLeft w:val="0"/>
              <w:marRight w:val="0"/>
              <w:marTop w:val="0"/>
              <w:marBottom w:val="0"/>
              <w:divBdr>
                <w:top w:val="none" w:sz="0" w:space="0" w:color="auto"/>
                <w:left w:val="none" w:sz="0" w:space="0" w:color="auto"/>
                <w:bottom w:val="none" w:sz="0" w:space="0" w:color="auto"/>
                <w:right w:val="none" w:sz="0" w:space="0" w:color="auto"/>
              </w:divBdr>
            </w:div>
          </w:divsChild>
        </w:div>
        <w:div w:id="1392001894">
          <w:marLeft w:val="0"/>
          <w:marRight w:val="0"/>
          <w:marTop w:val="0"/>
          <w:marBottom w:val="0"/>
          <w:divBdr>
            <w:top w:val="none" w:sz="0" w:space="0" w:color="auto"/>
            <w:left w:val="none" w:sz="0" w:space="0" w:color="auto"/>
            <w:bottom w:val="none" w:sz="0" w:space="0" w:color="auto"/>
            <w:right w:val="none" w:sz="0" w:space="0" w:color="auto"/>
          </w:divBdr>
          <w:divsChild>
            <w:div w:id="195824032">
              <w:marLeft w:val="0"/>
              <w:marRight w:val="0"/>
              <w:marTop w:val="0"/>
              <w:marBottom w:val="0"/>
              <w:divBdr>
                <w:top w:val="none" w:sz="0" w:space="0" w:color="auto"/>
                <w:left w:val="none" w:sz="0" w:space="0" w:color="auto"/>
                <w:bottom w:val="none" w:sz="0" w:space="0" w:color="auto"/>
                <w:right w:val="none" w:sz="0" w:space="0" w:color="auto"/>
              </w:divBdr>
            </w:div>
          </w:divsChild>
        </w:div>
        <w:div w:id="1394964182">
          <w:marLeft w:val="0"/>
          <w:marRight w:val="0"/>
          <w:marTop w:val="0"/>
          <w:marBottom w:val="0"/>
          <w:divBdr>
            <w:top w:val="none" w:sz="0" w:space="0" w:color="auto"/>
            <w:left w:val="none" w:sz="0" w:space="0" w:color="auto"/>
            <w:bottom w:val="none" w:sz="0" w:space="0" w:color="auto"/>
            <w:right w:val="none" w:sz="0" w:space="0" w:color="auto"/>
          </w:divBdr>
          <w:divsChild>
            <w:div w:id="1355424409">
              <w:marLeft w:val="0"/>
              <w:marRight w:val="0"/>
              <w:marTop w:val="0"/>
              <w:marBottom w:val="0"/>
              <w:divBdr>
                <w:top w:val="none" w:sz="0" w:space="0" w:color="auto"/>
                <w:left w:val="none" w:sz="0" w:space="0" w:color="auto"/>
                <w:bottom w:val="none" w:sz="0" w:space="0" w:color="auto"/>
                <w:right w:val="none" w:sz="0" w:space="0" w:color="auto"/>
              </w:divBdr>
            </w:div>
          </w:divsChild>
        </w:div>
        <w:div w:id="1396707745">
          <w:marLeft w:val="0"/>
          <w:marRight w:val="0"/>
          <w:marTop w:val="0"/>
          <w:marBottom w:val="0"/>
          <w:divBdr>
            <w:top w:val="none" w:sz="0" w:space="0" w:color="auto"/>
            <w:left w:val="none" w:sz="0" w:space="0" w:color="auto"/>
            <w:bottom w:val="none" w:sz="0" w:space="0" w:color="auto"/>
            <w:right w:val="none" w:sz="0" w:space="0" w:color="auto"/>
          </w:divBdr>
          <w:divsChild>
            <w:div w:id="2125493849">
              <w:marLeft w:val="0"/>
              <w:marRight w:val="0"/>
              <w:marTop w:val="0"/>
              <w:marBottom w:val="0"/>
              <w:divBdr>
                <w:top w:val="none" w:sz="0" w:space="0" w:color="auto"/>
                <w:left w:val="none" w:sz="0" w:space="0" w:color="auto"/>
                <w:bottom w:val="none" w:sz="0" w:space="0" w:color="auto"/>
                <w:right w:val="none" w:sz="0" w:space="0" w:color="auto"/>
              </w:divBdr>
            </w:div>
          </w:divsChild>
        </w:div>
        <w:div w:id="1399129221">
          <w:marLeft w:val="0"/>
          <w:marRight w:val="0"/>
          <w:marTop w:val="0"/>
          <w:marBottom w:val="0"/>
          <w:divBdr>
            <w:top w:val="none" w:sz="0" w:space="0" w:color="auto"/>
            <w:left w:val="none" w:sz="0" w:space="0" w:color="auto"/>
            <w:bottom w:val="none" w:sz="0" w:space="0" w:color="auto"/>
            <w:right w:val="none" w:sz="0" w:space="0" w:color="auto"/>
          </w:divBdr>
          <w:divsChild>
            <w:div w:id="1829470012">
              <w:marLeft w:val="0"/>
              <w:marRight w:val="0"/>
              <w:marTop w:val="0"/>
              <w:marBottom w:val="0"/>
              <w:divBdr>
                <w:top w:val="none" w:sz="0" w:space="0" w:color="auto"/>
                <w:left w:val="none" w:sz="0" w:space="0" w:color="auto"/>
                <w:bottom w:val="none" w:sz="0" w:space="0" w:color="auto"/>
                <w:right w:val="none" w:sz="0" w:space="0" w:color="auto"/>
              </w:divBdr>
            </w:div>
          </w:divsChild>
        </w:div>
        <w:div w:id="1399396957">
          <w:marLeft w:val="0"/>
          <w:marRight w:val="0"/>
          <w:marTop w:val="0"/>
          <w:marBottom w:val="0"/>
          <w:divBdr>
            <w:top w:val="none" w:sz="0" w:space="0" w:color="auto"/>
            <w:left w:val="none" w:sz="0" w:space="0" w:color="auto"/>
            <w:bottom w:val="none" w:sz="0" w:space="0" w:color="auto"/>
            <w:right w:val="none" w:sz="0" w:space="0" w:color="auto"/>
          </w:divBdr>
          <w:divsChild>
            <w:div w:id="979992003">
              <w:marLeft w:val="0"/>
              <w:marRight w:val="0"/>
              <w:marTop w:val="0"/>
              <w:marBottom w:val="0"/>
              <w:divBdr>
                <w:top w:val="none" w:sz="0" w:space="0" w:color="auto"/>
                <w:left w:val="none" w:sz="0" w:space="0" w:color="auto"/>
                <w:bottom w:val="none" w:sz="0" w:space="0" w:color="auto"/>
                <w:right w:val="none" w:sz="0" w:space="0" w:color="auto"/>
              </w:divBdr>
            </w:div>
          </w:divsChild>
        </w:div>
        <w:div w:id="1407410392">
          <w:marLeft w:val="0"/>
          <w:marRight w:val="0"/>
          <w:marTop w:val="0"/>
          <w:marBottom w:val="0"/>
          <w:divBdr>
            <w:top w:val="none" w:sz="0" w:space="0" w:color="auto"/>
            <w:left w:val="none" w:sz="0" w:space="0" w:color="auto"/>
            <w:bottom w:val="none" w:sz="0" w:space="0" w:color="auto"/>
            <w:right w:val="none" w:sz="0" w:space="0" w:color="auto"/>
          </w:divBdr>
          <w:divsChild>
            <w:div w:id="1486974626">
              <w:marLeft w:val="0"/>
              <w:marRight w:val="0"/>
              <w:marTop w:val="0"/>
              <w:marBottom w:val="0"/>
              <w:divBdr>
                <w:top w:val="none" w:sz="0" w:space="0" w:color="auto"/>
                <w:left w:val="none" w:sz="0" w:space="0" w:color="auto"/>
                <w:bottom w:val="none" w:sz="0" w:space="0" w:color="auto"/>
                <w:right w:val="none" w:sz="0" w:space="0" w:color="auto"/>
              </w:divBdr>
            </w:div>
          </w:divsChild>
        </w:div>
        <w:div w:id="1410810825">
          <w:marLeft w:val="0"/>
          <w:marRight w:val="0"/>
          <w:marTop w:val="0"/>
          <w:marBottom w:val="0"/>
          <w:divBdr>
            <w:top w:val="none" w:sz="0" w:space="0" w:color="auto"/>
            <w:left w:val="none" w:sz="0" w:space="0" w:color="auto"/>
            <w:bottom w:val="none" w:sz="0" w:space="0" w:color="auto"/>
            <w:right w:val="none" w:sz="0" w:space="0" w:color="auto"/>
          </w:divBdr>
          <w:divsChild>
            <w:div w:id="1642684939">
              <w:marLeft w:val="0"/>
              <w:marRight w:val="0"/>
              <w:marTop w:val="0"/>
              <w:marBottom w:val="0"/>
              <w:divBdr>
                <w:top w:val="none" w:sz="0" w:space="0" w:color="auto"/>
                <w:left w:val="none" w:sz="0" w:space="0" w:color="auto"/>
                <w:bottom w:val="none" w:sz="0" w:space="0" w:color="auto"/>
                <w:right w:val="none" w:sz="0" w:space="0" w:color="auto"/>
              </w:divBdr>
            </w:div>
          </w:divsChild>
        </w:div>
        <w:div w:id="1417284768">
          <w:marLeft w:val="0"/>
          <w:marRight w:val="0"/>
          <w:marTop w:val="0"/>
          <w:marBottom w:val="0"/>
          <w:divBdr>
            <w:top w:val="none" w:sz="0" w:space="0" w:color="auto"/>
            <w:left w:val="none" w:sz="0" w:space="0" w:color="auto"/>
            <w:bottom w:val="none" w:sz="0" w:space="0" w:color="auto"/>
            <w:right w:val="none" w:sz="0" w:space="0" w:color="auto"/>
          </w:divBdr>
          <w:divsChild>
            <w:div w:id="1499346963">
              <w:marLeft w:val="0"/>
              <w:marRight w:val="0"/>
              <w:marTop w:val="0"/>
              <w:marBottom w:val="0"/>
              <w:divBdr>
                <w:top w:val="none" w:sz="0" w:space="0" w:color="auto"/>
                <w:left w:val="none" w:sz="0" w:space="0" w:color="auto"/>
                <w:bottom w:val="none" w:sz="0" w:space="0" w:color="auto"/>
                <w:right w:val="none" w:sz="0" w:space="0" w:color="auto"/>
              </w:divBdr>
            </w:div>
          </w:divsChild>
        </w:div>
        <w:div w:id="1417484449">
          <w:marLeft w:val="0"/>
          <w:marRight w:val="0"/>
          <w:marTop w:val="0"/>
          <w:marBottom w:val="0"/>
          <w:divBdr>
            <w:top w:val="none" w:sz="0" w:space="0" w:color="auto"/>
            <w:left w:val="none" w:sz="0" w:space="0" w:color="auto"/>
            <w:bottom w:val="none" w:sz="0" w:space="0" w:color="auto"/>
            <w:right w:val="none" w:sz="0" w:space="0" w:color="auto"/>
          </w:divBdr>
          <w:divsChild>
            <w:div w:id="127747472">
              <w:marLeft w:val="0"/>
              <w:marRight w:val="0"/>
              <w:marTop w:val="0"/>
              <w:marBottom w:val="0"/>
              <w:divBdr>
                <w:top w:val="none" w:sz="0" w:space="0" w:color="auto"/>
                <w:left w:val="none" w:sz="0" w:space="0" w:color="auto"/>
                <w:bottom w:val="none" w:sz="0" w:space="0" w:color="auto"/>
                <w:right w:val="none" w:sz="0" w:space="0" w:color="auto"/>
              </w:divBdr>
            </w:div>
          </w:divsChild>
        </w:div>
        <w:div w:id="1424573957">
          <w:marLeft w:val="0"/>
          <w:marRight w:val="0"/>
          <w:marTop w:val="0"/>
          <w:marBottom w:val="0"/>
          <w:divBdr>
            <w:top w:val="none" w:sz="0" w:space="0" w:color="auto"/>
            <w:left w:val="none" w:sz="0" w:space="0" w:color="auto"/>
            <w:bottom w:val="none" w:sz="0" w:space="0" w:color="auto"/>
            <w:right w:val="none" w:sz="0" w:space="0" w:color="auto"/>
          </w:divBdr>
          <w:divsChild>
            <w:div w:id="817961571">
              <w:marLeft w:val="0"/>
              <w:marRight w:val="0"/>
              <w:marTop w:val="0"/>
              <w:marBottom w:val="0"/>
              <w:divBdr>
                <w:top w:val="none" w:sz="0" w:space="0" w:color="auto"/>
                <w:left w:val="none" w:sz="0" w:space="0" w:color="auto"/>
                <w:bottom w:val="none" w:sz="0" w:space="0" w:color="auto"/>
                <w:right w:val="none" w:sz="0" w:space="0" w:color="auto"/>
              </w:divBdr>
            </w:div>
          </w:divsChild>
        </w:div>
        <w:div w:id="1439254325">
          <w:marLeft w:val="0"/>
          <w:marRight w:val="0"/>
          <w:marTop w:val="0"/>
          <w:marBottom w:val="0"/>
          <w:divBdr>
            <w:top w:val="none" w:sz="0" w:space="0" w:color="auto"/>
            <w:left w:val="none" w:sz="0" w:space="0" w:color="auto"/>
            <w:bottom w:val="none" w:sz="0" w:space="0" w:color="auto"/>
            <w:right w:val="none" w:sz="0" w:space="0" w:color="auto"/>
          </w:divBdr>
          <w:divsChild>
            <w:div w:id="821770490">
              <w:marLeft w:val="0"/>
              <w:marRight w:val="0"/>
              <w:marTop w:val="0"/>
              <w:marBottom w:val="0"/>
              <w:divBdr>
                <w:top w:val="none" w:sz="0" w:space="0" w:color="auto"/>
                <w:left w:val="none" w:sz="0" w:space="0" w:color="auto"/>
                <w:bottom w:val="none" w:sz="0" w:space="0" w:color="auto"/>
                <w:right w:val="none" w:sz="0" w:space="0" w:color="auto"/>
              </w:divBdr>
            </w:div>
          </w:divsChild>
        </w:div>
        <w:div w:id="1454402282">
          <w:marLeft w:val="0"/>
          <w:marRight w:val="0"/>
          <w:marTop w:val="0"/>
          <w:marBottom w:val="0"/>
          <w:divBdr>
            <w:top w:val="none" w:sz="0" w:space="0" w:color="auto"/>
            <w:left w:val="none" w:sz="0" w:space="0" w:color="auto"/>
            <w:bottom w:val="none" w:sz="0" w:space="0" w:color="auto"/>
            <w:right w:val="none" w:sz="0" w:space="0" w:color="auto"/>
          </w:divBdr>
          <w:divsChild>
            <w:div w:id="1248878007">
              <w:marLeft w:val="0"/>
              <w:marRight w:val="0"/>
              <w:marTop w:val="0"/>
              <w:marBottom w:val="0"/>
              <w:divBdr>
                <w:top w:val="none" w:sz="0" w:space="0" w:color="auto"/>
                <w:left w:val="none" w:sz="0" w:space="0" w:color="auto"/>
                <w:bottom w:val="none" w:sz="0" w:space="0" w:color="auto"/>
                <w:right w:val="none" w:sz="0" w:space="0" w:color="auto"/>
              </w:divBdr>
            </w:div>
          </w:divsChild>
        </w:div>
        <w:div w:id="1463763928">
          <w:marLeft w:val="0"/>
          <w:marRight w:val="0"/>
          <w:marTop w:val="0"/>
          <w:marBottom w:val="0"/>
          <w:divBdr>
            <w:top w:val="none" w:sz="0" w:space="0" w:color="auto"/>
            <w:left w:val="none" w:sz="0" w:space="0" w:color="auto"/>
            <w:bottom w:val="none" w:sz="0" w:space="0" w:color="auto"/>
            <w:right w:val="none" w:sz="0" w:space="0" w:color="auto"/>
          </w:divBdr>
          <w:divsChild>
            <w:div w:id="808475516">
              <w:marLeft w:val="0"/>
              <w:marRight w:val="0"/>
              <w:marTop w:val="0"/>
              <w:marBottom w:val="0"/>
              <w:divBdr>
                <w:top w:val="none" w:sz="0" w:space="0" w:color="auto"/>
                <w:left w:val="none" w:sz="0" w:space="0" w:color="auto"/>
                <w:bottom w:val="none" w:sz="0" w:space="0" w:color="auto"/>
                <w:right w:val="none" w:sz="0" w:space="0" w:color="auto"/>
              </w:divBdr>
            </w:div>
          </w:divsChild>
        </w:div>
        <w:div w:id="1472362434">
          <w:marLeft w:val="0"/>
          <w:marRight w:val="0"/>
          <w:marTop w:val="0"/>
          <w:marBottom w:val="0"/>
          <w:divBdr>
            <w:top w:val="none" w:sz="0" w:space="0" w:color="auto"/>
            <w:left w:val="none" w:sz="0" w:space="0" w:color="auto"/>
            <w:bottom w:val="none" w:sz="0" w:space="0" w:color="auto"/>
            <w:right w:val="none" w:sz="0" w:space="0" w:color="auto"/>
          </w:divBdr>
          <w:divsChild>
            <w:div w:id="1334449319">
              <w:marLeft w:val="0"/>
              <w:marRight w:val="0"/>
              <w:marTop w:val="0"/>
              <w:marBottom w:val="0"/>
              <w:divBdr>
                <w:top w:val="none" w:sz="0" w:space="0" w:color="auto"/>
                <w:left w:val="none" w:sz="0" w:space="0" w:color="auto"/>
                <w:bottom w:val="none" w:sz="0" w:space="0" w:color="auto"/>
                <w:right w:val="none" w:sz="0" w:space="0" w:color="auto"/>
              </w:divBdr>
            </w:div>
          </w:divsChild>
        </w:div>
        <w:div w:id="1488978485">
          <w:marLeft w:val="0"/>
          <w:marRight w:val="0"/>
          <w:marTop w:val="0"/>
          <w:marBottom w:val="0"/>
          <w:divBdr>
            <w:top w:val="none" w:sz="0" w:space="0" w:color="auto"/>
            <w:left w:val="none" w:sz="0" w:space="0" w:color="auto"/>
            <w:bottom w:val="none" w:sz="0" w:space="0" w:color="auto"/>
            <w:right w:val="none" w:sz="0" w:space="0" w:color="auto"/>
          </w:divBdr>
          <w:divsChild>
            <w:div w:id="79983026">
              <w:marLeft w:val="0"/>
              <w:marRight w:val="0"/>
              <w:marTop w:val="0"/>
              <w:marBottom w:val="0"/>
              <w:divBdr>
                <w:top w:val="none" w:sz="0" w:space="0" w:color="auto"/>
                <w:left w:val="none" w:sz="0" w:space="0" w:color="auto"/>
                <w:bottom w:val="none" w:sz="0" w:space="0" w:color="auto"/>
                <w:right w:val="none" w:sz="0" w:space="0" w:color="auto"/>
              </w:divBdr>
            </w:div>
          </w:divsChild>
        </w:div>
        <w:div w:id="1490907687">
          <w:marLeft w:val="0"/>
          <w:marRight w:val="0"/>
          <w:marTop w:val="0"/>
          <w:marBottom w:val="0"/>
          <w:divBdr>
            <w:top w:val="none" w:sz="0" w:space="0" w:color="auto"/>
            <w:left w:val="none" w:sz="0" w:space="0" w:color="auto"/>
            <w:bottom w:val="none" w:sz="0" w:space="0" w:color="auto"/>
            <w:right w:val="none" w:sz="0" w:space="0" w:color="auto"/>
          </w:divBdr>
          <w:divsChild>
            <w:div w:id="422997789">
              <w:marLeft w:val="0"/>
              <w:marRight w:val="0"/>
              <w:marTop w:val="0"/>
              <w:marBottom w:val="0"/>
              <w:divBdr>
                <w:top w:val="none" w:sz="0" w:space="0" w:color="auto"/>
                <w:left w:val="none" w:sz="0" w:space="0" w:color="auto"/>
                <w:bottom w:val="none" w:sz="0" w:space="0" w:color="auto"/>
                <w:right w:val="none" w:sz="0" w:space="0" w:color="auto"/>
              </w:divBdr>
            </w:div>
          </w:divsChild>
        </w:div>
        <w:div w:id="1500390120">
          <w:marLeft w:val="0"/>
          <w:marRight w:val="0"/>
          <w:marTop w:val="0"/>
          <w:marBottom w:val="0"/>
          <w:divBdr>
            <w:top w:val="none" w:sz="0" w:space="0" w:color="auto"/>
            <w:left w:val="none" w:sz="0" w:space="0" w:color="auto"/>
            <w:bottom w:val="none" w:sz="0" w:space="0" w:color="auto"/>
            <w:right w:val="none" w:sz="0" w:space="0" w:color="auto"/>
          </w:divBdr>
          <w:divsChild>
            <w:div w:id="2024429923">
              <w:marLeft w:val="0"/>
              <w:marRight w:val="0"/>
              <w:marTop w:val="0"/>
              <w:marBottom w:val="0"/>
              <w:divBdr>
                <w:top w:val="none" w:sz="0" w:space="0" w:color="auto"/>
                <w:left w:val="none" w:sz="0" w:space="0" w:color="auto"/>
                <w:bottom w:val="none" w:sz="0" w:space="0" w:color="auto"/>
                <w:right w:val="none" w:sz="0" w:space="0" w:color="auto"/>
              </w:divBdr>
            </w:div>
          </w:divsChild>
        </w:div>
        <w:div w:id="1504935711">
          <w:marLeft w:val="0"/>
          <w:marRight w:val="0"/>
          <w:marTop w:val="0"/>
          <w:marBottom w:val="0"/>
          <w:divBdr>
            <w:top w:val="none" w:sz="0" w:space="0" w:color="auto"/>
            <w:left w:val="none" w:sz="0" w:space="0" w:color="auto"/>
            <w:bottom w:val="none" w:sz="0" w:space="0" w:color="auto"/>
            <w:right w:val="none" w:sz="0" w:space="0" w:color="auto"/>
          </w:divBdr>
          <w:divsChild>
            <w:div w:id="983780633">
              <w:marLeft w:val="0"/>
              <w:marRight w:val="0"/>
              <w:marTop w:val="0"/>
              <w:marBottom w:val="0"/>
              <w:divBdr>
                <w:top w:val="none" w:sz="0" w:space="0" w:color="auto"/>
                <w:left w:val="none" w:sz="0" w:space="0" w:color="auto"/>
                <w:bottom w:val="none" w:sz="0" w:space="0" w:color="auto"/>
                <w:right w:val="none" w:sz="0" w:space="0" w:color="auto"/>
              </w:divBdr>
            </w:div>
          </w:divsChild>
        </w:div>
        <w:div w:id="1509979675">
          <w:marLeft w:val="0"/>
          <w:marRight w:val="0"/>
          <w:marTop w:val="0"/>
          <w:marBottom w:val="0"/>
          <w:divBdr>
            <w:top w:val="none" w:sz="0" w:space="0" w:color="auto"/>
            <w:left w:val="none" w:sz="0" w:space="0" w:color="auto"/>
            <w:bottom w:val="none" w:sz="0" w:space="0" w:color="auto"/>
            <w:right w:val="none" w:sz="0" w:space="0" w:color="auto"/>
          </w:divBdr>
          <w:divsChild>
            <w:div w:id="1866793693">
              <w:marLeft w:val="0"/>
              <w:marRight w:val="0"/>
              <w:marTop w:val="0"/>
              <w:marBottom w:val="0"/>
              <w:divBdr>
                <w:top w:val="none" w:sz="0" w:space="0" w:color="auto"/>
                <w:left w:val="none" w:sz="0" w:space="0" w:color="auto"/>
                <w:bottom w:val="none" w:sz="0" w:space="0" w:color="auto"/>
                <w:right w:val="none" w:sz="0" w:space="0" w:color="auto"/>
              </w:divBdr>
            </w:div>
          </w:divsChild>
        </w:div>
        <w:div w:id="1517186255">
          <w:marLeft w:val="0"/>
          <w:marRight w:val="0"/>
          <w:marTop w:val="0"/>
          <w:marBottom w:val="0"/>
          <w:divBdr>
            <w:top w:val="none" w:sz="0" w:space="0" w:color="auto"/>
            <w:left w:val="none" w:sz="0" w:space="0" w:color="auto"/>
            <w:bottom w:val="none" w:sz="0" w:space="0" w:color="auto"/>
            <w:right w:val="none" w:sz="0" w:space="0" w:color="auto"/>
          </w:divBdr>
          <w:divsChild>
            <w:div w:id="1061053966">
              <w:marLeft w:val="0"/>
              <w:marRight w:val="0"/>
              <w:marTop w:val="0"/>
              <w:marBottom w:val="0"/>
              <w:divBdr>
                <w:top w:val="none" w:sz="0" w:space="0" w:color="auto"/>
                <w:left w:val="none" w:sz="0" w:space="0" w:color="auto"/>
                <w:bottom w:val="none" w:sz="0" w:space="0" w:color="auto"/>
                <w:right w:val="none" w:sz="0" w:space="0" w:color="auto"/>
              </w:divBdr>
            </w:div>
          </w:divsChild>
        </w:div>
        <w:div w:id="1530946239">
          <w:marLeft w:val="0"/>
          <w:marRight w:val="0"/>
          <w:marTop w:val="0"/>
          <w:marBottom w:val="0"/>
          <w:divBdr>
            <w:top w:val="none" w:sz="0" w:space="0" w:color="auto"/>
            <w:left w:val="none" w:sz="0" w:space="0" w:color="auto"/>
            <w:bottom w:val="none" w:sz="0" w:space="0" w:color="auto"/>
            <w:right w:val="none" w:sz="0" w:space="0" w:color="auto"/>
          </w:divBdr>
          <w:divsChild>
            <w:div w:id="514617694">
              <w:marLeft w:val="0"/>
              <w:marRight w:val="0"/>
              <w:marTop w:val="0"/>
              <w:marBottom w:val="0"/>
              <w:divBdr>
                <w:top w:val="none" w:sz="0" w:space="0" w:color="auto"/>
                <w:left w:val="none" w:sz="0" w:space="0" w:color="auto"/>
                <w:bottom w:val="none" w:sz="0" w:space="0" w:color="auto"/>
                <w:right w:val="none" w:sz="0" w:space="0" w:color="auto"/>
              </w:divBdr>
            </w:div>
          </w:divsChild>
        </w:div>
        <w:div w:id="1533570498">
          <w:marLeft w:val="0"/>
          <w:marRight w:val="0"/>
          <w:marTop w:val="0"/>
          <w:marBottom w:val="0"/>
          <w:divBdr>
            <w:top w:val="none" w:sz="0" w:space="0" w:color="auto"/>
            <w:left w:val="none" w:sz="0" w:space="0" w:color="auto"/>
            <w:bottom w:val="none" w:sz="0" w:space="0" w:color="auto"/>
            <w:right w:val="none" w:sz="0" w:space="0" w:color="auto"/>
          </w:divBdr>
          <w:divsChild>
            <w:div w:id="1143620064">
              <w:marLeft w:val="0"/>
              <w:marRight w:val="0"/>
              <w:marTop w:val="0"/>
              <w:marBottom w:val="0"/>
              <w:divBdr>
                <w:top w:val="none" w:sz="0" w:space="0" w:color="auto"/>
                <w:left w:val="none" w:sz="0" w:space="0" w:color="auto"/>
                <w:bottom w:val="none" w:sz="0" w:space="0" w:color="auto"/>
                <w:right w:val="none" w:sz="0" w:space="0" w:color="auto"/>
              </w:divBdr>
            </w:div>
          </w:divsChild>
        </w:div>
        <w:div w:id="1536507483">
          <w:marLeft w:val="0"/>
          <w:marRight w:val="0"/>
          <w:marTop w:val="0"/>
          <w:marBottom w:val="0"/>
          <w:divBdr>
            <w:top w:val="none" w:sz="0" w:space="0" w:color="auto"/>
            <w:left w:val="none" w:sz="0" w:space="0" w:color="auto"/>
            <w:bottom w:val="none" w:sz="0" w:space="0" w:color="auto"/>
            <w:right w:val="none" w:sz="0" w:space="0" w:color="auto"/>
          </w:divBdr>
          <w:divsChild>
            <w:div w:id="597099065">
              <w:marLeft w:val="0"/>
              <w:marRight w:val="0"/>
              <w:marTop w:val="0"/>
              <w:marBottom w:val="0"/>
              <w:divBdr>
                <w:top w:val="none" w:sz="0" w:space="0" w:color="auto"/>
                <w:left w:val="none" w:sz="0" w:space="0" w:color="auto"/>
                <w:bottom w:val="none" w:sz="0" w:space="0" w:color="auto"/>
                <w:right w:val="none" w:sz="0" w:space="0" w:color="auto"/>
              </w:divBdr>
            </w:div>
          </w:divsChild>
        </w:div>
        <w:div w:id="1541357131">
          <w:marLeft w:val="0"/>
          <w:marRight w:val="0"/>
          <w:marTop w:val="0"/>
          <w:marBottom w:val="0"/>
          <w:divBdr>
            <w:top w:val="none" w:sz="0" w:space="0" w:color="auto"/>
            <w:left w:val="none" w:sz="0" w:space="0" w:color="auto"/>
            <w:bottom w:val="none" w:sz="0" w:space="0" w:color="auto"/>
            <w:right w:val="none" w:sz="0" w:space="0" w:color="auto"/>
          </w:divBdr>
          <w:divsChild>
            <w:div w:id="265969886">
              <w:marLeft w:val="0"/>
              <w:marRight w:val="0"/>
              <w:marTop w:val="0"/>
              <w:marBottom w:val="0"/>
              <w:divBdr>
                <w:top w:val="none" w:sz="0" w:space="0" w:color="auto"/>
                <w:left w:val="none" w:sz="0" w:space="0" w:color="auto"/>
                <w:bottom w:val="none" w:sz="0" w:space="0" w:color="auto"/>
                <w:right w:val="none" w:sz="0" w:space="0" w:color="auto"/>
              </w:divBdr>
            </w:div>
          </w:divsChild>
        </w:div>
        <w:div w:id="1562641685">
          <w:marLeft w:val="0"/>
          <w:marRight w:val="0"/>
          <w:marTop w:val="0"/>
          <w:marBottom w:val="0"/>
          <w:divBdr>
            <w:top w:val="none" w:sz="0" w:space="0" w:color="auto"/>
            <w:left w:val="none" w:sz="0" w:space="0" w:color="auto"/>
            <w:bottom w:val="none" w:sz="0" w:space="0" w:color="auto"/>
            <w:right w:val="none" w:sz="0" w:space="0" w:color="auto"/>
          </w:divBdr>
          <w:divsChild>
            <w:div w:id="1104884645">
              <w:marLeft w:val="0"/>
              <w:marRight w:val="0"/>
              <w:marTop w:val="0"/>
              <w:marBottom w:val="0"/>
              <w:divBdr>
                <w:top w:val="none" w:sz="0" w:space="0" w:color="auto"/>
                <w:left w:val="none" w:sz="0" w:space="0" w:color="auto"/>
                <w:bottom w:val="none" w:sz="0" w:space="0" w:color="auto"/>
                <w:right w:val="none" w:sz="0" w:space="0" w:color="auto"/>
              </w:divBdr>
            </w:div>
          </w:divsChild>
        </w:div>
        <w:div w:id="1565990786">
          <w:marLeft w:val="0"/>
          <w:marRight w:val="0"/>
          <w:marTop w:val="0"/>
          <w:marBottom w:val="0"/>
          <w:divBdr>
            <w:top w:val="none" w:sz="0" w:space="0" w:color="auto"/>
            <w:left w:val="none" w:sz="0" w:space="0" w:color="auto"/>
            <w:bottom w:val="none" w:sz="0" w:space="0" w:color="auto"/>
            <w:right w:val="none" w:sz="0" w:space="0" w:color="auto"/>
          </w:divBdr>
          <w:divsChild>
            <w:div w:id="1558393048">
              <w:marLeft w:val="0"/>
              <w:marRight w:val="0"/>
              <w:marTop w:val="0"/>
              <w:marBottom w:val="0"/>
              <w:divBdr>
                <w:top w:val="none" w:sz="0" w:space="0" w:color="auto"/>
                <w:left w:val="none" w:sz="0" w:space="0" w:color="auto"/>
                <w:bottom w:val="none" w:sz="0" w:space="0" w:color="auto"/>
                <w:right w:val="none" w:sz="0" w:space="0" w:color="auto"/>
              </w:divBdr>
            </w:div>
          </w:divsChild>
        </w:div>
        <w:div w:id="1574662168">
          <w:marLeft w:val="0"/>
          <w:marRight w:val="0"/>
          <w:marTop w:val="0"/>
          <w:marBottom w:val="0"/>
          <w:divBdr>
            <w:top w:val="none" w:sz="0" w:space="0" w:color="auto"/>
            <w:left w:val="none" w:sz="0" w:space="0" w:color="auto"/>
            <w:bottom w:val="none" w:sz="0" w:space="0" w:color="auto"/>
            <w:right w:val="none" w:sz="0" w:space="0" w:color="auto"/>
          </w:divBdr>
          <w:divsChild>
            <w:div w:id="2035304922">
              <w:marLeft w:val="0"/>
              <w:marRight w:val="0"/>
              <w:marTop w:val="0"/>
              <w:marBottom w:val="0"/>
              <w:divBdr>
                <w:top w:val="none" w:sz="0" w:space="0" w:color="auto"/>
                <w:left w:val="none" w:sz="0" w:space="0" w:color="auto"/>
                <w:bottom w:val="none" w:sz="0" w:space="0" w:color="auto"/>
                <w:right w:val="none" w:sz="0" w:space="0" w:color="auto"/>
              </w:divBdr>
            </w:div>
          </w:divsChild>
        </w:div>
        <w:div w:id="1583176523">
          <w:marLeft w:val="0"/>
          <w:marRight w:val="0"/>
          <w:marTop w:val="0"/>
          <w:marBottom w:val="0"/>
          <w:divBdr>
            <w:top w:val="none" w:sz="0" w:space="0" w:color="auto"/>
            <w:left w:val="none" w:sz="0" w:space="0" w:color="auto"/>
            <w:bottom w:val="none" w:sz="0" w:space="0" w:color="auto"/>
            <w:right w:val="none" w:sz="0" w:space="0" w:color="auto"/>
          </w:divBdr>
          <w:divsChild>
            <w:div w:id="126319470">
              <w:marLeft w:val="0"/>
              <w:marRight w:val="0"/>
              <w:marTop w:val="0"/>
              <w:marBottom w:val="0"/>
              <w:divBdr>
                <w:top w:val="none" w:sz="0" w:space="0" w:color="auto"/>
                <w:left w:val="none" w:sz="0" w:space="0" w:color="auto"/>
                <w:bottom w:val="none" w:sz="0" w:space="0" w:color="auto"/>
                <w:right w:val="none" w:sz="0" w:space="0" w:color="auto"/>
              </w:divBdr>
            </w:div>
          </w:divsChild>
        </w:div>
        <w:div w:id="1584414433">
          <w:marLeft w:val="0"/>
          <w:marRight w:val="0"/>
          <w:marTop w:val="0"/>
          <w:marBottom w:val="0"/>
          <w:divBdr>
            <w:top w:val="none" w:sz="0" w:space="0" w:color="auto"/>
            <w:left w:val="none" w:sz="0" w:space="0" w:color="auto"/>
            <w:bottom w:val="none" w:sz="0" w:space="0" w:color="auto"/>
            <w:right w:val="none" w:sz="0" w:space="0" w:color="auto"/>
          </w:divBdr>
          <w:divsChild>
            <w:div w:id="691421061">
              <w:marLeft w:val="0"/>
              <w:marRight w:val="0"/>
              <w:marTop w:val="0"/>
              <w:marBottom w:val="0"/>
              <w:divBdr>
                <w:top w:val="none" w:sz="0" w:space="0" w:color="auto"/>
                <w:left w:val="none" w:sz="0" w:space="0" w:color="auto"/>
                <w:bottom w:val="none" w:sz="0" w:space="0" w:color="auto"/>
                <w:right w:val="none" w:sz="0" w:space="0" w:color="auto"/>
              </w:divBdr>
            </w:div>
          </w:divsChild>
        </w:div>
        <w:div w:id="1588031320">
          <w:marLeft w:val="0"/>
          <w:marRight w:val="0"/>
          <w:marTop w:val="0"/>
          <w:marBottom w:val="0"/>
          <w:divBdr>
            <w:top w:val="none" w:sz="0" w:space="0" w:color="auto"/>
            <w:left w:val="none" w:sz="0" w:space="0" w:color="auto"/>
            <w:bottom w:val="none" w:sz="0" w:space="0" w:color="auto"/>
            <w:right w:val="none" w:sz="0" w:space="0" w:color="auto"/>
          </w:divBdr>
          <w:divsChild>
            <w:div w:id="2083991578">
              <w:marLeft w:val="0"/>
              <w:marRight w:val="0"/>
              <w:marTop w:val="0"/>
              <w:marBottom w:val="0"/>
              <w:divBdr>
                <w:top w:val="none" w:sz="0" w:space="0" w:color="auto"/>
                <w:left w:val="none" w:sz="0" w:space="0" w:color="auto"/>
                <w:bottom w:val="none" w:sz="0" w:space="0" w:color="auto"/>
                <w:right w:val="none" w:sz="0" w:space="0" w:color="auto"/>
              </w:divBdr>
            </w:div>
          </w:divsChild>
        </w:div>
        <w:div w:id="1588226483">
          <w:marLeft w:val="0"/>
          <w:marRight w:val="0"/>
          <w:marTop w:val="0"/>
          <w:marBottom w:val="0"/>
          <w:divBdr>
            <w:top w:val="none" w:sz="0" w:space="0" w:color="auto"/>
            <w:left w:val="none" w:sz="0" w:space="0" w:color="auto"/>
            <w:bottom w:val="none" w:sz="0" w:space="0" w:color="auto"/>
            <w:right w:val="none" w:sz="0" w:space="0" w:color="auto"/>
          </w:divBdr>
          <w:divsChild>
            <w:div w:id="1402174752">
              <w:marLeft w:val="0"/>
              <w:marRight w:val="0"/>
              <w:marTop w:val="0"/>
              <w:marBottom w:val="0"/>
              <w:divBdr>
                <w:top w:val="none" w:sz="0" w:space="0" w:color="auto"/>
                <w:left w:val="none" w:sz="0" w:space="0" w:color="auto"/>
                <w:bottom w:val="none" w:sz="0" w:space="0" w:color="auto"/>
                <w:right w:val="none" w:sz="0" w:space="0" w:color="auto"/>
              </w:divBdr>
            </w:div>
          </w:divsChild>
        </w:div>
        <w:div w:id="1589121936">
          <w:marLeft w:val="0"/>
          <w:marRight w:val="0"/>
          <w:marTop w:val="0"/>
          <w:marBottom w:val="0"/>
          <w:divBdr>
            <w:top w:val="none" w:sz="0" w:space="0" w:color="auto"/>
            <w:left w:val="none" w:sz="0" w:space="0" w:color="auto"/>
            <w:bottom w:val="none" w:sz="0" w:space="0" w:color="auto"/>
            <w:right w:val="none" w:sz="0" w:space="0" w:color="auto"/>
          </w:divBdr>
          <w:divsChild>
            <w:div w:id="2051761165">
              <w:marLeft w:val="0"/>
              <w:marRight w:val="0"/>
              <w:marTop w:val="0"/>
              <w:marBottom w:val="0"/>
              <w:divBdr>
                <w:top w:val="none" w:sz="0" w:space="0" w:color="auto"/>
                <w:left w:val="none" w:sz="0" w:space="0" w:color="auto"/>
                <w:bottom w:val="none" w:sz="0" w:space="0" w:color="auto"/>
                <w:right w:val="none" w:sz="0" w:space="0" w:color="auto"/>
              </w:divBdr>
            </w:div>
          </w:divsChild>
        </w:div>
        <w:div w:id="1593660003">
          <w:marLeft w:val="0"/>
          <w:marRight w:val="0"/>
          <w:marTop w:val="0"/>
          <w:marBottom w:val="0"/>
          <w:divBdr>
            <w:top w:val="none" w:sz="0" w:space="0" w:color="auto"/>
            <w:left w:val="none" w:sz="0" w:space="0" w:color="auto"/>
            <w:bottom w:val="none" w:sz="0" w:space="0" w:color="auto"/>
            <w:right w:val="none" w:sz="0" w:space="0" w:color="auto"/>
          </w:divBdr>
          <w:divsChild>
            <w:div w:id="125051742">
              <w:marLeft w:val="0"/>
              <w:marRight w:val="0"/>
              <w:marTop w:val="0"/>
              <w:marBottom w:val="0"/>
              <w:divBdr>
                <w:top w:val="none" w:sz="0" w:space="0" w:color="auto"/>
                <w:left w:val="none" w:sz="0" w:space="0" w:color="auto"/>
                <w:bottom w:val="none" w:sz="0" w:space="0" w:color="auto"/>
                <w:right w:val="none" w:sz="0" w:space="0" w:color="auto"/>
              </w:divBdr>
            </w:div>
          </w:divsChild>
        </w:div>
        <w:div w:id="1594122567">
          <w:marLeft w:val="0"/>
          <w:marRight w:val="0"/>
          <w:marTop w:val="0"/>
          <w:marBottom w:val="0"/>
          <w:divBdr>
            <w:top w:val="none" w:sz="0" w:space="0" w:color="auto"/>
            <w:left w:val="none" w:sz="0" w:space="0" w:color="auto"/>
            <w:bottom w:val="none" w:sz="0" w:space="0" w:color="auto"/>
            <w:right w:val="none" w:sz="0" w:space="0" w:color="auto"/>
          </w:divBdr>
          <w:divsChild>
            <w:div w:id="1545824192">
              <w:marLeft w:val="0"/>
              <w:marRight w:val="0"/>
              <w:marTop w:val="0"/>
              <w:marBottom w:val="0"/>
              <w:divBdr>
                <w:top w:val="none" w:sz="0" w:space="0" w:color="auto"/>
                <w:left w:val="none" w:sz="0" w:space="0" w:color="auto"/>
                <w:bottom w:val="none" w:sz="0" w:space="0" w:color="auto"/>
                <w:right w:val="none" w:sz="0" w:space="0" w:color="auto"/>
              </w:divBdr>
            </w:div>
          </w:divsChild>
        </w:div>
        <w:div w:id="1607498558">
          <w:marLeft w:val="0"/>
          <w:marRight w:val="0"/>
          <w:marTop w:val="0"/>
          <w:marBottom w:val="0"/>
          <w:divBdr>
            <w:top w:val="none" w:sz="0" w:space="0" w:color="auto"/>
            <w:left w:val="none" w:sz="0" w:space="0" w:color="auto"/>
            <w:bottom w:val="none" w:sz="0" w:space="0" w:color="auto"/>
            <w:right w:val="none" w:sz="0" w:space="0" w:color="auto"/>
          </w:divBdr>
          <w:divsChild>
            <w:div w:id="1801072819">
              <w:marLeft w:val="0"/>
              <w:marRight w:val="0"/>
              <w:marTop w:val="0"/>
              <w:marBottom w:val="0"/>
              <w:divBdr>
                <w:top w:val="none" w:sz="0" w:space="0" w:color="auto"/>
                <w:left w:val="none" w:sz="0" w:space="0" w:color="auto"/>
                <w:bottom w:val="none" w:sz="0" w:space="0" w:color="auto"/>
                <w:right w:val="none" w:sz="0" w:space="0" w:color="auto"/>
              </w:divBdr>
            </w:div>
          </w:divsChild>
        </w:div>
        <w:div w:id="1608808189">
          <w:marLeft w:val="0"/>
          <w:marRight w:val="0"/>
          <w:marTop w:val="0"/>
          <w:marBottom w:val="0"/>
          <w:divBdr>
            <w:top w:val="none" w:sz="0" w:space="0" w:color="auto"/>
            <w:left w:val="none" w:sz="0" w:space="0" w:color="auto"/>
            <w:bottom w:val="none" w:sz="0" w:space="0" w:color="auto"/>
            <w:right w:val="none" w:sz="0" w:space="0" w:color="auto"/>
          </w:divBdr>
          <w:divsChild>
            <w:div w:id="1952013738">
              <w:marLeft w:val="0"/>
              <w:marRight w:val="0"/>
              <w:marTop w:val="0"/>
              <w:marBottom w:val="0"/>
              <w:divBdr>
                <w:top w:val="none" w:sz="0" w:space="0" w:color="auto"/>
                <w:left w:val="none" w:sz="0" w:space="0" w:color="auto"/>
                <w:bottom w:val="none" w:sz="0" w:space="0" w:color="auto"/>
                <w:right w:val="none" w:sz="0" w:space="0" w:color="auto"/>
              </w:divBdr>
            </w:div>
          </w:divsChild>
        </w:div>
        <w:div w:id="1612972680">
          <w:marLeft w:val="0"/>
          <w:marRight w:val="0"/>
          <w:marTop w:val="0"/>
          <w:marBottom w:val="0"/>
          <w:divBdr>
            <w:top w:val="none" w:sz="0" w:space="0" w:color="auto"/>
            <w:left w:val="none" w:sz="0" w:space="0" w:color="auto"/>
            <w:bottom w:val="none" w:sz="0" w:space="0" w:color="auto"/>
            <w:right w:val="none" w:sz="0" w:space="0" w:color="auto"/>
          </w:divBdr>
          <w:divsChild>
            <w:div w:id="1863274861">
              <w:marLeft w:val="0"/>
              <w:marRight w:val="0"/>
              <w:marTop w:val="0"/>
              <w:marBottom w:val="0"/>
              <w:divBdr>
                <w:top w:val="none" w:sz="0" w:space="0" w:color="auto"/>
                <w:left w:val="none" w:sz="0" w:space="0" w:color="auto"/>
                <w:bottom w:val="none" w:sz="0" w:space="0" w:color="auto"/>
                <w:right w:val="none" w:sz="0" w:space="0" w:color="auto"/>
              </w:divBdr>
            </w:div>
          </w:divsChild>
        </w:div>
        <w:div w:id="1614509095">
          <w:marLeft w:val="0"/>
          <w:marRight w:val="0"/>
          <w:marTop w:val="0"/>
          <w:marBottom w:val="0"/>
          <w:divBdr>
            <w:top w:val="none" w:sz="0" w:space="0" w:color="auto"/>
            <w:left w:val="none" w:sz="0" w:space="0" w:color="auto"/>
            <w:bottom w:val="none" w:sz="0" w:space="0" w:color="auto"/>
            <w:right w:val="none" w:sz="0" w:space="0" w:color="auto"/>
          </w:divBdr>
          <w:divsChild>
            <w:div w:id="1519392966">
              <w:marLeft w:val="0"/>
              <w:marRight w:val="0"/>
              <w:marTop w:val="0"/>
              <w:marBottom w:val="0"/>
              <w:divBdr>
                <w:top w:val="none" w:sz="0" w:space="0" w:color="auto"/>
                <w:left w:val="none" w:sz="0" w:space="0" w:color="auto"/>
                <w:bottom w:val="none" w:sz="0" w:space="0" w:color="auto"/>
                <w:right w:val="none" w:sz="0" w:space="0" w:color="auto"/>
              </w:divBdr>
            </w:div>
          </w:divsChild>
        </w:div>
        <w:div w:id="1633711048">
          <w:marLeft w:val="0"/>
          <w:marRight w:val="0"/>
          <w:marTop w:val="0"/>
          <w:marBottom w:val="0"/>
          <w:divBdr>
            <w:top w:val="none" w:sz="0" w:space="0" w:color="auto"/>
            <w:left w:val="none" w:sz="0" w:space="0" w:color="auto"/>
            <w:bottom w:val="none" w:sz="0" w:space="0" w:color="auto"/>
            <w:right w:val="none" w:sz="0" w:space="0" w:color="auto"/>
          </w:divBdr>
          <w:divsChild>
            <w:div w:id="675040978">
              <w:marLeft w:val="0"/>
              <w:marRight w:val="0"/>
              <w:marTop w:val="0"/>
              <w:marBottom w:val="0"/>
              <w:divBdr>
                <w:top w:val="none" w:sz="0" w:space="0" w:color="auto"/>
                <w:left w:val="none" w:sz="0" w:space="0" w:color="auto"/>
                <w:bottom w:val="none" w:sz="0" w:space="0" w:color="auto"/>
                <w:right w:val="none" w:sz="0" w:space="0" w:color="auto"/>
              </w:divBdr>
            </w:div>
          </w:divsChild>
        </w:div>
        <w:div w:id="1634363132">
          <w:marLeft w:val="0"/>
          <w:marRight w:val="0"/>
          <w:marTop w:val="0"/>
          <w:marBottom w:val="0"/>
          <w:divBdr>
            <w:top w:val="none" w:sz="0" w:space="0" w:color="auto"/>
            <w:left w:val="none" w:sz="0" w:space="0" w:color="auto"/>
            <w:bottom w:val="none" w:sz="0" w:space="0" w:color="auto"/>
            <w:right w:val="none" w:sz="0" w:space="0" w:color="auto"/>
          </w:divBdr>
          <w:divsChild>
            <w:div w:id="1995448551">
              <w:marLeft w:val="0"/>
              <w:marRight w:val="0"/>
              <w:marTop w:val="0"/>
              <w:marBottom w:val="0"/>
              <w:divBdr>
                <w:top w:val="none" w:sz="0" w:space="0" w:color="auto"/>
                <w:left w:val="none" w:sz="0" w:space="0" w:color="auto"/>
                <w:bottom w:val="none" w:sz="0" w:space="0" w:color="auto"/>
                <w:right w:val="none" w:sz="0" w:space="0" w:color="auto"/>
              </w:divBdr>
            </w:div>
          </w:divsChild>
        </w:div>
        <w:div w:id="1651398445">
          <w:marLeft w:val="0"/>
          <w:marRight w:val="0"/>
          <w:marTop w:val="0"/>
          <w:marBottom w:val="0"/>
          <w:divBdr>
            <w:top w:val="none" w:sz="0" w:space="0" w:color="auto"/>
            <w:left w:val="none" w:sz="0" w:space="0" w:color="auto"/>
            <w:bottom w:val="none" w:sz="0" w:space="0" w:color="auto"/>
            <w:right w:val="none" w:sz="0" w:space="0" w:color="auto"/>
          </w:divBdr>
          <w:divsChild>
            <w:div w:id="59905708">
              <w:marLeft w:val="0"/>
              <w:marRight w:val="0"/>
              <w:marTop w:val="0"/>
              <w:marBottom w:val="0"/>
              <w:divBdr>
                <w:top w:val="none" w:sz="0" w:space="0" w:color="auto"/>
                <w:left w:val="none" w:sz="0" w:space="0" w:color="auto"/>
                <w:bottom w:val="none" w:sz="0" w:space="0" w:color="auto"/>
                <w:right w:val="none" w:sz="0" w:space="0" w:color="auto"/>
              </w:divBdr>
            </w:div>
          </w:divsChild>
        </w:div>
        <w:div w:id="1659186473">
          <w:marLeft w:val="0"/>
          <w:marRight w:val="0"/>
          <w:marTop w:val="0"/>
          <w:marBottom w:val="0"/>
          <w:divBdr>
            <w:top w:val="none" w:sz="0" w:space="0" w:color="auto"/>
            <w:left w:val="none" w:sz="0" w:space="0" w:color="auto"/>
            <w:bottom w:val="none" w:sz="0" w:space="0" w:color="auto"/>
            <w:right w:val="none" w:sz="0" w:space="0" w:color="auto"/>
          </w:divBdr>
          <w:divsChild>
            <w:div w:id="1996756943">
              <w:marLeft w:val="0"/>
              <w:marRight w:val="0"/>
              <w:marTop w:val="0"/>
              <w:marBottom w:val="0"/>
              <w:divBdr>
                <w:top w:val="none" w:sz="0" w:space="0" w:color="auto"/>
                <w:left w:val="none" w:sz="0" w:space="0" w:color="auto"/>
                <w:bottom w:val="none" w:sz="0" w:space="0" w:color="auto"/>
                <w:right w:val="none" w:sz="0" w:space="0" w:color="auto"/>
              </w:divBdr>
            </w:div>
          </w:divsChild>
        </w:div>
        <w:div w:id="1688561734">
          <w:marLeft w:val="0"/>
          <w:marRight w:val="0"/>
          <w:marTop w:val="0"/>
          <w:marBottom w:val="0"/>
          <w:divBdr>
            <w:top w:val="none" w:sz="0" w:space="0" w:color="auto"/>
            <w:left w:val="none" w:sz="0" w:space="0" w:color="auto"/>
            <w:bottom w:val="none" w:sz="0" w:space="0" w:color="auto"/>
            <w:right w:val="none" w:sz="0" w:space="0" w:color="auto"/>
          </w:divBdr>
          <w:divsChild>
            <w:div w:id="485781908">
              <w:marLeft w:val="0"/>
              <w:marRight w:val="0"/>
              <w:marTop w:val="0"/>
              <w:marBottom w:val="0"/>
              <w:divBdr>
                <w:top w:val="none" w:sz="0" w:space="0" w:color="auto"/>
                <w:left w:val="none" w:sz="0" w:space="0" w:color="auto"/>
                <w:bottom w:val="none" w:sz="0" w:space="0" w:color="auto"/>
                <w:right w:val="none" w:sz="0" w:space="0" w:color="auto"/>
              </w:divBdr>
            </w:div>
          </w:divsChild>
        </w:div>
        <w:div w:id="1692953982">
          <w:marLeft w:val="0"/>
          <w:marRight w:val="0"/>
          <w:marTop w:val="0"/>
          <w:marBottom w:val="0"/>
          <w:divBdr>
            <w:top w:val="none" w:sz="0" w:space="0" w:color="auto"/>
            <w:left w:val="none" w:sz="0" w:space="0" w:color="auto"/>
            <w:bottom w:val="none" w:sz="0" w:space="0" w:color="auto"/>
            <w:right w:val="none" w:sz="0" w:space="0" w:color="auto"/>
          </w:divBdr>
          <w:divsChild>
            <w:div w:id="1173689481">
              <w:marLeft w:val="0"/>
              <w:marRight w:val="0"/>
              <w:marTop w:val="0"/>
              <w:marBottom w:val="0"/>
              <w:divBdr>
                <w:top w:val="none" w:sz="0" w:space="0" w:color="auto"/>
                <w:left w:val="none" w:sz="0" w:space="0" w:color="auto"/>
                <w:bottom w:val="none" w:sz="0" w:space="0" w:color="auto"/>
                <w:right w:val="none" w:sz="0" w:space="0" w:color="auto"/>
              </w:divBdr>
            </w:div>
          </w:divsChild>
        </w:div>
        <w:div w:id="1707951265">
          <w:marLeft w:val="0"/>
          <w:marRight w:val="0"/>
          <w:marTop w:val="0"/>
          <w:marBottom w:val="0"/>
          <w:divBdr>
            <w:top w:val="none" w:sz="0" w:space="0" w:color="auto"/>
            <w:left w:val="none" w:sz="0" w:space="0" w:color="auto"/>
            <w:bottom w:val="none" w:sz="0" w:space="0" w:color="auto"/>
            <w:right w:val="none" w:sz="0" w:space="0" w:color="auto"/>
          </w:divBdr>
          <w:divsChild>
            <w:div w:id="74210129">
              <w:marLeft w:val="0"/>
              <w:marRight w:val="0"/>
              <w:marTop w:val="0"/>
              <w:marBottom w:val="0"/>
              <w:divBdr>
                <w:top w:val="none" w:sz="0" w:space="0" w:color="auto"/>
                <w:left w:val="none" w:sz="0" w:space="0" w:color="auto"/>
                <w:bottom w:val="none" w:sz="0" w:space="0" w:color="auto"/>
                <w:right w:val="none" w:sz="0" w:space="0" w:color="auto"/>
              </w:divBdr>
            </w:div>
          </w:divsChild>
        </w:div>
        <w:div w:id="1721241921">
          <w:marLeft w:val="0"/>
          <w:marRight w:val="0"/>
          <w:marTop w:val="0"/>
          <w:marBottom w:val="0"/>
          <w:divBdr>
            <w:top w:val="none" w:sz="0" w:space="0" w:color="auto"/>
            <w:left w:val="none" w:sz="0" w:space="0" w:color="auto"/>
            <w:bottom w:val="none" w:sz="0" w:space="0" w:color="auto"/>
            <w:right w:val="none" w:sz="0" w:space="0" w:color="auto"/>
          </w:divBdr>
          <w:divsChild>
            <w:div w:id="449209437">
              <w:marLeft w:val="0"/>
              <w:marRight w:val="0"/>
              <w:marTop w:val="0"/>
              <w:marBottom w:val="0"/>
              <w:divBdr>
                <w:top w:val="none" w:sz="0" w:space="0" w:color="auto"/>
                <w:left w:val="none" w:sz="0" w:space="0" w:color="auto"/>
                <w:bottom w:val="none" w:sz="0" w:space="0" w:color="auto"/>
                <w:right w:val="none" w:sz="0" w:space="0" w:color="auto"/>
              </w:divBdr>
            </w:div>
          </w:divsChild>
        </w:div>
        <w:div w:id="1733851655">
          <w:marLeft w:val="0"/>
          <w:marRight w:val="0"/>
          <w:marTop w:val="0"/>
          <w:marBottom w:val="0"/>
          <w:divBdr>
            <w:top w:val="none" w:sz="0" w:space="0" w:color="auto"/>
            <w:left w:val="none" w:sz="0" w:space="0" w:color="auto"/>
            <w:bottom w:val="none" w:sz="0" w:space="0" w:color="auto"/>
            <w:right w:val="none" w:sz="0" w:space="0" w:color="auto"/>
          </w:divBdr>
          <w:divsChild>
            <w:div w:id="1546482368">
              <w:marLeft w:val="0"/>
              <w:marRight w:val="0"/>
              <w:marTop w:val="0"/>
              <w:marBottom w:val="0"/>
              <w:divBdr>
                <w:top w:val="none" w:sz="0" w:space="0" w:color="auto"/>
                <w:left w:val="none" w:sz="0" w:space="0" w:color="auto"/>
                <w:bottom w:val="none" w:sz="0" w:space="0" w:color="auto"/>
                <w:right w:val="none" w:sz="0" w:space="0" w:color="auto"/>
              </w:divBdr>
            </w:div>
          </w:divsChild>
        </w:div>
        <w:div w:id="1736929028">
          <w:marLeft w:val="0"/>
          <w:marRight w:val="0"/>
          <w:marTop w:val="0"/>
          <w:marBottom w:val="0"/>
          <w:divBdr>
            <w:top w:val="none" w:sz="0" w:space="0" w:color="auto"/>
            <w:left w:val="none" w:sz="0" w:space="0" w:color="auto"/>
            <w:bottom w:val="none" w:sz="0" w:space="0" w:color="auto"/>
            <w:right w:val="none" w:sz="0" w:space="0" w:color="auto"/>
          </w:divBdr>
          <w:divsChild>
            <w:div w:id="2028368800">
              <w:marLeft w:val="0"/>
              <w:marRight w:val="0"/>
              <w:marTop w:val="0"/>
              <w:marBottom w:val="0"/>
              <w:divBdr>
                <w:top w:val="none" w:sz="0" w:space="0" w:color="auto"/>
                <w:left w:val="none" w:sz="0" w:space="0" w:color="auto"/>
                <w:bottom w:val="none" w:sz="0" w:space="0" w:color="auto"/>
                <w:right w:val="none" w:sz="0" w:space="0" w:color="auto"/>
              </w:divBdr>
            </w:div>
          </w:divsChild>
        </w:div>
        <w:div w:id="1744447125">
          <w:marLeft w:val="0"/>
          <w:marRight w:val="0"/>
          <w:marTop w:val="0"/>
          <w:marBottom w:val="0"/>
          <w:divBdr>
            <w:top w:val="none" w:sz="0" w:space="0" w:color="auto"/>
            <w:left w:val="none" w:sz="0" w:space="0" w:color="auto"/>
            <w:bottom w:val="none" w:sz="0" w:space="0" w:color="auto"/>
            <w:right w:val="none" w:sz="0" w:space="0" w:color="auto"/>
          </w:divBdr>
          <w:divsChild>
            <w:div w:id="890266764">
              <w:marLeft w:val="0"/>
              <w:marRight w:val="0"/>
              <w:marTop w:val="0"/>
              <w:marBottom w:val="0"/>
              <w:divBdr>
                <w:top w:val="none" w:sz="0" w:space="0" w:color="auto"/>
                <w:left w:val="none" w:sz="0" w:space="0" w:color="auto"/>
                <w:bottom w:val="none" w:sz="0" w:space="0" w:color="auto"/>
                <w:right w:val="none" w:sz="0" w:space="0" w:color="auto"/>
              </w:divBdr>
            </w:div>
          </w:divsChild>
        </w:div>
        <w:div w:id="1760517918">
          <w:marLeft w:val="0"/>
          <w:marRight w:val="0"/>
          <w:marTop w:val="0"/>
          <w:marBottom w:val="0"/>
          <w:divBdr>
            <w:top w:val="none" w:sz="0" w:space="0" w:color="auto"/>
            <w:left w:val="none" w:sz="0" w:space="0" w:color="auto"/>
            <w:bottom w:val="none" w:sz="0" w:space="0" w:color="auto"/>
            <w:right w:val="none" w:sz="0" w:space="0" w:color="auto"/>
          </w:divBdr>
          <w:divsChild>
            <w:div w:id="16541979">
              <w:marLeft w:val="0"/>
              <w:marRight w:val="0"/>
              <w:marTop w:val="0"/>
              <w:marBottom w:val="0"/>
              <w:divBdr>
                <w:top w:val="none" w:sz="0" w:space="0" w:color="auto"/>
                <w:left w:val="none" w:sz="0" w:space="0" w:color="auto"/>
                <w:bottom w:val="none" w:sz="0" w:space="0" w:color="auto"/>
                <w:right w:val="none" w:sz="0" w:space="0" w:color="auto"/>
              </w:divBdr>
            </w:div>
          </w:divsChild>
        </w:div>
        <w:div w:id="1761875666">
          <w:marLeft w:val="0"/>
          <w:marRight w:val="0"/>
          <w:marTop w:val="0"/>
          <w:marBottom w:val="0"/>
          <w:divBdr>
            <w:top w:val="none" w:sz="0" w:space="0" w:color="auto"/>
            <w:left w:val="none" w:sz="0" w:space="0" w:color="auto"/>
            <w:bottom w:val="none" w:sz="0" w:space="0" w:color="auto"/>
            <w:right w:val="none" w:sz="0" w:space="0" w:color="auto"/>
          </w:divBdr>
          <w:divsChild>
            <w:div w:id="118691914">
              <w:marLeft w:val="0"/>
              <w:marRight w:val="0"/>
              <w:marTop w:val="0"/>
              <w:marBottom w:val="0"/>
              <w:divBdr>
                <w:top w:val="none" w:sz="0" w:space="0" w:color="auto"/>
                <w:left w:val="none" w:sz="0" w:space="0" w:color="auto"/>
                <w:bottom w:val="none" w:sz="0" w:space="0" w:color="auto"/>
                <w:right w:val="none" w:sz="0" w:space="0" w:color="auto"/>
              </w:divBdr>
            </w:div>
          </w:divsChild>
        </w:div>
        <w:div w:id="1777945951">
          <w:marLeft w:val="0"/>
          <w:marRight w:val="0"/>
          <w:marTop w:val="0"/>
          <w:marBottom w:val="0"/>
          <w:divBdr>
            <w:top w:val="none" w:sz="0" w:space="0" w:color="auto"/>
            <w:left w:val="none" w:sz="0" w:space="0" w:color="auto"/>
            <w:bottom w:val="none" w:sz="0" w:space="0" w:color="auto"/>
            <w:right w:val="none" w:sz="0" w:space="0" w:color="auto"/>
          </w:divBdr>
          <w:divsChild>
            <w:div w:id="1527982506">
              <w:marLeft w:val="0"/>
              <w:marRight w:val="0"/>
              <w:marTop w:val="0"/>
              <w:marBottom w:val="0"/>
              <w:divBdr>
                <w:top w:val="none" w:sz="0" w:space="0" w:color="auto"/>
                <w:left w:val="none" w:sz="0" w:space="0" w:color="auto"/>
                <w:bottom w:val="none" w:sz="0" w:space="0" w:color="auto"/>
                <w:right w:val="none" w:sz="0" w:space="0" w:color="auto"/>
              </w:divBdr>
            </w:div>
          </w:divsChild>
        </w:div>
        <w:div w:id="1784029324">
          <w:marLeft w:val="0"/>
          <w:marRight w:val="0"/>
          <w:marTop w:val="0"/>
          <w:marBottom w:val="0"/>
          <w:divBdr>
            <w:top w:val="none" w:sz="0" w:space="0" w:color="auto"/>
            <w:left w:val="none" w:sz="0" w:space="0" w:color="auto"/>
            <w:bottom w:val="none" w:sz="0" w:space="0" w:color="auto"/>
            <w:right w:val="none" w:sz="0" w:space="0" w:color="auto"/>
          </w:divBdr>
          <w:divsChild>
            <w:div w:id="1341659981">
              <w:marLeft w:val="0"/>
              <w:marRight w:val="0"/>
              <w:marTop w:val="0"/>
              <w:marBottom w:val="0"/>
              <w:divBdr>
                <w:top w:val="none" w:sz="0" w:space="0" w:color="auto"/>
                <w:left w:val="none" w:sz="0" w:space="0" w:color="auto"/>
                <w:bottom w:val="none" w:sz="0" w:space="0" w:color="auto"/>
                <w:right w:val="none" w:sz="0" w:space="0" w:color="auto"/>
              </w:divBdr>
            </w:div>
          </w:divsChild>
        </w:div>
        <w:div w:id="1789201049">
          <w:marLeft w:val="0"/>
          <w:marRight w:val="0"/>
          <w:marTop w:val="0"/>
          <w:marBottom w:val="0"/>
          <w:divBdr>
            <w:top w:val="none" w:sz="0" w:space="0" w:color="auto"/>
            <w:left w:val="none" w:sz="0" w:space="0" w:color="auto"/>
            <w:bottom w:val="none" w:sz="0" w:space="0" w:color="auto"/>
            <w:right w:val="none" w:sz="0" w:space="0" w:color="auto"/>
          </w:divBdr>
          <w:divsChild>
            <w:div w:id="381054516">
              <w:marLeft w:val="0"/>
              <w:marRight w:val="0"/>
              <w:marTop w:val="0"/>
              <w:marBottom w:val="0"/>
              <w:divBdr>
                <w:top w:val="none" w:sz="0" w:space="0" w:color="auto"/>
                <w:left w:val="none" w:sz="0" w:space="0" w:color="auto"/>
                <w:bottom w:val="none" w:sz="0" w:space="0" w:color="auto"/>
                <w:right w:val="none" w:sz="0" w:space="0" w:color="auto"/>
              </w:divBdr>
            </w:div>
          </w:divsChild>
        </w:div>
        <w:div w:id="1794248986">
          <w:marLeft w:val="0"/>
          <w:marRight w:val="0"/>
          <w:marTop w:val="0"/>
          <w:marBottom w:val="0"/>
          <w:divBdr>
            <w:top w:val="none" w:sz="0" w:space="0" w:color="auto"/>
            <w:left w:val="none" w:sz="0" w:space="0" w:color="auto"/>
            <w:bottom w:val="none" w:sz="0" w:space="0" w:color="auto"/>
            <w:right w:val="none" w:sz="0" w:space="0" w:color="auto"/>
          </w:divBdr>
          <w:divsChild>
            <w:div w:id="809984673">
              <w:marLeft w:val="0"/>
              <w:marRight w:val="0"/>
              <w:marTop w:val="0"/>
              <w:marBottom w:val="0"/>
              <w:divBdr>
                <w:top w:val="none" w:sz="0" w:space="0" w:color="auto"/>
                <w:left w:val="none" w:sz="0" w:space="0" w:color="auto"/>
                <w:bottom w:val="none" w:sz="0" w:space="0" w:color="auto"/>
                <w:right w:val="none" w:sz="0" w:space="0" w:color="auto"/>
              </w:divBdr>
            </w:div>
          </w:divsChild>
        </w:div>
        <w:div w:id="1796606062">
          <w:marLeft w:val="0"/>
          <w:marRight w:val="0"/>
          <w:marTop w:val="0"/>
          <w:marBottom w:val="0"/>
          <w:divBdr>
            <w:top w:val="none" w:sz="0" w:space="0" w:color="auto"/>
            <w:left w:val="none" w:sz="0" w:space="0" w:color="auto"/>
            <w:bottom w:val="none" w:sz="0" w:space="0" w:color="auto"/>
            <w:right w:val="none" w:sz="0" w:space="0" w:color="auto"/>
          </w:divBdr>
          <w:divsChild>
            <w:div w:id="2081167608">
              <w:marLeft w:val="0"/>
              <w:marRight w:val="0"/>
              <w:marTop w:val="0"/>
              <w:marBottom w:val="0"/>
              <w:divBdr>
                <w:top w:val="none" w:sz="0" w:space="0" w:color="auto"/>
                <w:left w:val="none" w:sz="0" w:space="0" w:color="auto"/>
                <w:bottom w:val="none" w:sz="0" w:space="0" w:color="auto"/>
                <w:right w:val="none" w:sz="0" w:space="0" w:color="auto"/>
              </w:divBdr>
            </w:div>
          </w:divsChild>
        </w:div>
        <w:div w:id="1799952831">
          <w:marLeft w:val="0"/>
          <w:marRight w:val="0"/>
          <w:marTop w:val="0"/>
          <w:marBottom w:val="0"/>
          <w:divBdr>
            <w:top w:val="none" w:sz="0" w:space="0" w:color="auto"/>
            <w:left w:val="none" w:sz="0" w:space="0" w:color="auto"/>
            <w:bottom w:val="none" w:sz="0" w:space="0" w:color="auto"/>
            <w:right w:val="none" w:sz="0" w:space="0" w:color="auto"/>
          </w:divBdr>
          <w:divsChild>
            <w:div w:id="1103763333">
              <w:marLeft w:val="0"/>
              <w:marRight w:val="0"/>
              <w:marTop w:val="0"/>
              <w:marBottom w:val="0"/>
              <w:divBdr>
                <w:top w:val="none" w:sz="0" w:space="0" w:color="auto"/>
                <w:left w:val="none" w:sz="0" w:space="0" w:color="auto"/>
                <w:bottom w:val="none" w:sz="0" w:space="0" w:color="auto"/>
                <w:right w:val="none" w:sz="0" w:space="0" w:color="auto"/>
              </w:divBdr>
            </w:div>
          </w:divsChild>
        </w:div>
        <w:div w:id="1815296912">
          <w:marLeft w:val="0"/>
          <w:marRight w:val="0"/>
          <w:marTop w:val="0"/>
          <w:marBottom w:val="0"/>
          <w:divBdr>
            <w:top w:val="none" w:sz="0" w:space="0" w:color="auto"/>
            <w:left w:val="none" w:sz="0" w:space="0" w:color="auto"/>
            <w:bottom w:val="none" w:sz="0" w:space="0" w:color="auto"/>
            <w:right w:val="none" w:sz="0" w:space="0" w:color="auto"/>
          </w:divBdr>
          <w:divsChild>
            <w:div w:id="2067101076">
              <w:marLeft w:val="0"/>
              <w:marRight w:val="0"/>
              <w:marTop w:val="0"/>
              <w:marBottom w:val="0"/>
              <w:divBdr>
                <w:top w:val="none" w:sz="0" w:space="0" w:color="auto"/>
                <w:left w:val="none" w:sz="0" w:space="0" w:color="auto"/>
                <w:bottom w:val="none" w:sz="0" w:space="0" w:color="auto"/>
                <w:right w:val="none" w:sz="0" w:space="0" w:color="auto"/>
              </w:divBdr>
            </w:div>
          </w:divsChild>
        </w:div>
        <w:div w:id="1816797789">
          <w:marLeft w:val="0"/>
          <w:marRight w:val="0"/>
          <w:marTop w:val="0"/>
          <w:marBottom w:val="0"/>
          <w:divBdr>
            <w:top w:val="none" w:sz="0" w:space="0" w:color="auto"/>
            <w:left w:val="none" w:sz="0" w:space="0" w:color="auto"/>
            <w:bottom w:val="none" w:sz="0" w:space="0" w:color="auto"/>
            <w:right w:val="none" w:sz="0" w:space="0" w:color="auto"/>
          </w:divBdr>
          <w:divsChild>
            <w:div w:id="1731687231">
              <w:marLeft w:val="0"/>
              <w:marRight w:val="0"/>
              <w:marTop w:val="0"/>
              <w:marBottom w:val="0"/>
              <w:divBdr>
                <w:top w:val="none" w:sz="0" w:space="0" w:color="auto"/>
                <w:left w:val="none" w:sz="0" w:space="0" w:color="auto"/>
                <w:bottom w:val="none" w:sz="0" w:space="0" w:color="auto"/>
                <w:right w:val="none" w:sz="0" w:space="0" w:color="auto"/>
              </w:divBdr>
            </w:div>
          </w:divsChild>
        </w:div>
        <w:div w:id="1827548203">
          <w:marLeft w:val="0"/>
          <w:marRight w:val="0"/>
          <w:marTop w:val="0"/>
          <w:marBottom w:val="0"/>
          <w:divBdr>
            <w:top w:val="none" w:sz="0" w:space="0" w:color="auto"/>
            <w:left w:val="none" w:sz="0" w:space="0" w:color="auto"/>
            <w:bottom w:val="none" w:sz="0" w:space="0" w:color="auto"/>
            <w:right w:val="none" w:sz="0" w:space="0" w:color="auto"/>
          </w:divBdr>
          <w:divsChild>
            <w:div w:id="1771274075">
              <w:marLeft w:val="0"/>
              <w:marRight w:val="0"/>
              <w:marTop w:val="0"/>
              <w:marBottom w:val="0"/>
              <w:divBdr>
                <w:top w:val="none" w:sz="0" w:space="0" w:color="auto"/>
                <w:left w:val="none" w:sz="0" w:space="0" w:color="auto"/>
                <w:bottom w:val="none" w:sz="0" w:space="0" w:color="auto"/>
                <w:right w:val="none" w:sz="0" w:space="0" w:color="auto"/>
              </w:divBdr>
            </w:div>
          </w:divsChild>
        </w:div>
        <w:div w:id="1844392036">
          <w:marLeft w:val="0"/>
          <w:marRight w:val="0"/>
          <w:marTop w:val="0"/>
          <w:marBottom w:val="0"/>
          <w:divBdr>
            <w:top w:val="none" w:sz="0" w:space="0" w:color="auto"/>
            <w:left w:val="none" w:sz="0" w:space="0" w:color="auto"/>
            <w:bottom w:val="none" w:sz="0" w:space="0" w:color="auto"/>
            <w:right w:val="none" w:sz="0" w:space="0" w:color="auto"/>
          </w:divBdr>
          <w:divsChild>
            <w:div w:id="1489782084">
              <w:marLeft w:val="0"/>
              <w:marRight w:val="0"/>
              <w:marTop w:val="0"/>
              <w:marBottom w:val="0"/>
              <w:divBdr>
                <w:top w:val="none" w:sz="0" w:space="0" w:color="auto"/>
                <w:left w:val="none" w:sz="0" w:space="0" w:color="auto"/>
                <w:bottom w:val="none" w:sz="0" w:space="0" w:color="auto"/>
                <w:right w:val="none" w:sz="0" w:space="0" w:color="auto"/>
              </w:divBdr>
            </w:div>
          </w:divsChild>
        </w:div>
        <w:div w:id="1855728342">
          <w:marLeft w:val="0"/>
          <w:marRight w:val="0"/>
          <w:marTop w:val="0"/>
          <w:marBottom w:val="0"/>
          <w:divBdr>
            <w:top w:val="none" w:sz="0" w:space="0" w:color="auto"/>
            <w:left w:val="none" w:sz="0" w:space="0" w:color="auto"/>
            <w:bottom w:val="none" w:sz="0" w:space="0" w:color="auto"/>
            <w:right w:val="none" w:sz="0" w:space="0" w:color="auto"/>
          </w:divBdr>
          <w:divsChild>
            <w:div w:id="1355381471">
              <w:marLeft w:val="0"/>
              <w:marRight w:val="0"/>
              <w:marTop w:val="0"/>
              <w:marBottom w:val="0"/>
              <w:divBdr>
                <w:top w:val="none" w:sz="0" w:space="0" w:color="auto"/>
                <w:left w:val="none" w:sz="0" w:space="0" w:color="auto"/>
                <w:bottom w:val="none" w:sz="0" w:space="0" w:color="auto"/>
                <w:right w:val="none" w:sz="0" w:space="0" w:color="auto"/>
              </w:divBdr>
            </w:div>
          </w:divsChild>
        </w:div>
        <w:div w:id="1859998058">
          <w:marLeft w:val="0"/>
          <w:marRight w:val="0"/>
          <w:marTop w:val="0"/>
          <w:marBottom w:val="0"/>
          <w:divBdr>
            <w:top w:val="none" w:sz="0" w:space="0" w:color="auto"/>
            <w:left w:val="none" w:sz="0" w:space="0" w:color="auto"/>
            <w:bottom w:val="none" w:sz="0" w:space="0" w:color="auto"/>
            <w:right w:val="none" w:sz="0" w:space="0" w:color="auto"/>
          </w:divBdr>
          <w:divsChild>
            <w:div w:id="306126653">
              <w:marLeft w:val="0"/>
              <w:marRight w:val="0"/>
              <w:marTop w:val="0"/>
              <w:marBottom w:val="0"/>
              <w:divBdr>
                <w:top w:val="none" w:sz="0" w:space="0" w:color="auto"/>
                <w:left w:val="none" w:sz="0" w:space="0" w:color="auto"/>
                <w:bottom w:val="none" w:sz="0" w:space="0" w:color="auto"/>
                <w:right w:val="none" w:sz="0" w:space="0" w:color="auto"/>
              </w:divBdr>
            </w:div>
          </w:divsChild>
        </w:div>
        <w:div w:id="1866944288">
          <w:marLeft w:val="0"/>
          <w:marRight w:val="0"/>
          <w:marTop w:val="0"/>
          <w:marBottom w:val="0"/>
          <w:divBdr>
            <w:top w:val="none" w:sz="0" w:space="0" w:color="auto"/>
            <w:left w:val="none" w:sz="0" w:space="0" w:color="auto"/>
            <w:bottom w:val="none" w:sz="0" w:space="0" w:color="auto"/>
            <w:right w:val="none" w:sz="0" w:space="0" w:color="auto"/>
          </w:divBdr>
          <w:divsChild>
            <w:div w:id="2015497483">
              <w:marLeft w:val="0"/>
              <w:marRight w:val="0"/>
              <w:marTop w:val="0"/>
              <w:marBottom w:val="0"/>
              <w:divBdr>
                <w:top w:val="none" w:sz="0" w:space="0" w:color="auto"/>
                <w:left w:val="none" w:sz="0" w:space="0" w:color="auto"/>
                <w:bottom w:val="none" w:sz="0" w:space="0" w:color="auto"/>
                <w:right w:val="none" w:sz="0" w:space="0" w:color="auto"/>
              </w:divBdr>
            </w:div>
          </w:divsChild>
        </w:div>
        <w:div w:id="1872840862">
          <w:marLeft w:val="0"/>
          <w:marRight w:val="0"/>
          <w:marTop w:val="0"/>
          <w:marBottom w:val="0"/>
          <w:divBdr>
            <w:top w:val="none" w:sz="0" w:space="0" w:color="auto"/>
            <w:left w:val="none" w:sz="0" w:space="0" w:color="auto"/>
            <w:bottom w:val="none" w:sz="0" w:space="0" w:color="auto"/>
            <w:right w:val="none" w:sz="0" w:space="0" w:color="auto"/>
          </w:divBdr>
          <w:divsChild>
            <w:div w:id="344094211">
              <w:marLeft w:val="0"/>
              <w:marRight w:val="0"/>
              <w:marTop w:val="0"/>
              <w:marBottom w:val="0"/>
              <w:divBdr>
                <w:top w:val="none" w:sz="0" w:space="0" w:color="auto"/>
                <w:left w:val="none" w:sz="0" w:space="0" w:color="auto"/>
                <w:bottom w:val="none" w:sz="0" w:space="0" w:color="auto"/>
                <w:right w:val="none" w:sz="0" w:space="0" w:color="auto"/>
              </w:divBdr>
            </w:div>
          </w:divsChild>
        </w:div>
        <w:div w:id="1873569955">
          <w:marLeft w:val="0"/>
          <w:marRight w:val="0"/>
          <w:marTop w:val="0"/>
          <w:marBottom w:val="0"/>
          <w:divBdr>
            <w:top w:val="none" w:sz="0" w:space="0" w:color="auto"/>
            <w:left w:val="none" w:sz="0" w:space="0" w:color="auto"/>
            <w:bottom w:val="none" w:sz="0" w:space="0" w:color="auto"/>
            <w:right w:val="none" w:sz="0" w:space="0" w:color="auto"/>
          </w:divBdr>
          <w:divsChild>
            <w:div w:id="874539392">
              <w:marLeft w:val="0"/>
              <w:marRight w:val="0"/>
              <w:marTop w:val="0"/>
              <w:marBottom w:val="0"/>
              <w:divBdr>
                <w:top w:val="none" w:sz="0" w:space="0" w:color="auto"/>
                <w:left w:val="none" w:sz="0" w:space="0" w:color="auto"/>
                <w:bottom w:val="none" w:sz="0" w:space="0" w:color="auto"/>
                <w:right w:val="none" w:sz="0" w:space="0" w:color="auto"/>
              </w:divBdr>
            </w:div>
          </w:divsChild>
        </w:div>
        <w:div w:id="1877114152">
          <w:marLeft w:val="0"/>
          <w:marRight w:val="0"/>
          <w:marTop w:val="0"/>
          <w:marBottom w:val="0"/>
          <w:divBdr>
            <w:top w:val="none" w:sz="0" w:space="0" w:color="auto"/>
            <w:left w:val="none" w:sz="0" w:space="0" w:color="auto"/>
            <w:bottom w:val="none" w:sz="0" w:space="0" w:color="auto"/>
            <w:right w:val="none" w:sz="0" w:space="0" w:color="auto"/>
          </w:divBdr>
          <w:divsChild>
            <w:div w:id="1781563357">
              <w:marLeft w:val="0"/>
              <w:marRight w:val="0"/>
              <w:marTop w:val="0"/>
              <w:marBottom w:val="0"/>
              <w:divBdr>
                <w:top w:val="none" w:sz="0" w:space="0" w:color="auto"/>
                <w:left w:val="none" w:sz="0" w:space="0" w:color="auto"/>
                <w:bottom w:val="none" w:sz="0" w:space="0" w:color="auto"/>
                <w:right w:val="none" w:sz="0" w:space="0" w:color="auto"/>
              </w:divBdr>
            </w:div>
          </w:divsChild>
        </w:div>
        <w:div w:id="1877886061">
          <w:marLeft w:val="0"/>
          <w:marRight w:val="0"/>
          <w:marTop w:val="0"/>
          <w:marBottom w:val="0"/>
          <w:divBdr>
            <w:top w:val="none" w:sz="0" w:space="0" w:color="auto"/>
            <w:left w:val="none" w:sz="0" w:space="0" w:color="auto"/>
            <w:bottom w:val="none" w:sz="0" w:space="0" w:color="auto"/>
            <w:right w:val="none" w:sz="0" w:space="0" w:color="auto"/>
          </w:divBdr>
          <w:divsChild>
            <w:div w:id="1284337755">
              <w:marLeft w:val="0"/>
              <w:marRight w:val="0"/>
              <w:marTop w:val="0"/>
              <w:marBottom w:val="0"/>
              <w:divBdr>
                <w:top w:val="none" w:sz="0" w:space="0" w:color="auto"/>
                <w:left w:val="none" w:sz="0" w:space="0" w:color="auto"/>
                <w:bottom w:val="none" w:sz="0" w:space="0" w:color="auto"/>
                <w:right w:val="none" w:sz="0" w:space="0" w:color="auto"/>
              </w:divBdr>
            </w:div>
          </w:divsChild>
        </w:div>
        <w:div w:id="1879512530">
          <w:marLeft w:val="0"/>
          <w:marRight w:val="0"/>
          <w:marTop w:val="0"/>
          <w:marBottom w:val="0"/>
          <w:divBdr>
            <w:top w:val="none" w:sz="0" w:space="0" w:color="auto"/>
            <w:left w:val="none" w:sz="0" w:space="0" w:color="auto"/>
            <w:bottom w:val="none" w:sz="0" w:space="0" w:color="auto"/>
            <w:right w:val="none" w:sz="0" w:space="0" w:color="auto"/>
          </w:divBdr>
          <w:divsChild>
            <w:div w:id="462889239">
              <w:marLeft w:val="0"/>
              <w:marRight w:val="0"/>
              <w:marTop w:val="0"/>
              <w:marBottom w:val="0"/>
              <w:divBdr>
                <w:top w:val="none" w:sz="0" w:space="0" w:color="auto"/>
                <w:left w:val="none" w:sz="0" w:space="0" w:color="auto"/>
                <w:bottom w:val="none" w:sz="0" w:space="0" w:color="auto"/>
                <w:right w:val="none" w:sz="0" w:space="0" w:color="auto"/>
              </w:divBdr>
            </w:div>
          </w:divsChild>
        </w:div>
        <w:div w:id="1888101720">
          <w:marLeft w:val="0"/>
          <w:marRight w:val="0"/>
          <w:marTop w:val="0"/>
          <w:marBottom w:val="0"/>
          <w:divBdr>
            <w:top w:val="none" w:sz="0" w:space="0" w:color="auto"/>
            <w:left w:val="none" w:sz="0" w:space="0" w:color="auto"/>
            <w:bottom w:val="none" w:sz="0" w:space="0" w:color="auto"/>
            <w:right w:val="none" w:sz="0" w:space="0" w:color="auto"/>
          </w:divBdr>
          <w:divsChild>
            <w:div w:id="862669125">
              <w:marLeft w:val="0"/>
              <w:marRight w:val="0"/>
              <w:marTop w:val="0"/>
              <w:marBottom w:val="0"/>
              <w:divBdr>
                <w:top w:val="none" w:sz="0" w:space="0" w:color="auto"/>
                <w:left w:val="none" w:sz="0" w:space="0" w:color="auto"/>
                <w:bottom w:val="none" w:sz="0" w:space="0" w:color="auto"/>
                <w:right w:val="none" w:sz="0" w:space="0" w:color="auto"/>
              </w:divBdr>
            </w:div>
          </w:divsChild>
        </w:div>
        <w:div w:id="1889607757">
          <w:marLeft w:val="0"/>
          <w:marRight w:val="0"/>
          <w:marTop w:val="0"/>
          <w:marBottom w:val="0"/>
          <w:divBdr>
            <w:top w:val="none" w:sz="0" w:space="0" w:color="auto"/>
            <w:left w:val="none" w:sz="0" w:space="0" w:color="auto"/>
            <w:bottom w:val="none" w:sz="0" w:space="0" w:color="auto"/>
            <w:right w:val="none" w:sz="0" w:space="0" w:color="auto"/>
          </w:divBdr>
          <w:divsChild>
            <w:div w:id="1903056711">
              <w:marLeft w:val="0"/>
              <w:marRight w:val="0"/>
              <w:marTop w:val="0"/>
              <w:marBottom w:val="0"/>
              <w:divBdr>
                <w:top w:val="none" w:sz="0" w:space="0" w:color="auto"/>
                <w:left w:val="none" w:sz="0" w:space="0" w:color="auto"/>
                <w:bottom w:val="none" w:sz="0" w:space="0" w:color="auto"/>
                <w:right w:val="none" w:sz="0" w:space="0" w:color="auto"/>
              </w:divBdr>
            </w:div>
          </w:divsChild>
        </w:div>
        <w:div w:id="1903327525">
          <w:marLeft w:val="0"/>
          <w:marRight w:val="0"/>
          <w:marTop w:val="0"/>
          <w:marBottom w:val="0"/>
          <w:divBdr>
            <w:top w:val="none" w:sz="0" w:space="0" w:color="auto"/>
            <w:left w:val="none" w:sz="0" w:space="0" w:color="auto"/>
            <w:bottom w:val="none" w:sz="0" w:space="0" w:color="auto"/>
            <w:right w:val="none" w:sz="0" w:space="0" w:color="auto"/>
          </w:divBdr>
          <w:divsChild>
            <w:div w:id="711727362">
              <w:marLeft w:val="0"/>
              <w:marRight w:val="0"/>
              <w:marTop w:val="0"/>
              <w:marBottom w:val="0"/>
              <w:divBdr>
                <w:top w:val="none" w:sz="0" w:space="0" w:color="auto"/>
                <w:left w:val="none" w:sz="0" w:space="0" w:color="auto"/>
                <w:bottom w:val="none" w:sz="0" w:space="0" w:color="auto"/>
                <w:right w:val="none" w:sz="0" w:space="0" w:color="auto"/>
              </w:divBdr>
            </w:div>
          </w:divsChild>
        </w:div>
        <w:div w:id="1909731884">
          <w:marLeft w:val="0"/>
          <w:marRight w:val="0"/>
          <w:marTop w:val="0"/>
          <w:marBottom w:val="0"/>
          <w:divBdr>
            <w:top w:val="none" w:sz="0" w:space="0" w:color="auto"/>
            <w:left w:val="none" w:sz="0" w:space="0" w:color="auto"/>
            <w:bottom w:val="none" w:sz="0" w:space="0" w:color="auto"/>
            <w:right w:val="none" w:sz="0" w:space="0" w:color="auto"/>
          </w:divBdr>
          <w:divsChild>
            <w:div w:id="34081562">
              <w:marLeft w:val="0"/>
              <w:marRight w:val="0"/>
              <w:marTop w:val="0"/>
              <w:marBottom w:val="0"/>
              <w:divBdr>
                <w:top w:val="none" w:sz="0" w:space="0" w:color="auto"/>
                <w:left w:val="none" w:sz="0" w:space="0" w:color="auto"/>
                <w:bottom w:val="none" w:sz="0" w:space="0" w:color="auto"/>
                <w:right w:val="none" w:sz="0" w:space="0" w:color="auto"/>
              </w:divBdr>
            </w:div>
          </w:divsChild>
        </w:div>
        <w:div w:id="1943031649">
          <w:marLeft w:val="0"/>
          <w:marRight w:val="0"/>
          <w:marTop w:val="0"/>
          <w:marBottom w:val="0"/>
          <w:divBdr>
            <w:top w:val="none" w:sz="0" w:space="0" w:color="auto"/>
            <w:left w:val="none" w:sz="0" w:space="0" w:color="auto"/>
            <w:bottom w:val="none" w:sz="0" w:space="0" w:color="auto"/>
            <w:right w:val="none" w:sz="0" w:space="0" w:color="auto"/>
          </w:divBdr>
          <w:divsChild>
            <w:div w:id="1595655">
              <w:marLeft w:val="0"/>
              <w:marRight w:val="0"/>
              <w:marTop w:val="0"/>
              <w:marBottom w:val="0"/>
              <w:divBdr>
                <w:top w:val="none" w:sz="0" w:space="0" w:color="auto"/>
                <w:left w:val="none" w:sz="0" w:space="0" w:color="auto"/>
                <w:bottom w:val="none" w:sz="0" w:space="0" w:color="auto"/>
                <w:right w:val="none" w:sz="0" w:space="0" w:color="auto"/>
              </w:divBdr>
            </w:div>
          </w:divsChild>
        </w:div>
        <w:div w:id="1952349310">
          <w:marLeft w:val="0"/>
          <w:marRight w:val="0"/>
          <w:marTop w:val="0"/>
          <w:marBottom w:val="0"/>
          <w:divBdr>
            <w:top w:val="none" w:sz="0" w:space="0" w:color="auto"/>
            <w:left w:val="none" w:sz="0" w:space="0" w:color="auto"/>
            <w:bottom w:val="none" w:sz="0" w:space="0" w:color="auto"/>
            <w:right w:val="none" w:sz="0" w:space="0" w:color="auto"/>
          </w:divBdr>
          <w:divsChild>
            <w:div w:id="974143422">
              <w:marLeft w:val="0"/>
              <w:marRight w:val="0"/>
              <w:marTop w:val="0"/>
              <w:marBottom w:val="0"/>
              <w:divBdr>
                <w:top w:val="none" w:sz="0" w:space="0" w:color="auto"/>
                <w:left w:val="none" w:sz="0" w:space="0" w:color="auto"/>
                <w:bottom w:val="none" w:sz="0" w:space="0" w:color="auto"/>
                <w:right w:val="none" w:sz="0" w:space="0" w:color="auto"/>
              </w:divBdr>
            </w:div>
          </w:divsChild>
        </w:div>
        <w:div w:id="1953053367">
          <w:marLeft w:val="0"/>
          <w:marRight w:val="0"/>
          <w:marTop w:val="0"/>
          <w:marBottom w:val="0"/>
          <w:divBdr>
            <w:top w:val="none" w:sz="0" w:space="0" w:color="auto"/>
            <w:left w:val="none" w:sz="0" w:space="0" w:color="auto"/>
            <w:bottom w:val="none" w:sz="0" w:space="0" w:color="auto"/>
            <w:right w:val="none" w:sz="0" w:space="0" w:color="auto"/>
          </w:divBdr>
          <w:divsChild>
            <w:div w:id="633751243">
              <w:marLeft w:val="0"/>
              <w:marRight w:val="0"/>
              <w:marTop w:val="0"/>
              <w:marBottom w:val="0"/>
              <w:divBdr>
                <w:top w:val="none" w:sz="0" w:space="0" w:color="auto"/>
                <w:left w:val="none" w:sz="0" w:space="0" w:color="auto"/>
                <w:bottom w:val="none" w:sz="0" w:space="0" w:color="auto"/>
                <w:right w:val="none" w:sz="0" w:space="0" w:color="auto"/>
              </w:divBdr>
            </w:div>
          </w:divsChild>
        </w:div>
        <w:div w:id="1966932538">
          <w:marLeft w:val="0"/>
          <w:marRight w:val="0"/>
          <w:marTop w:val="0"/>
          <w:marBottom w:val="0"/>
          <w:divBdr>
            <w:top w:val="none" w:sz="0" w:space="0" w:color="auto"/>
            <w:left w:val="none" w:sz="0" w:space="0" w:color="auto"/>
            <w:bottom w:val="none" w:sz="0" w:space="0" w:color="auto"/>
            <w:right w:val="none" w:sz="0" w:space="0" w:color="auto"/>
          </w:divBdr>
          <w:divsChild>
            <w:div w:id="907762270">
              <w:marLeft w:val="0"/>
              <w:marRight w:val="0"/>
              <w:marTop w:val="0"/>
              <w:marBottom w:val="0"/>
              <w:divBdr>
                <w:top w:val="none" w:sz="0" w:space="0" w:color="auto"/>
                <w:left w:val="none" w:sz="0" w:space="0" w:color="auto"/>
                <w:bottom w:val="none" w:sz="0" w:space="0" w:color="auto"/>
                <w:right w:val="none" w:sz="0" w:space="0" w:color="auto"/>
              </w:divBdr>
            </w:div>
          </w:divsChild>
        </w:div>
        <w:div w:id="1986157100">
          <w:marLeft w:val="0"/>
          <w:marRight w:val="0"/>
          <w:marTop w:val="0"/>
          <w:marBottom w:val="0"/>
          <w:divBdr>
            <w:top w:val="none" w:sz="0" w:space="0" w:color="auto"/>
            <w:left w:val="none" w:sz="0" w:space="0" w:color="auto"/>
            <w:bottom w:val="none" w:sz="0" w:space="0" w:color="auto"/>
            <w:right w:val="none" w:sz="0" w:space="0" w:color="auto"/>
          </w:divBdr>
          <w:divsChild>
            <w:div w:id="546524829">
              <w:marLeft w:val="0"/>
              <w:marRight w:val="0"/>
              <w:marTop w:val="0"/>
              <w:marBottom w:val="0"/>
              <w:divBdr>
                <w:top w:val="none" w:sz="0" w:space="0" w:color="auto"/>
                <w:left w:val="none" w:sz="0" w:space="0" w:color="auto"/>
                <w:bottom w:val="none" w:sz="0" w:space="0" w:color="auto"/>
                <w:right w:val="none" w:sz="0" w:space="0" w:color="auto"/>
              </w:divBdr>
            </w:div>
          </w:divsChild>
        </w:div>
        <w:div w:id="1991323367">
          <w:marLeft w:val="0"/>
          <w:marRight w:val="0"/>
          <w:marTop w:val="0"/>
          <w:marBottom w:val="0"/>
          <w:divBdr>
            <w:top w:val="none" w:sz="0" w:space="0" w:color="auto"/>
            <w:left w:val="none" w:sz="0" w:space="0" w:color="auto"/>
            <w:bottom w:val="none" w:sz="0" w:space="0" w:color="auto"/>
            <w:right w:val="none" w:sz="0" w:space="0" w:color="auto"/>
          </w:divBdr>
          <w:divsChild>
            <w:div w:id="1110663141">
              <w:marLeft w:val="0"/>
              <w:marRight w:val="0"/>
              <w:marTop w:val="0"/>
              <w:marBottom w:val="0"/>
              <w:divBdr>
                <w:top w:val="none" w:sz="0" w:space="0" w:color="auto"/>
                <w:left w:val="none" w:sz="0" w:space="0" w:color="auto"/>
                <w:bottom w:val="none" w:sz="0" w:space="0" w:color="auto"/>
                <w:right w:val="none" w:sz="0" w:space="0" w:color="auto"/>
              </w:divBdr>
            </w:div>
          </w:divsChild>
        </w:div>
        <w:div w:id="2001886593">
          <w:marLeft w:val="0"/>
          <w:marRight w:val="0"/>
          <w:marTop w:val="0"/>
          <w:marBottom w:val="0"/>
          <w:divBdr>
            <w:top w:val="none" w:sz="0" w:space="0" w:color="auto"/>
            <w:left w:val="none" w:sz="0" w:space="0" w:color="auto"/>
            <w:bottom w:val="none" w:sz="0" w:space="0" w:color="auto"/>
            <w:right w:val="none" w:sz="0" w:space="0" w:color="auto"/>
          </w:divBdr>
          <w:divsChild>
            <w:div w:id="1464695890">
              <w:marLeft w:val="0"/>
              <w:marRight w:val="0"/>
              <w:marTop w:val="0"/>
              <w:marBottom w:val="0"/>
              <w:divBdr>
                <w:top w:val="none" w:sz="0" w:space="0" w:color="auto"/>
                <w:left w:val="none" w:sz="0" w:space="0" w:color="auto"/>
                <w:bottom w:val="none" w:sz="0" w:space="0" w:color="auto"/>
                <w:right w:val="none" w:sz="0" w:space="0" w:color="auto"/>
              </w:divBdr>
            </w:div>
          </w:divsChild>
        </w:div>
        <w:div w:id="2009552646">
          <w:marLeft w:val="0"/>
          <w:marRight w:val="0"/>
          <w:marTop w:val="0"/>
          <w:marBottom w:val="0"/>
          <w:divBdr>
            <w:top w:val="none" w:sz="0" w:space="0" w:color="auto"/>
            <w:left w:val="none" w:sz="0" w:space="0" w:color="auto"/>
            <w:bottom w:val="none" w:sz="0" w:space="0" w:color="auto"/>
            <w:right w:val="none" w:sz="0" w:space="0" w:color="auto"/>
          </w:divBdr>
          <w:divsChild>
            <w:div w:id="1800294245">
              <w:marLeft w:val="0"/>
              <w:marRight w:val="0"/>
              <w:marTop w:val="0"/>
              <w:marBottom w:val="0"/>
              <w:divBdr>
                <w:top w:val="none" w:sz="0" w:space="0" w:color="auto"/>
                <w:left w:val="none" w:sz="0" w:space="0" w:color="auto"/>
                <w:bottom w:val="none" w:sz="0" w:space="0" w:color="auto"/>
                <w:right w:val="none" w:sz="0" w:space="0" w:color="auto"/>
              </w:divBdr>
            </w:div>
          </w:divsChild>
        </w:div>
        <w:div w:id="2010907144">
          <w:marLeft w:val="0"/>
          <w:marRight w:val="0"/>
          <w:marTop w:val="0"/>
          <w:marBottom w:val="0"/>
          <w:divBdr>
            <w:top w:val="none" w:sz="0" w:space="0" w:color="auto"/>
            <w:left w:val="none" w:sz="0" w:space="0" w:color="auto"/>
            <w:bottom w:val="none" w:sz="0" w:space="0" w:color="auto"/>
            <w:right w:val="none" w:sz="0" w:space="0" w:color="auto"/>
          </w:divBdr>
          <w:divsChild>
            <w:div w:id="1512989019">
              <w:marLeft w:val="0"/>
              <w:marRight w:val="0"/>
              <w:marTop w:val="0"/>
              <w:marBottom w:val="0"/>
              <w:divBdr>
                <w:top w:val="none" w:sz="0" w:space="0" w:color="auto"/>
                <w:left w:val="none" w:sz="0" w:space="0" w:color="auto"/>
                <w:bottom w:val="none" w:sz="0" w:space="0" w:color="auto"/>
                <w:right w:val="none" w:sz="0" w:space="0" w:color="auto"/>
              </w:divBdr>
            </w:div>
          </w:divsChild>
        </w:div>
        <w:div w:id="2019035169">
          <w:marLeft w:val="0"/>
          <w:marRight w:val="0"/>
          <w:marTop w:val="0"/>
          <w:marBottom w:val="0"/>
          <w:divBdr>
            <w:top w:val="none" w:sz="0" w:space="0" w:color="auto"/>
            <w:left w:val="none" w:sz="0" w:space="0" w:color="auto"/>
            <w:bottom w:val="none" w:sz="0" w:space="0" w:color="auto"/>
            <w:right w:val="none" w:sz="0" w:space="0" w:color="auto"/>
          </w:divBdr>
          <w:divsChild>
            <w:div w:id="2084177770">
              <w:marLeft w:val="0"/>
              <w:marRight w:val="0"/>
              <w:marTop w:val="0"/>
              <w:marBottom w:val="0"/>
              <w:divBdr>
                <w:top w:val="none" w:sz="0" w:space="0" w:color="auto"/>
                <w:left w:val="none" w:sz="0" w:space="0" w:color="auto"/>
                <w:bottom w:val="none" w:sz="0" w:space="0" w:color="auto"/>
                <w:right w:val="none" w:sz="0" w:space="0" w:color="auto"/>
              </w:divBdr>
            </w:div>
          </w:divsChild>
        </w:div>
        <w:div w:id="2026323985">
          <w:marLeft w:val="0"/>
          <w:marRight w:val="0"/>
          <w:marTop w:val="0"/>
          <w:marBottom w:val="0"/>
          <w:divBdr>
            <w:top w:val="none" w:sz="0" w:space="0" w:color="auto"/>
            <w:left w:val="none" w:sz="0" w:space="0" w:color="auto"/>
            <w:bottom w:val="none" w:sz="0" w:space="0" w:color="auto"/>
            <w:right w:val="none" w:sz="0" w:space="0" w:color="auto"/>
          </w:divBdr>
          <w:divsChild>
            <w:div w:id="627080524">
              <w:marLeft w:val="0"/>
              <w:marRight w:val="0"/>
              <w:marTop w:val="0"/>
              <w:marBottom w:val="0"/>
              <w:divBdr>
                <w:top w:val="none" w:sz="0" w:space="0" w:color="auto"/>
                <w:left w:val="none" w:sz="0" w:space="0" w:color="auto"/>
                <w:bottom w:val="none" w:sz="0" w:space="0" w:color="auto"/>
                <w:right w:val="none" w:sz="0" w:space="0" w:color="auto"/>
              </w:divBdr>
            </w:div>
          </w:divsChild>
        </w:div>
        <w:div w:id="2032608378">
          <w:marLeft w:val="0"/>
          <w:marRight w:val="0"/>
          <w:marTop w:val="0"/>
          <w:marBottom w:val="0"/>
          <w:divBdr>
            <w:top w:val="none" w:sz="0" w:space="0" w:color="auto"/>
            <w:left w:val="none" w:sz="0" w:space="0" w:color="auto"/>
            <w:bottom w:val="none" w:sz="0" w:space="0" w:color="auto"/>
            <w:right w:val="none" w:sz="0" w:space="0" w:color="auto"/>
          </w:divBdr>
          <w:divsChild>
            <w:div w:id="2119837405">
              <w:marLeft w:val="0"/>
              <w:marRight w:val="0"/>
              <w:marTop w:val="0"/>
              <w:marBottom w:val="0"/>
              <w:divBdr>
                <w:top w:val="none" w:sz="0" w:space="0" w:color="auto"/>
                <w:left w:val="none" w:sz="0" w:space="0" w:color="auto"/>
                <w:bottom w:val="none" w:sz="0" w:space="0" w:color="auto"/>
                <w:right w:val="none" w:sz="0" w:space="0" w:color="auto"/>
              </w:divBdr>
            </w:div>
          </w:divsChild>
        </w:div>
        <w:div w:id="2036149675">
          <w:marLeft w:val="0"/>
          <w:marRight w:val="0"/>
          <w:marTop w:val="0"/>
          <w:marBottom w:val="0"/>
          <w:divBdr>
            <w:top w:val="none" w:sz="0" w:space="0" w:color="auto"/>
            <w:left w:val="none" w:sz="0" w:space="0" w:color="auto"/>
            <w:bottom w:val="none" w:sz="0" w:space="0" w:color="auto"/>
            <w:right w:val="none" w:sz="0" w:space="0" w:color="auto"/>
          </w:divBdr>
          <w:divsChild>
            <w:div w:id="1959944706">
              <w:marLeft w:val="0"/>
              <w:marRight w:val="0"/>
              <w:marTop w:val="0"/>
              <w:marBottom w:val="0"/>
              <w:divBdr>
                <w:top w:val="none" w:sz="0" w:space="0" w:color="auto"/>
                <w:left w:val="none" w:sz="0" w:space="0" w:color="auto"/>
                <w:bottom w:val="none" w:sz="0" w:space="0" w:color="auto"/>
                <w:right w:val="none" w:sz="0" w:space="0" w:color="auto"/>
              </w:divBdr>
            </w:div>
          </w:divsChild>
        </w:div>
        <w:div w:id="2036809739">
          <w:marLeft w:val="0"/>
          <w:marRight w:val="0"/>
          <w:marTop w:val="0"/>
          <w:marBottom w:val="0"/>
          <w:divBdr>
            <w:top w:val="none" w:sz="0" w:space="0" w:color="auto"/>
            <w:left w:val="none" w:sz="0" w:space="0" w:color="auto"/>
            <w:bottom w:val="none" w:sz="0" w:space="0" w:color="auto"/>
            <w:right w:val="none" w:sz="0" w:space="0" w:color="auto"/>
          </w:divBdr>
          <w:divsChild>
            <w:div w:id="1438868040">
              <w:marLeft w:val="0"/>
              <w:marRight w:val="0"/>
              <w:marTop w:val="0"/>
              <w:marBottom w:val="0"/>
              <w:divBdr>
                <w:top w:val="none" w:sz="0" w:space="0" w:color="auto"/>
                <w:left w:val="none" w:sz="0" w:space="0" w:color="auto"/>
                <w:bottom w:val="none" w:sz="0" w:space="0" w:color="auto"/>
                <w:right w:val="none" w:sz="0" w:space="0" w:color="auto"/>
              </w:divBdr>
            </w:div>
          </w:divsChild>
        </w:div>
        <w:div w:id="2038964300">
          <w:marLeft w:val="0"/>
          <w:marRight w:val="0"/>
          <w:marTop w:val="0"/>
          <w:marBottom w:val="0"/>
          <w:divBdr>
            <w:top w:val="none" w:sz="0" w:space="0" w:color="auto"/>
            <w:left w:val="none" w:sz="0" w:space="0" w:color="auto"/>
            <w:bottom w:val="none" w:sz="0" w:space="0" w:color="auto"/>
            <w:right w:val="none" w:sz="0" w:space="0" w:color="auto"/>
          </w:divBdr>
          <w:divsChild>
            <w:div w:id="822085549">
              <w:marLeft w:val="0"/>
              <w:marRight w:val="0"/>
              <w:marTop w:val="0"/>
              <w:marBottom w:val="0"/>
              <w:divBdr>
                <w:top w:val="none" w:sz="0" w:space="0" w:color="auto"/>
                <w:left w:val="none" w:sz="0" w:space="0" w:color="auto"/>
                <w:bottom w:val="none" w:sz="0" w:space="0" w:color="auto"/>
                <w:right w:val="none" w:sz="0" w:space="0" w:color="auto"/>
              </w:divBdr>
            </w:div>
          </w:divsChild>
        </w:div>
        <w:div w:id="2045250725">
          <w:marLeft w:val="0"/>
          <w:marRight w:val="0"/>
          <w:marTop w:val="0"/>
          <w:marBottom w:val="0"/>
          <w:divBdr>
            <w:top w:val="none" w:sz="0" w:space="0" w:color="auto"/>
            <w:left w:val="none" w:sz="0" w:space="0" w:color="auto"/>
            <w:bottom w:val="none" w:sz="0" w:space="0" w:color="auto"/>
            <w:right w:val="none" w:sz="0" w:space="0" w:color="auto"/>
          </w:divBdr>
          <w:divsChild>
            <w:div w:id="685248593">
              <w:marLeft w:val="0"/>
              <w:marRight w:val="0"/>
              <w:marTop w:val="0"/>
              <w:marBottom w:val="0"/>
              <w:divBdr>
                <w:top w:val="none" w:sz="0" w:space="0" w:color="auto"/>
                <w:left w:val="none" w:sz="0" w:space="0" w:color="auto"/>
                <w:bottom w:val="none" w:sz="0" w:space="0" w:color="auto"/>
                <w:right w:val="none" w:sz="0" w:space="0" w:color="auto"/>
              </w:divBdr>
            </w:div>
          </w:divsChild>
        </w:div>
        <w:div w:id="2055351075">
          <w:marLeft w:val="0"/>
          <w:marRight w:val="0"/>
          <w:marTop w:val="0"/>
          <w:marBottom w:val="0"/>
          <w:divBdr>
            <w:top w:val="none" w:sz="0" w:space="0" w:color="auto"/>
            <w:left w:val="none" w:sz="0" w:space="0" w:color="auto"/>
            <w:bottom w:val="none" w:sz="0" w:space="0" w:color="auto"/>
            <w:right w:val="none" w:sz="0" w:space="0" w:color="auto"/>
          </w:divBdr>
          <w:divsChild>
            <w:div w:id="2086612174">
              <w:marLeft w:val="0"/>
              <w:marRight w:val="0"/>
              <w:marTop w:val="0"/>
              <w:marBottom w:val="0"/>
              <w:divBdr>
                <w:top w:val="none" w:sz="0" w:space="0" w:color="auto"/>
                <w:left w:val="none" w:sz="0" w:space="0" w:color="auto"/>
                <w:bottom w:val="none" w:sz="0" w:space="0" w:color="auto"/>
                <w:right w:val="none" w:sz="0" w:space="0" w:color="auto"/>
              </w:divBdr>
            </w:div>
          </w:divsChild>
        </w:div>
        <w:div w:id="2063869510">
          <w:marLeft w:val="0"/>
          <w:marRight w:val="0"/>
          <w:marTop w:val="0"/>
          <w:marBottom w:val="0"/>
          <w:divBdr>
            <w:top w:val="none" w:sz="0" w:space="0" w:color="auto"/>
            <w:left w:val="none" w:sz="0" w:space="0" w:color="auto"/>
            <w:bottom w:val="none" w:sz="0" w:space="0" w:color="auto"/>
            <w:right w:val="none" w:sz="0" w:space="0" w:color="auto"/>
          </w:divBdr>
          <w:divsChild>
            <w:div w:id="668564455">
              <w:marLeft w:val="0"/>
              <w:marRight w:val="0"/>
              <w:marTop w:val="0"/>
              <w:marBottom w:val="0"/>
              <w:divBdr>
                <w:top w:val="none" w:sz="0" w:space="0" w:color="auto"/>
                <w:left w:val="none" w:sz="0" w:space="0" w:color="auto"/>
                <w:bottom w:val="none" w:sz="0" w:space="0" w:color="auto"/>
                <w:right w:val="none" w:sz="0" w:space="0" w:color="auto"/>
              </w:divBdr>
            </w:div>
          </w:divsChild>
        </w:div>
        <w:div w:id="2091466020">
          <w:marLeft w:val="0"/>
          <w:marRight w:val="0"/>
          <w:marTop w:val="0"/>
          <w:marBottom w:val="0"/>
          <w:divBdr>
            <w:top w:val="none" w:sz="0" w:space="0" w:color="auto"/>
            <w:left w:val="none" w:sz="0" w:space="0" w:color="auto"/>
            <w:bottom w:val="none" w:sz="0" w:space="0" w:color="auto"/>
            <w:right w:val="none" w:sz="0" w:space="0" w:color="auto"/>
          </w:divBdr>
          <w:divsChild>
            <w:div w:id="571159769">
              <w:marLeft w:val="0"/>
              <w:marRight w:val="0"/>
              <w:marTop w:val="0"/>
              <w:marBottom w:val="0"/>
              <w:divBdr>
                <w:top w:val="none" w:sz="0" w:space="0" w:color="auto"/>
                <w:left w:val="none" w:sz="0" w:space="0" w:color="auto"/>
                <w:bottom w:val="none" w:sz="0" w:space="0" w:color="auto"/>
                <w:right w:val="none" w:sz="0" w:space="0" w:color="auto"/>
              </w:divBdr>
            </w:div>
          </w:divsChild>
        </w:div>
        <w:div w:id="2113209905">
          <w:marLeft w:val="0"/>
          <w:marRight w:val="0"/>
          <w:marTop w:val="0"/>
          <w:marBottom w:val="0"/>
          <w:divBdr>
            <w:top w:val="none" w:sz="0" w:space="0" w:color="auto"/>
            <w:left w:val="none" w:sz="0" w:space="0" w:color="auto"/>
            <w:bottom w:val="none" w:sz="0" w:space="0" w:color="auto"/>
            <w:right w:val="none" w:sz="0" w:space="0" w:color="auto"/>
          </w:divBdr>
          <w:divsChild>
            <w:div w:id="1010566611">
              <w:marLeft w:val="0"/>
              <w:marRight w:val="0"/>
              <w:marTop w:val="0"/>
              <w:marBottom w:val="0"/>
              <w:divBdr>
                <w:top w:val="none" w:sz="0" w:space="0" w:color="auto"/>
                <w:left w:val="none" w:sz="0" w:space="0" w:color="auto"/>
                <w:bottom w:val="none" w:sz="0" w:space="0" w:color="auto"/>
                <w:right w:val="none" w:sz="0" w:space="0" w:color="auto"/>
              </w:divBdr>
            </w:div>
          </w:divsChild>
        </w:div>
        <w:div w:id="2121608608">
          <w:marLeft w:val="0"/>
          <w:marRight w:val="0"/>
          <w:marTop w:val="0"/>
          <w:marBottom w:val="0"/>
          <w:divBdr>
            <w:top w:val="none" w:sz="0" w:space="0" w:color="auto"/>
            <w:left w:val="none" w:sz="0" w:space="0" w:color="auto"/>
            <w:bottom w:val="none" w:sz="0" w:space="0" w:color="auto"/>
            <w:right w:val="none" w:sz="0" w:space="0" w:color="auto"/>
          </w:divBdr>
          <w:divsChild>
            <w:div w:id="1674183143">
              <w:marLeft w:val="0"/>
              <w:marRight w:val="0"/>
              <w:marTop w:val="0"/>
              <w:marBottom w:val="0"/>
              <w:divBdr>
                <w:top w:val="none" w:sz="0" w:space="0" w:color="auto"/>
                <w:left w:val="none" w:sz="0" w:space="0" w:color="auto"/>
                <w:bottom w:val="none" w:sz="0" w:space="0" w:color="auto"/>
                <w:right w:val="none" w:sz="0" w:space="0" w:color="auto"/>
              </w:divBdr>
            </w:div>
          </w:divsChild>
        </w:div>
        <w:div w:id="2136288351">
          <w:marLeft w:val="0"/>
          <w:marRight w:val="0"/>
          <w:marTop w:val="0"/>
          <w:marBottom w:val="0"/>
          <w:divBdr>
            <w:top w:val="none" w:sz="0" w:space="0" w:color="auto"/>
            <w:left w:val="none" w:sz="0" w:space="0" w:color="auto"/>
            <w:bottom w:val="none" w:sz="0" w:space="0" w:color="auto"/>
            <w:right w:val="none" w:sz="0" w:space="0" w:color="auto"/>
          </w:divBdr>
          <w:divsChild>
            <w:div w:id="108428880">
              <w:marLeft w:val="0"/>
              <w:marRight w:val="0"/>
              <w:marTop w:val="0"/>
              <w:marBottom w:val="0"/>
              <w:divBdr>
                <w:top w:val="none" w:sz="0" w:space="0" w:color="auto"/>
                <w:left w:val="none" w:sz="0" w:space="0" w:color="auto"/>
                <w:bottom w:val="none" w:sz="0" w:space="0" w:color="auto"/>
                <w:right w:val="none" w:sz="0" w:space="0" w:color="auto"/>
              </w:divBdr>
            </w:div>
          </w:divsChild>
        </w:div>
        <w:div w:id="2138255332">
          <w:marLeft w:val="0"/>
          <w:marRight w:val="0"/>
          <w:marTop w:val="0"/>
          <w:marBottom w:val="0"/>
          <w:divBdr>
            <w:top w:val="none" w:sz="0" w:space="0" w:color="auto"/>
            <w:left w:val="none" w:sz="0" w:space="0" w:color="auto"/>
            <w:bottom w:val="none" w:sz="0" w:space="0" w:color="auto"/>
            <w:right w:val="none" w:sz="0" w:space="0" w:color="auto"/>
          </w:divBdr>
          <w:divsChild>
            <w:div w:id="1411849291">
              <w:marLeft w:val="0"/>
              <w:marRight w:val="0"/>
              <w:marTop w:val="0"/>
              <w:marBottom w:val="0"/>
              <w:divBdr>
                <w:top w:val="none" w:sz="0" w:space="0" w:color="auto"/>
                <w:left w:val="none" w:sz="0" w:space="0" w:color="auto"/>
                <w:bottom w:val="none" w:sz="0" w:space="0" w:color="auto"/>
                <w:right w:val="none" w:sz="0" w:space="0" w:color="auto"/>
              </w:divBdr>
            </w:div>
          </w:divsChild>
        </w:div>
        <w:div w:id="2145002463">
          <w:marLeft w:val="0"/>
          <w:marRight w:val="0"/>
          <w:marTop w:val="0"/>
          <w:marBottom w:val="0"/>
          <w:divBdr>
            <w:top w:val="none" w:sz="0" w:space="0" w:color="auto"/>
            <w:left w:val="none" w:sz="0" w:space="0" w:color="auto"/>
            <w:bottom w:val="none" w:sz="0" w:space="0" w:color="auto"/>
            <w:right w:val="none" w:sz="0" w:space="0" w:color="auto"/>
          </w:divBdr>
          <w:divsChild>
            <w:div w:id="166982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58177">
      <w:bodyDiv w:val="1"/>
      <w:marLeft w:val="0"/>
      <w:marRight w:val="0"/>
      <w:marTop w:val="0"/>
      <w:marBottom w:val="0"/>
      <w:divBdr>
        <w:top w:val="none" w:sz="0" w:space="0" w:color="auto"/>
        <w:left w:val="none" w:sz="0" w:space="0" w:color="auto"/>
        <w:bottom w:val="none" w:sz="0" w:space="0" w:color="auto"/>
        <w:right w:val="none" w:sz="0" w:space="0" w:color="auto"/>
      </w:divBdr>
      <w:divsChild>
        <w:div w:id="32507867">
          <w:marLeft w:val="0"/>
          <w:marRight w:val="0"/>
          <w:marTop w:val="0"/>
          <w:marBottom w:val="0"/>
          <w:divBdr>
            <w:top w:val="none" w:sz="0" w:space="0" w:color="auto"/>
            <w:left w:val="none" w:sz="0" w:space="0" w:color="auto"/>
            <w:bottom w:val="none" w:sz="0" w:space="0" w:color="auto"/>
            <w:right w:val="none" w:sz="0" w:space="0" w:color="auto"/>
          </w:divBdr>
        </w:div>
        <w:div w:id="91245009">
          <w:marLeft w:val="0"/>
          <w:marRight w:val="0"/>
          <w:marTop w:val="0"/>
          <w:marBottom w:val="0"/>
          <w:divBdr>
            <w:top w:val="none" w:sz="0" w:space="0" w:color="auto"/>
            <w:left w:val="none" w:sz="0" w:space="0" w:color="auto"/>
            <w:bottom w:val="none" w:sz="0" w:space="0" w:color="auto"/>
            <w:right w:val="none" w:sz="0" w:space="0" w:color="auto"/>
          </w:divBdr>
          <w:divsChild>
            <w:div w:id="207691291">
              <w:marLeft w:val="-75"/>
              <w:marRight w:val="0"/>
              <w:marTop w:val="30"/>
              <w:marBottom w:val="30"/>
              <w:divBdr>
                <w:top w:val="none" w:sz="0" w:space="0" w:color="auto"/>
                <w:left w:val="none" w:sz="0" w:space="0" w:color="auto"/>
                <w:bottom w:val="none" w:sz="0" w:space="0" w:color="auto"/>
                <w:right w:val="none" w:sz="0" w:space="0" w:color="auto"/>
              </w:divBdr>
              <w:divsChild>
                <w:div w:id="112406661">
                  <w:marLeft w:val="0"/>
                  <w:marRight w:val="0"/>
                  <w:marTop w:val="0"/>
                  <w:marBottom w:val="0"/>
                  <w:divBdr>
                    <w:top w:val="none" w:sz="0" w:space="0" w:color="auto"/>
                    <w:left w:val="none" w:sz="0" w:space="0" w:color="auto"/>
                    <w:bottom w:val="none" w:sz="0" w:space="0" w:color="auto"/>
                    <w:right w:val="none" w:sz="0" w:space="0" w:color="auto"/>
                  </w:divBdr>
                  <w:divsChild>
                    <w:div w:id="748885981">
                      <w:marLeft w:val="0"/>
                      <w:marRight w:val="0"/>
                      <w:marTop w:val="0"/>
                      <w:marBottom w:val="0"/>
                      <w:divBdr>
                        <w:top w:val="none" w:sz="0" w:space="0" w:color="auto"/>
                        <w:left w:val="none" w:sz="0" w:space="0" w:color="auto"/>
                        <w:bottom w:val="none" w:sz="0" w:space="0" w:color="auto"/>
                        <w:right w:val="none" w:sz="0" w:space="0" w:color="auto"/>
                      </w:divBdr>
                    </w:div>
                  </w:divsChild>
                </w:div>
                <w:div w:id="226452698">
                  <w:marLeft w:val="0"/>
                  <w:marRight w:val="0"/>
                  <w:marTop w:val="0"/>
                  <w:marBottom w:val="0"/>
                  <w:divBdr>
                    <w:top w:val="none" w:sz="0" w:space="0" w:color="auto"/>
                    <w:left w:val="none" w:sz="0" w:space="0" w:color="auto"/>
                    <w:bottom w:val="none" w:sz="0" w:space="0" w:color="auto"/>
                    <w:right w:val="none" w:sz="0" w:space="0" w:color="auto"/>
                  </w:divBdr>
                  <w:divsChild>
                    <w:div w:id="1868566412">
                      <w:marLeft w:val="0"/>
                      <w:marRight w:val="0"/>
                      <w:marTop w:val="0"/>
                      <w:marBottom w:val="0"/>
                      <w:divBdr>
                        <w:top w:val="none" w:sz="0" w:space="0" w:color="auto"/>
                        <w:left w:val="none" w:sz="0" w:space="0" w:color="auto"/>
                        <w:bottom w:val="none" w:sz="0" w:space="0" w:color="auto"/>
                        <w:right w:val="none" w:sz="0" w:space="0" w:color="auto"/>
                      </w:divBdr>
                    </w:div>
                  </w:divsChild>
                </w:div>
                <w:div w:id="270551223">
                  <w:marLeft w:val="0"/>
                  <w:marRight w:val="0"/>
                  <w:marTop w:val="0"/>
                  <w:marBottom w:val="0"/>
                  <w:divBdr>
                    <w:top w:val="none" w:sz="0" w:space="0" w:color="auto"/>
                    <w:left w:val="none" w:sz="0" w:space="0" w:color="auto"/>
                    <w:bottom w:val="none" w:sz="0" w:space="0" w:color="auto"/>
                    <w:right w:val="none" w:sz="0" w:space="0" w:color="auto"/>
                  </w:divBdr>
                  <w:divsChild>
                    <w:div w:id="410784192">
                      <w:marLeft w:val="0"/>
                      <w:marRight w:val="0"/>
                      <w:marTop w:val="0"/>
                      <w:marBottom w:val="0"/>
                      <w:divBdr>
                        <w:top w:val="none" w:sz="0" w:space="0" w:color="auto"/>
                        <w:left w:val="none" w:sz="0" w:space="0" w:color="auto"/>
                        <w:bottom w:val="none" w:sz="0" w:space="0" w:color="auto"/>
                        <w:right w:val="none" w:sz="0" w:space="0" w:color="auto"/>
                      </w:divBdr>
                    </w:div>
                  </w:divsChild>
                </w:div>
                <w:div w:id="310334702">
                  <w:marLeft w:val="0"/>
                  <w:marRight w:val="0"/>
                  <w:marTop w:val="0"/>
                  <w:marBottom w:val="0"/>
                  <w:divBdr>
                    <w:top w:val="none" w:sz="0" w:space="0" w:color="auto"/>
                    <w:left w:val="none" w:sz="0" w:space="0" w:color="auto"/>
                    <w:bottom w:val="none" w:sz="0" w:space="0" w:color="auto"/>
                    <w:right w:val="none" w:sz="0" w:space="0" w:color="auto"/>
                  </w:divBdr>
                  <w:divsChild>
                    <w:div w:id="2137287288">
                      <w:marLeft w:val="0"/>
                      <w:marRight w:val="0"/>
                      <w:marTop w:val="0"/>
                      <w:marBottom w:val="0"/>
                      <w:divBdr>
                        <w:top w:val="none" w:sz="0" w:space="0" w:color="auto"/>
                        <w:left w:val="none" w:sz="0" w:space="0" w:color="auto"/>
                        <w:bottom w:val="none" w:sz="0" w:space="0" w:color="auto"/>
                        <w:right w:val="none" w:sz="0" w:space="0" w:color="auto"/>
                      </w:divBdr>
                    </w:div>
                  </w:divsChild>
                </w:div>
                <w:div w:id="357892227">
                  <w:marLeft w:val="0"/>
                  <w:marRight w:val="0"/>
                  <w:marTop w:val="0"/>
                  <w:marBottom w:val="0"/>
                  <w:divBdr>
                    <w:top w:val="none" w:sz="0" w:space="0" w:color="auto"/>
                    <w:left w:val="none" w:sz="0" w:space="0" w:color="auto"/>
                    <w:bottom w:val="none" w:sz="0" w:space="0" w:color="auto"/>
                    <w:right w:val="none" w:sz="0" w:space="0" w:color="auto"/>
                  </w:divBdr>
                  <w:divsChild>
                    <w:div w:id="1334455435">
                      <w:marLeft w:val="0"/>
                      <w:marRight w:val="0"/>
                      <w:marTop w:val="0"/>
                      <w:marBottom w:val="0"/>
                      <w:divBdr>
                        <w:top w:val="none" w:sz="0" w:space="0" w:color="auto"/>
                        <w:left w:val="none" w:sz="0" w:space="0" w:color="auto"/>
                        <w:bottom w:val="none" w:sz="0" w:space="0" w:color="auto"/>
                        <w:right w:val="none" w:sz="0" w:space="0" w:color="auto"/>
                      </w:divBdr>
                    </w:div>
                    <w:div w:id="1420952346">
                      <w:marLeft w:val="0"/>
                      <w:marRight w:val="0"/>
                      <w:marTop w:val="0"/>
                      <w:marBottom w:val="0"/>
                      <w:divBdr>
                        <w:top w:val="none" w:sz="0" w:space="0" w:color="auto"/>
                        <w:left w:val="none" w:sz="0" w:space="0" w:color="auto"/>
                        <w:bottom w:val="none" w:sz="0" w:space="0" w:color="auto"/>
                        <w:right w:val="none" w:sz="0" w:space="0" w:color="auto"/>
                      </w:divBdr>
                    </w:div>
                  </w:divsChild>
                </w:div>
                <w:div w:id="488446690">
                  <w:marLeft w:val="0"/>
                  <w:marRight w:val="0"/>
                  <w:marTop w:val="0"/>
                  <w:marBottom w:val="0"/>
                  <w:divBdr>
                    <w:top w:val="none" w:sz="0" w:space="0" w:color="auto"/>
                    <w:left w:val="none" w:sz="0" w:space="0" w:color="auto"/>
                    <w:bottom w:val="none" w:sz="0" w:space="0" w:color="auto"/>
                    <w:right w:val="none" w:sz="0" w:space="0" w:color="auto"/>
                  </w:divBdr>
                  <w:divsChild>
                    <w:div w:id="1062562994">
                      <w:marLeft w:val="0"/>
                      <w:marRight w:val="0"/>
                      <w:marTop w:val="0"/>
                      <w:marBottom w:val="0"/>
                      <w:divBdr>
                        <w:top w:val="none" w:sz="0" w:space="0" w:color="auto"/>
                        <w:left w:val="none" w:sz="0" w:space="0" w:color="auto"/>
                        <w:bottom w:val="none" w:sz="0" w:space="0" w:color="auto"/>
                        <w:right w:val="none" w:sz="0" w:space="0" w:color="auto"/>
                      </w:divBdr>
                    </w:div>
                  </w:divsChild>
                </w:div>
                <w:div w:id="499658474">
                  <w:marLeft w:val="0"/>
                  <w:marRight w:val="0"/>
                  <w:marTop w:val="0"/>
                  <w:marBottom w:val="0"/>
                  <w:divBdr>
                    <w:top w:val="none" w:sz="0" w:space="0" w:color="auto"/>
                    <w:left w:val="none" w:sz="0" w:space="0" w:color="auto"/>
                    <w:bottom w:val="none" w:sz="0" w:space="0" w:color="auto"/>
                    <w:right w:val="none" w:sz="0" w:space="0" w:color="auto"/>
                  </w:divBdr>
                  <w:divsChild>
                    <w:div w:id="1358310304">
                      <w:marLeft w:val="0"/>
                      <w:marRight w:val="0"/>
                      <w:marTop w:val="0"/>
                      <w:marBottom w:val="0"/>
                      <w:divBdr>
                        <w:top w:val="none" w:sz="0" w:space="0" w:color="auto"/>
                        <w:left w:val="none" w:sz="0" w:space="0" w:color="auto"/>
                        <w:bottom w:val="none" w:sz="0" w:space="0" w:color="auto"/>
                        <w:right w:val="none" w:sz="0" w:space="0" w:color="auto"/>
                      </w:divBdr>
                    </w:div>
                  </w:divsChild>
                </w:div>
                <w:div w:id="503402585">
                  <w:marLeft w:val="0"/>
                  <w:marRight w:val="0"/>
                  <w:marTop w:val="0"/>
                  <w:marBottom w:val="0"/>
                  <w:divBdr>
                    <w:top w:val="none" w:sz="0" w:space="0" w:color="auto"/>
                    <w:left w:val="none" w:sz="0" w:space="0" w:color="auto"/>
                    <w:bottom w:val="none" w:sz="0" w:space="0" w:color="auto"/>
                    <w:right w:val="none" w:sz="0" w:space="0" w:color="auto"/>
                  </w:divBdr>
                  <w:divsChild>
                    <w:div w:id="568198999">
                      <w:marLeft w:val="0"/>
                      <w:marRight w:val="0"/>
                      <w:marTop w:val="0"/>
                      <w:marBottom w:val="0"/>
                      <w:divBdr>
                        <w:top w:val="none" w:sz="0" w:space="0" w:color="auto"/>
                        <w:left w:val="none" w:sz="0" w:space="0" w:color="auto"/>
                        <w:bottom w:val="none" w:sz="0" w:space="0" w:color="auto"/>
                        <w:right w:val="none" w:sz="0" w:space="0" w:color="auto"/>
                      </w:divBdr>
                    </w:div>
                  </w:divsChild>
                </w:div>
                <w:div w:id="509487548">
                  <w:marLeft w:val="0"/>
                  <w:marRight w:val="0"/>
                  <w:marTop w:val="0"/>
                  <w:marBottom w:val="0"/>
                  <w:divBdr>
                    <w:top w:val="none" w:sz="0" w:space="0" w:color="auto"/>
                    <w:left w:val="none" w:sz="0" w:space="0" w:color="auto"/>
                    <w:bottom w:val="none" w:sz="0" w:space="0" w:color="auto"/>
                    <w:right w:val="none" w:sz="0" w:space="0" w:color="auto"/>
                  </w:divBdr>
                  <w:divsChild>
                    <w:div w:id="1283073628">
                      <w:marLeft w:val="0"/>
                      <w:marRight w:val="0"/>
                      <w:marTop w:val="0"/>
                      <w:marBottom w:val="0"/>
                      <w:divBdr>
                        <w:top w:val="none" w:sz="0" w:space="0" w:color="auto"/>
                        <w:left w:val="none" w:sz="0" w:space="0" w:color="auto"/>
                        <w:bottom w:val="none" w:sz="0" w:space="0" w:color="auto"/>
                        <w:right w:val="none" w:sz="0" w:space="0" w:color="auto"/>
                      </w:divBdr>
                    </w:div>
                    <w:div w:id="1911764597">
                      <w:marLeft w:val="0"/>
                      <w:marRight w:val="0"/>
                      <w:marTop w:val="0"/>
                      <w:marBottom w:val="0"/>
                      <w:divBdr>
                        <w:top w:val="none" w:sz="0" w:space="0" w:color="auto"/>
                        <w:left w:val="none" w:sz="0" w:space="0" w:color="auto"/>
                        <w:bottom w:val="none" w:sz="0" w:space="0" w:color="auto"/>
                        <w:right w:val="none" w:sz="0" w:space="0" w:color="auto"/>
                      </w:divBdr>
                    </w:div>
                  </w:divsChild>
                </w:div>
                <w:div w:id="553078579">
                  <w:marLeft w:val="0"/>
                  <w:marRight w:val="0"/>
                  <w:marTop w:val="0"/>
                  <w:marBottom w:val="0"/>
                  <w:divBdr>
                    <w:top w:val="none" w:sz="0" w:space="0" w:color="auto"/>
                    <w:left w:val="none" w:sz="0" w:space="0" w:color="auto"/>
                    <w:bottom w:val="none" w:sz="0" w:space="0" w:color="auto"/>
                    <w:right w:val="none" w:sz="0" w:space="0" w:color="auto"/>
                  </w:divBdr>
                  <w:divsChild>
                    <w:div w:id="289676237">
                      <w:marLeft w:val="0"/>
                      <w:marRight w:val="0"/>
                      <w:marTop w:val="0"/>
                      <w:marBottom w:val="0"/>
                      <w:divBdr>
                        <w:top w:val="none" w:sz="0" w:space="0" w:color="auto"/>
                        <w:left w:val="none" w:sz="0" w:space="0" w:color="auto"/>
                        <w:bottom w:val="none" w:sz="0" w:space="0" w:color="auto"/>
                        <w:right w:val="none" w:sz="0" w:space="0" w:color="auto"/>
                      </w:divBdr>
                    </w:div>
                  </w:divsChild>
                </w:div>
                <w:div w:id="583033391">
                  <w:marLeft w:val="0"/>
                  <w:marRight w:val="0"/>
                  <w:marTop w:val="0"/>
                  <w:marBottom w:val="0"/>
                  <w:divBdr>
                    <w:top w:val="none" w:sz="0" w:space="0" w:color="auto"/>
                    <w:left w:val="none" w:sz="0" w:space="0" w:color="auto"/>
                    <w:bottom w:val="none" w:sz="0" w:space="0" w:color="auto"/>
                    <w:right w:val="none" w:sz="0" w:space="0" w:color="auto"/>
                  </w:divBdr>
                  <w:divsChild>
                    <w:div w:id="610237833">
                      <w:marLeft w:val="0"/>
                      <w:marRight w:val="0"/>
                      <w:marTop w:val="0"/>
                      <w:marBottom w:val="0"/>
                      <w:divBdr>
                        <w:top w:val="none" w:sz="0" w:space="0" w:color="auto"/>
                        <w:left w:val="none" w:sz="0" w:space="0" w:color="auto"/>
                        <w:bottom w:val="none" w:sz="0" w:space="0" w:color="auto"/>
                        <w:right w:val="none" w:sz="0" w:space="0" w:color="auto"/>
                      </w:divBdr>
                    </w:div>
                  </w:divsChild>
                </w:div>
                <w:div w:id="622199455">
                  <w:marLeft w:val="0"/>
                  <w:marRight w:val="0"/>
                  <w:marTop w:val="0"/>
                  <w:marBottom w:val="0"/>
                  <w:divBdr>
                    <w:top w:val="none" w:sz="0" w:space="0" w:color="auto"/>
                    <w:left w:val="none" w:sz="0" w:space="0" w:color="auto"/>
                    <w:bottom w:val="none" w:sz="0" w:space="0" w:color="auto"/>
                    <w:right w:val="none" w:sz="0" w:space="0" w:color="auto"/>
                  </w:divBdr>
                  <w:divsChild>
                    <w:div w:id="1688217029">
                      <w:marLeft w:val="0"/>
                      <w:marRight w:val="0"/>
                      <w:marTop w:val="0"/>
                      <w:marBottom w:val="0"/>
                      <w:divBdr>
                        <w:top w:val="none" w:sz="0" w:space="0" w:color="auto"/>
                        <w:left w:val="none" w:sz="0" w:space="0" w:color="auto"/>
                        <w:bottom w:val="none" w:sz="0" w:space="0" w:color="auto"/>
                        <w:right w:val="none" w:sz="0" w:space="0" w:color="auto"/>
                      </w:divBdr>
                    </w:div>
                    <w:div w:id="2111780475">
                      <w:marLeft w:val="0"/>
                      <w:marRight w:val="0"/>
                      <w:marTop w:val="0"/>
                      <w:marBottom w:val="0"/>
                      <w:divBdr>
                        <w:top w:val="none" w:sz="0" w:space="0" w:color="auto"/>
                        <w:left w:val="none" w:sz="0" w:space="0" w:color="auto"/>
                        <w:bottom w:val="none" w:sz="0" w:space="0" w:color="auto"/>
                        <w:right w:val="none" w:sz="0" w:space="0" w:color="auto"/>
                      </w:divBdr>
                    </w:div>
                  </w:divsChild>
                </w:div>
                <w:div w:id="627976956">
                  <w:marLeft w:val="0"/>
                  <w:marRight w:val="0"/>
                  <w:marTop w:val="0"/>
                  <w:marBottom w:val="0"/>
                  <w:divBdr>
                    <w:top w:val="none" w:sz="0" w:space="0" w:color="auto"/>
                    <w:left w:val="none" w:sz="0" w:space="0" w:color="auto"/>
                    <w:bottom w:val="none" w:sz="0" w:space="0" w:color="auto"/>
                    <w:right w:val="none" w:sz="0" w:space="0" w:color="auto"/>
                  </w:divBdr>
                  <w:divsChild>
                    <w:div w:id="861550026">
                      <w:marLeft w:val="0"/>
                      <w:marRight w:val="0"/>
                      <w:marTop w:val="0"/>
                      <w:marBottom w:val="0"/>
                      <w:divBdr>
                        <w:top w:val="none" w:sz="0" w:space="0" w:color="auto"/>
                        <w:left w:val="none" w:sz="0" w:space="0" w:color="auto"/>
                        <w:bottom w:val="none" w:sz="0" w:space="0" w:color="auto"/>
                        <w:right w:val="none" w:sz="0" w:space="0" w:color="auto"/>
                      </w:divBdr>
                    </w:div>
                  </w:divsChild>
                </w:div>
                <w:div w:id="686910806">
                  <w:marLeft w:val="0"/>
                  <w:marRight w:val="0"/>
                  <w:marTop w:val="0"/>
                  <w:marBottom w:val="0"/>
                  <w:divBdr>
                    <w:top w:val="none" w:sz="0" w:space="0" w:color="auto"/>
                    <w:left w:val="none" w:sz="0" w:space="0" w:color="auto"/>
                    <w:bottom w:val="none" w:sz="0" w:space="0" w:color="auto"/>
                    <w:right w:val="none" w:sz="0" w:space="0" w:color="auto"/>
                  </w:divBdr>
                  <w:divsChild>
                    <w:div w:id="1561596710">
                      <w:marLeft w:val="0"/>
                      <w:marRight w:val="0"/>
                      <w:marTop w:val="0"/>
                      <w:marBottom w:val="0"/>
                      <w:divBdr>
                        <w:top w:val="none" w:sz="0" w:space="0" w:color="auto"/>
                        <w:left w:val="none" w:sz="0" w:space="0" w:color="auto"/>
                        <w:bottom w:val="none" w:sz="0" w:space="0" w:color="auto"/>
                        <w:right w:val="none" w:sz="0" w:space="0" w:color="auto"/>
                      </w:divBdr>
                    </w:div>
                  </w:divsChild>
                </w:div>
                <w:div w:id="866407049">
                  <w:marLeft w:val="0"/>
                  <w:marRight w:val="0"/>
                  <w:marTop w:val="0"/>
                  <w:marBottom w:val="0"/>
                  <w:divBdr>
                    <w:top w:val="none" w:sz="0" w:space="0" w:color="auto"/>
                    <w:left w:val="none" w:sz="0" w:space="0" w:color="auto"/>
                    <w:bottom w:val="none" w:sz="0" w:space="0" w:color="auto"/>
                    <w:right w:val="none" w:sz="0" w:space="0" w:color="auto"/>
                  </w:divBdr>
                  <w:divsChild>
                    <w:div w:id="481429819">
                      <w:marLeft w:val="0"/>
                      <w:marRight w:val="0"/>
                      <w:marTop w:val="0"/>
                      <w:marBottom w:val="0"/>
                      <w:divBdr>
                        <w:top w:val="none" w:sz="0" w:space="0" w:color="auto"/>
                        <w:left w:val="none" w:sz="0" w:space="0" w:color="auto"/>
                        <w:bottom w:val="none" w:sz="0" w:space="0" w:color="auto"/>
                        <w:right w:val="none" w:sz="0" w:space="0" w:color="auto"/>
                      </w:divBdr>
                    </w:div>
                  </w:divsChild>
                </w:div>
                <w:div w:id="918759352">
                  <w:marLeft w:val="0"/>
                  <w:marRight w:val="0"/>
                  <w:marTop w:val="0"/>
                  <w:marBottom w:val="0"/>
                  <w:divBdr>
                    <w:top w:val="none" w:sz="0" w:space="0" w:color="auto"/>
                    <w:left w:val="none" w:sz="0" w:space="0" w:color="auto"/>
                    <w:bottom w:val="none" w:sz="0" w:space="0" w:color="auto"/>
                    <w:right w:val="none" w:sz="0" w:space="0" w:color="auto"/>
                  </w:divBdr>
                  <w:divsChild>
                    <w:div w:id="1420910850">
                      <w:marLeft w:val="0"/>
                      <w:marRight w:val="0"/>
                      <w:marTop w:val="0"/>
                      <w:marBottom w:val="0"/>
                      <w:divBdr>
                        <w:top w:val="none" w:sz="0" w:space="0" w:color="auto"/>
                        <w:left w:val="none" w:sz="0" w:space="0" w:color="auto"/>
                        <w:bottom w:val="none" w:sz="0" w:space="0" w:color="auto"/>
                        <w:right w:val="none" w:sz="0" w:space="0" w:color="auto"/>
                      </w:divBdr>
                    </w:div>
                  </w:divsChild>
                </w:div>
                <w:div w:id="924074568">
                  <w:marLeft w:val="0"/>
                  <w:marRight w:val="0"/>
                  <w:marTop w:val="0"/>
                  <w:marBottom w:val="0"/>
                  <w:divBdr>
                    <w:top w:val="none" w:sz="0" w:space="0" w:color="auto"/>
                    <w:left w:val="none" w:sz="0" w:space="0" w:color="auto"/>
                    <w:bottom w:val="none" w:sz="0" w:space="0" w:color="auto"/>
                    <w:right w:val="none" w:sz="0" w:space="0" w:color="auto"/>
                  </w:divBdr>
                  <w:divsChild>
                    <w:div w:id="225068785">
                      <w:marLeft w:val="0"/>
                      <w:marRight w:val="0"/>
                      <w:marTop w:val="0"/>
                      <w:marBottom w:val="0"/>
                      <w:divBdr>
                        <w:top w:val="none" w:sz="0" w:space="0" w:color="auto"/>
                        <w:left w:val="none" w:sz="0" w:space="0" w:color="auto"/>
                        <w:bottom w:val="none" w:sz="0" w:space="0" w:color="auto"/>
                        <w:right w:val="none" w:sz="0" w:space="0" w:color="auto"/>
                      </w:divBdr>
                    </w:div>
                  </w:divsChild>
                </w:div>
                <w:div w:id="1092164470">
                  <w:marLeft w:val="0"/>
                  <w:marRight w:val="0"/>
                  <w:marTop w:val="0"/>
                  <w:marBottom w:val="0"/>
                  <w:divBdr>
                    <w:top w:val="none" w:sz="0" w:space="0" w:color="auto"/>
                    <w:left w:val="none" w:sz="0" w:space="0" w:color="auto"/>
                    <w:bottom w:val="none" w:sz="0" w:space="0" w:color="auto"/>
                    <w:right w:val="none" w:sz="0" w:space="0" w:color="auto"/>
                  </w:divBdr>
                  <w:divsChild>
                    <w:div w:id="151916266">
                      <w:marLeft w:val="0"/>
                      <w:marRight w:val="0"/>
                      <w:marTop w:val="0"/>
                      <w:marBottom w:val="0"/>
                      <w:divBdr>
                        <w:top w:val="none" w:sz="0" w:space="0" w:color="auto"/>
                        <w:left w:val="none" w:sz="0" w:space="0" w:color="auto"/>
                        <w:bottom w:val="none" w:sz="0" w:space="0" w:color="auto"/>
                        <w:right w:val="none" w:sz="0" w:space="0" w:color="auto"/>
                      </w:divBdr>
                    </w:div>
                  </w:divsChild>
                </w:div>
                <w:div w:id="1122959834">
                  <w:marLeft w:val="0"/>
                  <w:marRight w:val="0"/>
                  <w:marTop w:val="0"/>
                  <w:marBottom w:val="0"/>
                  <w:divBdr>
                    <w:top w:val="none" w:sz="0" w:space="0" w:color="auto"/>
                    <w:left w:val="none" w:sz="0" w:space="0" w:color="auto"/>
                    <w:bottom w:val="none" w:sz="0" w:space="0" w:color="auto"/>
                    <w:right w:val="none" w:sz="0" w:space="0" w:color="auto"/>
                  </w:divBdr>
                  <w:divsChild>
                    <w:div w:id="33307971">
                      <w:marLeft w:val="0"/>
                      <w:marRight w:val="0"/>
                      <w:marTop w:val="0"/>
                      <w:marBottom w:val="0"/>
                      <w:divBdr>
                        <w:top w:val="none" w:sz="0" w:space="0" w:color="auto"/>
                        <w:left w:val="none" w:sz="0" w:space="0" w:color="auto"/>
                        <w:bottom w:val="none" w:sz="0" w:space="0" w:color="auto"/>
                        <w:right w:val="none" w:sz="0" w:space="0" w:color="auto"/>
                      </w:divBdr>
                    </w:div>
                  </w:divsChild>
                </w:div>
                <w:div w:id="1132551888">
                  <w:marLeft w:val="0"/>
                  <w:marRight w:val="0"/>
                  <w:marTop w:val="0"/>
                  <w:marBottom w:val="0"/>
                  <w:divBdr>
                    <w:top w:val="none" w:sz="0" w:space="0" w:color="auto"/>
                    <w:left w:val="none" w:sz="0" w:space="0" w:color="auto"/>
                    <w:bottom w:val="none" w:sz="0" w:space="0" w:color="auto"/>
                    <w:right w:val="none" w:sz="0" w:space="0" w:color="auto"/>
                  </w:divBdr>
                  <w:divsChild>
                    <w:div w:id="1000080956">
                      <w:marLeft w:val="0"/>
                      <w:marRight w:val="0"/>
                      <w:marTop w:val="0"/>
                      <w:marBottom w:val="0"/>
                      <w:divBdr>
                        <w:top w:val="none" w:sz="0" w:space="0" w:color="auto"/>
                        <w:left w:val="none" w:sz="0" w:space="0" w:color="auto"/>
                        <w:bottom w:val="none" w:sz="0" w:space="0" w:color="auto"/>
                        <w:right w:val="none" w:sz="0" w:space="0" w:color="auto"/>
                      </w:divBdr>
                    </w:div>
                  </w:divsChild>
                </w:div>
                <w:div w:id="1177967068">
                  <w:marLeft w:val="0"/>
                  <w:marRight w:val="0"/>
                  <w:marTop w:val="0"/>
                  <w:marBottom w:val="0"/>
                  <w:divBdr>
                    <w:top w:val="none" w:sz="0" w:space="0" w:color="auto"/>
                    <w:left w:val="none" w:sz="0" w:space="0" w:color="auto"/>
                    <w:bottom w:val="none" w:sz="0" w:space="0" w:color="auto"/>
                    <w:right w:val="none" w:sz="0" w:space="0" w:color="auto"/>
                  </w:divBdr>
                  <w:divsChild>
                    <w:div w:id="60754836">
                      <w:marLeft w:val="0"/>
                      <w:marRight w:val="0"/>
                      <w:marTop w:val="0"/>
                      <w:marBottom w:val="0"/>
                      <w:divBdr>
                        <w:top w:val="none" w:sz="0" w:space="0" w:color="auto"/>
                        <w:left w:val="none" w:sz="0" w:space="0" w:color="auto"/>
                        <w:bottom w:val="none" w:sz="0" w:space="0" w:color="auto"/>
                        <w:right w:val="none" w:sz="0" w:space="0" w:color="auto"/>
                      </w:divBdr>
                    </w:div>
                    <w:div w:id="287049625">
                      <w:marLeft w:val="0"/>
                      <w:marRight w:val="0"/>
                      <w:marTop w:val="0"/>
                      <w:marBottom w:val="0"/>
                      <w:divBdr>
                        <w:top w:val="none" w:sz="0" w:space="0" w:color="auto"/>
                        <w:left w:val="none" w:sz="0" w:space="0" w:color="auto"/>
                        <w:bottom w:val="none" w:sz="0" w:space="0" w:color="auto"/>
                        <w:right w:val="none" w:sz="0" w:space="0" w:color="auto"/>
                      </w:divBdr>
                    </w:div>
                  </w:divsChild>
                </w:div>
                <w:div w:id="1219433171">
                  <w:marLeft w:val="0"/>
                  <w:marRight w:val="0"/>
                  <w:marTop w:val="0"/>
                  <w:marBottom w:val="0"/>
                  <w:divBdr>
                    <w:top w:val="none" w:sz="0" w:space="0" w:color="auto"/>
                    <w:left w:val="none" w:sz="0" w:space="0" w:color="auto"/>
                    <w:bottom w:val="none" w:sz="0" w:space="0" w:color="auto"/>
                    <w:right w:val="none" w:sz="0" w:space="0" w:color="auto"/>
                  </w:divBdr>
                  <w:divsChild>
                    <w:div w:id="1952083354">
                      <w:marLeft w:val="0"/>
                      <w:marRight w:val="0"/>
                      <w:marTop w:val="0"/>
                      <w:marBottom w:val="0"/>
                      <w:divBdr>
                        <w:top w:val="none" w:sz="0" w:space="0" w:color="auto"/>
                        <w:left w:val="none" w:sz="0" w:space="0" w:color="auto"/>
                        <w:bottom w:val="none" w:sz="0" w:space="0" w:color="auto"/>
                        <w:right w:val="none" w:sz="0" w:space="0" w:color="auto"/>
                      </w:divBdr>
                    </w:div>
                  </w:divsChild>
                </w:div>
                <w:div w:id="1226914302">
                  <w:marLeft w:val="0"/>
                  <w:marRight w:val="0"/>
                  <w:marTop w:val="0"/>
                  <w:marBottom w:val="0"/>
                  <w:divBdr>
                    <w:top w:val="none" w:sz="0" w:space="0" w:color="auto"/>
                    <w:left w:val="none" w:sz="0" w:space="0" w:color="auto"/>
                    <w:bottom w:val="none" w:sz="0" w:space="0" w:color="auto"/>
                    <w:right w:val="none" w:sz="0" w:space="0" w:color="auto"/>
                  </w:divBdr>
                  <w:divsChild>
                    <w:div w:id="1204515576">
                      <w:marLeft w:val="0"/>
                      <w:marRight w:val="0"/>
                      <w:marTop w:val="0"/>
                      <w:marBottom w:val="0"/>
                      <w:divBdr>
                        <w:top w:val="none" w:sz="0" w:space="0" w:color="auto"/>
                        <w:left w:val="none" w:sz="0" w:space="0" w:color="auto"/>
                        <w:bottom w:val="none" w:sz="0" w:space="0" w:color="auto"/>
                        <w:right w:val="none" w:sz="0" w:space="0" w:color="auto"/>
                      </w:divBdr>
                    </w:div>
                  </w:divsChild>
                </w:div>
                <w:div w:id="1266353398">
                  <w:marLeft w:val="0"/>
                  <w:marRight w:val="0"/>
                  <w:marTop w:val="0"/>
                  <w:marBottom w:val="0"/>
                  <w:divBdr>
                    <w:top w:val="none" w:sz="0" w:space="0" w:color="auto"/>
                    <w:left w:val="none" w:sz="0" w:space="0" w:color="auto"/>
                    <w:bottom w:val="none" w:sz="0" w:space="0" w:color="auto"/>
                    <w:right w:val="none" w:sz="0" w:space="0" w:color="auto"/>
                  </w:divBdr>
                  <w:divsChild>
                    <w:div w:id="1105616137">
                      <w:marLeft w:val="0"/>
                      <w:marRight w:val="0"/>
                      <w:marTop w:val="0"/>
                      <w:marBottom w:val="0"/>
                      <w:divBdr>
                        <w:top w:val="none" w:sz="0" w:space="0" w:color="auto"/>
                        <w:left w:val="none" w:sz="0" w:space="0" w:color="auto"/>
                        <w:bottom w:val="none" w:sz="0" w:space="0" w:color="auto"/>
                        <w:right w:val="none" w:sz="0" w:space="0" w:color="auto"/>
                      </w:divBdr>
                    </w:div>
                  </w:divsChild>
                </w:div>
                <w:div w:id="1389305321">
                  <w:marLeft w:val="0"/>
                  <w:marRight w:val="0"/>
                  <w:marTop w:val="0"/>
                  <w:marBottom w:val="0"/>
                  <w:divBdr>
                    <w:top w:val="none" w:sz="0" w:space="0" w:color="auto"/>
                    <w:left w:val="none" w:sz="0" w:space="0" w:color="auto"/>
                    <w:bottom w:val="none" w:sz="0" w:space="0" w:color="auto"/>
                    <w:right w:val="none" w:sz="0" w:space="0" w:color="auto"/>
                  </w:divBdr>
                  <w:divsChild>
                    <w:div w:id="719789424">
                      <w:marLeft w:val="0"/>
                      <w:marRight w:val="0"/>
                      <w:marTop w:val="0"/>
                      <w:marBottom w:val="0"/>
                      <w:divBdr>
                        <w:top w:val="none" w:sz="0" w:space="0" w:color="auto"/>
                        <w:left w:val="none" w:sz="0" w:space="0" w:color="auto"/>
                        <w:bottom w:val="none" w:sz="0" w:space="0" w:color="auto"/>
                        <w:right w:val="none" w:sz="0" w:space="0" w:color="auto"/>
                      </w:divBdr>
                    </w:div>
                  </w:divsChild>
                </w:div>
                <w:div w:id="1397557883">
                  <w:marLeft w:val="0"/>
                  <w:marRight w:val="0"/>
                  <w:marTop w:val="0"/>
                  <w:marBottom w:val="0"/>
                  <w:divBdr>
                    <w:top w:val="none" w:sz="0" w:space="0" w:color="auto"/>
                    <w:left w:val="none" w:sz="0" w:space="0" w:color="auto"/>
                    <w:bottom w:val="none" w:sz="0" w:space="0" w:color="auto"/>
                    <w:right w:val="none" w:sz="0" w:space="0" w:color="auto"/>
                  </w:divBdr>
                  <w:divsChild>
                    <w:div w:id="10231979">
                      <w:marLeft w:val="0"/>
                      <w:marRight w:val="0"/>
                      <w:marTop w:val="0"/>
                      <w:marBottom w:val="0"/>
                      <w:divBdr>
                        <w:top w:val="none" w:sz="0" w:space="0" w:color="auto"/>
                        <w:left w:val="none" w:sz="0" w:space="0" w:color="auto"/>
                        <w:bottom w:val="none" w:sz="0" w:space="0" w:color="auto"/>
                        <w:right w:val="none" w:sz="0" w:space="0" w:color="auto"/>
                      </w:divBdr>
                    </w:div>
                  </w:divsChild>
                </w:div>
                <w:div w:id="1402362306">
                  <w:marLeft w:val="0"/>
                  <w:marRight w:val="0"/>
                  <w:marTop w:val="0"/>
                  <w:marBottom w:val="0"/>
                  <w:divBdr>
                    <w:top w:val="none" w:sz="0" w:space="0" w:color="auto"/>
                    <w:left w:val="none" w:sz="0" w:space="0" w:color="auto"/>
                    <w:bottom w:val="none" w:sz="0" w:space="0" w:color="auto"/>
                    <w:right w:val="none" w:sz="0" w:space="0" w:color="auto"/>
                  </w:divBdr>
                  <w:divsChild>
                    <w:div w:id="755056086">
                      <w:marLeft w:val="0"/>
                      <w:marRight w:val="0"/>
                      <w:marTop w:val="0"/>
                      <w:marBottom w:val="0"/>
                      <w:divBdr>
                        <w:top w:val="none" w:sz="0" w:space="0" w:color="auto"/>
                        <w:left w:val="none" w:sz="0" w:space="0" w:color="auto"/>
                        <w:bottom w:val="none" w:sz="0" w:space="0" w:color="auto"/>
                        <w:right w:val="none" w:sz="0" w:space="0" w:color="auto"/>
                      </w:divBdr>
                    </w:div>
                  </w:divsChild>
                </w:div>
                <w:div w:id="1438796343">
                  <w:marLeft w:val="0"/>
                  <w:marRight w:val="0"/>
                  <w:marTop w:val="0"/>
                  <w:marBottom w:val="0"/>
                  <w:divBdr>
                    <w:top w:val="none" w:sz="0" w:space="0" w:color="auto"/>
                    <w:left w:val="none" w:sz="0" w:space="0" w:color="auto"/>
                    <w:bottom w:val="none" w:sz="0" w:space="0" w:color="auto"/>
                    <w:right w:val="none" w:sz="0" w:space="0" w:color="auto"/>
                  </w:divBdr>
                  <w:divsChild>
                    <w:div w:id="1767992006">
                      <w:marLeft w:val="0"/>
                      <w:marRight w:val="0"/>
                      <w:marTop w:val="0"/>
                      <w:marBottom w:val="0"/>
                      <w:divBdr>
                        <w:top w:val="none" w:sz="0" w:space="0" w:color="auto"/>
                        <w:left w:val="none" w:sz="0" w:space="0" w:color="auto"/>
                        <w:bottom w:val="none" w:sz="0" w:space="0" w:color="auto"/>
                        <w:right w:val="none" w:sz="0" w:space="0" w:color="auto"/>
                      </w:divBdr>
                    </w:div>
                  </w:divsChild>
                </w:div>
                <w:div w:id="1464814452">
                  <w:marLeft w:val="0"/>
                  <w:marRight w:val="0"/>
                  <w:marTop w:val="0"/>
                  <w:marBottom w:val="0"/>
                  <w:divBdr>
                    <w:top w:val="none" w:sz="0" w:space="0" w:color="auto"/>
                    <w:left w:val="none" w:sz="0" w:space="0" w:color="auto"/>
                    <w:bottom w:val="none" w:sz="0" w:space="0" w:color="auto"/>
                    <w:right w:val="none" w:sz="0" w:space="0" w:color="auto"/>
                  </w:divBdr>
                  <w:divsChild>
                    <w:div w:id="864291629">
                      <w:marLeft w:val="0"/>
                      <w:marRight w:val="0"/>
                      <w:marTop w:val="0"/>
                      <w:marBottom w:val="0"/>
                      <w:divBdr>
                        <w:top w:val="none" w:sz="0" w:space="0" w:color="auto"/>
                        <w:left w:val="none" w:sz="0" w:space="0" w:color="auto"/>
                        <w:bottom w:val="none" w:sz="0" w:space="0" w:color="auto"/>
                        <w:right w:val="none" w:sz="0" w:space="0" w:color="auto"/>
                      </w:divBdr>
                    </w:div>
                  </w:divsChild>
                </w:div>
                <w:div w:id="1518958011">
                  <w:marLeft w:val="0"/>
                  <w:marRight w:val="0"/>
                  <w:marTop w:val="0"/>
                  <w:marBottom w:val="0"/>
                  <w:divBdr>
                    <w:top w:val="none" w:sz="0" w:space="0" w:color="auto"/>
                    <w:left w:val="none" w:sz="0" w:space="0" w:color="auto"/>
                    <w:bottom w:val="none" w:sz="0" w:space="0" w:color="auto"/>
                    <w:right w:val="none" w:sz="0" w:space="0" w:color="auto"/>
                  </w:divBdr>
                  <w:divsChild>
                    <w:div w:id="212428850">
                      <w:marLeft w:val="0"/>
                      <w:marRight w:val="0"/>
                      <w:marTop w:val="0"/>
                      <w:marBottom w:val="0"/>
                      <w:divBdr>
                        <w:top w:val="none" w:sz="0" w:space="0" w:color="auto"/>
                        <w:left w:val="none" w:sz="0" w:space="0" w:color="auto"/>
                        <w:bottom w:val="none" w:sz="0" w:space="0" w:color="auto"/>
                        <w:right w:val="none" w:sz="0" w:space="0" w:color="auto"/>
                      </w:divBdr>
                    </w:div>
                  </w:divsChild>
                </w:div>
                <w:div w:id="1619602030">
                  <w:marLeft w:val="0"/>
                  <w:marRight w:val="0"/>
                  <w:marTop w:val="0"/>
                  <w:marBottom w:val="0"/>
                  <w:divBdr>
                    <w:top w:val="none" w:sz="0" w:space="0" w:color="auto"/>
                    <w:left w:val="none" w:sz="0" w:space="0" w:color="auto"/>
                    <w:bottom w:val="none" w:sz="0" w:space="0" w:color="auto"/>
                    <w:right w:val="none" w:sz="0" w:space="0" w:color="auto"/>
                  </w:divBdr>
                  <w:divsChild>
                    <w:div w:id="1106995677">
                      <w:marLeft w:val="0"/>
                      <w:marRight w:val="0"/>
                      <w:marTop w:val="0"/>
                      <w:marBottom w:val="0"/>
                      <w:divBdr>
                        <w:top w:val="none" w:sz="0" w:space="0" w:color="auto"/>
                        <w:left w:val="none" w:sz="0" w:space="0" w:color="auto"/>
                        <w:bottom w:val="none" w:sz="0" w:space="0" w:color="auto"/>
                        <w:right w:val="none" w:sz="0" w:space="0" w:color="auto"/>
                      </w:divBdr>
                    </w:div>
                  </w:divsChild>
                </w:div>
                <w:div w:id="1646009932">
                  <w:marLeft w:val="0"/>
                  <w:marRight w:val="0"/>
                  <w:marTop w:val="0"/>
                  <w:marBottom w:val="0"/>
                  <w:divBdr>
                    <w:top w:val="none" w:sz="0" w:space="0" w:color="auto"/>
                    <w:left w:val="none" w:sz="0" w:space="0" w:color="auto"/>
                    <w:bottom w:val="none" w:sz="0" w:space="0" w:color="auto"/>
                    <w:right w:val="none" w:sz="0" w:space="0" w:color="auto"/>
                  </w:divBdr>
                  <w:divsChild>
                    <w:div w:id="1695306934">
                      <w:marLeft w:val="0"/>
                      <w:marRight w:val="0"/>
                      <w:marTop w:val="0"/>
                      <w:marBottom w:val="0"/>
                      <w:divBdr>
                        <w:top w:val="none" w:sz="0" w:space="0" w:color="auto"/>
                        <w:left w:val="none" w:sz="0" w:space="0" w:color="auto"/>
                        <w:bottom w:val="none" w:sz="0" w:space="0" w:color="auto"/>
                        <w:right w:val="none" w:sz="0" w:space="0" w:color="auto"/>
                      </w:divBdr>
                    </w:div>
                  </w:divsChild>
                </w:div>
                <w:div w:id="1695229442">
                  <w:marLeft w:val="0"/>
                  <w:marRight w:val="0"/>
                  <w:marTop w:val="0"/>
                  <w:marBottom w:val="0"/>
                  <w:divBdr>
                    <w:top w:val="none" w:sz="0" w:space="0" w:color="auto"/>
                    <w:left w:val="none" w:sz="0" w:space="0" w:color="auto"/>
                    <w:bottom w:val="none" w:sz="0" w:space="0" w:color="auto"/>
                    <w:right w:val="none" w:sz="0" w:space="0" w:color="auto"/>
                  </w:divBdr>
                  <w:divsChild>
                    <w:div w:id="176816924">
                      <w:marLeft w:val="0"/>
                      <w:marRight w:val="0"/>
                      <w:marTop w:val="0"/>
                      <w:marBottom w:val="0"/>
                      <w:divBdr>
                        <w:top w:val="none" w:sz="0" w:space="0" w:color="auto"/>
                        <w:left w:val="none" w:sz="0" w:space="0" w:color="auto"/>
                        <w:bottom w:val="none" w:sz="0" w:space="0" w:color="auto"/>
                        <w:right w:val="none" w:sz="0" w:space="0" w:color="auto"/>
                      </w:divBdr>
                    </w:div>
                  </w:divsChild>
                </w:div>
                <w:div w:id="1727727160">
                  <w:marLeft w:val="0"/>
                  <w:marRight w:val="0"/>
                  <w:marTop w:val="0"/>
                  <w:marBottom w:val="0"/>
                  <w:divBdr>
                    <w:top w:val="none" w:sz="0" w:space="0" w:color="auto"/>
                    <w:left w:val="none" w:sz="0" w:space="0" w:color="auto"/>
                    <w:bottom w:val="none" w:sz="0" w:space="0" w:color="auto"/>
                    <w:right w:val="none" w:sz="0" w:space="0" w:color="auto"/>
                  </w:divBdr>
                  <w:divsChild>
                    <w:div w:id="1032413507">
                      <w:marLeft w:val="0"/>
                      <w:marRight w:val="0"/>
                      <w:marTop w:val="0"/>
                      <w:marBottom w:val="0"/>
                      <w:divBdr>
                        <w:top w:val="none" w:sz="0" w:space="0" w:color="auto"/>
                        <w:left w:val="none" w:sz="0" w:space="0" w:color="auto"/>
                        <w:bottom w:val="none" w:sz="0" w:space="0" w:color="auto"/>
                        <w:right w:val="none" w:sz="0" w:space="0" w:color="auto"/>
                      </w:divBdr>
                    </w:div>
                  </w:divsChild>
                </w:div>
                <w:div w:id="1739784567">
                  <w:marLeft w:val="0"/>
                  <w:marRight w:val="0"/>
                  <w:marTop w:val="0"/>
                  <w:marBottom w:val="0"/>
                  <w:divBdr>
                    <w:top w:val="none" w:sz="0" w:space="0" w:color="auto"/>
                    <w:left w:val="none" w:sz="0" w:space="0" w:color="auto"/>
                    <w:bottom w:val="none" w:sz="0" w:space="0" w:color="auto"/>
                    <w:right w:val="none" w:sz="0" w:space="0" w:color="auto"/>
                  </w:divBdr>
                  <w:divsChild>
                    <w:div w:id="1424494339">
                      <w:marLeft w:val="0"/>
                      <w:marRight w:val="0"/>
                      <w:marTop w:val="0"/>
                      <w:marBottom w:val="0"/>
                      <w:divBdr>
                        <w:top w:val="none" w:sz="0" w:space="0" w:color="auto"/>
                        <w:left w:val="none" w:sz="0" w:space="0" w:color="auto"/>
                        <w:bottom w:val="none" w:sz="0" w:space="0" w:color="auto"/>
                        <w:right w:val="none" w:sz="0" w:space="0" w:color="auto"/>
                      </w:divBdr>
                    </w:div>
                  </w:divsChild>
                </w:div>
                <w:div w:id="1833570283">
                  <w:marLeft w:val="0"/>
                  <w:marRight w:val="0"/>
                  <w:marTop w:val="0"/>
                  <w:marBottom w:val="0"/>
                  <w:divBdr>
                    <w:top w:val="none" w:sz="0" w:space="0" w:color="auto"/>
                    <w:left w:val="none" w:sz="0" w:space="0" w:color="auto"/>
                    <w:bottom w:val="none" w:sz="0" w:space="0" w:color="auto"/>
                    <w:right w:val="none" w:sz="0" w:space="0" w:color="auto"/>
                  </w:divBdr>
                  <w:divsChild>
                    <w:div w:id="153499735">
                      <w:marLeft w:val="0"/>
                      <w:marRight w:val="0"/>
                      <w:marTop w:val="0"/>
                      <w:marBottom w:val="0"/>
                      <w:divBdr>
                        <w:top w:val="none" w:sz="0" w:space="0" w:color="auto"/>
                        <w:left w:val="none" w:sz="0" w:space="0" w:color="auto"/>
                        <w:bottom w:val="none" w:sz="0" w:space="0" w:color="auto"/>
                        <w:right w:val="none" w:sz="0" w:space="0" w:color="auto"/>
                      </w:divBdr>
                    </w:div>
                  </w:divsChild>
                </w:div>
                <w:div w:id="1838838314">
                  <w:marLeft w:val="0"/>
                  <w:marRight w:val="0"/>
                  <w:marTop w:val="0"/>
                  <w:marBottom w:val="0"/>
                  <w:divBdr>
                    <w:top w:val="none" w:sz="0" w:space="0" w:color="auto"/>
                    <w:left w:val="none" w:sz="0" w:space="0" w:color="auto"/>
                    <w:bottom w:val="none" w:sz="0" w:space="0" w:color="auto"/>
                    <w:right w:val="none" w:sz="0" w:space="0" w:color="auto"/>
                  </w:divBdr>
                  <w:divsChild>
                    <w:div w:id="1476995037">
                      <w:marLeft w:val="0"/>
                      <w:marRight w:val="0"/>
                      <w:marTop w:val="0"/>
                      <w:marBottom w:val="0"/>
                      <w:divBdr>
                        <w:top w:val="none" w:sz="0" w:space="0" w:color="auto"/>
                        <w:left w:val="none" w:sz="0" w:space="0" w:color="auto"/>
                        <w:bottom w:val="none" w:sz="0" w:space="0" w:color="auto"/>
                        <w:right w:val="none" w:sz="0" w:space="0" w:color="auto"/>
                      </w:divBdr>
                    </w:div>
                  </w:divsChild>
                </w:div>
                <w:div w:id="1847088535">
                  <w:marLeft w:val="0"/>
                  <w:marRight w:val="0"/>
                  <w:marTop w:val="0"/>
                  <w:marBottom w:val="0"/>
                  <w:divBdr>
                    <w:top w:val="none" w:sz="0" w:space="0" w:color="auto"/>
                    <w:left w:val="none" w:sz="0" w:space="0" w:color="auto"/>
                    <w:bottom w:val="none" w:sz="0" w:space="0" w:color="auto"/>
                    <w:right w:val="none" w:sz="0" w:space="0" w:color="auto"/>
                  </w:divBdr>
                  <w:divsChild>
                    <w:div w:id="1056929323">
                      <w:marLeft w:val="0"/>
                      <w:marRight w:val="0"/>
                      <w:marTop w:val="0"/>
                      <w:marBottom w:val="0"/>
                      <w:divBdr>
                        <w:top w:val="none" w:sz="0" w:space="0" w:color="auto"/>
                        <w:left w:val="none" w:sz="0" w:space="0" w:color="auto"/>
                        <w:bottom w:val="none" w:sz="0" w:space="0" w:color="auto"/>
                        <w:right w:val="none" w:sz="0" w:space="0" w:color="auto"/>
                      </w:divBdr>
                    </w:div>
                  </w:divsChild>
                </w:div>
                <w:div w:id="1860583963">
                  <w:marLeft w:val="0"/>
                  <w:marRight w:val="0"/>
                  <w:marTop w:val="0"/>
                  <w:marBottom w:val="0"/>
                  <w:divBdr>
                    <w:top w:val="none" w:sz="0" w:space="0" w:color="auto"/>
                    <w:left w:val="none" w:sz="0" w:space="0" w:color="auto"/>
                    <w:bottom w:val="none" w:sz="0" w:space="0" w:color="auto"/>
                    <w:right w:val="none" w:sz="0" w:space="0" w:color="auto"/>
                  </w:divBdr>
                  <w:divsChild>
                    <w:div w:id="1994094917">
                      <w:marLeft w:val="0"/>
                      <w:marRight w:val="0"/>
                      <w:marTop w:val="0"/>
                      <w:marBottom w:val="0"/>
                      <w:divBdr>
                        <w:top w:val="none" w:sz="0" w:space="0" w:color="auto"/>
                        <w:left w:val="none" w:sz="0" w:space="0" w:color="auto"/>
                        <w:bottom w:val="none" w:sz="0" w:space="0" w:color="auto"/>
                        <w:right w:val="none" w:sz="0" w:space="0" w:color="auto"/>
                      </w:divBdr>
                    </w:div>
                  </w:divsChild>
                </w:div>
                <w:div w:id="1871799144">
                  <w:marLeft w:val="0"/>
                  <w:marRight w:val="0"/>
                  <w:marTop w:val="0"/>
                  <w:marBottom w:val="0"/>
                  <w:divBdr>
                    <w:top w:val="none" w:sz="0" w:space="0" w:color="auto"/>
                    <w:left w:val="none" w:sz="0" w:space="0" w:color="auto"/>
                    <w:bottom w:val="none" w:sz="0" w:space="0" w:color="auto"/>
                    <w:right w:val="none" w:sz="0" w:space="0" w:color="auto"/>
                  </w:divBdr>
                  <w:divsChild>
                    <w:div w:id="1581714496">
                      <w:marLeft w:val="0"/>
                      <w:marRight w:val="0"/>
                      <w:marTop w:val="0"/>
                      <w:marBottom w:val="0"/>
                      <w:divBdr>
                        <w:top w:val="none" w:sz="0" w:space="0" w:color="auto"/>
                        <w:left w:val="none" w:sz="0" w:space="0" w:color="auto"/>
                        <w:bottom w:val="none" w:sz="0" w:space="0" w:color="auto"/>
                        <w:right w:val="none" w:sz="0" w:space="0" w:color="auto"/>
                      </w:divBdr>
                    </w:div>
                  </w:divsChild>
                </w:div>
                <w:div w:id="1878159820">
                  <w:marLeft w:val="0"/>
                  <w:marRight w:val="0"/>
                  <w:marTop w:val="0"/>
                  <w:marBottom w:val="0"/>
                  <w:divBdr>
                    <w:top w:val="none" w:sz="0" w:space="0" w:color="auto"/>
                    <w:left w:val="none" w:sz="0" w:space="0" w:color="auto"/>
                    <w:bottom w:val="none" w:sz="0" w:space="0" w:color="auto"/>
                    <w:right w:val="none" w:sz="0" w:space="0" w:color="auto"/>
                  </w:divBdr>
                  <w:divsChild>
                    <w:div w:id="649749043">
                      <w:marLeft w:val="0"/>
                      <w:marRight w:val="0"/>
                      <w:marTop w:val="0"/>
                      <w:marBottom w:val="0"/>
                      <w:divBdr>
                        <w:top w:val="none" w:sz="0" w:space="0" w:color="auto"/>
                        <w:left w:val="none" w:sz="0" w:space="0" w:color="auto"/>
                        <w:bottom w:val="none" w:sz="0" w:space="0" w:color="auto"/>
                        <w:right w:val="none" w:sz="0" w:space="0" w:color="auto"/>
                      </w:divBdr>
                    </w:div>
                  </w:divsChild>
                </w:div>
                <w:div w:id="2010600864">
                  <w:marLeft w:val="0"/>
                  <w:marRight w:val="0"/>
                  <w:marTop w:val="0"/>
                  <w:marBottom w:val="0"/>
                  <w:divBdr>
                    <w:top w:val="none" w:sz="0" w:space="0" w:color="auto"/>
                    <w:left w:val="none" w:sz="0" w:space="0" w:color="auto"/>
                    <w:bottom w:val="none" w:sz="0" w:space="0" w:color="auto"/>
                    <w:right w:val="none" w:sz="0" w:space="0" w:color="auto"/>
                  </w:divBdr>
                  <w:divsChild>
                    <w:div w:id="1967194505">
                      <w:marLeft w:val="0"/>
                      <w:marRight w:val="0"/>
                      <w:marTop w:val="0"/>
                      <w:marBottom w:val="0"/>
                      <w:divBdr>
                        <w:top w:val="none" w:sz="0" w:space="0" w:color="auto"/>
                        <w:left w:val="none" w:sz="0" w:space="0" w:color="auto"/>
                        <w:bottom w:val="none" w:sz="0" w:space="0" w:color="auto"/>
                        <w:right w:val="none" w:sz="0" w:space="0" w:color="auto"/>
                      </w:divBdr>
                    </w:div>
                  </w:divsChild>
                </w:div>
                <w:div w:id="2036228912">
                  <w:marLeft w:val="0"/>
                  <w:marRight w:val="0"/>
                  <w:marTop w:val="0"/>
                  <w:marBottom w:val="0"/>
                  <w:divBdr>
                    <w:top w:val="none" w:sz="0" w:space="0" w:color="auto"/>
                    <w:left w:val="none" w:sz="0" w:space="0" w:color="auto"/>
                    <w:bottom w:val="none" w:sz="0" w:space="0" w:color="auto"/>
                    <w:right w:val="none" w:sz="0" w:space="0" w:color="auto"/>
                  </w:divBdr>
                  <w:divsChild>
                    <w:div w:id="1635209068">
                      <w:marLeft w:val="0"/>
                      <w:marRight w:val="0"/>
                      <w:marTop w:val="0"/>
                      <w:marBottom w:val="0"/>
                      <w:divBdr>
                        <w:top w:val="none" w:sz="0" w:space="0" w:color="auto"/>
                        <w:left w:val="none" w:sz="0" w:space="0" w:color="auto"/>
                        <w:bottom w:val="none" w:sz="0" w:space="0" w:color="auto"/>
                        <w:right w:val="none" w:sz="0" w:space="0" w:color="auto"/>
                      </w:divBdr>
                    </w:div>
                  </w:divsChild>
                </w:div>
                <w:div w:id="2044014141">
                  <w:marLeft w:val="0"/>
                  <w:marRight w:val="0"/>
                  <w:marTop w:val="0"/>
                  <w:marBottom w:val="0"/>
                  <w:divBdr>
                    <w:top w:val="none" w:sz="0" w:space="0" w:color="auto"/>
                    <w:left w:val="none" w:sz="0" w:space="0" w:color="auto"/>
                    <w:bottom w:val="none" w:sz="0" w:space="0" w:color="auto"/>
                    <w:right w:val="none" w:sz="0" w:space="0" w:color="auto"/>
                  </w:divBdr>
                  <w:divsChild>
                    <w:div w:id="131094214">
                      <w:marLeft w:val="0"/>
                      <w:marRight w:val="0"/>
                      <w:marTop w:val="0"/>
                      <w:marBottom w:val="0"/>
                      <w:divBdr>
                        <w:top w:val="none" w:sz="0" w:space="0" w:color="auto"/>
                        <w:left w:val="none" w:sz="0" w:space="0" w:color="auto"/>
                        <w:bottom w:val="none" w:sz="0" w:space="0" w:color="auto"/>
                        <w:right w:val="none" w:sz="0" w:space="0" w:color="auto"/>
                      </w:divBdr>
                    </w:div>
                  </w:divsChild>
                </w:div>
                <w:div w:id="2045058974">
                  <w:marLeft w:val="0"/>
                  <w:marRight w:val="0"/>
                  <w:marTop w:val="0"/>
                  <w:marBottom w:val="0"/>
                  <w:divBdr>
                    <w:top w:val="none" w:sz="0" w:space="0" w:color="auto"/>
                    <w:left w:val="none" w:sz="0" w:space="0" w:color="auto"/>
                    <w:bottom w:val="none" w:sz="0" w:space="0" w:color="auto"/>
                    <w:right w:val="none" w:sz="0" w:space="0" w:color="auto"/>
                  </w:divBdr>
                  <w:divsChild>
                    <w:div w:id="45510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16206">
          <w:marLeft w:val="0"/>
          <w:marRight w:val="0"/>
          <w:marTop w:val="0"/>
          <w:marBottom w:val="0"/>
          <w:divBdr>
            <w:top w:val="none" w:sz="0" w:space="0" w:color="auto"/>
            <w:left w:val="none" w:sz="0" w:space="0" w:color="auto"/>
            <w:bottom w:val="none" w:sz="0" w:space="0" w:color="auto"/>
            <w:right w:val="none" w:sz="0" w:space="0" w:color="auto"/>
          </w:divBdr>
        </w:div>
        <w:div w:id="323435236">
          <w:marLeft w:val="0"/>
          <w:marRight w:val="0"/>
          <w:marTop w:val="0"/>
          <w:marBottom w:val="0"/>
          <w:divBdr>
            <w:top w:val="none" w:sz="0" w:space="0" w:color="auto"/>
            <w:left w:val="none" w:sz="0" w:space="0" w:color="auto"/>
            <w:bottom w:val="none" w:sz="0" w:space="0" w:color="auto"/>
            <w:right w:val="none" w:sz="0" w:space="0" w:color="auto"/>
          </w:divBdr>
        </w:div>
        <w:div w:id="357851030">
          <w:marLeft w:val="0"/>
          <w:marRight w:val="0"/>
          <w:marTop w:val="0"/>
          <w:marBottom w:val="0"/>
          <w:divBdr>
            <w:top w:val="none" w:sz="0" w:space="0" w:color="auto"/>
            <w:left w:val="none" w:sz="0" w:space="0" w:color="auto"/>
            <w:bottom w:val="none" w:sz="0" w:space="0" w:color="auto"/>
            <w:right w:val="none" w:sz="0" w:space="0" w:color="auto"/>
          </w:divBdr>
        </w:div>
        <w:div w:id="396787221">
          <w:marLeft w:val="0"/>
          <w:marRight w:val="0"/>
          <w:marTop w:val="0"/>
          <w:marBottom w:val="0"/>
          <w:divBdr>
            <w:top w:val="none" w:sz="0" w:space="0" w:color="auto"/>
            <w:left w:val="none" w:sz="0" w:space="0" w:color="auto"/>
            <w:bottom w:val="none" w:sz="0" w:space="0" w:color="auto"/>
            <w:right w:val="none" w:sz="0" w:space="0" w:color="auto"/>
          </w:divBdr>
        </w:div>
        <w:div w:id="759956797">
          <w:marLeft w:val="0"/>
          <w:marRight w:val="0"/>
          <w:marTop w:val="0"/>
          <w:marBottom w:val="0"/>
          <w:divBdr>
            <w:top w:val="none" w:sz="0" w:space="0" w:color="auto"/>
            <w:left w:val="none" w:sz="0" w:space="0" w:color="auto"/>
            <w:bottom w:val="none" w:sz="0" w:space="0" w:color="auto"/>
            <w:right w:val="none" w:sz="0" w:space="0" w:color="auto"/>
          </w:divBdr>
        </w:div>
        <w:div w:id="1480879525">
          <w:marLeft w:val="0"/>
          <w:marRight w:val="0"/>
          <w:marTop w:val="0"/>
          <w:marBottom w:val="0"/>
          <w:divBdr>
            <w:top w:val="none" w:sz="0" w:space="0" w:color="auto"/>
            <w:left w:val="none" w:sz="0" w:space="0" w:color="auto"/>
            <w:bottom w:val="none" w:sz="0" w:space="0" w:color="auto"/>
            <w:right w:val="none" w:sz="0" w:space="0" w:color="auto"/>
          </w:divBdr>
        </w:div>
        <w:div w:id="1687554877">
          <w:marLeft w:val="0"/>
          <w:marRight w:val="0"/>
          <w:marTop w:val="0"/>
          <w:marBottom w:val="0"/>
          <w:divBdr>
            <w:top w:val="none" w:sz="0" w:space="0" w:color="auto"/>
            <w:left w:val="none" w:sz="0" w:space="0" w:color="auto"/>
            <w:bottom w:val="none" w:sz="0" w:space="0" w:color="auto"/>
            <w:right w:val="none" w:sz="0" w:space="0" w:color="auto"/>
          </w:divBdr>
        </w:div>
        <w:div w:id="1702706151">
          <w:marLeft w:val="0"/>
          <w:marRight w:val="0"/>
          <w:marTop w:val="0"/>
          <w:marBottom w:val="0"/>
          <w:divBdr>
            <w:top w:val="none" w:sz="0" w:space="0" w:color="auto"/>
            <w:left w:val="none" w:sz="0" w:space="0" w:color="auto"/>
            <w:bottom w:val="none" w:sz="0" w:space="0" w:color="auto"/>
            <w:right w:val="none" w:sz="0" w:space="0" w:color="auto"/>
          </w:divBdr>
        </w:div>
        <w:div w:id="1738430853">
          <w:marLeft w:val="0"/>
          <w:marRight w:val="0"/>
          <w:marTop w:val="0"/>
          <w:marBottom w:val="0"/>
          <w:divBdr>
            <w:top w:val="none" w:sz="0" w:space="0" w:color="auto"/>
            <w:left w:val="none" w:sz="0" w:space="0" w:color="auto"/>
            <w:bottom w:val="none" w:sz="0" w:space="0" w:color="auto"/>
            <w:right w:val="none" w:sz="0" w:space="0" w:color="auto"/>
          </w:divBdr>
        </w:div>
        <w:div w:id="1812861710">
          <w:marLeft w:val="0"/>
          <w:marRight w:val="0"/>
          <w:marTop w:val="0"/>
          <w:marBottom w:val="0"/>
          <w:divBdr>
            <w:top w:val="none" w:sz="0" w:space="0" w:color="auto"/>
            <w:left w:val="none" w:sz="0" w:space="0" w:color="auto"/>
            <w:bottom w:val="none" w:sz="0" w:space="0" w:color="auto"/>
            <w:right w:val="none" w:sz="0" w:space="0" w:color="auto"/>
          </w:divBdr>
        </w:div>
        <w:div w:id="2108844509">
          <w:marLeft w:val="0"/>
          <w:marRight w:val="0"/>
          <w:marTop w:val="0"/>
          <w:marBottom w:val="0"/>
          <w:divBdr>
            <w:top w:val="none" w:sz="0" w:space="0" w:color="auto"/>
            <w:left w:val="none" w:sz="0" w:space="0" w:color="auto"/>
            <w:bottom w:val="none" w:sz="0" w:space="0" w:color="auto"/>
            <w:right w:val="none" w:sz="0" w:space="0" w:color="auto"/>
          </w:divBdr>
        </w:div>
        <w:div w:id="2120636939">
          <w:marLeft w:val="0"/>
          <w:marRight w:val="0"/>
          <w:marTop w:val="0"/>
          <w:marBottom w:val="0"/>
          <w:divBdr>
            <w:top w:val="none" w:sz="0" w:space="0" w:color="auto"/>
            <w:left w:val="none" w:sz="0" w:space="0" w:color="auto"/>
            <w:bottom w:val="none" w:sz="0" w:space="0" w:color="auto"/>
            <w:right w:val="none" w:sz="0" w:space="0" w:color="auto"/>
          </w:divBdr>
        </w:div>
      </w:divsChild>
    </w:div>
    <w:div w:id="1645550648">
      <w:bodyDiv w:val="1"/>
      <w:marLeft w:val="0"/>
      <w:marRight w:val="0"/>
      <w:marTop w:val="0"/>
      <w:marBottom w:val="0"/>
      <w:divBdr>
        <w:top w:val="none" w:sz="0" w:space="0" w:color="auto"/>
        <w:left w:val="none" w:sz="0" w:space="0" w:color="auto"/>
        <w:bottom w:val="none" w:sz="0" w:space="0" w:color="auto"/>
        <w:right w:val="none" w:sz="0" w:space="0" w:color="auto"/>
      </w:divBdr>
    </w:div>
    <w:div w:id="1648976098">
      <w:bodyDiv w:val="1"/>
      <w:marLeft w:val="0"/>
      <w:marRight w:val="0"/>
      <w:marTop w:val="0"/>
      <w:marBottom w:val="0"/>
      <w:divBdr>
        <w:top w:val="none" w:sz="0" w:space="0" w:color="auto"/>
        <w:left w:val="none" w:sz="0" w:space="0" w:color="auto"/>
        <w:bottom w:val="none" w:sz="0" w:space="0" w:color="auto"/>
        <w:right w:val="none" w:sz="0" w:space="0" w:color="auto"/>
      </w:divBdr>
    </w:div>
    <w:div w:id="1714039355">
      <w:bodyDiv w:val="1"/>
      <w:marLeft w:val="0"/>
      <w:marRight w:val="0"/>
      <w:marTop w:val="0"/>
      <w:marBottom w:val="0"/>
      <w:divBdr>
        <w:top w:val="none" w:sz="0" w:space="0" w:color="auto"/>
        <w:left w:val="none" w:sz="0" w:space="0" w:color="auto"/>
        <w:bottom w:val="none" w:sz="0" w:space="0" w:color="auto"/>
        <w:right w:val="none" w:sz="0" w:space="0" w:color="auto"/>
      </w:divBdr>
      <w:divsChild>
        <w:div w:id="1241014632">
          <w:marLeft w:val="0"/>
          <w:marRight w:val="0"/>
          <w:marTop w:val="0"/>
          <w:marBottom w:val="0"/>
          <w:divBdr>
            <w:top w:val="none" w:sz="0" w:space="0" w:color="auto"/>
            <w:left w:val="none" w:sz="0" w:space="0" w:color="auto"/>
            <w:bottom w:val="none" w:sz="0" w:space="0" w:color="auto"/>
            <w:right w:val="none" w:sz="0" w:space="0" w:color="auto"/>
          </w:divBdr>
        </w:div>
      </w:divsChild>
    </w:div>
    <w:div w:id="1728146030">
      <w:bodyDiv w:val="1"/>
      <w:marLeft w:val="0"/>
      <w:marRight w:val="0"/>
      <w:marTop w:val="0"/>
      <w:marBottom w:val="0"/>
      <w:divBdr>
        <w:top w:val="none" w:sz="0" w:space="0" w:color="auto"/>
        <w:left w:val="none" w:sz="0" w:space="0" w:color="auto"/>
        <w:bottom w:val="none" w:sz="0" w:space="0" w:color="auto"/>
        <w:right w:val="none" w:sz="0" w:space="0" w:color="auto"/>
      </w:divBdr>
    </w:div>
    <w:div w:id="1738434384">
      <w:bodyDiv w:val="1"/>
      <w:marLeft w:val="0"/>
      <w:marRight w:val="0"/>
      <w:marTop w:val="0"/>
      <w:marBottom w:val="0"/>
      <w:divBdr>
        <w:top w:val="none" w:sz="0" w:space="0" w:color="auto"/>
        <w:left w:val="none" w:sz="0" w:space="0" w:color="auto"/>
        <w:bottom w:val="none" w:sz="0" w:space="0" w:color="auto"/>
        <w:right w:val="none" w:sz="0" w:space="0" w:color="auto"/>
      </w:divBdr>
      <w:divsChild>
        <w:div w:id="1232736376">
          <w:marLeft w:val="0"/>
          <w:marRight w:val="0"/>
          <w:marTop w:val="0"/>
          <w:marBottom w:val="0"/>
          <w:divBdr>
            <w:top w:val="none" w:sz="0" w:space="0" w:color="auto"/>
            <w:left w:val="none" w:sz="0" w:space="0" w:color="auto"/>
            <w:bottom w:val="none" w:sz="0" w:space="0" w:color="auto"/>
            <w:right w:val="none" w:sz="0" w:space="0" w:color="auto"/>
          </w:divBdr>
        </w:div>
      </w:divsChild>
    </w:div>
    <w:div w:id="1739741859">
      <w:bodyDiv w:val="1"/>
      <w:marLeft w:val="0"/>
      <w:marRight w:val="0"/>
      <w:marTop w:val="0"/>
      <w:marBottom w:val="0"/>
      <w:divBdr>
        <w:top w:val="none" w:sz="0" w:space="0" w:color="auto"/>
        <w:left w:val="none" w:sz="0" w:space="0" w:color="auto"/>
        <w:bottom w:val="none" w:sz="0" w:space="0" w:color="auto"/>
        <w:right w:val="none" w:sz="0" w:space="0" w:color="auto"/>
      </w:divBdr>
    </w:div>
    <w:div w:id="1772314604">
      <w:bodyDiv w:val="1"/>
      <w:marLeft w:val="0"/>
      <w:marRight w:val="0"/>
      <w:marTop w:val="0"/>
      <w:marBottom w:val="0"/>
      <w:divBdr>
        <w:top w:val="none" w:sz="0" w:space="0" w:color="auto"/>
        <w:left w:val="none" w:sz="0" w:space="0" w:color="auto"/>
        <w:bottom w:val="none" w:sz="0" w:space="0" w:color="auto"/>
        <w:right w:val="none" w:sz="0" w:space="0" w:color="auto"/>
      </w:divBdr>
    </w:div>
    <w:div w:id="1784960218">
      <w:bodyDiv w:val="1"/>
      <w:marLeft w:val="0"/>
      <w:marRight w:val="0"/>
      <w:marTop w:val="0"/>
      <w:marBottom w:val="0"/>
      <w:divBdr>
        <w:top w:val="none" w:sz="0" w:space="0" w:color="auto"/>
        <w:left w:val="none" w:sz="0" w:space="0" w:color="auto"/>
        <w:bottom w:val="none" w:sz="0" w:space="0" w:color="auto"/>
        <w:right w:val="none" w:sz="0" w:space="0" w:color="auto"/>
      </w:divBdr>
      <w:divsChild>
        <w:div w:id="56633183">
          <w:marLeft w:val="0"/>
          <w:marRight w:val="0"/>
          <w:marTop w:val="0"/>
          <w:marBottom w:val="0"/>
          <w:divBdr>
            <w:top w:val="none" w:sz="0" w:space="0" w:color="auto"/>
            <w:left w:val="none" w:sz="0" w:space="0" w:color="auto"/>
            <w:bottom w:val="none" w:sz="0" w:space="0" w:color="auto"/>
            <w:right w:val="none" w:sz="0" w:space="0" w:color="auto"/>
          </w:divBdr>
        </w:div>
        <w:div w:id="1369452100">
          <w:marLeft w:val="0"/>
          <w:marRight w:val="0"/>
          <w:marTop w:val="0"/>
          <w:marBottom w:val="0"/>
          <w:divBdr>
            <w:top w:val="none" w:sz="0" w:space="0" w:color="auto"/>
            <w:left w:val="none" w:sz="0" w:space="0" w:color="auto"/>
            <w:bottom w:val="none" w:sz="0" w:space="0" w:color="auto"/>
            <w:right w:val="none" w:sz="0" w:space="0" w:color="auto"/>
          </w:divBdr>
        </w:div>
      </w:divsChild>
    </w:div>
    <w:div w:id="1790390437">
      <w:bodyDiv w:val="1"/>
      <w:marLeft w:val="0"/>
      <w:marRight w:val="0"/>
      <w:marTop w:val="0"/>
      <w:marBottom w:val="0"/>
      <w:divBdr>
        <w:top w:val="none" w:sz="0" w:space="0" w:color="auto"/>
        <w:left w:val="none" w:sz="0" w:space="0" w:color="auto"/>
        <w:bottom w:val="none" w:sz="0" w:space="0" w:color="auto"/>
        <w:right w:val="none" w:sz="0" w:space="0" w:color="auto"/>
      </w:divBdr>
    </w:div>
    <w:div w:id="1807698322">
      <w:bodyDiv w:val="1"/>
      <w:marLeft w:val="0"/>
      <w:marRight w:val="0"/>
      <w:marTop w:val="0"/>
      <w:marBottom w:val="0"/>
      <w:divBdr>
        <w:top w:val="none" w:sz="0" w:space="0" w:color="auto"/>
        <w:left w:val="none" w:sz="0" w:space="0" w:color="auto"/>
        <w:bottom w:val="none" w:sz="0" w:space="0" w:color="auto"/>
        <w:right w:val="none" w:sz="0" w:space="0" w:color="auto"/>
      </w:divBdr>
    </w:div>
    <w:div w:id="1821189016">
      <w:bodyDiv w:val="1"/>
      <w:marLeft w:val="0"/>
      <w:marRight w:val="0"/>
      <w:marTop w:val="0"/>
      <w:marBottom w:val="0"/>
      <w:divBdr>
        <w:top w:val="none" w:sz="0" w:space="0" w:color="auto"/>
        <w:left w:val="none" w:sz="0" w:space="0" w:color="auto"/>
        <w:bottom w:val="none" w:sz="0" w:space="0" w:color="auto"/>
        <w:right w:val="none" w:sz="0" w:space="0" w:color="auto"/>
      </w:divBdr>
      <w:divsChild>
        <w:div w:id="1531144316">
          <w:marLeft w:val="0"/>
          <w:marRight w:val="0"/>
          <w:marTop w:val="0"/>
          <w:marBottom w:val="0"/>
          <w:divBdr>
            <w:top w:val="none" w:sz="0" w:space="0" w:color="auto"/>
            <w:left w:val="none" w:sz="0" w:space="0" w:color="auto"/>
            <w:bottom w:val="none" w:sz="0" w:space="0" w:color="auto"/>
            <w:right w:val="none" w:sz="0" w:space="0" w:color="auto"/>
          </w:divBdr>
          <w:divsChild>
            <w:div w:id="911430484">
              <w:marLeft w:val="-75"/>
              <w:marRight w:val="0"/>
              <w:marTop w:val="30"/>
              <w:marBottom w:val="30"/>
              <w:divBdr>
                <w:top w:val="none" w:sz="0" w:space="0" w:color="auto"/>
                <w:left w:val="none" w:sz="0" w:space="0" w:color="auto"/>
                <w:bottom w:val="none" w:sz="0" w:space="0" w:color="auto"/>
                <w:right w:val="none" w:sz="0" w:space="0" w:color="auto"/>
              </w:divBdr>
              <w:divsChild>
                <w:div w:id="12610364">
                  <w:marLeft w:val="0"/>
                  <w:marRight w:val="0"/>
                  <w:marTop w:val="0"/>
                  <w:marBottom w:val="0"/>
                  <w:divBdr>
                    <w:top w:val="none" w:sz="0" w:space="0" w:color="auto"/>
                    <w:left w:val="none" w:sz="0" w:space="0" w:color="auto"/>
                    <w:bottom w:val="none" w:sz="0" w:space="0" w:color="auto"/>
                    <w:right w:val="none" w:sz="0" w:space="0" w:color="auto"/>
                  </w:divBdr>
                  <w:divsChild>
                    <w:div w:id="106966980">
                      <w:marLeft w:val="0"/>
                      <w:marRight w:val="0"/>
                      <w:marTop w:val="0"/>
                      <w:marBottom w:val="0"/>
                      <w:divBdr>
                        <w:top w:val="none" w:sz="0" w:space="0" w:color="auto"/>
                        <w:left w:val="none" w:sz="0" w:space="0" w:color="auto"/>
                        <w:bottom w:val="none" w:sz="0" w:space="0" w:color="auto"/>
                        <w:right w:val="none" w:sz="0" w:space="0" w:color="auto"/>
                      </w:divBdr>
                    </w:div>
                  </w:divsChild>
                </w:div>
                <w:div w:id="20252884">
                  <w:marLeft w:val="0"/>
                  <w:marRight w:val="0"/>
                  <w:marTop w:val="0"/>
                  <w:marBottom w:val="0"/>
                  <w:divBdr>
                    <w:top w:val="none" w:sz="0" w:space="0" w:color="auto"/>
                    <w:left w:val="none" w:sz="0" w:space="0" w:color="auto"/>
                    <w:bottom w:val="none" w:sz="0" w:space="0" w:color="auto"/>
                    <w:right w:val="none" w:sz="0" w:space="0" w:color="auto"/>
                  </w:divBdr>
                  <w:divsChild>
                    <w:div w:id="151454720">
                      <w:marLeft w:val="0"/>
                      <w:marRight w:val="0"/>
                      <w:marTop w:val="0"/>
                      <w:marBottom w:val="0"/>
                      <w:divBdr>
                        <w:top w:val="none" w:sz="0" w:space="0" w:color="auto"/>
                        <w:left w:val="none" w:sz="0" w:space="0" w:color="auto"/>
                        <w:bottom w:val="none" w:sz="0" w:space="0" w:color="auto"/>
                        <w:right w:val="none" w:sz="0" w:space="0" w:color="auto"/>
                      </w:divBdr>
                    </w:div>
                  </w:divsChild>
                </w:div>
                <w:div w:id="24183057">
                  <w:marLeft w:val="0"/>
                  <w:marRight w:val="0"/>
                  <w:marTop w:val="0"/>
                  <w:marBottom w:val="0"/>
                  <w:divBdr>
                    <w:top w:val="none" w:sz="0" w:space="0" w:color="auto"/>
                    <w:left w:val="none" w:sz="0" w:space="0" w:color="auto"/>
                    <w:bottom w:val="none" w:sz="0" w:space="0" w:color="auto"/>
                    <w:right w:val="none" w:sz="0" w:space="0" w:color="auto"/>
                  </w:divBdr>
                  <w:divsChild>
                    <w:div w:id="965817991">
                      <w:marLeft w:val="0"/>
                      <w:marRight w:val="0"/>
                      <w:marTop w:val="0"/>
                      <w:marBottom w:val="0"/>
                      <w:divBdr>
                        <w:top w:val="none" w:sz="0" w:space="0" w:color="auto"/>
                        <w:left w:val="none" w:sz="0" w:space="0" w:color="auto"/>
                        <w:bottom w:val="none" w:sz="0" w:space="0" w:color="auto"/>
                        <w:right w:val="none" w:sz="0" w:space="0" w:color="auto"/>
                      </w:divBdr>
                    </w:div>
                  </w:divsChild>
                </w:div>
                <w:div w:id="40521712">
                  <w:marLeft w:val="0"/>
                  <w:marRight w:val="0"/>
                  <w:marTop w:val="0"/>
                  <w:marBottom w:val="0"/>
                  <w:divBdr>
                    <w:top w:val="none" w:sz="0" w:space="0" w:color="auto"/>
                    <w:left w:val="none" w:sz="0" w:space="0" w:color="auto"/>
                    <w:bottom w:val="none" w:sz="0" w:space="0" w:color="auto"/>
                    <w:right w:val="none" w:sz="0" w:space="0" w:color="auto"/>
                  </w:divBdr>
                  <w:divsChild>
                    <w:div w:id="792552325">
                      <w:marLeft w:val="0"/>
                      <w:marRight w:val="0"/>
                      <w:marTop w:val="0"/>
                      <w:marBottom w:val="0"/>
                      <w:divBdr>
                        <w:top w:val="none" w:sz="0" w:space="0" w:color="auto"/>
                        <w:left w:val="none" w:sz="0" w:space="0" w:color="auto"/>
                        <w:bottom w:val="none" w:sz="0" w:space="0" w:color="auto"/>
                        <w:right w:val="none" w:sz="0" w:space="0" w:color="auto"/>
                      </w:divBdr>
                    </w:div>
                  </w:divsChild>
                </w:div>
                <w:div w:id="74784302">
                  <w:marLeft w:val="0"/>
                  <w:marRight w:val="0"/>
                  <w:marTop w:val="0"/>
                  <w:marBottom w:val="0"/>
                  <w:divBdr>
                    <w:top w:val="none" w:sz="0" w:space="0" w:color="auto"/>
                    <w:left w:val="none" w:sz="0" w:space="0" w:color="auto"/>
                    <w:bottom w:val="none" w:sz="0" w:space="0" w:color="auto"/>
                    <w:right w:val="none" w:sz="0" w:space="0" w:color="auto"/>
                  </w:divBdr>
                  <w:divsChild>
                    <w:div w:id="1128284715">
                      <w:marLeft w:val="0"/>
                      <w:marRight w:val="0"/>
                      <w:marTop w:val="0"/>
                      <w:marBottom w:val="0"/>
                      <w:divBdr>
                        <w:top w:val="none" w:sz="0" w:space="0" w:color="auto"/>
                        <w:left w:val="none" w:sz="0" w:space="0" w:color="auto"/>
                        <w:bottom w:val="none" w:sz="0" w:space="0" w:color="auto"/>
                        <w:right w:val="none" w:sz="0" w:space="0" w:color="auto"/>
                      </w:divBdr>
                    </w:div>
                  </w:divsChild>
                </w:div>
                <w:div w:id="94445317">
                  <w:marLeft w:val="0"/>
                  <w:marRight w:val="0"/>
                  <w:marTop w:val="0"/>
                  <w:marBottom w:val="0"/>
                  <w:divBdr>
                    <w:top w:val="none" w:sz="0" w:space="0" w:color="auto"/>
                    <w:left w:val="none" w:sz="0" w:space="0" w:color="auto"/>
                    <w:bottom w:val="none" w:sz="0" w:space="0" w:color="auto"/>
                    <w:right w:val="none" w:sz="0" w:space="0" w:color="auto"/>
                  </w:divBdr>
                  <w:divsChild>
                    <w:div w:id="1245067328">
                      <w:marLeft w:val="0"/>
                      <w:marRight w:val="0"/>
                      <w:marTop w:val="0"/>
                      <w:marBottom w:val="0"/>
                      <w:divBdr>
                        <w:top w:val="none" w:sz="0" w:space="0" w:color="auto"/>
                        <w:left w:val="none" w:sz="0" w:space="0" w:color="auto"/>
                        <w:bottom w:val="none" w:sz="0" w:space="0" w:color="auto"/>
                        <w:right w:val="none" w:sz="0" w:space="0" w:color="auto"/>
                      </w:divBdr>
                    </w:div>
                  </w:divsChild>
                </w:div>
                <w:div w:id="95055626">
                  <w:marLeft w:val="0"/>
                  <w:marRight w:val="0"/>
                  <w:marTop w:val="0"/>
                  <w:marBottom w:val="0"/>
                  <w:divBdr>
                    <w:top w:val="none" w:sz="0" w:space="0" w:color="auto"/>
                    <w:left w:val="none" w:sz="0" w:space="0" w:color="auto"/>
                    <w:bottom w:val="none" w:sz="0" w:space="0" w:color="auto"/>
                    <w:right w:val="none" w:sz="0" w:space="0" w:color="auto"/>
                  </w:divBdr>
                  <w:divsChild>
                    <w:div w:id="1895895925">
                      <w:marLeft w:val="0"/>
                      <w:marRight w:val="0"/>
                      <w:marTop w:val="0"/>
                      <w:marBottom w:val="0"/>
                      <w:divBdr>
                        <w:top w:val="none" w:sz="0" w:space="0" w:color="auto"/>
                        <w:left w:val="none" w:sz="0" w:space="0" w:color="auto"/>
                        <w:bottom w:val="none" w:sz="0" w:space="0" w:color="auto"/>
                        <w:right w:val="none" w:sz="0" w:space="0" w:color="auto"/>
                      </w:divBdr>
                    </w:div>
                  </w:divsChild>
                </w:div>
                <w:div w:id="127166767">
                  <w:marLeft w:val="0"/>
                  <w:marRight w:val="0"/>
                  <w:marTop w:val="0"/>
                  <w:marBottom w:val="0"/>
                  <w:divBdr>
                    <w:top w:val="none" w:sz="0" w:space="0" w:color="auto"/>
                    <w:left w:val="none" w:sz="0" w:space="0" w:color="auto"/>
                    <w:bottom w:val="none" w:sz="0" w:space="0" w:color="auto"/>
                    <w:right w:val="none" w:sz="0" w:space="0" w:color="auto"/>
                  </w:divBdr>
                  <w:divsChild>
                    <w:div w:id="386877502">
                      <w:marLeft w:val="0"/>
                      <w:marRight w:val="0"/>
                      <w:marTop w:val="0"/>
                      <w:marBottom w:val="0"/>
                      <w:divBdr>
                        <w:top w:val="none" w:sz="0" w:space="0" w:color="auto"/>
                        <w:left w:val="none" w:sz="0" w:space="0" w:color="auto"/>
                        <w:bottom w:val="none" w:sz="0" w:space="0" w:color="auto"/>
                        <w:right w:val="none" w:sz="0" w:space="0" w:color="auto"/>
                      </w:divBdr>
                    </w:div>
                  </w:divsChild>
                </w:div>
                <w:div w:id="144326320">
                  <w:marLeft w:val="0"/>
                  <w:marRight w:val="0"/>
                  <w:marTop w:val="0"/>
                  <w:marBottom w:val="0"/>
                  <w:divBdr>
                    <w:top w:val="none" w:sz="0" w:space="0" w:color="auto"/>
                    <w:left w:val="none" w:sz="0" w:space="0" w:color="auto"/>
                    <w:bottom w:val="none" w:sz="0" w:space="0" w:color="auto"/>
                    <w:right w:val="none" w:sz="0" w:space="0" w:color="auto"/>
                  </w:divBdr>
                  <w:divsChild>
                    <w:div w:id="36704144">
                      <w:marLeft w:val="0"/>
                      <w:marRight w:val="0"/>
                      <w:marTop w:val="0"/>
                      <w:marBottom w:val="0"/>
                      <w:divBdr>
                        <w:top w:val="none" w:sz="0" w:space="0" w:color="auto"/>
                        <w:left w:val="none" w:sz="0" w:space="0" w:color="auto"/>
                        <w:bottom w:val="none" w:sz="0" w:space="0" w:color="auto"/>
                        <w:right w:val="none" w:sz="0" w:space="0" w:color="auto"/>
                      </w:divBdr>
                    </w:div>
                  </w:divsChild>
                </w:div>
                <w:div w:id="209919993">
                  <w:marLeft w:val="0"/>
                  <w:marRight w:val="0"/>
                  <w:marTop w:val="0"/>
                  <w:marBottom w:val="0"/>
                  <w:divBdr>
                    <w:top w:val="none" w:sz="0" w:space="0" w:color="auto"/>
                    <w:left w:val="none" w:sz="0" w:space="0" w:color="auto"/>
                    <w:bottom w:val="none" w:sz="0" w:space="0" w:color="auto"/>
                    <w:right w:val="none" w:sz="0" w:space="0" w:color="auto"/>
                  </w:divBdr>
                  <w:divsChild>
                    <w:div w:id="1270165371">
                      <w:marLeft w:val="0"/>
                      <w:marRight w:val="0"/>
                      <w:marTop w:val="0"/>
                      <w:marBottom w:val="0"/>
                      <w:divBdr>
                        <w:top w:val="none" w:sz="0" w:space="0" w:color="auto"/>
                        <w:left w:val="none" w:sz="0" w:space="0" w:color="auto"/>
                        <w:bottom w:val="none" w:sz="0" w:space="0" w:color="auto"/>
                        <w:right w:val="none" w:sz="0" w:space="0" w:color="auto"/>
                      </w:divBdr>
                    </w:div>
                  </w:divsChild>
                </w:div>
                <w:div w:id="221410257">
                  <w:marLeft w:val="0"/>
                  <w:marRight w:val="0"/>
                  <w:marTop w:val="0"/>
                  <w:marBottom w:val="0"/>
                  <w:divBdr>
                    <w:top w:val="none" w:sz="0" w:space="0" w:color="auto"/>
                    <w:left w:val="none" w:sz="0" w:space="0" w:color="auto"/>
                    <w:bottom w:val="none" w:sz="0" w:space="0" w:color="auto"/>
                    <w:right w:val="none" w:sz="0" w:space="0" w:color="auto"/>
                  </w:divBdr>
                  <w:divsChild>
                    <w:div w:id="1842549071">
                      <w:marLeft w:val="0"/>
                      <w:marRight w:val="0"/>
                      <w:marTop w:val="0"/>
                      <w:marBottom w:val="0"/>
                      <w:divBdr>
                        <w:top w:val="none" w:sz="0" w:space="0" w:color="auto"/>
                        <w:left w:val="none" w:sz="0" w:space="0" w:color="auto"/>
                        <w:bottom w:val="none" w:sz="0" w:space="0" w:color="auto"/>
                        <w:right w:val="none" w:sz="0" w:space="0" w:color="auto"/>
                      </w:divBdr>
                    </w:div>
                  </w:divsChild>
                </w:div>
                <w:div w:id="233439896">
                  <w:marLeft w:val="0"/>
                  <w:marRight w:val="0"/>
                  <w:marTop w:val="0"/>
                  <w:marBottom w:val="0"/>
                  <w:divBdr>
                    <w:top w:val="none" w:sz="0" w:space="0" w:color="auto"/>
                    <w:left w:val="none" w:sz="0" w:space="0" w:color="auto"/>
                    <w:bottom w:val="none" w:sz="0" w:space="0" w:color="auto"/>
                    <w:right w:val="none" w:sz="0" w:space="0" w:color="auto"/>
                  </w:divBdr>
                  <w:divsChild>
                    <w:div w:id="216866989">
                      <w:marLeft w:val="0"/>
                      <w:marRight w:val="0"/>
                      <w:marTop w:val="0"/>
                      <w:marBottom w:val="0"/>
                      <w:divBdr>
                        <w:top w:val="none" w:sz="0" w:space="0" w:color="auto"/>
                        <w:left w:val="none" w:sz="0" w:space="0" w:color="auto"/>
                        <w:bottom w:val="none" w:sz="0" w:space="0" w:color="auto"/>
                        <w:right w:val="none" w:sz="0" w:space="0" w:color="auto"/>
                      </w:divBdr>
                    </w:div>
                  </w:divsChild>
                </w:div>
                <w:div w:id="249311183">
                  <w:marLeft w:val="0"/>
                  <w:marRight w:val="0"/>
                  <w:marTop w:val="0"/>
                  <w:marBottom w:val="0"/>
                  <w:divBdr>
                    <w:top w:val="none" w:sz="0" w:space="0" w:color="auto"/>
                    <w:left w:val="none" w:sz="0" w:space="0" w:color="auto"/>
                    <w:bottom w:val="none" w:sz="0" w:space="0" w:color="auto"/>
                    <w:right w:val="none" w:sz="0" w:space="0" w:color="auto"/>
                  </w:divBdr>
                  <w:divsChild>
                    <w:div w:id="1779908646">
                      <w:marLeft w:val="0"/>
                      <w:marRight w:val="0"/>
                      <w:marTop w:val="0"/>
                      <w:marBottom w:val="0"/>
                      <w:divBdr>
                        <w:top w:val="none" w:sz="0" w:space="0" w:color="auto"/>
                        <w:left w:val="none" w:sz="0" w:space="0" w:color="auto"/>
                        <w:bottom w:val="none" w:sz="0" w:space="0" w:color="auto"/>
                        <w:right w:val="none" w:sz="0" w:space="0" w:color="auto"/>
                      </w:divBdr>
                    </w:div>
                  </w:divsChild>
                </w:div>
                <w:div w:id="299388149">
                  <w:marLeft w:val="0"/>
                  <w:marRight w:val="0"/>
                  <w:marTop w:val="0"/>
                  <w:marBottom w:val="0"/>
                  <w:divBdr>
                    <w:top w:val="none" w:sz="0" w:space="0" w:color="auto"/>
                    <w:left w:val="none" w:sz="0" w:space="0" w:color="auto"/>
                    <w:bottom w:val="none" w:sz="0" w:space="0" w:color="auto"/>
                    <w:right w:val="none" w:sz="0" w:space="0" w:color="auto"/>
                  </w:divBdr>
                  <w:divsChild>
                    <w:div w:id="1833448338">
                      <w:marLeft w:val="0"/>
                      <w:marRight w:val="0"/>
                      <w:marTop w:val="0"/>
                      <w:marBottom w:val="0"/>
                      <w:divBdr>
                        <w:top w:val="none" w:sz="0" w:space="0" w:color="auto"/>
                        <w:left w:val="none" w:sz="0" w:space="0" w:color="auto"/>
                        <w:bottom w:val="none" w:sz="0" w:space="0" w:color="auto"/>
                        <w:right w:val="none" w:sz="0" w:space="0" w:color="auto"/>
                      </w:divBdr>
                    </w:div>
                  </w:divsChild>
                </w:div>
                <w:div w:id="322781894">
                  <w:marLeft w:val="0"/>
                  <w:marRight w:val="0"/>
                  <w:marTop w:val="0"/>
                  <w:marBottom w:val="0"/>
                  <w:divBdr>
                    <w:top w:val="none" w:sz="0" w:space="0" w:color="auto"/>
                    <w:left w:val="none" w:sz="0" w:space="0" w:color="auto"/>
                    <w:bottom w:val="none" w:sz="0" w:space="0" w:color="auto"/>
                    <w:right w:val="none" w:sz="0" w:space="0" w:color="auto"/>
                  </w:divBdr>
                  <w:divsChild>
                    <w:div w:id="468672199">
                      <w:marLeft w:val="0"/>
                      <w:marRight w:val="0"/>
                      <w:marTop w:val="0"/>
                      <w:marBottom w:val="0"/>
                      <w:divBdr>
                        <w:top w:val="none" w:sz="0" w:space="0" w:color="auto"/>
                        <w:left w:val="none" w:sz="0" w:space="0" w:color="auto"/>
                        <w:bottom w:val="none" w:sz="0" w:space="0" w:color="auto"/>
                        <w:right w:val="none" w:sz="0" w:space="0" w:color="auto"/>
                      </w:divBdr>
                    </w:div>
                  </w:divsChild>
                </w:div>
                <w:div w:id="326447767">
                  <w:marLeft w:val="0"/>
                  <w:marRight w:val="0"/>
                  <w:marTop w:val="0"/>
                  <w:marBottom w:val="0"/>
                  <w:divBdr>
                    <w:top w:val="none" w:sz="0" w:space="0" w:color="auto"/>
                    <w:left w:val="none" w:sz="0" w:space="0" w:color="auto"/>
                    <w:bottom w:val="none" w:sz="0" w:space="0" w:color="auto"/>
                    <w:right w:val="none" w:sz="0" w:space="0" w:color="auto"/>
                  </w:divBdr>
                  <w:divsChild>
                    <w:div w:id="139613691">
                      <w:marLeft w:val="0"/>
                      <w:marRight w:val="0"/>
                      <w:marTop w:val="0"/>
                      <w:marBottom w:val="0"/>
                      <w:divBdr>
                        <w:top w:val="none" w:sz="0" w:space="0" w:color="auto"/>
                        <w:left w:val="none" w:sz="0" w:space="0" w:color="auto"/>
                        <w:bottom w:val="none" w:sz="0" w:space="0" w:color="auto"/>
                        <w:right w:val="none" w:sz="0" w:space="0" w:color="auto"/>
                      </w:divBdr>
                    </w:div>
                  </w:divsChild>
                </w:div>
                <w:div w:id="454064819">
                  <w:marLeft w:val="0"/>
                  <w:marRight w:val="0"/>
                  <w:marTop w:val="0"/>
                  <w:marBottom w:val="0"/>
                  <w:divBdr>
                    <w:top w:val="none" w:sz="0" w:space="0" w:color="auto"/>
                    <w:left w:val="none" w:sz="0" w:space="0" w:color="auto"/>
                    <w:bottom w:val="none" w:sz="0" w:space="0" w:color="auto"/>
                    <w:right w:val="none" w:sz="0" w:space="0" w:color="auto"/>
                  </w:divBdr>
                  <w:divsChild>
                    <w:div w:id="1423843184">
                      <w:marLeft w:val="0"/>
                      <w:marRight w:val="0"/>
                      <w:marTop w:val="0"/>
                      <w:marBottom w:val="0"/>
                      <w:divBdr>
                        <w:top w:val="none" w:sz="0" w:space="0" w:color="auto"/>
                        <w:left w:val="none" w:sz="0" w:space="0" w:color="auto"/>
                        <w:bottom w:val="none" w:sz="0" w:space="0" w:color="auto"/>
                        <w:right w:val="none" w:sz="0" w:space="0" w:color="auto"/>
                      </w:divBdr>
                    </w:div>
                  </w:divsChild>
                </w:div>
                <w:div w:id="550311462">
                  <w:marLeft w:val="0"/>
                  <w:marRight w:val="0"/>
                  <w:marTop w:val="0"/>
                  <w:marBottom w:val="0"/>
                  <w:divBdr>
                    <w:top w:val="none" w:sz="0" w:space="0" w:color="auto"/>
                    <w:left w:val="none" w:sz="0" w:space="0" w:color="auto"/>
                    <w:bottom w:val="none" w:sz="0" w:space="0" w:color="auto"/>
                    <w:right w:val="none" w:sz="0" w:space="0" w:color="auto"/>
                  </w:divBdr>
                  <w:divsChild>
                    <w:div w:id="1060598739">
                      <w:marLeft w:val="0"/>
                      <w:marRight w:val="0"/>
                      <w:marTop w:val="0"/>
                      <w:marBottom w:val="0"/>
                      <w:divBdr>
                        <w:top w:val="none" w:sz="0" w:space="0" w:color="auto"/>
                        <w:left w:val="none" w:sz="0" w:space="0" w:color="auto"/>
                        <w:bottom w:val="none" w:sz="0" w:space="0" w:color="auto"/>
                        <w:right w:val="none" w:sz="0" w:space="0" w:color="auto"/>
                      </w:divBdr>
                    </w:div>
                  </w:divsChild>
                </w:div>
                <w:div w:id="571739139">
                  <w:marLeft w:val="0"/>
                  <w:marRight w:val="0"/>
                  <w:marTop w:val="0"/>
                  <w:marBottom w:val="0"/>
                  <w:divBdr>
                    <w:top w:val="none" w:sz="0" w:space="0" w:color="auto"/>
                    <w:left w:val="none" w:sz="0" w:space="0" w:color="auto"/>
                    <w:bottom w:val="none" w:sz="0" w:space="0" w:color="auto"/>
                    <w:right w:val="none" w:sz="0" w:space="0" w:color="auto"/>
                  </w:divBdr>
                  <w:divsChild>
                    <w:div w:id="1956866697">
                      <w:marLeft w:val="0"/>
                      <w:marRight w:val="0"/>
                      <w:marTop w:val="0"/>
                      <w:marBottom w:val="0"/>
                      <w:divBdr>
                        <w:top w:val="none" w:sz="0" w:space="0" w:color="auto"/>
                        <w:left w:val="none" w:sz="0" w:space="0" w:color="auto"/>
                        <w:bottom w:val="none" w:sz="0" w:space="0" w:color="auto"/>
                        <w:right w:val="none" w:sz="0" w:space="0" w:color="auto"/>
                      </w:divBdr>
                    </w:div>
                  </w:divsChild>
                </w:div>
                <w:div w:id="579680833">
                  <w:marLeft w:val="0"/>
                  <w:marRight w:val="0"/>
                  <w:marTop w:val="0"/>
                  <w:marBottom w:val="0"/>
                  <w:divBdr>
                    <w:top w:val="none" w:sz="0" w:space="0" w:color="auto"/>
                    <w:left w:val="none" w:sz="0" w:space="0" w:color="auto"/>
                    <w:bottom w:val="none" w:sz="0" w:space="0" w:color="auto"/>
                    <w:right w:val="none" w:sz="0" w:space="0" w:color="auto"/>
                  </w:divBdr>
                  <w:divsChild>
                    <w:div w:id="243029162">
                      <w:marLeft w:val="0"/>
                      <w:marRight w:val="0"/>
                      <w:marTop w:val="0"/>
                      <w:marBottom w:val="0"/>
                      <w:divBdr>
                        <w:top w:val="none" w:sz="0" w:space="0" w:color="auto"/>
                        <w:left w:val="none" w:sz="0" w:space="0" w:color="auto"/>
                        <w:bottom w:val="none" w:sz="0" w:space="0" w:color="auto"/>
                        <w:right w:val="none" w:sz="0" w:space="0" w:color="auto"/>
                      </w:divBdr>
                    </w:div>
                  </w:divsChild>
                </w:div>
                <w:div w:id="614289684">
                  <w:marLeft w:val="0"/>
                  <w:marRight w:val="0"/>
                  <w:marTop w:val="0"/>
                  <w:marBottom w:val="0"/>
                  <w:divBdr>
                    <w:top w:val="none" w:sz="0" w:space="0" w:color="auto"/>
                    <w:left w:val="none" w:sz="0" w:space="0" w:color="auto"/>
                    <w:bottom w:val="none" w:sz="0" w:space="0" w:color="auto"/>
                    <w:right w:val="none" w:sz="0" w:space="0" w:color="auto"/>
                  </w:divBdr>
                  <w:divsChild>
                    <w:div w:id="1780950246">
                      <w:marLeft w:val="0"/>
                      <w:marRight w:val="0"/>
                      <w:marTop w:val="0"/>
                      <w:marBottom w:val="0"/>
                      <w:divBdr>
                        <w:top w:val="none" w:sz="0" w:space="0" w:color="auto"/>
                        <w:left w:val="none" w:sz="0" w:space="0" w:color="auto"/>
                        <w:bottom w:val="none" w:sz="0" w:space="0" w:color="auto"/>
                        <w:right w:val="none" w:sz="0" w:space="0" w:color="auto"/>
                      </w:divBdr>
                    </w:div>
                  </w:divsChild>
                </w:div>
                <w:div w:id="672344859">
                  <w:marLeft w:val="0"/>
                  <w:marRight w:val="0"/>
                  <w:marTop w:val="0"/>
                  <w:marBottom w:val="0"/>
                  <w:divBdr>
                    <w:top w:val="none" w:sz="0" w:space="0" w:color="auto"/>
                    <w:left w:val="none" w:sz="0" w:space="0" w:color="auto"/>
                    <w:bottom w:val="none" w:sz="0" w:space="0" w:color="auto"/>
                    <w:right w:val="none" w:sz="0" w:space="0" w:color="auto"/>
                  </w:divBdr>
                  <w:divsChild>
                    <w:div w:id="1286232925">
                      <w:marLeft w:val="0"/>
                      <w:marRight w:val="0"/>
                      <w:marTop w:val="0"/>
                      <w:marBottom w:val="0"/>
                      <w:divBdr>
                        <w:top w:val="none" w:sz="0" w:space="0" w:color="auto"/>
                        <w:left w:val="none" w:sz="0" w:space="0" w:color="auto"/>
                        <w:bottom w:val="none" w:sz="0" w:space="0" w:color="auto"/>
                        <w:right w:val="none" w:sz="0" w:space="0" w:color="auto"/>
                      </w:divBdr>
                    </w:div>
                  </w:divsChild>
                </w:div>
                <w:div w:id="716970389">
                  <w:marLeft w:val="0"/>
                  <w:marRight w:val="0"/>
                  <w:marTop w:val="0"/>
                  <w:marBottom w:val="0"/>
                  <w:divBdr>
                    <w:top w:val="none" w:sz="0" w:space="0" w:color="auto"/>
                    <w:left w:val="none" w:sz="0" w:space="0" w:color="auto"/>
                    <w:bottom w:val="none" w:sz="0" w:space="0" w:color="auto"/>
                    <w:right w:val="none" w:sz="0" w:space="0" w:color="auto"/>
                  </w:divBdr>
                  <w:divsChild>
                    <w:div w:id="1103382277">
                      <w:marLeft w:val="0"/>
                      <w:marRight w:val="0"/>
                      <w:marTop w:val="0"/>
                      <w:marBottom w:val="0"/>
                      <w:divBdr>
                        <w:top w:val="none" w:sz="0" w:space="0" w:color="auto"/>
                        <w:left w:val="none" w:sz="0" w:space="0" w:color="auto"/>
                        <w:bottom w:val="none" w:sz="0" w:space="0" w:color="auto"/>
                        <w:right w:val="none" w:sz="0" w:space="0" w:color="auto"/>
                      </w:divBdr>
                    </w:div>
                  </w:divsChild>
                </w:div>
                <w:div w:id="763451533">
                  <w:marLeft w:val="0"/>
                  <w:marRight w:val="0"/>
                  <w:marTop w:val="0"/>
                  <w:marBottom w:val="0"/>
                  <w:divBdr>
                    <w:top w:val="none" w:sz="0" w:space="0" w:color="auto"/>
                    <w:left w:val="none" w:sz="0" w:space="0" w:color="auto"/>
                    <w:bottom w:val="none" w:sz="0" w:space="0" w:color="auto"/>
                    <w:right w:val="none" w:sz="0" w:space="0" w:color="auto"/>
                  </w:divBdr>
                  <w:divsChild>
                    <w:div w:id="1023557327">
                      <w:marLeft w:val="0"/>
                      <w:marRight w:val="0"/>
                      <w:marTop w:val="0"/>
                      <w:marBottom w:val="0"/>
                      <w:divBdr>
                        <w:top w:val="none" w:sz="0" w:space="0" w:color="auto"/>
                        <w:left w:val="none" w:sz="0" w:space="0" w:color="auto"/>
                        <w:bottom w:val="none" w:sz="0" w:space="0" w:color="auto"/>
                        <w:right w:val="none" w:sz="0" w:space="0" w:color="auto"/>
                      </w:divBdr>
                    </w:div>
                  </w:divsChild>
                </w:div>
                <w:div w:id="779028721">
                  <w:marLeft w:val="0"/>
                  <w:marRight w:val="0"/>
                  <w:marTop w:val="0"/>
                  <w:marBottom w:val="0"/>
                  <w:divBdr>
                    <w:top w:val="none" w:sz="0" w:space="0" w:color="auto"/>
                    <w:left w:val="none" w:sz="0" w:space="0" w:color="auto"/>
                    <w:bottom w:val="none" w:sz="0" w:space="0" w:color="auto"/>
                    <w:right w:val="none" w:sz="0" w:space="0" w:color="auto"/>
                  </w:divBdr>
                  <w:divsChild>
                    <w:div w:id="1758135801">
                      <w:marLeft w:val="0"/>
                      <w:marRight w:val="0"/>
                      <w:marTop w:val="0"/>
                      <w:marBottom w:val="0"/>
                      <w:divBdr>
                        <w:top w:val="none" w:sz="0" w:space="0" w:color="auto"/>
                        <w:left w:val="none" w:sz="0" w:space="0" w:color="auto"/>
                        <w:bottom w:val="none" w:sz="0" w:space="0" w:color="auto"/>
                        <w:right w:val="none" w:sz="0" w:space="0" w:color="auto"/>
                      </w:divBdr>
                    </w:div>
                  </w:divsChild>
                </w:div>
                <w:div w:id="830558914">
                  <w:marLeft w:val="0"/>
                  <w:marRight w:val="0"/>
                  <w:marTop w:val="0"/>
                  <w:marBottom w:val="0"/>
                  <w:divBdr>
                    <w:top w:val="none" w:sz="0" w:space="0" w:color="auto"/>
                    <w:left w:val="none" w:sz="0" w:space="0" w:color="auto"/>
                    <w:bottom w:val="none" w:sz="0" w:space="0" w:color="auto"/>
                    <w:right w:val="none" w:sz="0" w:space="0" w:color="auto"/>
                  </w:divBdr>
                  <w:divsChild>
                    <w:div w:id="2129276912">
                      <w:marLeft w:val="0"/>
                      <w:marRight w:val="0"/>
                      <w:marTop w:val="0"/>
                      <w:marBottom w:val="0"/>
                      <w:divBdr>
                        <w:top w:val="none" w:sz="0" w:space="0" w:color="auto"/>
                        <w:left w:val="none" w:sz="0" w:space="0" w:color="auto"/>
                        <w:bottom w:val="none" w:sz="0" w:space="0" w:color="auto"/>
                        <w:right w:val="none" w:sz="0" w:space="0" w:color="auto"/>
                      </w:divBdr>
                    </w:div>
                  </w:divsChild>
                </w:div>
                <w:div w:id="853811971">
                  <w:marLeft w:val="0"/>
                  <w:marRight w:val="0"/>
                  <w:marTop w:val="0"/>
                  <w:marBottom w:val="0"/>
                  <w:divBdr>
                    <w:top w:val="none" w:sz="0" w:space="0" w:color="auto"/>
                    <w:left w:val="none" w:sz="0" w:space="0" w:color="auto"/>
                    <w:bottom w:val="none" w:sz="0" w:space="0" w:color="auto"/>
                    <w:right w:val="none" w:sz="0" w:space="0" w:color="auto"/>
                  </w:divBdr>
                  <w:divsChild>
                    <w:div w:id="1602451976">
                      <w:marLeft w:val="0"/>
                      <w:marRight w:val="0"/>
                      <w:marTop w:val="0"/>
                      <w:marBottom w:val="0"/>
                      <w:divBdr>
                        <w:top w:val="none" w:sz="0" w:space="0" w:color="auto"/>
                        <w:left w:val="none" w:sz="0" w:space="0" w:color="auto"/>
                        <w:bottom w:val="none" w:sz="0" w:space="0" w:color="auto"/>
                        <w:right w:val="none" w:sz="0" w:space="0" w:color="auto"/>
                      </w:divBdr>
                    </w:div>
                  </w:divsChild>
                </w:div>
                <w:div w:id="871115721">
                  <w:marLeft w:val="0"/>
                  <w:marRight w:val="0"/>
                  <w:marTop w:val="0"/>
                  <w:marBottom w:val="0"/>
                  <w:divBdr>
                    <w:top w:val="none" w:sz="0" w:space="0" w:color="auto"/>
                    <w:left w:val="none" w:sz="0" w:space="0" w:color="auto"/>
                    <w:bottom w:val="none" w:sz="0" w:space="0" w:color="auto"/>
                    <w:right w:val="none" w:sz="0" w:space="0" w:color="auto"/>
                  </w:divBdr>
                  <w:divsChild>
                    <w:div w:id="568150326">
                      <w:marLeft w:val="0"/>
                      <w:marRight w:val="0"/>
                      <w:marTop w:val="0"/>
                      <w:marBottom w:val="0"/>
                      <w:divBdr>
                        <w:top w:val="none" w:sz="0" w:space="0" w:color="auto"/>
                        <w:left w:val="none" w:sz="0" w:space="0" w:color="auto"/>
                        <w:bottom w:val="none" w:sz="0" w:space="0" w:color="auto"/>
                        <w:right w:val="none" w:sz="0" w:space="0" w:color="auto"/>
                      </w:divBdr>
                    </w:div>
                  </w:divsChild>
                </w:div>
                <w:div w:id="896822428">
                  <w:marLeft w:val="0"/>
                  <w:marRight w:val="0"/>
                  <w:marTop w:val="0"/>
                  <w:marBottom w:val="0"/>
                  <w:divBdr>
                    <w:top w:val="none" w:sz="0" w:space="0" w:color="auto"/>
                    <w:left w:val="none" w:sz="0" w:space="0" w:color="auto"/>
                    <w:bottom w:val="none" w:sz="0" w:space="0" w:color="auto"/>
                    <w:right w:val="none" w:sz="0" w:space="0" w:color="auto"/>
                  </w:divBdr>
                  <w:divsChild>
                    <w:div w:id="1827894261">
                      <w:marLeft w:val="0"/>
                      <w:marRight w:val="0"/>
                      <w:marTop w:val="0"/>
                      <w:marBottom w:val="0"/>
                      <w:divBdr>
                        <w:top w:val="none" w:sz="0" w:space="0" w:color="auto"/>
                        <w:left w:val="none" w:sz="0" w:space="0" w:color="auto"/>
                        <w:bottom w:val="none" w:sz="0" w:space="0" w:color="auto"/>
                        <w:right w:val="none" w:sz="0" w:space="0" w:color="auto"/>
                      </w:divBdr>
                    </w:div>
                  </w:divsChild>
                </w:div>
                <w:div w:id="903372342">
                  <w:marLeft w:val="0"/>
                  <w:marRight w:val="0"/>
                  <w:marTop w:val="0"/>
                  <w:marBottom w:val="0"/>
                  <w:divBdr>
                    <w:top w:val="none" w:sz="0" w:space="0" w:color="auto"/>
                    <w:left w:val="none" w:sz="0" w:space="0" w:color="auto"/>
                    <w:bottom w:val="none" w:sz="0" w:space="0" w:color="auto"/>
                    <w:right w:val="none" w:sz="0" w:space="0" w:color="auto"/>
                  </w:divBdr>
                  <w:divsChild>
                    <w:div w:id="1431848996">
                      <w:marLeft w:val="0"/>
                      <w:marRight w:val="0"/>
                      <w:marTop w:val="0"/>
                      <w:marBottom w:val="0"/>
                      <w:divBdr>
                        <w:top w:val="none" w:sz="0" w:space="0" w:color="auto"/>
                        <w:left w:val="none" w:sz="0" w:space="0" w:color="auto"/>
                        <w:bottom w:val="none" w:sz="0" w:space="0" w:color="auto"/>
                        <w:right w:val="none" w:sz="0" w:space="0" w:color="auto"/>
                      </w:divBdr>
                    </w:div>
                  </w:divsChild>
                </w:div>
                <w:div w:id="908226411">
                  <w:marLeft w:val="0"/>
                  <w:marRight w:val="0"/>
                  <w:marTop w:val="0"/>
                  <w:marBottom w:val="0"/>
                  <w:divBdr>
                    <w:top w:val="none" w:sz="0" w:space="0" w:color="auto"/>
                    <w:left w:val="none" w:sz="0" w:space="0" w:color="auto"/>
                    <w:bottom w:val="none" w:sz="0" w:space="0" w:color="auto"/>
                    <w:right w:val="none" w:sz="0" w:space="0" w:color="auto"/>
                  </w:divBdr>
                  <w:divsChild>
                    <w:div w:id="1941915754">
                      <w:marLeft w:val="0"/>
                      <w:marRight w:val="0"/>
                      <w:marTop w:val="0"/>
                      <w:marBottom w:val="0"/>
                      <w:divBdr>
                        <w:top w:val="none" w:sz="0" w:space="0" w:color="auto"/>
                        <w:left w:val="none" w:sz="0" w:space="0" w:color="auto"/>
                        <w:bottom w:val="none" w:sz="0" w:space="0" w:color="auto"/>
                        <w:right w:val="none" w:sz="0" w:space="0" w:color="auto"/>
                      </w:divBdr>
                    </w:div>
                  </w:divsChild>
                </w:div>
                <w:div w:id="1025253950">
                  <w:marLeft w:val="0"/>
                  <w:marRight w:val="0"/>
                  <w:marTop w:val="0"/>
                  <w:marBottom w:val="0"/>
                  <w:divBdr>
                    <w:top w:val="none" w:sz="0" w:space="0" w:color="auto"/>
                    <w:left w:val="none" w:sz="0" w:space="0" w:color="auto"/>
                    <w:bottom w:val="none" w:sz="0" w:space="0" w:color="auto"/>
                    <w:right w:val="none" w:sz="0" w:space="0" w:color="auto"/>
                  </w:divBdr>
                  <w:divsChild>
                    <w:div w:id="182741952">
                      <w:marLeft w:val="0"/>
                      <w:marRight w:val="0"/>
                      <w:marTop w:val="0"/>
                      <w:marBottom w:val="0"/>
                      <w:divBdr>
                        <w:top w:val="none" w:sz="0" w:space="0" w:color="auto"/>
                        <w:left w:val="none" w:sz="0" w:space="0" w:color="auto"/>
                        <w:bottom w:val="none" w:sz="0" w:space="0" w:color="auto"/>
                        <w:right w:val="none" w:sz="0" w:space="0" w:color="auto"/>
                      </w:divBdr>
                    </w:div>
                  </w:divsChild>
                </w:div>
                <w:div w:id="1174220445">
                  <w:marLeft w:val="0"/>
                  <w:marRight w:val="0"/>
                  <w:marTop w:val="0"/>
                  <w:marBottom w:val="0"/>
                  <w:divBdr>
                    <w:top w:val="none" w:sz="0" w:space="0" w:color="auto"/>
                    <w:left w:val="none" w:sz="0" w:space="0" w:color="auto"/>
                    <w:bottom w:val="none" w:sz="0" w:space="0" w:color="auto"/>
                    <w:right w:val="none" w:sz="0" w:space="0" w:color="auto"/>
                  </w:divBdr>
                  <w:divsChild>
                    <w:div w:id="912160805">
                      <w:marLeft w:val="0"/>
                      <w:marRight w:val="0"/>
                      <w:marTop w:val="0"/>
                      <w:marBottom w:val="0"/>
                      <w:divBdr>
                        <w:top w:val="none" w:sz="0" w:space="0" w:color="auto"/>
                        <w:left w:val="none" w:sz="0" w:space="0" w:color="auto"/>
                        <w:bottom w:val="none" w:sz="0" w:space="0" w:color="auto"/>
                        <w:right w:val="none" w:sz="0" w:space="0" w:color="auto"/>
                      </w:divBdr>
                    </w:div>
                  </w:divsChild>
                </w:div>
                <w:div w:id="1191840856">
                  <w:marLeft w:val="0"/>
                  <w:marRight w:val="0"/>
                  <w:marTop w:val="0"/>
                  <w:marBottom w:val="0"/>
                  <w:divBdr>
                    <w:top w:val="none" w:sz="0" w:space="0" w:color="auto"/>
                    <w:left w:val="none" w:sz="0" w:space="0" w:color="auto"/>
                    <w:bottom w:val="none" w:sz="0" w:space="0" w:color="auto"/>
                    <w:right w:val="none" w:sz="0" w:space="0" w:color="auto"/>
                  </w:divBdr>
                  <w:divsChild>
                    <w:div w:id="29840015">
                      <w:marLeft w:val="0"/>
                      <w:marRight w:val="0"/>
                      <w:marTop w:val="0"/>
                      <w:marBottom w:val="0"/>
                      <w:divBdr>
                        <w:top w:val="none" w:sz="0" w:space="0" w:color="auto"/>
                        <w:left w:val="none" w:sz="0" w:space="0" w:color="auto"/>
                        <w:bottom w:val="none" w:sz="0" w:space="0" w:color="auto"/>
                        <w:right w:val="none" w:sz="0" w:space="0" w:color="auto"/>
                      </w:divBdr>
                    </w:div>
                  </w:divsChild>
                </w:div>
                <w:div w:id="1220822122">
                  <w:marLeft w:val="0"/>
                  <w:marRight w:val="0"/>
                  <w:marTop w:val="0"/>
                  <w:marBottom w:val="0"/>
                  <w:divBdr>
                    <w:top w:val="none" w:sz="0" w:space="0" w:color="auto"/>
                    <w:left w:val="none" w:sz="0" w:space="0" w:color="auto"/>
                    <w:bottom w:val="none" w:sz="0" w:space="0" w:color="auto"/>
                    <w:right w:val="none" w:sz="0" w:space="0" w:color="auto"/>
                  </w:divBdr>
                  <w:divsChild>
                    <w:div w:id="59139932">
                      <w:marLeft w:val="0"/>
                      <w:marRight w:val="0"/>
                      <w:marTop w:val="0"/>
                      <w:marBottom w:val="0"/>
                      <w:divBdr>
                        <w:top w:val="none" w:sz="0" w:space="0" w:color="auto"/>
                        <w:left w:val="none" w:sz="0" w:space="0" w:color="auto"/>
                        <w:bottom w:val="none" w:sz="0" w:space="0" w:color="auto"/>
                        <w:right w:val="none" w:sz="0" w:space="0" w:color="auto"/>
                      </w:divBdr>
                    </w:div>
                  </w:divsChild>
                </w:div>
                <w:div w:id="1262641373">
                  <w:marLeft w:val="0"/>
                  <w:marRight w:val="0"/>
                  <w:marTop w:val="0"/>
                  <w:marBottom w:val="0"/>
                  <w:divBdr>
                    <w:top w:val="none" w:sz="0" w:space="0" w:color="auto"/>
                    <w:left w:val="none" w:sz="0" w:space="0" w:color="auto"/>
                    <w:bottom w:val="none" w:sz="0" w:space="0" w:color="auto"/>
                    <w:right w:val="none" w:sz="0" w:space="0" w:color="auto"/>
                  </w:divBdr>
                  <w:divsChild>
                    <w:div w:id="1697535738">
                      <w:marLeft w:val="0"/>
                      <w:marRight w:val="0"/>
                      <w:marTop w:val="0"/>
                      <w:marBottom w:val="0"/>
                      <w:divBdr>
                        <w:top w:val="none" w:sz="0" w:space="0" w:color="auto"/>
                        <w:left w:val="none" w:sz="0" w:space="0" w:color="auto"/>
                        <w:bottom w:val="none" w:sz="0" w:space="0" w:color="auto"/>
                        <w:right w:val="none" w:sz="0" w:space="0" w:color="auto"/>
                      </w:divBdr>
                    </w:div>
                  </w:divsChild>
                </w:div>
                <w:div w:id="1289165522">
                  <w:marLeft w:val="0"/>
                  <w:marRight w:val="0"/>
                  <w:marTop w:val="0"/>
                  <w:marBottom w:val="0"/>
                  <w:divBdr>
                    <w:top w:val="none" w:sz="0" w:space="0" w:color="auto"/>
                    <w:left w:val="none" w:sz="0" w:space="0" w:color="auto"/>
                    <w:bottom w:val="none" w:sz="0" w:space="0" w:color="auto"/>
                    <w:right w:val="none" w:sz="0" w:space="0" w:color="auto"/>
                  </w:divBdr>
                  <w:divsChild>
                    <w:div w:id="615067303">
                      <w:marLeft w:val="0"/>
                      <w:marRight w:val="0"/>
                      <w:marTop w:val="0"/>
                      <w:marBottom w:val="0"/>
                      <w:divBdr>
                        <w:top w:val="none" w:sz="0" w:space="0" w:color="auto"/>
                        <w:left w:val="none" w:sz="0" w:space="0" w:color="auto"/>
                        <w:bottom w:val="none" w:sz="0" w:space="0" w:color="auto"/>
                        <w:right w:val="none" w:sz="0" w:space="0" w:color="auto"/>
                      </w:divBdr>
                    </w:div>
                  </w:divsChild>
                </w:div>
                <w:div w:id="1371759083">
                  <w:marLeft w:val="0"/>
                  <w:marRight w:val="0"/>
                  <w:marTop w:val="0"/>
                  <w:marBottom w:val="0"/>
                  <w:divBdr>
                    <w:top w:val="none" w:sz="0" w:space="0" w:color="auto"/>
                    <w:left w:val="none" w:sz="0" w:space="0" w:color="auto"/>
                    <w:bottom w:val="none" w:sz="0" w:space="0" w:color="auto"/>
                    <w:right w:val="none" w:sz="0" w:space="0" w:color="auto"/>
                  </w:divBdr>
                  <w:divsChild>
                    <w:div w:id="145125906">
                      <w:marLeft w:val="0"/>
                      <w:marRight w:val="0"/>
                      <w:marTop w:val="0"/>
                      <w:marBottom w:val="0"/>
                      <w:divBdr>
                        <w:top w:val="none" w:sz="0" w:space="0" w:color="auto"/>
                        <w:left w:val="none" w:sz="0" w:space="0" w:color="auto"/>
                        <w:bottom w:val="none" w:sz="0" w:space="0" w:color="auto"/>
                        <w:right w:val="none" w:sz="0" w:space="0" w:color="auto"/>
                      </w:divBdr>
                    </w:div>
                  </w:divsChild>
                </w:div>
                <w:div w:id="1475440671">
                  <w:marLeft w:val="0"/>
                  <w:marRight w:val="0"/>
                  <w:marTop w:val="0"/>
                  <w:marBottom w:val="0"/>
                  <w:divBdr>
                    <w:top w:val="none" w:sz="0" w:space="0" w:color="auto"/>
                    <w:left w:val="none" w:sz="0" w:space="0" w:color="auto"/>
                    <w:bottom w:val="none" w:sz="0" w:space="0" w:color="auto"/>
                    <w:right w:val="none" w:sz="0" w:space="0" w:color="auto"/>
                  </w:divBdr>
                  <w:divsChild>
                    <w:div w:id="1016157469">
                      <w:marLeft w:val="0"/>
                      <w:marRight w:val="0"/>
                      <w:marTop w:val="0"/>
                      <w:marBottom w:val="0"/>
                      <w:divBdr>
                        <w:top w:val="none" w:sz="0" w:space="0" w:color="auto"/>
                        <w:left w:val="none" w:sz="0" w:space="0" w:color="auto"/>
                        <w:bottom w:val="none" w:sz="0" w:space="0" w:color="auto"/>
                        <w:right w:val="none" w:sz="0" w:space="0" w:color="auto"/>
                      </w:divBdr>
                    </w:div>
                  </w:divsChild>
                </w:div>
                <w:div w:id="1480923766">
                  <w:marLeft w:val="0"/>
                  <w:marRight w:val="0"/>
                  <w:marTop w:val="0"/>
                  <w:marBottom w:val="0"/>
                  <w:divBdr>
                    <w:top w:val="none" w:sz="0" w:space="0" w:color="auto"/>
                    <w:left w:val="none" w:sz="0" w:space="0" w:color="auto"/>
                    <w:bottom w:val="none" w:sz="0" w:space="0" w:color="auto"/>
                    <w:right w:val="none" w:sz="0" w:space="0" w:color="auto"/>
                  </w:divBdr>
                  <w:divsChild>
                    <w:div w:id="165289588">
                      <w:marLeft w:val="0"/>
                      <w:marRight w:val="0"/>
                      <w:marTop w:val="0"/>
                      <w:marBottom w:val="0"/>
                      <w:divBdr>
                        <w:top w:val="none" w:sz="0" w:space="0" w:color="auto"/>
                        <w:left w:val="none" w:sz="0" w:space="0" w:color="auto"/>
                        <w:bottom w:val="none" w:sz="0" w:space="0" w:color="auto"/>
                        <w:right w:val="none" w:sz="0" w:space="0" w:color="auto"/>
                      </w:divBdr>
                    </w:div>
                  </w:divsChild>
                </w:div>
                <w:div w:id="1489711915">
                  <w:marLeft w:val="0"/>
                  <w:marRight w:val="0"/>
                  <w:marTop w:val="0"/>
                  <w:marBottom w:val="0"/>
                  <w:divBdr>
                    <w:top w:val="none" w:sz="0" w:space="0" w:color="auto"/>
                    <w:left w:val="none" w:sz="0" w:space="0" w:color="auto"/>
                    <w:bottom w:val="none" w:sz="0" w:space="0" w:color="auto"/>
                    <w:right w:val="none" w:sz="0" w:space="0" w:color="auto"/>
                  </w:divBdr>
                  <w:divsChild>
                    <w:div w:id="568734008">
                      <w:marLeft w:val="0"/>
                      <w:marRight w:val="0"/>
                      <w:marTop w:val="0"/>
                      <w:marBottom w:val="0"/>
                      <w:divBdr>
                        <w:top w:val="none" w:sz="0" w:space="0" w:color="auto"/>
                        <w:left w:val="none" w:sz="0" w:space="0" w:color="auto"/>
                        <w:bottom w:val="none" w:sz="0" w:space="0" w:color="auto"/>
                        <w:right w:val="none" w:sz="0" w:space="0" w:color="auto"/>
                      </w:divBdr>
                    </w:div>
                  </w:divsChild>
                </w:div>
                <w:div w:id="1496460782">
                  <w:marLeft w:val="0"/>
                  <w:marRight w:val="0"/>
                  <w:marTop w:val="0"/>
                  <w:marBottom w:val="0"/>
                  <w:divBdr>
                    <w:top w:val="none" w:sz="0" w:space="0" w:color="auto"/>
                    <w:left w:val="none" w:sz="0" w:space="0" w:color="auto"/>
                    <w:bottom w:val="none" w:sz="0" w:space="0" w:color="auto"/>
                    <w:right w:val="none" w:sz="0" w:space="0" w:color="auto"/>
                  </w:divBdr>
                  <w:divsChild>
                    <w:div w:id="565384452">
                      <w:marLeft w:val="0"/>
                      <w:marRight w:val="0"/>
                      <w:marTop w:val="0"/>
                      <w:marBottom w:val="0"/>
                      <w:divBdr>
                        <w:top w:val="none" w:sz="0" w:space="0" w:color="auto"/>
                        <w:left w:val="none" w:sz="0" w:space="0" w:color="auto"/>
                        <w:bottom w:val="none" w:sz="0" w:space="0" w:color="auto"/>
                        <w:right w:val="none" w:sz="0" w:space="0" w:color="auto"/>
                      </w:divBdr>
                    </w:div>
                  </w:divsChild>
                </w:div>
                <w:div w:id="1535122007">
                  <w:marLeft w:val="0"/>
                  <w:marRight w:val="0"/>
                  <w:marTop w:val="0"/>
                  <w:marBottom w:val="0"/>
                  <w:divBdr>
                    <w:top w:val="none" w:sz="0" w:space="0" w:color="auto"/>
                    <w:left w:val="none" w:sz="0" w:space="0" w:color="auto"/>
                    <w:bottom w:val="none" w:sz="0" w:space="0" w:color="auto"/>
                    <w:right w:val="none" w:sz="0" w:space="0" w:color="auto"/>
                  </w:divBdr>
                  <w:divsChild>
                    <w:div w:id="981080138">
                      <w:marLeft w:val="0"/>
                      <w:marRight w:val="0"/>
                      <w:marTop w:val="0"/>
                      <w:marBottom w:val="0"/>
                      <w:divBdr>
                        <w:top w:val="none" w:sz="0" w:space="0" w:color="auto"/>
                        <w:left w:val="none" w:sz="0" w:space="0" w:color="auto"/>
                        <w:bottom w:val="none" w:sz="0" w:space="0" w:color="auto"/>
                        <w:right w:val="none" w:sz="0" w:space="0" w:color="auto"/>
                      </w:divBdr>
                    </w:div>
                  </w:divsChild>
                </w:div>
                <w:div w:id="1570269240">
                  <w:marLeft w:val="0"/>
                  <w:marRight w:val="0"/>
                  <w:marTop w:val="0"/>
                  <w:marBottom w:val="0"/>
                  <w:divBdr>
                    <w:top w:val="none" w:sz="0" w:space="0" w:color="auto"/>
                    <w:left w:val="none" w:sz="0" w:space="0" w:color="auto"/>
                    <w:bottom w:val="none" w:sz="0" w:space="0" w:color="auto"/>
                    <w:right w:val="none" w:sz="0" w:space="0" w:color="auto"/>
                  </w:divBdr>
                  <w:divsChild>
                    <w:div w:id="1932351907">
                      <w:marLeft w:val="0"/>
                      <w:marRight w:val="0"/>
                      <w:marTop w:val="0"/>
                      <w:marBottom w:val="0"/>
                      <w:divBdr>
                        <w:top w:val="none" w:sz="0" w:space="0" w:color="auto"/>
                        <w:left w:val="none" w:sz="0" w:space="0" w:color="auto"/>
                        <w:bottom w:val="none" w:sz="0" w:space="0" w:color="auto"/>
                        <w:right w:val="none" w:sz="0" w:space="0" w:color="auto"/>
                      </w:divBdr>
                    </w:div>
                  </w:divsChild>
                </w:div>
                <w:div w:id="1574659896">
                  <w:marLeft w:val="0"/>
                  <w:marRight w:val="0"/>
                  <w:marTop w:val="0"/>
                  <w:marBottom w:val="0"/>
                  <w:divBdr>
                    <w:top w:val="none" w:sz="0" w:space="0" w:color="auto"/>
                    <w:left w:val="none" w:sz="0" w:space="0" w:color="auto"/>
                    <w:bottom w:val="none" w:sz="0" w:space="0" w:color="auto"/>
                    <w:right w:val="none" w:sz="0" w:space="0" w:color="auto"/>
                  </w:divBdr>
                  <w:divsChild>
                    <w:div w:id="1878737113">
                      <w:marLeft w:val="0"/>
                      <w:marRight w:val="0"/>
                      <w:marTop w:val="0"/>
                      <w:marBottom w:val="0"/>
                      <w:divBdr>
                        <w:top w:val="none" w:sz="0" w:space="0" w:color="auto"/>
                        <w:left w:val="none" w:sz="0" w:space="0" w:color="auto"/>
                        <w:bottom w:val="none" w:sz="0" w:space="0" w:color="auto"/>
                        <w:right w:val="none" w:sz="0" w:space="0" w:color="auto"/>
                      </w:divBdr>
                    </w:div>
                  </w:divsChild>
                </w:div>
                <w:div w:id="1577207956">
                  <w:marLeft w:val="0"/>
                  <w:marRight w:val="0"/>
                  <w:marTop w:val="0"/>
                  <w:marBottom w:val="0"/>
                  <w:divBdr>
                    <w:top w:val="none" w:sz="0" w:space="0" w:color="auto"/>
                    <w:left w:val="none" w:sz="0" w:space="0" w:color="auto"/>
                    <w:bottom w:val="none" w:sz="0" w:space="0" w:color="auto"/>
                    <w:right w:val="none" w:sz="0" w:space="0" w:color="auto"/>
                  </w:divBdr>
                  <w:divsChild>
                    <w:div w:id="885338778">
                      <w:marLeft w:val="0"/>
                      <w:marRight w:val="0"/>
                      <w:marTop w:val="0"/>
                      <w:marBottom w:val="0"/>
                      <w:divBdr>
                        <w:top w:val="none" w:sz="0" w:space="0" w:color="auto"/>
                        <w:left w:val="none" w:sz="0" w:space="0" w:color="auto"/>
                        <w:bottom w:val="none" w:sz="0" w:space="0" w:color="auto"/>
                        <w:right w:val="none" w:sz="0" w:space="0" w:color="auto"/>
                      </w:divBdr>
                    </w:div>
                  </w:divsChild>
                </w:div>
                <w:div w:id="1592005238">
                  <w:marLeft w:val="0"/>
                  <w:marRight w:val="0"/>
                  <w:marTop w:val="0"/>
                  <w:marBottom w:val="0"/>
                  <w:divBdr>
                    <w:top w:val="none" w:sz="0" w:space="0" w:color="auto"/>
                    <w:left w:val="none" w:sz="0" w:space="0" w:color="auto"/>
                    <w:bottom w:val="none" w:sz="0" w:space="0" w:color="auto"/>
                    <w:right w:val="none" w:sz="0" w:space="0" w:color="auto"/>
                  </w:divBdr>
                  <w:divsChild>
                    <w:div w:id="1355378518">
                      <w:marLeft w:val="0"/>
                      <w:marRight w:val="0"/>
                      <w:marTop w:val="0"/>
                      <w:marBottom w:val="0"/>
                      <w:divBdr>
                        <w:top w:val="none" w:sz="0" w:space="0" w:color="auto"/>
                        <w:left w:val="none" w:sz="0" w:space="0" w:color="auto"/>
                        <w:bottom w:val="none" w:sz="0" w:space="0" w:color="auto"/>
                        <w:right w:val="none" w:sz="0" w:space="0" w:color="auto"/>
                      </w:divBdr>
                    </w:div>
                  </w:divsChild>
                </w:div>
                <w:div w:id="1666325271">
                  <w:marLeft w:val="0"/>
                  <w:marRight w:val="0"/>
                  <w:marTop w:val="0"/>
                  <w:marBottom w:val="0"/>
                  <w:divBdr>
                    <w:top w:val="none" w:sz="0" w:space="0" w:color="auto"/>
                    <w:left w:val="none" w:sz="0" w:space="0" w:color="auto"/>
                    <w:bottom w:val="none" w:sz="0" w:space="0" w:color="auto"/>
                    <w:right w:val="none" w:sz="0" w:space="0" w:color="auto"/>
                  </w:divBdr>
                  <w:divsChild>
                    <w:div w:id="376702825">
                      <w:marLeft w:val="0"/>
                      <w:marRight w:val="0"/>
                      <w:marTop w:val="0"/>
                      <w:marBottom w:val="0"/>
                      <w:divBdr>
                        <w:top w:val="none" w:sz="0" w:space="0" w:color="auto"/>
                        <w:left w:val="none" w:sz="0" w:space="0" w:color="auto"/>
                        <w:bottom w:val="none" w:sz="0" w:space="0" w:color="auto"/>
                        <w:right w:val="none" w:sz="0" w:space="0" w:color="auto"/>
                      </w:divBdr>
                    </w:div>
                  </w:divsChild>
                </w:div>
                <w:div w:id="1680303544">
                  <w:marLeft w:val="0"/>
                  <w:marRight w:val="0"/>
                  <w:marTop w:val="0"/>
                  <w:marBottom w:val="0"/>
                  <w:divBdr>
                    <w:top w:val="none" w:sz="0" w:space="0" w:color="auto"/>
                    <w:left w:val="none" w:sz="0" w:space="0" w:color="auto"/>
                    <w:bottom w:val="none" w:sz="0" w:space="0" w:color="auto"/>
                    <w:right w:val="none" w:sz="0" w:space="0" w:color="auto"/>
                  </w:divBdr>
                  <w:divsChild>
                    <w:div w:id="1863787732">
                      <w:marLeft w:val="0"/>
                      <w:marRight w:val="0"/>
                      <w:marTop w:val="0"/>
                      <w:marBottom w:val="0"/>
                      <w:divBdr>
                        <w:top w:val="none" w:sz="0" w:space="0" w:color="auto"/>
                        <w:left w:val="none" w:sz="0" w:space="0" w:color="auto"/>
                        <w:bottom w:val="none" w:sz="0" w:space="0" w:color="auto"/>
                        <w:right w:val="none" w:sz="0" w:space="0" w:color="auto"/>
                      </w:divBdr>
                    </w:div>
                  </w:divsChild>
                </w:div>
                <w:div w:id="1692755567">
                  <w:marLeft w:val="0"/>
                  <w:marRight w:val="0"/>
                  <w:marTop w:val="0"/>
                  <w:marBottom w:val="0"/>
                  <w:divBdr>
                    <w:top w:val="none" w:sz="0" w:space="0" w:color="auto"/>
                    <w:left w:val="none" w:sz="0" w:space="0" w:color="auto"/>
                    <w:bottom w:val="none" w:sz="0" w:space="0" w:color="auto"/>
                    <w:right w:val="none" w:sz="0" w:space="0" w:color="auto"/>
                  </w:divBdr>
                  <w:divsChild>
                    <w:div w:id="1446850963">
                      <w:marLeft w:val="0"/>
                      <w:marRight w:val="0"/>
                      <w:marTop w:val="0"/>
                      <w:marBottom w:val="0"/>
                      <w:divBdr>
                        <w:top w:val="none" w:sz="0" w:space="0" w:color="auto"/>
                        <w:left w:val="none" w:sz="0" w:space="0" w:color="auto"/>
                        <w:bottom w:val="none" w:sz="0" w:space="0" w:color="auto"/>
                        <w:right w:val="none" w:sz="0" w:space="0" w:color="auto"/>
                      </w:divBdr>
                    </w:div>
                  </w:divsChild>
                </w:div>
                <w:div w:id="1729920273">
                  <w:marLeft w:val="0"/>
                  <w:marRight w:val="0"/>
                  <w:marTop w:val="0"/>
                  <w:marBottom w:val="0"/>
                  <w:divBdr>
                    <w:top w:val="none" w:sz="0" w:space="0" w:color="auto"/>
                    <w:left w:val="none" w:sz="0" w:space="0" w:color="auto"/>
                    <w:bottom w:val="none" w:sz="0" w:space="0" w:color="auto"/>
                    <w:right w:val="none" w:sz="0" w:space="0" w:color="auto"/>
                  </w:divBdr>
                  <w:divsChild>
                    <w:div w:id="965770501">
                      <w:marLeft w:val="0"/>
                      <w:marRight w:val="0"/>
                      <w:marTop w:val="0"/>
                      <w:marBottom w:val="0"/>
                      <w:divBdr>
                        <w:top w:val="none" w:sz="0" w:space="0" w:color="auto"/>
                        <w:left w:val="none" w:sz="0" w:space="0" w:color="auto"/>
                        <w:bottom w:val="none" w:sz="0" w:space="0" w:color="auto"/>
                        <w:right w:val="none" w:sz="0" w:space="0" w:color="auto"/>
                      </w:divBdr>
                    </w:div>
                  </w:divsChild>
                </w:div>
                <w:div w:id="1913003791">
                  <w:marLeft w:val="0"/>
                  <w:marRight w:val="0"/>
                  <w:marTop w:val="0"/>
                  <w:marBottom w:val="0"/>
                  <w:divBdr>
                    <w:top w:val="none" w:sz="0" w:space="0" w:color="auto"/>
                    <w:left w:val="none" w:sz="0" w:space="0" w:color="auto"/>
                    <w:bottom w:val="none" w:sz="0" w:space="0" w:color="auto"/>
                    <w:right w:val="none" w:sz="0" w:space="0" w:color="auto"/>
                  </w:divBdr>
                  <w:divsChild>
                    <w:div w:id="2105301245">
                      <w:marLeft w:val="0"/>
                      <w:marRight w:val="0"/>
                      <w:marTop w:val="0"/>
                      <w:marBottom w:val="0"/>
                      <w:divBdr>
                        <w:top w:val="none" w:sz="0" w:space="0" w:color="auto"/>
                        <w:left w:val="none" w:sz="0" w:space="0" w:color="auto"/>
                        <w:bottom w:val="none" w:sz="0" w:space="0" w:color="auto"/>
                        <w:right w:val="none" w:sz="0" w:space="0" w:color="auto"/>
                      </w:divBdr>
                    </w:div>
                  </w:divsChild>
                </w:div>
                <w:div w:id="1952083191">
                  <w:marLeft w:val="0"/>
                  <w:marRight w:val="0"/>
                  <w:marTop w:val="0"/>
                  <w:marBottom w:val="0"/>
                  <w:divBdr>
                    <w:top w:val="none" w:sz="0" w:space="0" w:color="auto"/>
                    <w:left w:val="none" w:sz="0" w:space="0" w:color="auto"/>
                    <w:bottom w:val="none" w:sz="0" w:space="0" w:color="auto"/>
                    <w:right w:val="none" w:sz="0" w:space="0" w:color="auto"/>
                  </w:divBdr>
                  <w:divsChild>
                    <w:div w:id="1084228664">
                      <w:marLeft w:val="0"/>
                      <w:marRight w:val="0"/>
                      <w:marTop w:val="0"/>
                      <w:marBottom w:val="0"/>
                      <w:divBdr>
                        <w:top w:val="none" w:sz="0" w:space="0" w:color="auto"/>
                        <w:left w:val="none" w:sz="0" w:space="0" w:color="auto"/>
                        <w:bottom w:val="none" w:sz="0" w:space="0" w:color="auto"/>
                        <w:right w:val="none" w:sz="0" w:space="0" w:color="auto"/>
                      </w:divBdr>
                    </w:div>
                  </w:divsChild>
                </w:div>
                <w:div w:id="1956136541">
                  <w:marLeft w:val="0"/>
                  <w:marRight w:val="0"/>
                  <w:marTop w:val="0"/>
                  <w:marBottom w:val="0"/>
                  <w:divBdr>
                    <w:top w:val="none" w:sz="0" w:space="0" w:color="auto"/>
                    <w:left w:val="none" w:sz="0" w:space="0" w:color="auto"/>
                    <w:bottom w:val="none" w:sz="0" w:space="0" w:color="auto"/>
                    <w:right w:val="none" w:sz="0" w:space="0" w:color="auto"/>
                  </w:divBdr>
                  <w:divsChild>
                    <w:div w:id="1717126162">
                      <w:marLeft w:val="0"/>
                      <w:marRight w:val="0"/>
                      <w:marTop w:val="0"/>
                      <w:marBottom w:val="0"/>
                      <w:divBdr>
                        <w:top w:val="none" w:sz="0" w:space="0" w:color="auto"/>
                        <w:left w:val="none" w:sz="0" w:space="0" w:color="auto"/>
                        <w:bottom w:val="none" w:sz="0" w:space="0" w:color="auto"/>
                        <w:right w:val="none" w:sz="0" w:space="0" w:color="auto"/>
                      </w:divBdr>
                    </w:div>
                  </w:divsChild>
                </w:div>
                <w:div w:id="1984775892">
                  <w:marLeft w:val="0"/>
                  <w:marRight w:val="0"/>
                  <w:marTop w:val="0"/>
                  <w:marBottom w:val="0"/>
                  <w:divBdr>
                    <w:top w:val="none" w:sz="0" w:space="0" w:color="auto"/>
                    <w:left w:val="none" w:sz="0" w:space="0" w:color="auto"/>
                    <w:bottom w:val="none" w:sz="0" w:space="0" w:color="auto"/>
                    <w:right w:val="none" w:sz="0" w:space="0" w:color="auto"/>
                  </w:divBdr>
                  <w:divsChild>
                    <w:div w:id="59783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270969">
          <w:marLeft w:val="0"/>
          <w:marRight w:val="0"/>
          <w:marTop w:val="0"/>
          <w:marBottom w:val="0"/>
          <w:divBdr>
            <w:top w:val="none" w:sz="0" w:space="0" w:color="auto"/>
            <w:left w:val="none" w:sz="0" w:space="0" w:color="auto"/>
            <w:bottom w:val="none" w:sz="0" w:space="0" w:color="auto"/>
            <w:right w:val="none" w:sz="0" w:space="0" w:color="auto"/>
          </w:divBdr>
        </w:div>
        <w:div w:id="1987394947">
          <w:marLeft w:val="0"/>
          <w:marRight w:val="0"/>
          <w:marTop w:val="0"/>
          <w:marBottom w:val="0"/>
          <w:divBdr>
            <w:top w:val="none" w:sz="0" w:space="0" w:color="auto"/>
            <w:left w:val="none" w:sz="0" w:space="0" w:color="auto"/>
            <w:bottom w:val="none" w:sz="0" w:space="0" w:color="auto"/>
            <w:right w:val="none" w:sz="0" w:space="0" w:color="auto"/>
          </w:divBdr>
        </w:div>
      </w:divsChild>
    </w:div>
    <w:div w:id="1821578256">
      <w:bodyDiv w:val="1"/>
      <w:marLeft w:val="0"/>
      <w:marRight w:val="0"/>
      <w:marTop w:val="0"/>
      <w:marBottom w:val="0"/>
      <w:divBdr>
        <w:top w:val="none" w:sz="0" w:space="0" w:color="auto"/>
        <w:left w:val="none" w:sz="0" w:space="0" w:color="auto"/>
        <w:bottom w:val="none" w:sz="0" w:space="0" w:color="auto"/>
        <w:right w:val="none" w:sz="0" w:space="0" w:color="auto"/>
      </w:divBdr>
    </w:div>
    <w:div w:id="1824547665">
      <w:bodyDiv w:val="1"/>
      <w:marLeft w:val="0"/>
      <w:marRight w:val="0"/>
      <w:marTop w:val="0"/>
      <w:marBottom w:val="0"/>
      <w:divBdr>
        <w:top w:val="none" w:sz="0" w:space="0" w:color="auto"/>
        <w:left w:val="none" w:sz="0" w:space="0" w:color="auto"/>
        <w:bottom w:val="none" w:sz="0" w:space="0" w:color="auto"/>
        <w:right w:val="none" w:sz="0" w:space="0" w:color="auto"/>
      </w:divBdr>
      <w:divsChild>
        <w:div w:id="1305431488">
          <w:marLeft w:val="0"/>
          <w:marRight w:val="0"/>
          <w:marTop w:val="0"/>
          <w:marBottom w:val="0"/>
          <w:divBdr>
            <w:top w:val="none" w:sz="0" w:space="0" w:color="auto"/>
            <w:left w:val="none" w:sz="0" w:space="0" w:color="auto"/>
            <w:bottom w:val="none" w:sz="0" w:space="0" w:color="auto"/>
            <w:right w:val="none" w:sz="0" w:space="0" w:color="auto"/>
          </w:divBdr>
        </w:div>
        <w:div w:id="1689864603">
          <w:marLeft w:val="0"/>
          <w:marRight w:val="0"/>
          <w:marTop w:val="0"/>
          <w:marBottom w:val="0"/>
          <w:divBdr>
            <w:top w:val="none" w:sz="0" w:space="0" w:color="auto"/>
            <w:left w:val="none" w:sz="0" w:space="0" w:color="auto"/>
            <w:bottom w:val="none" w:sz="0" w:space="0" w:color="auto"/>
            <w:right w:val="none" w:sz="0" w:space="0" w:color="auto"/>
          </w:divBdr>
        </w:div>
      </w:divsChild>
    </w:div>
    <w:div w:id="1853953930">
      <w:bodyDiv w:val="1"/>
      <w:marLeft w:val="0"/>
      <w:marRight w:val="0"/>
      <w:marTop w:val="0"/>
      <w:marBottom w:val="0"/>
      <w:divBdr>
        <w:top w:val="none" w:sz="0" w:space="0" w:color="auto"/>
        <w:left w:val="none" w:sz="0" w:space="0" w:color="auto"/>
        <w:bottom w:val="none" w:sz="0" w:space="0" w:color="auto"/>
        <w:right w:val="none" w:sz="0" w:space="0" w:color="auto"/>
      </w:divBdr>
    </w:div>
    <w:div w:id="1867400868">
      <w:bodyDiv w:val="1"/>
      <w:marLeft w:val="0"/>
      <w:marRight w:val="0"/>
      <w:marTop w:val="0"/>
      <w:marBottom w:val="0"/>
      <w:divBdr>
        <w:top w:val="none" w:sz="0" w:space="0" w:color="auto"/>
        <w:left w:val="none" w:sz="0" w:space="0" w:color="auto"/>
        <w:bottom w:val="none" w:sz="0" w:space="0" w:color="auto"/>
        <w:right w:val="none" w:sz="0" w:space="0" w:color="auto"/>
      </w:divBdr>
    </w:div>
    <w:div w:id="1922831653">
      <w:bodyDiv w:val="1"/>
      <w:marLeft w:val="0"/>
      <w:marRight w:val="0"/>
      <w:marTop w:val="0"/>
      <w:marBottom w:val="0"/>
      <w:divBdr>
        <w:top w:val="none" w:sz="0" w:space="0" w:color="auto"/>
        <w:left w:val="none" w:sz="0" w:space="0" w:color="auto"/>
        <w:bottom w:val="none" w:sz="0" w:space="0" w:color="auto"/>
        <w:right w:val="none" w:sz="0" w:space="0" w:color="auto"/>
      </w:divBdr>
    </w:div>
    <w:div w:id="1923640314">
      <w:bodyDiv w:val="1"/>
      <w:marLeft w:val="0"/>
      <w:marRight w:val="0"/>
      <w:marTop w:val="0"/>
      <w:marBottom w:val="0"/>
      <w:divBdr>
        <w:top w:val="none" w:sz="0" w:space="0" w:color="auto"/>
        <w:left w:val="none" w:sz="0" w:space="0" w:color="auto"/>
        <w:bottom w:val="none" w:sz="0" w:space="0" w:color="auto"/>
        <w:right w:val="none" w:sz="0" w:space="0" w:color="auto"/>
      </w:divBdr>
      <w:divsChild>
        <w:div w:id="110175797">
          <w:marLeft w:val="0"/>
          <w:marRight w:val="0"/>
          <w:marTop w:val="0"/>
          <w:marBottom w:val="0"/>
          <w:divBdr>
            <w:top w:val="none" w:sz="0" w:space="0" w:color="auto"/>
            <w:left w:val="none" w:sz="0" w:space="0" w:color="auto"/>
            <w:bottom w:val="none" w:sz="0" w:space="0" w:color="auto"/>
            <w:right w:val="none" w:sz="0" w:space="0" w:color="auto"/>
          </w:divBdr>
        </w:div>
        <w:div w:id="123541878">
          <w:marLeft w:val="0"/>
          <w:marRight w:val="0"/>
          <w:marTop w:val="0"/>
          <w:marBottom w:val="0"/>
          <w:divBdr>
            <w:top w:val="none" w:sz="0" w:space="0" w:color="auto"/>
            <w:left w:val="none" w:sz="0" w:space="0" w:color="auto"/>
            <w:bottom w:val="none" w:sz="0" w:space="0" w:color="auto"/>
            <w:right w:val="none" w:sz="0" w:space="0" w:color="auto"/>
          </w:divBdr>
        </w:div>
        <w:div w:id="320962003">
          <w:marLeft w:val="0"/>
          <w:marRight w:val="0"/>
          <w:marTop w:val="0"/>
          <w:marBottom w:val="0"/>
          <w:divBdr>
            <w:top w:val="none" w:sz="0" w:space="0" w:color="auto"/>
            <w:left w:val="none" w:sz="0" w:space="0" w:color="auto"/>
            <w:bottom w:val="none" w:sz="0" w:space="0" w:color="auto"/>
            <w:right w:val="none" w:sz="0" w:space="0" w:color="auto"/>
          </w:divBdr>
        </w:div>
        <w:div w:id="336857591">
          <w:marLeft w:val="0"/>
          <w:marRight w:val="0"/>
          <w:marTop w:val="0"/>
          <w:marBottom w:val="0"/>
          <w:divBdr>
            <w:top w:val="none" w:sz="0" w:space="0" w:color="auto"/>
            <w:left w:val="none" w:sz="0" w:space="0" w:color="auto"/>
            <w:bottom w:val="none" w:sz="0" w:space="0" w:color="auto"/>
            <w:right w:val="none" w:sz="0" w:space="0" w:color="auto"/>
          </w:divBdr>
        </w:div>
        <w:div w:id="475337170">
          <w:marLeft w:val="0"/>
          <w:marRight w:val="0"/>
          <w:marTop w:val="0"/>
          <w:marBottom w:val="0"/>
          <w:divBdr>
            <w:top w:val="none" w:sz="0" w:space="0" w:color="auto"/>
            <w:left w:val="none" w:sz="0" w:space="0" w:color="auto"/>
            <w:bottom w:val="none" w:sz="0" w:space="0" w:color="auto"/>
            <w:right w:val="none" w:sz="0" w:space="0" w:color="auto"/>
          </w:divBdr>
        </w:div>
        <w:div w:id="603534766">
          <w:marLeft w:val="0"/>
          <w:marRight w:val="0"/>
          <w:marTop w:val="0"/>
          <w:marBottom w:val="0"/>
          <w:divBdr>
            <w:top w:val="none" w:sz="0" w:space="0" w:color="auto"/>
            <w:left w:val="none" w:sz="0" w:space="0" w:color="auto"/>
            <w:bottom w:val="none" w:sz="0" w:space="0" w:color="auto"/>
            <w:right w:val="none" w:sz="0" w:space="0" w:color="auto"/>
          </w:divBdr>
        </w:div>
        <w:div w:id="634876472">
          <w:marLeft w:val="0"/>
          <w:marRight w:val="0"/>
          <w:marTop w:val="0"/>
          <w:marBottom w:val="0"/>
          <w:divBdr>
            <w:top w:val="none" w:sz="0" w:space="0" w:color="auto"/>
            <w:left w:val="none" w:sz="0" w:space="0" w:color="auto"/>
            <w:bottom w:val="none" w:sz="0" w:space="0" w:color="auto"/>
            <w:right w:val="none" w:sz="0" w:space="0" w:color="auto"/>
          </w:divBdr>
        </w:div>
        <w:div w:id="634876743">
          <w:marLeft w:val="0"/>
          <w:marRight w:val="0"/>
          <w:marTop w:val="0"/>
          <w:marBottom w:val="0"/>
          <w:divBdr>
            <w:top w:val="none" w:sz="0" w:space="0" w:color="auto"/>
            <w:left w:val="none" w:sz="0" w:space="0" w:color="auto"/>
            <w:bottom w:val="none" w:sz="0" w:space="0" w:color="auto"/>
            <w:right w:val="none" w:sz="0" w:space="0" w:color="auto"/>
          </w:divBdr>
        </w:div>
        <w:div w:id="692413621">
          <w:marLeft w:val="0"/>
          <w:marRight w:val="0"/>
          <w:marTop w:val="0"/>
          <w:marBottom w:val="0"/>
          <w:divBdr>
            <w:top w:val="none" w:sz="0" w:space="0" w:color="auto"/>
            <w:left w:val="none" w:sz="0" w:space="0" w:color="auto"/>
            <w:bottom w:val="none" w:sz="0" w:space="0" w:color="auto"/>
            <w:right w:val="none" w:sz="0" w:space="0" w:color="auto"/>
          </w:divBdr>
        </w:div>
        <w:div w:id="760834170">
          <w:marLeft w:val="0"/>
          <w:marRight w:val="0"/>
          <w:marTop w:val="0"/>
          <w:marBottom w:val="0"/>
          <w:divBdr>
            <w:top w:val="none" w:sz="0" w:space="0" w:color="auto"/>
            <w:left w:val="none" w:sz="0" w:space="0" w:color="auto"/>
            <w:bottom w:val="none" w:sz="0" w:space="0" w:color="auto"/>
            <w:right w:val="none" w:sz="0" w:space="0" w:color="auto"/>
          </w:divBdr>
        </w:div>
        <w:div w:id="834805742">
          <w:marLeft w:val="0"/>
          <w:marRight w:val="0"/>
          <w:marTop w:val="0"/>
          <w:marBottom w:val="0"/>
          <w:divBdr>
            <w:top w:val="none" w:sz="0" w:space="0" w:color="auto"/>
            <w:left w:val="none" w:sz="0" w:space="0" w:color="auto"/>
            <w:bottom w:val="none" w:sz="0" w:space="0" w:color="auto"/>
            <w:right w:val="none" w:sz="0" w:space="0" w:color="auto"/>
          </w:divBdr>
        </w:div>
        <w:div w:id="865826363">
          <w:marLeft w:val="0"/>
          <w:marRight w:val="0"/>
          <w:marTop w:val="0"/>
          <w:marBottom w:val="0"/>
          <w:divBdr>
            <w:top w:val="none" w:sz="0" w:space="0" w:color="auto"/>
            <w:left w:val="none" w:sz="0" w:space="0" w:color="auto"/>
            <w:bottom w:val="none" w:sz="0" w:space="0" w:color="auto"/>
            <w:right w:val="none" w:sz="0" w:space="0" w:color="auto"/>
          </w:divBdr>
        </w:div>
        <w:div w:id="1228413728">
          <w:marLeft w:val="0"/>
          <w:marRight w:val="0"/>
          <w:marTop w:val="0"/>
          <w:marBottom w:val="0"/>
          <w:divBdr>
            <w:top w:val="none" w:sz="0" w:space="0" w:color="auto"/>
            <w:left w:val="none" w:sz="0" w:space="0" w:color="auto"/>
            <w:bottom w:val="none" w:sz="0" w:space="0" w:color="auto"/>
            <w:right w:val="none" w:sz="0" w:space="0" w:color="auto"/>
          </w:divBdr>
        </w:div>
        <w:div w:id="1385131435">
          <w:marLeft w:val="0"/>
          <w:marRight w:val="0"/>
          <w:marTop w:val="0"/>
          <w:marBottom w:val="0"/>
          <w:divBdr>
            <w:top w:val="none" w:sz="0" w:space="0" w:color="auto"/>
            <w:left w:val="none" w:sz="0" w:space="0" w:color="auto"/>
            <w:bottom w:val="none" w:sz="0" w:space="0" w:color="auto"/>
            <w:right w:val="none" w:sz="0" w:space="0" w:color="auto"/>
          </w:divBdr>
        </w:div>
        <w:div w:id="1463382616">
          <w:marLeft w:val="0"/>
          <w:marRight w:val="0"/>
          <w:marTop w:val="0"/>
          <w:marBottom w:val="0"/>
          <w:divBdr>
            <w:top w:val="none" w:sz="0" w:space="0" w:color="auto"/>
            <w:left w:val="none" w:sz="0" w:space="0" w:color="auto"/>
            <w:bottom w:val="none" w:sz="0" w:space="0" w:color="auto"/>
            <w:right w:val="none" w:sz="0" w:space="0" w:color="auto"/>
          </w:divBdr>
        </w:div>
        <w:div w:id="1700932847">
          <w:marLeft w:val="0"/>
          <w:marRight w:val="0"/>
          <w:marTop w:val="0"/>
          <w:marBottom w:val="0"/>
          <w:divBdr>
            <w:top w:val="none" w:sz="0" w:space="0" w:color="auto"/>
            <w:left w:val="none" w:sz="0" w:space="0" w:color="auto"/>
            <w:bottom w:val="none" w:sz="0" w:space="0" w:color="auto"/>
            <w:right w:val="none" w:sz="0" w:space="0" w:color="auto"/>
          </w:divBdr>
        </w:div>
        <w:div w:id="2136941948">
          <w:marLeft w:val="0"/>
          <w:marRight w:val="0"/>
          <w:marTop w:val="0"/>
          <w:marBottom w:val="0"/>
          <w:divBdr>
            <w:top w:val="none" w:sz="0" w:space="0" w:color="auto"/>
            <w:left w:val="none" w:sz="0" w:space="0" w:color="auto"/>
            <w:bottom w:val="none" w:sz="0" w:space="0" w:color="auto"/>
            <w:right w:val="none" w:sz="0" w:space="0" w:color="auto"/>
          </w:divBdr>
        </w:div>
      </w:divsChild>
    </w:div>
    <w:div w:id="1940597090">
      <w:bodyDiv w:val="1"/>
      <w:marLeft w:val="0"/>
      <w:marRight w:val="0"/>
      <w:marTop w:val="0"/>
      <w:marBottom w:val="0"/>
      <w:divBdr>
        <w:top w:val="none" w:sz="0" w:space="0" w:color="auto"/>
        <w:left w:val="none" w:sz="0" w:space="0" w:color="auto"/>
        <w:bottom w:val="none" w:sz="0" w:space="0" w:color="auto"/>
        <w:right w:val="none" w:sz="0" w:space="0" w:color="auto"/>
      </w:divBdr>
    </w:div>
    <w:div w:id="1982689866">
      <w:bodyDiv w:val="1"/>
      <w:marLeft w:val="0"/>
      <w:marRight w:val="0"/>
      <w:marTop w:val="0"/>
      <w:marBottom w:val="0"/>
      <w:divBdr>
        <w:top w:val="none" w:sz="0" w:space="0" w:color="auto"/>
        <w:left w:val="none" w:sz="0" w:space="0" w:color="auto"/>
        <w:bottom w:val="none" w:sz="0" w:space="0" w:color="auto"/>
        <w:right w:val="none" w:sz="0" w:space="0" w:color="auto"/>
      </w:divBdr>
      <w:divsChild>
        <w:div w:id="222447217">
          <w:marLeft w:val="0"/>
          <w:marRight w:val="0"/>
          <w:marTop w:val="0"/>
          <w:marBottom w:val="0"/>
          <w:divBdr>
            <w:top w:val="none" w:sz="0" w:space="0" w:color="auto"/>
            <w:left w:val="none" w:sz="0" w:space="0" w:color="auto"/>
            <w:bottom w:val="none" w:sz="0" w:space="0" w:color="auto"/>
            <w:right w:val="none" w:sz="0" w:space="0" w:color="auto"/>
          </w:divBdr>
        </w:div>
        <w:div w:id="316737657">
          <w:marLeft w:val="0"/>
          <w:marRight w:val="0"/>
          <w:marTop w:val="0"/>
          <w:marBottom w:val="0"/>
          <w:divBdr>
            <w:top w:val="none" w:sz="0" w:space="0" w:color="auto"/>
            <w:left w:val="none" w:sz="0" w:space="0" w:color="auto"/>
            <w:bottom w:val="none" w:sz="0" w:space="0" w:color="auto"/>
            <w:right w:val="none" w:sz="0" w:space="0" w:color="auto"/>
          </w:divBdr>
        </w:div>
        <w:div w:id="887839653">
          <w:marLeft w:val="0"/>
          <w:marRight w:val="0"/>
          <w:marTop w:val="0"/>
          <w:marBottom w:val="0"/>
          <w:divBdr>
            <w:top w:val="none" w:sz="0" w:space="0" w:color="auto"/>
            <w:left w:val="none" w:sz="0" w:space="0" w:color="auto"/>
            <w:bottom w:val="none" w:sz="0" w:space="0" w:color="auto"/>
            <w:right w:val="none" w:sz="0" w:space="0" w:color="auto"/>
          </w:divBdr>
        </w:div>
        <w:div w:id="1488126645">
          <w:marLeft w:val="0"/>
          <w:marRight w:val="0"/>
          <w:marTop w:val="0"/>
          <w:marBottom w:val="0"/>
          <w:divBdr>
            <w:top w:val="none" w:sz="0" w:space="0" w:color="auto"/>
            <w:left w:val="none" w:sz="0" w:space="0" w:color="auto"/>
            <w:bottom w:val="none" w:sz="0" w:space="0" w:color="auto"/>
            <w:right w:val="none" w:sz="0" w:space="0" w:color="auto"/>
          </w:divBdr>
        </w:div>
        <w:div w:id="1547376804">
          <w:marLeft w:val="0"/>
          <w:marRight w:val="0"/>
          <w:marTop w:val="0"/>
          <w:marBottom w:val="0"/>
          <w:divBdr>
            <w:top w:val="none" w:sz="0" w:space="0" w:color="auto"/>
            <w:left w:val="none" w:sz="0" w:space="0" w:color="auto"/>
            <w:bottom w:val="none" w:sz="0" w:space="0" w:color="auto"/>
            <w:right w:val="none" w:sz="0" w:space="0" w:color="auto"/>
          </w:divBdr>
        </w:div>
        <w:div w:id="1621186556">
          <w:marLeft w:val="0"/>
          <w:marRight w:val="0"/>
          <w:marTop w:val="0"/>
          <w:marBottom w:val="0"/>
          <w:divBdr>
            <w:top w:val="none" w:sz="0" w:space="0" w:color="auto"/>
            <w:left w:val="none" w:sz="0" w:space="0" w:color="auto"/>
            <w:bottom w:val="none" w:sz="0" w:space="0" w:color="auto"/>
            <w:right w:val="none" w:sz="0" w:space="0" w:color="auto"/>
          </w:divBdr>
        </w:div>
        <w:div w:id="2105570215">
          <w:marLeft w:val="0"/>
          <w:marRight w:val="0"/>
          <w:marTop w:val="0"/>
          <w:marBottom w:val="0"/>
          <w:divBdr>
            <w:top w:val="none" w:sz="0" w:space="0" w:color="auto"/>
            <w:left w:val="none" w:sz="0" w:space="0" w:color="auto"/>
            <w:bottom w:val="none" w:sz="0" w:space="0" w:color="auto"/>
            <w:right w:val="none" w:sz="0" w:space="0" w:color="auto"/>
          </w:divBdr>
        </w:div>
      </w:divsChild>
    </w:div>
    <w:div w:id="2014719593">
      <w:bodyDiv w:val="1"/>
      <w:marLeft w:val="0"/>
      <w:marRight w:val="0"/>
      <w:marTop w:val="0"/>
      <w:marBottom w:val="0"/>
      <w:divBdr>
        <w:top w:val="none" w:sz="0" w:space="0" w:color="auto"/>
        <w:left w:val="none" w:sz="0" w:space="0" w:color="auto"/>
        <w:bottom w:val="none" w:sz="0" w:space="0" w:color="auto"/>
        <w:right w:val="none" w:sz="0" w:space="0" w:color="auto"/>
      </w:divBdr>
      <w:divsChild>
        <w:div w:id="7678041">
          <w:marLeft w:val="0"/>
          <w:marRight w:val="0"/>
          <w:marTop w:val="0"/>
          <w:marBottom w:val="0"/>
          <w:divBdr>
            <w:top w:val="none" w:sz="0" w:space="0" w:color="auto"/>
            <w:left w:val="none" w:sz="0" w:space="0" w:color="auto"/>
            <w:bottom w:val="none" w:sz="0" w:space="0" w:color="auto"/>
            <w:right w:val="none" w:sz="0" w:space="0" w:color="auto"/>
          </w:divBdr>
          <w:divsChild>
            <w:div w:id="598948895">
              <w:marLeft w:val="0"/>
              <w:marRight w:val="0"/>
              <w:marTop w:val="0"/>
              <w:marBottom w:val="0"/>
              <w:divBdr>
                <w:top w:val="none" w:sz="0" w:space="0" w:color="auto"/>
                <w:left w:val="none" w:sz="0" w:space="0" w:color="auto"/>
                <w:bottom w:val="none" w:sz="0" w:space="0" w:color="auto"/>
                <w:right w:val="none" w:sz="0" w:space="0" w:color="auto"/>
              </w:divBdr>
            </w:div>
          </w:divsChild>
        </w:div>
        <w:div w:id="8683436">
          <w:marLeft w:val="0"/>
          <w:marRight w:val="0"/>
          <w:marTop w:val="0"/>
          <w:marBottom w:val="0"/>
          <w:divBdr>
            <w:top w:val="none" w:sz="0" w:space="0" w:color="auto"/>
            <w:left w:val="none" w:sz="0" w:space="0" w:color="auto"/>
            <w:bottom w:val="none" w:sz="0" w:space="0" w:color="auto"/>
            <w:right w:val="none" w:sz="0" w:space="0" w:color="auto"/>
          </w:divBdr>
          <w:divsChild>
            <w:div w:id="114910395">
              <w:marLeft w:val="0"/>
              <w:marRight w:val="0"/>
              <w:marTop w:val="0"/>
              <w:marBottom w:val="0"/>
              <w:divBdr>
                <w:top w:val="none" w:sz="0" w:space="0" w:color="auto"/>
                <w:left w:val="none" w:sz="0" w:space="0" w:color="auto"/>
                <w:bottom w:val="none" w:sz="0" w:space="0" w:color="auto"/>
                <w:right w:val="none" w:sz="0" w:space="0" w:color="auto"/>
              </w:divBdr>
            </w:div>
          </w:divsChild>
        </w:div>
        <w:div w:id="9727506">
          <w:marLeft w:val="0"/>
          <w:marRight w:val="0"/>
          <w:marTop w:val="0"/>
          <w:marBottom w:val="0"/>
          <w:divBdr>
            <w:top w:val="none" w:sz="0" w:space="0" w:color="auto"/>
            <w:left w:val="none" w:sz="0" w:space="0" w:color="auto"/>
            <w:bottom w:val="none" w:sz="0" w:space="0" w:color="auto"/>
            <w:right w:val="none" w:sz="0" w:space="0" w:color="auto"/>
          </w:divBdr>
          <w:divsChild>
            <w:div w:id="1366055672">
              <w:marLeft w:val="0"/>
              <w:marRight w:val="0"/>
              <w:marTop w:val="0"/>
              <w:marBottom w:val="0"/>
              <w:divBdr>
                <w:top w:val="none" w:sz="0" w:space="0" w:color="auto"/>
                <w:left w:val="none" w:sz="0" w:space="0" w:color="auto"/>
                <w:bottom w:val="none" w:sz="0" w:space="0" w:color="auto"/>
                <w:right w:val="none" w:sz="0" w:space="0" w:color="auto"/>
              </w:divBdr>
            </w:div>
          </w:divsChild>
        </w:div>
        <w:div w:id="14620682">
          <w:marLeft w:val="0"/>
          <w:marRight w:val="0"/>
          <w:marTop w:val="0"/>
          <w:marBottom w:val="0"/>
          <w:divBdr>
            <w:top w:val="none" w:sz="0" w:space="0" w:color="auto"/>
            <w:left w:val="none" w:sz="0" w:space="0" w:color="auto"/>
            <w:bottom w:val="none" w:sz="0" w:space="0" w:color="auto"/>
            <w:right w:val="none" w:sz="0" w:space="0" w:color="auto"/>
          </w:divBdr>
          <w:divsChild>
            <w:div w:id="503399215">
              <w:marLeft w:val="0"/>
              <w:marRight w:val="0"/>
              <w:marTop w:val="0"/>
              <w:marBottom w:val="0"/>
              <w:divBdr>
                <w:top w:val="none" w:sz="0" w:space="0" w:color="auto"/>
                <w:left w:val="none" w:sz="0" w:space="0" w:color="auto"/>
                <w:bottom w:val="none" w:sz="0" w:space="0" w:color="auto"/>
                <w:right w:val="none" w:sz="0" w:space="0" w:color="auto"/>
              </w:divBdr>
            </w:div>
          </w:divsChild>
        </w:div>
        <w:div w:id="21828808">
          <w:marLeft w:val="0"/>
          <w:marRight w:val="0"/>
          <w:marTop w:val="0"/>
          <w:marBottom w:val="0"/>
          <w:divBdr>
            <w:top w:val="none" w:sz="0" w:space="0" w:color="auto"/>
            <w:left w:val="none" w:sz="0" w:space="0" w:color="auto"/>
            <w:bottom w:val="none" w:sz="0" w:space="0" w:color="auto"/>
            <w:right w:val="none" w:sz="0" w:space="0" w:color="auto"/>
          </w:divBdr>
          <w:divsChild>
            <w:div w:id="1246647909">
              <w:marLeft w:val="0"/>
              <w:marRight w:val="0"/>
              <w:marTop w:val="0"/>
              <w:marBottom w:val="0"/>
              <w:divBdr>
                <w:top w:val="none" w:sz="0" w:space="0" w:color="auto"/>
                <w:left w:val="none" w:sz="0" w:space="0" w:color="auto"/>
                <w:bottom w:val="none" w:sz="0" w:space="0" w:color="auto"/>
                <w:right w:val="none" w:sz="0" w:space="0" w:color="auto"/>
              </w:divBdr>
            </w:div>
          </w:divsChild>
        </w:div>
        <w:div w:id="32775568">
          <w:marLeft w:val="0"/>
          <w:marRight w:val="0"/>
          <w:marTop w:val="0"/>
          <w:marBottom w:val="0"/>
          <w:divBdr>
            <w:top w:val="none" w:sz="0" w:space="0" w:color="auto"/>
            <w:left w:val="none" w:sz="0" w:space="0" w:color="auto"/>
            <w:bottom w:val="none" w:sz="0" w:space="0" w:color="auto"/>
            <w:right w:val="none" w:sz="0" w:space="0" w:color="auto"/>
          </w:divBdr>
          <w:divsChild>
            <w:div w:id="932056675">
              <w:marLeft w:val="0"/>
              <w:marRight w:val="0"/>
              <w:marTop w:val="0"/>
              <w:marBottom w:val="0"/>
              <w:divBdr>
                <w:top w:val="none" w:sz="0" w:space="0" w:color="auto"/>
                <w:left w:val="none" w:sz="0" w:space="0" w:color="auto"/>
                <w:bottom w:val="none" w:sz="0" w:space="0" w:color="auto"/>
                <w:right w:val="none" w:sz="0" w:space="0" w:color="auto"/>
              </w:divBdr>
            </w:div>
          </w:divsChild>
        </w:div>
        <w:div w:id="33386701">
          <w:marLeft w:val="0"/>
          <w:marRight w:val="0"/>
          <w:marTop w:val="0"/>
          <w:marBottom w:val="0"/>
          <w:divBdr>
            <w:top w:val="none" w:sz="0" w:space="0" w:color="auto"/>
            <w:left w:val="none" w:sz="0" w:space="0" w:color="auto"/>
            <w:bottom w:val="none" w:sz="0" w:space="0" w:color="auto"/>
            <w:right w:val="none" w:sz="0" w:space="0" w:color="auto"/>
          </w:divBdr>
          <w:divsChild>
            <w:div w:id="614409762">
              <w:marLeft w:val="0"/>
              <w:marRight w:val="0"/>
              <w:marTop w:val="0"/>
              <w:marBottom w:val="0"/>
              <w:divBdr>
                <w:top w:val="none" w:sz="0" w:space="0" w:color="auto"/>
                <w:left w:val="none" w:sz="0" w:space="0" w:color="auto"/>
                <w:bottom w:val="none" w:sz="0" w:space="0" w:color="auto"/>
                <w:right w:val="none" w:sz="0" w:space="0" w:color="auto"/>
              </w:divBdr>
            </w:div>
          </w:divsChild>
        </w:div>
        <w:div w:id="36130943">
          <w:marLeft w:val="0"/>
          <w:marRight w:val="0"/>
          <w:marTop w:val="0"/>
          <w:marBottom w:val="0"/>
          <w:divBdr>
            <w:top w:val="none" w:sz="0" w:space="0" w:color="auto"/>
            <w:left w:val="none" w:sz="0" w:space="0" w:color="auto"/>
            <w:bottom w:val="none" w:sz="0" w:space="0" w:color="auto"/>
            <w:right w:val="none" w:sz="0" w:space="0" w:color="auto"/>
          </w:divBdr>
          <w:divsChild>
            <w:div w:id="565916235">
              <w:marLeft w:val="0"/>
              <w:marRight w:val="0"/>
              <w:marTop w:val="0"/>
              <w:marBottom w:val="0"/>
              <w:divBdr>
                <w:top w:val="none" w:sz="0" w:space="0" w:color="auto"/>
                <w:left w:val="none" w:sz="0" w:space="0" w:color="auto"/>
                <w:bottom w:val="none" w:sz="0" w:space="0" w:color="auto"/>
                <w:right w:val="none" w:sz="0" w:space="0" w:color="auto"/>
              </w:divBdr>
            </w:div>
          </w:divsChild>
        </w:div>
        <w:div w:id="38550839">
          <w:marLeft w:val="0"/>
          <w:marRight w:val="0"/>
          <w:marTop w:val="0"/>
          <w:marBottom w:val="0"/>
          <w:divBdr>
            <w:top w:val="none" w:sz="0" w:space="0" w:color="auto"/>
            <w:left w:val="none" w:sz="0" w:space="0" w:color="auto"/>
            <w:bottom w:val="none" w:sz="0" w:space="0" w:color="auto"/>
            <w:right w:val="none" w:sz="0" w:space="0" w:color="auto"/>
          </w:divBdr>
          <w:divsChild>
            <w:div w:id="2052076127">
              <w:marLeft w:val="0"/>
              <w:marRight w:val="0"/>
              <w:marTop w:val="0"/>
              <w:marBottom w:val="0"/>
              <w:divBdr>
                <w:top w:val="none" w:sz="0" w:space="0" w:color="auto"/>
                <w:left w:val="none" w:sz="0" w:space="0" w:color="auto"/>
                <w:bottom w:val="none" w:sz="0" w:space="0" w:color="auto"/>
                <w:right w:val="none" w:sz="0" w:space="0" w:color="auto"/>
              </w:divBdr>
            </w:div>
          </w:divsChild>
        </w:div>
        <w:div w:id="44138411">
          <w:marLeft w:val="0"/>
          <w:marRight w:val="0"/>
          <w:marTop w:val="0"/>
          <w:marBottom w:val="0"/>
          <w:divBdr>
            <w:top w:val="none" w:sz="0" w:space="0" w:color="auto"/>
            <w:left w:val="none" w:sz="0" w:space="0" w:color="auto"/>
            <w:bottom w:val="none" w:sz="0" w:space="0" w:color="auto"/>
            <w:right w:val="none" w:sz="0" w:space="0" w:color="auto"/>
          </w:divBdr>
          <w:divsChild>
            <w:div w:id="879514913">
              <w:marLeft w:val="0"/>
              <w:marRight w:val="0"/>
              <w:marTop w:val="0"/>
              <w:marBottom w:val="0"/>
              <w:divBdr>
                <w:top w:val="none" w:sz="0" w:space="0" w:color="auto"/>
                <w:left w:val="none" w:sz="0" w:space="0" w:color="auto"/>
                <w:bottom w:val="none" w:sz="0" w:space="0" w:color="auto"/>
                <w:right w:val="none" w:sz="0" w:space="0" w:color="auto"/>
              </w:divBdr>
            </w:div>
          </w:divsChild>
        </w:div>
        <w:div w:id="67270860">
          <w:marLeft w:val="0"/>
          <w:marRight w:val="0"/>
          <w:marTop w:val="0"/>
          <w:marBottom w:val="0"/>
          <w:divBdr>
            <w:top w:val="none" w:sz="0" w:space="0" w:color="auto"/>
            <w:left w:val="none" w:sz="0" w:space="0" w:color="auto"/>
            <w:bottom w:val="none" w:sz="0" w:space="0" w:color="auto"/>
            <w:right w:val="none" w:sz="0" w:space="0" w:color="auto"/>
          </w:divBdr>
          <w:divsChild>
            <w:div w:id="1596942243">
              <w:marLeft w:val="0"/>
              <w:marRight w:val="0"/>
              <w:marTop w:val="0"/>
              <w:marBottom w:val="0"/>
              <w:divBdr>
                <w:top w:val="none" w:sz="0" w:space="0" w:color="auto"/>
                <w:left w:val="none" w:sz="0" w:space="0" w:color="auto"/>
                <w:bottom w:val="none" w:sz="0" w:space="0" w:color="auto"/>
                <w:right w:val="none" w:sz="0" w:space="0" w:color="auto"/>
              </w:divBdr>
            </w:div>
          </w:divsChild>
        </w:div>
        <w:div w:id="73162761">
          <w:marLeft w:val="0"/>
          <w:marRight w:val="0"/>
          <w:marTop w:val="0"/>
          <w:marBottom w:val="0"/>
          <w:divBdr>
            <w:top w:val="none" w:sz="0" w:space="0" w:color="auto"/>
            <w:left w:val="none" w:sz="0" w:space="0" w:color="auto"/>
            <w:bottom w:val="none" w:sz="0" w:space="0" w:color="auto"/>
            <w:right w:val="none" w:sz="0" w:space="0" w:color="auto"/>
          </w:divBdr>
          <w:divsChild>
            <w:div w:id="1543786411">
              <w:marLeft w:val="0"/>
              <w:marRight w:val="0"/>
              <w:marTop w:val="0"/>
              <w:marBottom w:val="0"/>
              <w:divBdr>
                <w:top w:val="none" w:sz="0" w:space="0" w:color="auto"/>
                <w:left w:val="none" w:sz="0" w:space="0" w:color="auto"/>
                <w:bottom w:val="none" w:sz="0" w:space="0" w:color="auto"/>
                <w:right w:val="none" w:sz="0" w:space="0" w:color="auto"/>
              </w:divBdr>
            </w:div>
          </w:divsChild>
        </w:div>
        <w:div w:id="90321709">
          <w:marLeft w:val="0"/>
          <w:marRight w:val="0"/>
          <w:marTop w:val="0"/>
          <w:marBottom w:val="0"/>
          <w:divBdr>
            <w:top w:val="none" w:sz="0" w:space="0" w:color="auto"/>
            <w:left w:val="none" w:sz="0" w:space="0" w:color="auto"/>
            <w:bottom w:val="none" w:sz="0" w:space="0" w:color="auto"/>
            <w:right w:val="none" w:sz="0" w:space="0" w:color="auto"/>
          </w:divBdr>
          <w:divsChild>
            <w:div w:id="708840729">
              <w:marLeft w:val="0"/>
              <w:marRight w:val="0"/>
              <w:marTop w:val="0"/>
              <w:marBottom w:val="0"/>
              <w:divBdr>
                <w:top w:val="none" w:sz="0" w:space="0" w:color="auto"/>
                <w:left w:val="none" w:sz="0" w:space="0" w:color="auto"/>
                <w:bottom w:val="none" w:sz="0" w:space="0" w:color="auto"/>
                <w:right w:val="none" w:sz="0" w:space="0" w:color="auto"/>
              </w:divBdr>
            </w:div>
          </w:divsChild>
        </w:div>
        <w:div w:id="103549152">
          <w:marLeft w:val="0"/>
          <w:marRight w:val="0"/>
          <w:marTop w:val="0"/>
          <w:marBottom w:val="0"/>
          <w:divBdr>
            <w:top w:val="none" w:sz="0" w:space="0" w:color="auto"/>
            <w:left w:val="none" w:sz="0" w:space="0" w:color="auto"/>
            <w:bottom w:val="none" w:sz="0" w:space="0" w:color="auto"/>
            <w:right w:val="none" w:sz="0" w:space="0" w:color="auto"/>
          </w:divBdr>
          <w:divsChild>
            <w:div w:id="1531187792">
              <w:marLeft w:val="0"/>
              <w:marRight w:val="0"/>
              <w:marTop w:val="0"/>
              <w:marBottom w:val="0"/>
              <w:divBdr>
                <w:top w:val="none" w:sz="0" w:space="0" w:color="auto"/>
                <w:left w:val="none" w:sz="0" w:space="0" w:color="auto"/>
                <w:bottom w:val="none" w:sz="0" w:space="0" w:color="auto"/>
                <w:right w:val="none" w:sz="0" w:space="0" w:color="auto"/>
              </w:divBdr>
            </w:div>
          </w:divsChild>
        </w:div>
        <w:div w:id="118300638">
          <w:marLeft w:val="0"/>
          <w:marRight w:val="0"/>
          <w:marTop w:val="0"/>
          <w:marBottom w:val="0"/>
          <w:divBdr>
            <w:top w:val="none" w:sz="0" w:space="0" w:color="auto"/>
            <w:left w:val="none" w:sz="0" w:space="0" w:color="auto"/>
            <w:bottom w:val="none" w:sz="0" w:space="0" w:color="auto"/>
            <w:right w:val="none" w:sz="0" w:space="0" w:color="auto"/>
          </w:divBdr>
          <w:divsChild>
            <w:div w:id="1580477073">
              <w:marLeft w:val="0"/>
              <w:marRight w:val="0"/>
              <w:marTop w:val="0"/>
              <w:marBottom w:val="0"/>
              <w:divBdr>
                <w:top w:val="none" w:sz="0" w:space="0" w:color="auto"/>
                <w:left w:val="none" w:sz="0" w:space="0" w:color="auto"/>
                <w:bottom w:val="none" w:sz="0" w:space="0" w:color="auto"/>
                <w:right w:val="none" w:sz="0" w:space="0" w:color="auto"/>
              </w:divBdr>
            </w:div>
          </w:divsChild>
        </w:div>
        <w:div w:id="122122109">
          <w:marLeft w:val="0"/>
          <w:marRight w:val="0"/>
          <w:marTop w:val="0"/>
          <w:marBottom w:val="0"/>
          <w:divBdr>
            <w:top w:val="none" w:sz="0" w:space="0" w:color="auto"/>
            <w:left w:val="none" w:sz="0" w:space="0" w:color="auto"/>
            <w:bottom w:val="none" w:sz="0" w:space="0" w:color="auto"/>
            <w:right w:val="none" w:sz="0" w:space="0" w:color="auto"/>
          </w:divBdr>
          <w:divsChild>
            <w:div w:id="1654068282">
              <w:marLeft w:val="0"/>
              <w:marRight w:val="0"/>
              <w:marTop w:val="0"/>
              <w:marBottom w:val="0"/>
              <w:divBdr>
                <w:top w:val="none" w:sz="0" w:space="0" w:color="auto"/>
                <w:left w:val="none" w:sz="0" w:space="0" w:color="auto"/>
                <w:bottom w:val="none" w:sz="0" w:space="0" w:color="auto"/>
                <w:right w:val="none" w:sz="0" w:space="0" w:color="auto"/>
              </w:divBdr>
            </w:div>
          </w:divsChild>
        </w:div>
        <w:div w:id="128714417">
          <w:marLeft w:val="0"/>
          <w:marRight w:val="0"/>
          <w:marTop w:val="0"/>
          <w:marBottom w:val="0"/>
          <w:divBdr>
            <w:top w:val="none" w:sz="0" w:space="0" w:color="auto"/>
            <w:left w:val="none" w:sz="0" w:space="0" w:color="auto"/>
            <w:bottom w:val="none" w:sz="0" w:space="0" w:color="auto"/>
            <w:right w:val="none" w:sz="0" w:space="0" w:color="auto"/>
          </w:divBdr>
          <w:divsChild>
            <w:div w:id="668601852">
              <w:marLeft w:val="0"/>
              <w:marRight w:val="0"/>
              <w:marTop w:val="0"/>
              <w:marBottom w:val="0"/>
              <w:divBdr>
                <w:top w:val="none" w:sz="0" w:space="0" w:color="auto"/>
                <w:left w:val="none" w:sz="0" w:space="0" w:color="auto"/>
                <w:bottom w:val="none" w:sz="0" w:space="0" w:color="auto"/>
                <w:right w:val="none" w:sz="0" w:space="0" w:color="auto"/>
              </w:divBdr>
            </w:div>
          </w:divsChild>
        </w:div>
        <w:div w:id="133182761">
          <w:marLeft w:val="0"/>
          <w:marRight w:val="0"/>
          <w:marTop w:val="0"/>
          <w:marBottom w:val="0"/>
          <w:divBdr>
            <w:top w:val="none" w:sz="0" w:space="0" w:color="auto"/>
            <w:left w:val="none" w:sz="0" w:space="0" w:color="auto"/>
            <w:bottom w:val="none" w:sz="0" w:space="0" w:color="auto"/>
            <w:right w:val="none" w:sz="0" w:space="0" w:color="auto"/>
          </w:divBdr>
          <w:divsChild>
            <w:div w:id="2112696660">
              <w:marLeft w:val="0"/>
              <w:marRight w:val="0"/>
              <w:marTop w:val="0"/>
              <w:marBottom w:val="0"/>
              <w:divBdr>
                <w:top w:val="none" w:sz="0" w:space="0" w:color="auto"/>
                <w:left w:val="none" w:sz="0" w:space="0" w:color="auto"/>
                <w:bottom w:val="none" w:sz="0" w:space="0" w:color="auto"/>
                <w:right w:val="none" w:sz="0" w:space="0" w:color="auto"/>
              </w:divBdr>
            </w:div>
          </w:divsChild>
        </w:div>
        <w:div w:id="136538749">
          <w:marLeft w:val="0"/>
          <w:marRight w:val="0"/>
          <w:marTop w:val="0"/>
          <w:marBottom w:val="0"/>
          <w:divBdr>
            <w:top w:val="none" w:sz="0" w:space="0" w:color="auto"/>
            <w:left w:val="none" w:sz="0" w:space="0" w:color="auto"/>
            <w:bottom w:val="none" w:sz="0" w:space="0" w:color="auto"/>
            <w:right w:val="none" w:sz="0" w:space="0" w:color="auto"/>
          </w:divBdr>
          <w:divsChild>
            <w:div w:id="2094087239">
              <w:marLeft w:val="0"/>
              <w:marRight w:val="0"/>
              <w:marTop w:val="0"/>
              <w:marBottom w:val="0"/>
              <w:divBdr>
                <w:top w:val="none" w:sz="0" w:space="0" w:color="auto"/>
                <w:left w:val="none" w:sz="0" w:space="0" w:color="auto"/>
                <w:bottom w:val="none" w:sz="0" w:space="0" w:color="auto"/>
                <w:right w:val="none" w:sz="0" w:space="0" w:color="auto"/>
              </w:divBdr>
            </w:div>
          </w:divsChild>
        </w:div>
        <w:div w:id="155995627">
          <w:marLeft w:val="0"/>
          <w:marRight w:val="0"/>
          <w:marTop w:val="0"/>
          <w:marBottom w:val="0"/>
          <w:divBdr>
            <w:top w:val="none" w:sz="0" w:space="0" w:color="auto"/>
            <w:left w:val="none" w:sz="0" w:space="0" w:color="auto"/>
            <w:bottom w:val="none" w:sz="0" w:space="0" w:color="auto"/>
            <w:right w:val="none" w:sz="0" w:space="0" w:color="auto"/>
          </w:divBdr>
          <w:divsChild>
            <w:div w:id="604458540">
              <w:marLeft w:val="0"/>
              <w:marRight w:val="0"/>
              <w:marTop w:val="0"/>
              <w:marBottom w:val="0"/>
              <w:divBdr>
                <w:top w:val="none" w:sz="0" w:space="0" w:color="auto"/>
                <w:left w:val="none" w:sz="0" w:space="0" w:color="auto"/>
                <w:bottom w:val="none" w:sz="0" w:space="0" w:color="auto"/>
                <w:right w:val="none" w:sz="0" w:space="0" w:color="auto"/>
              </w:divBdr>
            </w:div>
          </w:divsChild>
        </w:div>
        <w:div w:id="184946693">
          <w:marLeft w:val="0"/>
          <w:marRight w:val="0"/>
          <w:marTop w:val="0"/>
          <w:marBottom w:val="0"/>
          <w:divBdr>
            <w:top w:val="none" w:sz="0" w:space="0" w:color="auto"/>
            <w:left w:val="none" w:sz="0" w:space="0" w:color="auto"/>
            <w:bottom w:val="none" w:sz="0" w:space="0" w:color="auto"/>
            <w:right w:val="none" w:sz="0" w:space="0" w:color="auto"/>
          </w:divBdr>
          <w:divsChild>
            <w:div w:id="298658122">
              <w:marLeft w:val="0"/>
              <w:marRight w:val="0"/>
              <w:marTop w:val="0"/>
              <w:marBottom w:val="0"/>
              <w:divBdr>
                <w:top w:val="none" w:sz="0" w:space="0" w:color="auto"/>
                <w:left w:val="none" w:sz="0" w:space="0" w:color="auto"/>
                <w:bottom w:val="none" w:sz="0" w:space="0" w:color="auto"/>
                <w:right w:val="none" w:sz="0" w:space="0" w:color="auto"/>
              </w:divBdr>
            </w:div>
          </w:divsChild>
        </w:div>
        <w:div w:id="186142796">
          <w:marLeft w:val="0"/>
          <w:marRight w:val="0"/>
          <w:marTop w:val="0"/>
          <w:marBottom w:val="0"/>
          <w:divBdr>
            <w:top w:val="none" w:sz="0" w:space="0" w:color="auto"/>
            <w:left w:val="none" w:sz="0" w:space="0" w:color="auto"/>
            <w:bottom w:val="none" w:sz="0" w:space="0" w:color="auto"/>
            <w:right w:val="none" w:sz="0" w:space="0" w:color="auto"/>
          </w:divBdr>
          <w:divsChild>
            <w:div w:id="535040819">
              <w:marLeft w:val="0"/>
              <w:marRight w:val="0"/>
              <w:marTop w:val="0"/>
              <w:marBottom w:val="0"/>
              <w:divBdr>
                <w:top w:val="none" w:sz="0" w:space="0" w:color="auto"/>
                <w:left w:val="none" w:sz="0" w:space="0" w:color="auto"/>
                <w:bottom w:val="none" w:sz="0" w:space="0" w:color="auto"/>
                <w:right w:val="none" w:sz="0" w:space="0" w:color="auto"/>
              </w:divBdr>
            </w:div>
          </w:divsChild>
        </w:div>
        <w:div w:id="188446539">
          <w:marLeft w:val="0"/>
          <w:marRight w:val="0"/>
          <w:marTop w:val="0"/>
          <w:marBottom w:val="0"/>
          <w:divBdr>
            <w:top w:val="none" w:sz="0" w:space="0" w:color="auto"/>
            <w:left w:val="none" w:sz="0" w:space="0" w:color="auto"/>
            <w:bottom w:val="none" w:sz="0" w:space="0" w:color="auto"/>
            <w:right w:val="none" w:sz="0" w:space="0" w:color="auto"/>
          </w:divBdr>
          <w:divsChild>
            <w:div w:id="1937710886">
              <w:marLeft w:val="0"/>
              <w:marRight w:val="0"/>
              <w:marTop w:val="0"/>
              <w:marBottom w:val="0"/>
              <w:divBdr>
                <w:top w:val="none" w:sz="0" w:space="0" w:color="auto"/>
                <w:left w:val="none" w:sz="0" w:space="0" w:color="auto"/>
                <w:bottom w:val="none" w:sz="0" w:space="0" w:color="auto"/>
                <w:right w:val="none" w:sz="0" w:space="0" w:color="auto"/>
              </w:divBdr>
            </w:div>
          </w:divsChild>
        </w:div>
        <w:div w:id="201096075">
          <w:marLeft w:val="0"/>
          <w:marRight w:val="0"/>
          <w:marTop w:val="0"/>
          <w:marBottom w:val="0"/>
          <w:divBdr>
            <w:top w:val="none" w:sz="0" w:space="0" w:color="auto"/>
            <w:left w:val="none" w:sz="0" w:space="0" w:color="auto"/>
            <w:bottom w:val="none" w:sz="0" w:space="0" w:color="auto"/>
            <w:right w:val="none" w:sz="0" w:space="0" w:color="auto"/>
          </w:divBdr>
          <w:divsChild>
            <w:div w:id="480195975">
              <w:marLeft w:val="0"/>
              <w:marRight w:val="0"/>
              <w:marTop w:val="0"/>
              <w:marBottom w:val="0"/>
              <w:divBdr>
                <w:top w:val="none" w:sz="0" w:space="0" w:color="auto"/>
                <w:left w:val="none" w:sz="0" w:space="0" w:color="auto"/>
                <w:bottom w:val="none" w:sz="0" w:space="0" w:color="auto"/>
                <w:right w:val="none" w:sz="0" w:space="0" w:color="auto"/>
              </w:divBdr>
            </w:div>
          </w:divsChild>
        </w:div>
        <w:div w:id="203829611">
          <w:marLeft w:val="0"/>
          <w:marRight w:val="0"/>
          <w:marTop w:val="0"/>
          <w:marBottom w:val="0"/>
          <w:divBdr>
            <w:top w:val="none" w:sz="0" w:space="0" w:color="auto"/>
            <w:left w:val="none" w:sz="0" w:space="0" w:color="auto"/>
            <w:bottom w:val="none" w:sz="0" w:space="0" w:color="auto"/>
            <w:right w:val="none" w:sz="0" w:space="0" w:color="auto"/>
          </w:divBdr>
          <w:divsChild>
            <w:div w:id="965160019">
              <w:marLeft w:val="0"/>
              <w:marRight w:val="0"/>
              <w:marTop w:val="0"/>
              <w:marBottom w:val="0"/>
              <w:divBdr>
                <w:top w:val="none" w:sz="0" w:space="0" w:color="auto"/>
                <w:left w:val="none" w:sz="0" w:space="0" w:color="auto"/>
                <w:bottom w:val="none" w:sz="0" w:space="0" w:color="auto"/>
                <w:right w:val="none" w:sz="0" w:space="0" w:color="auto"/>
              </w:divBdr>
            </w:div>
          </w:divsChild>
        </w:div>
        <w:div w:id="215361123">
          <w:marLeft w:val="0"/>
          <w:marRight w:val="0"/>
          <w:marTop w:val="0"/>
          <w:marBottom w:val="0"/>
          <w:divBdr>
            <w:top w:val="none" w:sz="0" w:space="0" w:color="auto"/>
            <w:left w:val="none" w:sz="0" w:space="0" w:color="auto"/>
            <w:bottom w:val="none" w:sz="0" w:space="0" w:color="auto"/>
            <w:right w:val="none" w:sz="0" w:space="0" w:color="auto"/>
          </w:divBdr>
          <w:divsChild>
            <w:div w:id="1046217185">
              <w:marLeft w:val="0"/>
              <w:marRight w:val="0"/>
              <w:marTop w:val="0"/>
              <w:marBottom w:val="0"/>
              <w:divBdr>
                <w:top w:val="none" w:sz="0" w:space="0" w:color="auto"/>
                <w:left w:val="none" w:sz="0" w:space="0" w:color="auto"/>
                <w:bottom w:val="none" w:sz="0" w:space="0" w:color="auto"/>
                <w:right w:val="none" w:sz="0" w:space="0" w:color="auto"/>
              </w:divBdr>
            </w:div>
          </w:divsChild>
        </w:div>
        <w:div w:id="223220052">
          <w:marLeft w:val="0"/>
          <w:marRight w:val="0"/>
          <w:marTop w:val="0"/>
          <w:marBottom w:val="0"/>
          <w:divBdr>
            <w:top w:val="none" w:sz="0" w:space="0" w:color="auto"/>
            <w:left w:val="none" w:sz="0" w:space="0" w:color="auto"/>
            <w:bottom w:val="none" w:sz="0" w:space="0" w:color="auto"/>
            <w:right w:val="none" w:sz="0" w:space="0" w:color="auto"/>
          </w:divBdr>
          <w:divsChild>
            <w:div w:id="1620985885">
              <w:marLeft w:val="0"/>
              <w:marRight w:val="0"/>
              <w:marTop w:val="0"/>
              <w:marBottom w:val="0"/>
              <w:divBdr>
                <w:top w:val="none" w:sz="0" w:space="0" w:color="auto"/>
                <w:left w:val="none" w:sz="0" w:space="0" w:color="auto"/>
                <w:bottom w:val="none" w:sz="0" w:space="0" w:color="auto"/>
                <w:right w:val="none" w:sz="0" w:space="0" w:color="auto"/>
              </w:divBdr>
            </w:div>
          </w:divsChild>
        </w:div>
        <w:div w:id="232856346">
          <w:marLeft w:val="0"/>
          <w:marRight w:val="0"/>
          <w:marTop w:val="0"/>
          <w:marBottom w:val="0"/>
          <w:divBdr>
            <w:top w:val="none" w:sz="0" w:space="0" w:color="auto"/>
            <w:left w:val="none" w:sz="0" w:space="0" w:color="auto"/>
            <w:bottom w:val="none" w:sz="0" w:space="0" w:color="auto"/>
            <w:right w:val="none" w:sz="0" w:space="0" w:color="auto"/>
          </w:divBdr>
          <w:divsChild>
            <w:div w:id="662664868">
              <w:marLeft w:val="0"/>
              <w:marRight w:val="0"/>
              <w:marTop w:val="0"/>
              <w:marBottom w:val="0"/>
              <w:divBdr>
                <w:top w:val="none" w:sz="0" w:space="0" w:color="auto"/>
                <w:left w:val="none" w:sz="0" w:space="0" w:color="auto"/>
                <w:bottom w:val="none" w:sz="0" w:space="0" w:color="auto"/>
                <w:right w:val="none" w:sz="0" w:space="0" w:color="auto"/>
              </w:divBdr>
            </w:div>
          </w:divsChild>
        </w:div>
        <w:div w:id="234629035">
          <w:marLeft w:val="0"/>
          <w:marRight w:val="0"/>
          <w:marTop w:val="0"/>
          <w:marBottom w:val="0"/>
          <w:divBdr>
            <w:top w:val="none" w:sz="0" w:space="0" w:color="auto"/>
            <w:left w:val="none" w:sz="0" w:space="0" w:color="auto"/>
            <w:bottom w:val="none" w:sz="0" w:space="0" w:color="auto"/>
            <w:right w:val="none" w:sz="0" w:space="0" w:color="auto"/>
          </w:divBdr>
          <w:divsChild>
            <w:div w:id="9963497">
              <w:marLeft w:val="0"/>
              <w:marRight w:val="0"/>
              <w:marTop w:val="0"/>
              <w:marBottom w:val="0"/>
              <w:divBdr>
                <w:top w:val="none" w:sz="0" w:space="0" w:color="auto"/>
                <w:left w:val="none" w:sz="0" w:space="0" w:color="auto"/>
                <w:bottom w:val="none" w:sz="0" w:space="0" w:color="auto"/>
                <w:right w:val="none" w:sz="0" w:space="0" w:color="auto"/>
              </w:divBdr>
            </w:div>
          </w:divsChild>
        </w:div>
        <w:div w:id="242304123">
          <w:marLeft w:val="0"/>
          <w:marRight w:val="0"/>
          <w:marTop w:val="0"/>
          <w:marBottom w:val="0"/>
          <w:divBdr>
            <w:top w:val="none" w:sz="0" w:space="0" w:color="auto"/>
            <w:left w:val="none" w:sz="0" w:space="0" w:color="auto"/>
            <w:bottom w:val="none" w:sz="0" w:space="0" w:color="auto"/>
            <w:right w:val="none" w:sz="0" w:space="0" w:color="auto"/>
          </w:divBdr>
          <w:divsChild>
            <w:div w:id="1016805637">
              <w:marLeft w:val="0"/>
              <w:marRight w:val="0"/>
              <w:marTop w:val="0"/>
              <w:marBottom w:val="0"/>
              <w:divBdr>
                <w:top w:val="none" w:sz="0" w:space="0" w:color="auto"/>
                <w:left w:val="none" w:sz="0" w:space="0" w:color="auto"/>
                <w:bottom w:val="none" w:sz="0" w:space="0" w:color="auto"/>
                <w:right w:val="none" w:sz="0" w:space="0" w:color="auto"/>
              </w:divBdr>
            </w:div>
          </w:divsChild>
        </w:div>
        <w:div w:id="290938787">
          <w:marLeft w:val="0"/>
          <w:marRight w:val="0"/>
          <w:marTop w:val="0"/>
          <w:marBottom w:val="0"/>
          <w:divBdr>
            <w:top w:val="none" w:sz="0" w:space="0" w:color="auto"/>
            <w:left w:val="none" w:sz="0" w:space="0" w:color="auto"/>
            <w:bottom w:val="none" w:sz="0" w:space="0" w:color="auto"/>
            <w:right w:val="none" w:sz="0" w:space="0" w:color="auto"/>
          </w:divBdr>
          <w:divsChild>
            <w:div w:id="175195942">
              <w:marLeft w:val="0"/>
              <w:marRight w:val="0"/>
              <w:marTop w:val="0"/>
              <w:marBottom w:val="0"/>
              <w:divBdr>
                <w:top w:val="none" w:sz="0" w:space="0" w:color="auto"/>
                <w:left w:val="none" w:sz="0" w:space="0" w:color="auto"/>
                <w:bottom w:val="none" w:sz="0" w:space="0" w:color="auto"/>
                <w:right w:val="none" w:sz="0" w:space="0" w:color="auto"/>
              </w:divBdr>
            </w:div>
          </w:divsChild>
        </w:div>
        <w:div w:id="307587701">
          <w:marLeft w:val="0"/>
          <w:marRight w:val="0"/>
          <w:marTop w:val="0"/>
          <w:marBottom w:val="0"/>
          <w:divBdr>
            <w:top w:val="none" w:sz="0" w:space="0" w:color="auto"/>
            <w:left w:val="none" w:sz="0" w:space="0" w:color="auto"/>
            <w:bottom w:val="none" w:sz="0" w:space="0" w:color="auto"/>
            <w:right w:val="none" w:sz="0" w:space="0" w:color="auto"/>
          </w:divBdr>
          <w:divsChild>
            <w:div w:id="603654435">
              <w:marLeft w:val="0"/>
              <w:marRight w:val="0"/>
              <w:marTop w:val="0"/>
              <w:marBottom w:val="0"/>
              <w:divBdr>
                <w:top w:val="none" w:sz="0" w:space="0" w:color="auto"/>
                <w:left w:val="none" w:sz="0" w:space="0" w:color="auto"/>
                <w:bottom w:val="none" w:sz="0" w:space="0" w:color="auto"/>
                <w:right w:val="none" w:sz="0" w:space="0" w:color="auto"/>
              </w:divBdr>
            </w:div>
          </w:divsChild>
        </w:div>
        <w:div w:id="323821829">
          <w:marLeft w:val="0"/>
          <w:marRight w:val="0"/>
          <w:marTop w:val="0"/>
          <w:marBottom w:val="0"/>
          <w:divBdr>
            <w:top w:val="none" w:sz="0" w:space="0" w:color="auto"/>
            <w:left w:val="none" w:sz="0" w:space="0" w:color="auto"/>
            <w:bottom w:val="none" w:sz="0" w:space="0" w:color="auto"/>
            <w:right w:val="none" w:sz="0" w:space="0" w:color="auto"/>
          </w:divBdr>
          <w:divsChild>
            <w:div w:id="1580092001">
              <w:marLeft w:val="0"/>
              <w:marRight w:val="0"/>
              <w:marTop w:val="0"/>
              <w:marBottom w:val="0"/>
              <w:divBdr>
                <w:top w:val="none" w:sz="0" w:space="0" w:color="auto"/>
                <w:left w:val="none" w:sz="0" w:space="0" w:color="auto"/>
                <w:bottom w:val="none" w:sz="0" w:space="0" w:color="auto"/>
                <w:right w:val="none" w:sz="0" w:space="0" w:color="auto"/>
              </w:divBdr>
            </w:div>
          </w:divsChild>
        </w:div>
        <w:div w:id="328872733">
          <w:marLeft w:val="0"/>
          <w:marRight w:val="0"/>
          <w:marTop w:val="0"/>
          <w:marBottom w:val="0"/>
          <w:divBdr>
            <w:top w:val="none" w:sz="0" w:space="0" w:color="auto"/>
            <w:left w:val="none" w:sz="0" w:space="0" w:color="auto"/>
            <w:bottom w:val="none" w:sz="0" w:space="0" w:color="auto"/>
            <w:right w:val="none" w:sz="0" w:space="0" w:color="auto"/>
          </w:divBdr>
          <w:divsChild>
            <w:div w:id="1737317066">
              <w:marLeft w:val="0"/>
              <w:marRight w:val="0"/>
              <w:marTop w:val="0"/>
              <w:marBottom w:val="0"/>
              <w:divBdr>
                <w:top w:val="none" w:sz="0" w:space="0" w:color="auto"/>
                <w:left w:val="none" w:sz="0" w:space="0" w:color="auto"/>
                <w:bottom w:val="none" w:sz="0" w:space="0" w:color="auto"/>
                <w:right w:val="none" w:sz="0" w:space="0" w:color="auto"/>
              </w:divBdr>
            </w:div>
          </w:divsChild>
        </w:div>
        <w:div w:id="331570372">
          <w:marLeft w:val="0"/>
          <w:marRight w:val="0"/>
          <w:marTop w:val="0"/>
          <w:marBottom w:val="0"/>
          <w:divBdr>
            <w:top w:val="none" w:sz="0" w:space="0" w:color="auto"/>
            <w:left w:val="none" w:sz="0" w:space="0" w:color="auto"/>
            <w:bottom w:val="none" w:sz="0" w:space="0" w:color="auto"/>
            <w:right w:val="none" w:sz="0" w:space="0" w:color="auto"/>
          </w:divBdr>
          <w:divsChild>
            <w:div w:id="662121706">
              <w:marLeft w:val="0"/>
              <w:marRight w:val="0"/>
              <w:marTop w:val="0"/>
              <w:marBottom w:val="0"/>
              <w:divBdr>
                <w:top w:val="none" w:sz="0" w:space="0" w:color="auto"/>
                <w:left w:val="none" w:sz="0" w:space="0" w:color="auto"/>
                <w:bottom w:val="none" w:sz="0" w:space="0" w:color="auto"/>
                <w:right w:val="none" w:sz="0" w:space="0" w:color="auto"/>
              </w:divBdr>
            </w:div>
          </w:divsChild>
        </w:div>
        <w:div w:id="339087178">
          <w:marLeft w:val="0"/>
          <w:marRight w:val="0"/>
          <w:marTop w:val="0"/>
          <w:marBottom w:val="0"/>
          <w:divBdr>
            <w:top w:val="none" w:sz="0" w:space="0" w:color="auto"/>
            <w:left w:val="none" w:sz="0" w:space="0" w:color="auto"/>
            <w:bottom w:val="none" w:sz="0" w:space="0" w:color="auto"/>
            <w:right w:val="none" w:sz="0" w:space="0" w:color="auto"/>
          </w:divBdr>
          <w:divsChild>
            <w:div w:id="1419518308">
              <w:marLeft w:val="0"/>
              <w:marRight w:val="0"/>
              <w:marTop w:val="0"/>
              <w:marBottom w:val="0"/>
              <w:divBdr>
                <w:top w:val="none" w:sz="0" w:space="0" w:color="auto"/>
                <w:left w:val="none" w:sz="0" w:space="0" w:color="auto"/>
                <w:bottom w:val="none" w:sz="0" w:space="0" w:color="auto"/>
                <w:right w:val="none" w:sz="0" w:space="0" w:color="auto"/>
              </w:divBdr>
            </w:div>
          </w:divsChild>
        </w:div>
        <w:div w:id="351540765">
          <w:marLeft w:val="0"/>
          <w:marRight w:val="0"/>
          <w:marTop w:val="0"/>
          <w:marBottom w:val="0"/>
          <w:divBdr>
            <w:top w:val="none" w:sz="0" w:space="0" w:color="auto"/>
            <w:left w:val="none" w:sz="0" w:space="0" w:color="auto"/>
            <w:bottom w:val="none" w:sz="0" w:space="0" w:color="auto"/>
            <w:right w:val="none" w:sz="0" w:space="0" w:color="auto"/>
          </w:divBdr>
          <w:divsChild>
            <w:div w:id="1444811054">
              <w:marLeft w:val="0"/>
              <w:marRight w:val="0"/>
              <w:marTop w:val="0"/>
              <w:marBottom w:val="0"/>
              <w:divBdr>
                <w:top w:val="none" w:sz="0" w:space="0" w:color="auto"/>
                <w:left w:val="none" w:sz="0" w:space="0" w:color="auto"/>
                <w:bottom w:val="none" w:sz="0" w:space="0" w:color="auto"/>
                <w:right w:val="none" w:sz="0" w:space="0" w:color="auto"/>
              </w:divBdr>
            </w:div>
          </w:divsChild>
        </w:div>
        <w:div w:id="359818056">
          <w:marLeft w:val="0"/>
          <w:marRight w:val="0"/>
          <w:marTop w:val="0"/>
          <w:marBottom w:val="0"/>
          <w:divBdr>
            <w:top w:val="none" w:sz="0" w:space="0" w:color="auto"/>
            <w:left w:val="none" w:sz="0" w:space="0" w:color="auto"/>
            <w:bottom w:val="none" w:sz="0" w:space="0" w:color="auto"/>
            <w:right w:val="none" w:sz="0" w:space="0" w:color="auto"/>
          </w:divBdr>
          <w:divsChild>
            <w:div w:id="1408187500">
              <w:marLeft w:val="0"/>
              <w:marRight w:val="0"/>
              <w:marTop w:val="0"/>
              <w:marBottom w:val="0"/>
              <w:divBdr>
                <w:top w:val="none" w:sz="0" w:space="0" w:color="auto"/>
                <w:left w:val="none" w:sz="0" w:space="0" w:color="auto"/>
                <w:bottom w:val="none" w:sz="0" w:space="0" w:color="auto"/>
                <w:right w:val="none" w:sz="0" w:space="0" w:color="auto"/>
              </w:divBdr>
            </w:div>
          </w:divsChild>
        </w:div>
        <w:div w:id="368722344">
          <w:marLeft w:val="0"/>
          <w:marRight w:val="0"/>
          <w:marTop w:val="0"/>
          <w:marBottom w:val="0"/>
          <w:divBdr>
            <w:top w:val="none" w:sz="0" w:space="0" w:color="auto"/>
            <w:left w:val="none" w:sz="0" w:space="0" w:color="auto"/>
            <w:bottom w:val="none" w:sz="0" w:space="0" w:color="auto"/>
            <w:right w:val="none" w:sz="0" w:space="0" w:color="auto"/>
          </w:divBdr>
          <w:divsChild>
            <w:div w:id="250433369">
              <w:marLeft w:val="0"/>
              <w:marRight w:val="0"/>
              <w:marTop w:val="0"/>
              <w:marBottom w:val="0"/>
              <w:divBdr>
                <w:top w:val="none" w:sz="0" w:space="0" w:color="auto"/>
                <w:left w:val="none" w:sz="0" w:space="0" w:color="auto"/>
                <w:bottom w:val="none" w:sz="0" w:space="0" w:color="auto"/>
                <w:right w:val="none" w:sz="0" w:space="0" w:color="auto"/>
              </w:divBdr>
            </w:div>
          </w:divsChild>
        </w:div>
        <w:div w:id="371461885">
          <w:marLeft w:val="0"/>
          <w:marRight w:val="0"/>
          <w:marTop w:val="0"/>
          <w:marBottom w:val="0"/>
          <w:divBdr>
            <w:top w:val="none" w:sz="0" w:space="0" w:color="auto"/>
            <w:left w:val="none" w:sz="0" w:space="0" w:color="auto"/>
            <w:bottom w:val="none" w:sz="0" w:space="0" w:color="auto"/>
            <w:right w:val="none" w:sz="0" w:space="0" w:color="auto"/>
          </w:divBdr>
          <w:divsChild>
            <w:div w:id="211623885">
              <w:marLeft w:val="0"/>
              <w:marRight w:val="0"/>
              <w:marTop w:val="0"/>
              <w:marBottom w:val="0"/>
              <w:divBdr>
                <w:top w:val="none" w:sz="0" w:space="0" w:color="auto"/>
                <w:left w:val="none" w:sz="0" w:space="0" w:color="auto"/>
                <w:bottom w:val="none" w:sz="0" w:space="0" w:color="auto"/>
                <w:right w:val="none" w:sz="0" w:space="0" w:color="auto"/>
              </w:divBdr>
            </w:div>
          </w:divsChild>
        </w:div>
        <w:div w:id="375325023">
          <w:marLeft w:val="0"/>
          <w:marRight w:val="0"/>
          <w:marTop w:val="0"/>
          <w:marBottom w:val="0"/>
          <w:divBdr>
            <w:top w:val="none" w:sz="0" w:space="0" w:color="auto"/>
            <w:left w:val="none" w:sz="0" w:space="0" w:color="auto"/>
            <w:bottom w:val="none" w:sz="0" w:space="0" w:color="auto"/>
            <w:right w:val="none" w:sz="0" w:space="0" w:color="auto"/>
          </w:divBdr>
          <w:divsChild>
            <w:div w:id="269506864">
              <w:marLeft w:val="0"/>
              <w:marRight w:val="0"/>
              <w:marTop w:val="0"/>
              <w:marBottom w:val="0"/>
              <w:divBdr>
                <w:top w:val="none" w:sz="0" w:space="0" w:color="auto"/>
                <w:left w:val="none" w:sz="0" w:space="0" w:color="auto"/>
                <w:bottom w:val="none" w:sz="0" w:space="0" w:color="auto"/>
                <w:right w:val="none" w:sz="0" w:space="0" w:color="auto"/>
              </w:divBdr>
            </w:div>
          </w:divsChild>
        </w:div>
        <w:div w:id="384331439">
          <w:marLeft w:val="0"/>
          <w:marRight w:val="0"/>
          <w:marTop w:val="0"/>
          <w:marBottom w:val="0"/>
          <w:divBdr>
            <w:top w:val="none" w:sz="0" w:space="0" w:color="auto"/>
            <w:left w:val="none" w:sz="0" w:space="0" w:color="auto"/>
            <w:bottom w:val="none" w:sz="0" w:space="0" w:color="auto"/>
            <w:right w:val="none" w:sz="0" w:space="0" w:color="auto"/>
          </w:divBdr>
          <w:divsChild>
            <w:div w:id="370541869">
              <w:marLeft w:val="0"/>
              <w:marRight w:val="0"/>
              <w:marTop w:val="0"/>
              <w:marBottom w:val="0"/>
              <w:divBdr>
                <w:top w:val="none" w:sz="0" w:space="0" w:color="auto"/>
                <w:left w:val="none" w:sz="0" w:space="0" w:color="auto"/>
                <w:bottom w:val="none" w:sz="0" w:space="0" w:color="auto"/>
                <w:right w:val="none" w:sz="0" w:space="0" w:color="auto"/>
              </w:divBdr>
            </w:div>
          </w:divsChild>
        </w:div>
        <w:div w:id="393311671">
          <w:marLeft w:val="0"/>
          <w:marRight w:val="0"/>
          <w:marTop w:val="0"/>
          <w:marBottom w:val="0"/>
          <w:divBdr>
            <w:top w:val="none" w:sz="0" w:space="0" w:color="auto"/>
            <w:left w:val="none" w:sz="0" w:space="0" w:color="auto"/>
            <w:bottom w:val="none" w:sz="0" w:space="0" w:color="auto"/>
            <w:right w:val="none" w:sz="0" w:space="0" w:color="auto"/>
          </w:divBdr>
          <w:divsChild>
            <w:div w:id="2067944825">
              <w:marLeft w:val="0"/>
              <w:marRight w:val="0"/>
              <w:marTop w:val="0"/>
              <w:marBottom w:val="0"/>
              <w:divBdr>
                <w:top w:val="none" w:sz="0" w:space="0" w:color="auto"/>
                <w:left w:val="none" w:sz="0" w:space="0" w:color="auto"/>
                <w:bottom w:val="none" w:sz="0" w:space="0" w:color="auto"/>
                <w:right w:val="none" w:sz="0" w:space="0" w:color="auto"/>
              </w:divBdr>
            </w:div>
          </w:divsChild>
        </w:div>
        <w:div w:id="396513885">
          <w:marLeft w:val="0"/>
          <w:marRight w:val="0"/>
          <w:marTop w:val="0"/>
          <w:marBottom w:val="0"/>
          <w:divBdr>
            <w:top w:val="none" w:sz="0" w:space="0" w:color="auto"/>
            <w:left w:val="none" w:sz="0" w:space="0" w:color="auto"/>
            <w:bottom w:val="none" w:sz="0" w:space="0" w:color="auto"/>
            <w:right w:val="none" w:sz="0" w:space="0" w:color="auto"/>
          </w:divBdr>
          <w:divsChild>
            <w:div w:id="2053453938">
              <w:marLeft w:val="0"/>
              <w:marRight w:val="0"/>
              <w:marTop w:val="0"/>
              <w:marBottom w:val="0"/>
              <w:divBdr>
                <w:top w:val="none" w:sz="0" w:space="0" w:color="auto"/>
                <w:left w:val="none" w:sz="0" w:space="0" w:color="auto"/>
                <w:bottom w:val="none" w:sz="0" w:space="0" w:color="auto"/>
                <w:right w:val="none" w:sz="0" w:space="0" w:color="auto"/>
              </w:divBdr>
            </w:div>
          </w:divsChild>
        </w:div>
        <w:div w:id="398065997">
          <w:marLeft w:val="0"/>
          <w:marRight w:val="0"/>
          <w:marTop w:val="0"/>
          <w:marBottom w:val="0"/>
          <w:divBdr>
            <w:top w:val="none" w:sz="0" w:space="0" w:color="auto"/>
            <w:left w:val="none" w:sz="0" w:space="0" w:color="auto"/>
            <w:bottom w:val="none" w:sz="0" w:space="0" w:color="auto"/>
            <w:right w:val="none" w:sz="0" w:space="0" w:color="auto"/>
          </w:divBdr>
          <w:divsChild>
            <w:div w:id="1759476341">
              <w:marLeft w:val="0"/>
              <w:marRight w:val="0"/>
              <w:marTop w:val="0"/>
              <w:marBottom w:val="0"/>
              <w:divBdr>
                <w:top w:val="none" w:sz="0" w:space="0" w:color="auto"/>
                <w:left w:val="none" w:sz="0" w:space="0" w:color="auto"/>
                <w:bottom w:val="none" w:sz="0" w:space="0" w:color="auto"/>
                <w:right w:val="none" w:sz="0" w:space="0" w:color="auto"/>
              </w:divBdr>
            </w:div>
          </w:divsChild>
        </w:div>
        <w:div w:id="402680065">
          <w:marLeft w:val="0"/>
          <w:marRight w:val="0"/>
          <w:marTop w:val="0"/>
          <w:marBottom w:val="0"/>
          <w:divBdr>
            <w:top w:val="none" w:sz="0" w:space="0" w:color="auto"/>
            <w:left w:val="none" w:sz="0" w:space="0" w:color="auto"/>
            <w:bottom w:val="none" w:sz="0" w:space="0" w:color="auto"/>
            <w:right w:val="none" w:sz="0" w:space="0" w:color="auto"/>
          </w:divBdr>
          <w:divsChild>
            <w:div w:id="286283275">
              <w:marLeft w:val="0"/>
              <w:marRight w:val="0"/>
              <w:marTop w:val="0"/>
              <w:marBottom w:val="0"/>
              <w:divBdr>
                <w:top w:val="none" w:sz="0" w:space="0" w:color="auto"/>
                <w:left w:val="none" w:sz="0" w:space="0" w:color="auto"/>
                <w:bottom w:val="none" w:sz="0" w:space="0" w:color="auto"/>
                <w:right w:val="none" w:sz="0" w:space="0" w:color="auto"/>
              </w:divBdr>
            </w:div>
          </w:divsChild>
        </w:div>
        <w:div w:id="415327779">
          <w:marLeft w:val="0"/>
          <w:marRight w:val="0"/>
          <w:marTop w:val="0"/>
          <w:marBottom w:val="0"/>
          <w:divBdr>
            <w:top w:val="none" w:sz="0" w:space="0" w:color="auto"/>
            <w:left w:val="none" w:sz="0" w:space="0" w:color="auto"/>
            <w:bottom w:val="none" w:sz="0" w:space="0" w:color="auto"/>
            <w:right w:val="none" w:sz="0" w:space="0" w:color="auto"/>
          </w:divBdr>
          <w:divsChild>
            <w:div w:id="1584488205">
              <w:marLeft w:val="0"/>
              <w:marRight w:val="0"/>
              <w:marTop w:val="0"/>
              <w:marBottom w:val="0"/>
              <w:divBdr>
                <w:top w:val="none" w:sz="0" w:space="0" w:color="auto"/>
                <w:left w:val="none" w:sz="0" w:space="0" w:color="auto"/>
                <w:bottom w:val="none" w:sz="0" w:space="0" w:color="auto"/>
                <w:right w:val="none" w:sz="0" w:space="0" w:color="auto"/>
              </w:divBdr>
            </w:div>
          </w:divsChild>
        </w:div>
        <w:div w:id="420104540">
          <w:marLeft w:val="0"/>
          <w:marRight w:val="0"/>
          <w:marTop w:val="0"/>
          <w:marBottom w:val="0"/>
          <w:divBdr>
            <w:top w:val="none" w:sz="0" w:space="0" w:color="auto"/>
            <w:left w:val="none" w:sz="0" w:space="0" w:color="auto"/>
            <w:bottom w:val="none" w:sz="0" w:space="0" w:color="auto"/>
            <w:right w:val="none" w:sz="0" w:space="0" w:color="auto"/>
          </w:divBdr>
          <w:divsChild>
            <w:div w:id="2110268849">
              <w:marLeft w:val="0"/>
              <w:marRight w:val="0"/>
              <w:marTop w:val="0"/>
              <w:marBottom w:val="0"/>
              <w:divBdr>
                <w:top w:val="none" w:sz="0" w:space="0" w:color="auto"/>
                <w:left w:val="none" w:sz="0" w:space="0" w:color="auto"/>
                <w:bottom w:val="none" w:sz="0" w:space="0" w:color="auto"/>
                <w:right w:val="none" w:sz="0" w:space="0" w:color="auto"/>
              </w:divBdr>
            </w:div>
          </w:divsChild>
        </w:div>
        <w:div w:id="422800469">
          <w:marLeft w:val="0"/>
          <w:marRight w:val="0"/>
          <w:marTop w:val="0"/>
          <w:marBottom w:val="0"/>
          <w:divBdr>
            <w:top w:val="none" w:sz="0" w:space="0" w:color="auto"/>
            <w:left w:val="none" w:sz="0" w:space="0" w:color="auto"/>
            <w:bottom w:val="none" w:sz="0" w:space="0" w:color="auto"/>
            <w:right w:val="none" w:sz="0" w:space="0" w:color="auto"/>
          </w:divBdr>
          <w:divsChild>
            <w:div w:id="833104890">
              <w:marLeft w:val="0"/>
              <w:marRight w:val="0"/>
              <w:marTop w:val="0"/>
              <w:marBottom w:val="0"/>
              <w:divBdr>
                <w:top w:val="none" w:sz="0" w:space="0" w:color="auto"/>
                <w:left w:val="none" w:sz="0" w:space="0" w:color="auto"/>
                <w:bottom w:val="none" w:sz="0" w:space="0" w:color="auto"/>
                <w:right w:val="none" w:sz="0" w:space="0" w:color="auto"/>
              </w:divBdr>
            </w:div>
          </w:divsChild>
        </w:div>
        <w:div w:id="429206302">
          <w:marLeft w:val="0"/>
          <w:marRight w:val="0"/>
          <w:marTop w:val="0"/>
          <w:marBottom w:val="0"/>
          <w:divBdr>
            <w:top w:val="none" w:sz="0" w:space="0" w:color="auto"/>
            <w:left w:val="none" w:sz="0" w:space="0" w:color="auto"/>
            <w:bottom w:val="none" w:sz="0" w:space="0" w:color="auto"/>
            <w:right w:val="none" w:sz="0" w:space="0" w:color="auto"/>
          </w:divBdr>
          <w:divsChild>
            <w:div w:id="304894018">
              <w:marLeft w:val="0"/>
              <w:marRight w:val="0"/>
              <w:marTop w:val="0"/>
              <w:marBottom w:val="0"/>
              <w:divBdr>
                <w:top w:val="none" w:sz="0" w:space="0" w:color="auto"/>
                <w:left w:val="none" w:sz="0" w:space="0" w:color="auto"/>
                <w:bottom w:val="none" w:sz="0" w:space="0" w:color="auto"/>
                <w:right w:val="none" w:sz="0" w:space="0" w:color="auto"/>
              </w:divBdr>
            </w:div>
          </w:divsChild>
        </w:div>
        <w:div w:id="435290534">
          <w:marLeft w:val="0"/>
          <w:marRight w:val="0"/>
          <w:marTop w:val="0"/>
          <w:marBottom w:val="0"/>
          <w:divBdr>
            <w:top w:val="none" w:sz="0" w:space="0" w:color="auto"/>
            <w:left w:val="none" w:sz="0" w:space="0" w:color="auto"/>
            <w:bottom w:val="none" w:sz="0" w:space="0" w:color="auto"/>
            <w:right w:val="none" w:sz="0" w:space="0" w:color="auto"/>
          </w:divBdr>
          <w:divsChild>
            <w:div w:id="2082096260">
              <w:marLeft w:val="0"/>
              <w:marRight w:val="0"/>
              <w:marTop w:val="0"/>
              <w:marBottom w:val="0"/>
              <w:divBdr>
                <w:top w:val="none" w:sz="0" w:space="0" w:color="auto"/>
                <w:left w:val="none" w:sz="0" w:space="0" w:color="auto"/>
                <w:bottom w:val="none" w:sz="0" w:space="0" w:color="auto"/>
                <w:right w:val="none" w:sz="0" w:space="0" w:color="auto"/>
              </w:divBdr>
            </w:div>
          </w:divsChild>
        </w:div>
        <w:div w:id="451285713">
          <w:marLeft w:val="0"/>
          <w:marRight w:val="0"/>
          <w:marTop w:val="0"/>
          <w:marBottom w:val="0"/>
          <w:divBdr>
            <w:top w:val="none" w:sz="0" w:space="0" w:color="auto"/>
            <w:left w:val="none" w:sz="0" w:space="0" w:color="auto"/>
            <w:bottom w:val="none" w:sz="0" w:space="0" w:color="auto"/>
            <w:right w:val="none" w:sz="0" w:space="0" w:color="auto"/>
          </w:divBdr>
          <w:divsChild>
            <w:div w:id="217515476">
              <w:marLeft w:val="0"/>
              <w:marRight w:val="0"/>
              <w:marTop w:val="0"/>
              <w:marBottom w:val="0"/>
              <w:divBdr>
                <w:top w:val="none" w:sz="0" w:space="0" w:color="auto"/>
                <w:left w:val="none" w:sz="0" w:space="0" w:color="auto"/>
                <w:bottom w:val="none" w:sz="0" w:space="0" w:color="auto"/>
                <w:right w:val="none" w:sz="0" w:space="0" w:color="auto"/>
              </w:divBdr>
            </w:div>
          </w:divsChild>
        </w:div>
        <w:div w:id="459105837">
          <w:marLeft w:val="0"/>
          <w:marRight w:val="0"/>
          <w:marTop w:val="0"/>
          <w:marBottom w:val="0"/>
          <w:divBdr>
            <w:top w:val="none" w:sz="0" w:space="0" w:color="auto"/>
            <w:left w:val="none" w:sz="0" w:space="0" w:color="auto"/>
            <w:bottom w:val="none" w:sz="0" w:space="0" w:color="auto"/>
            <w:right w:val="none" w:sz="0" w:space="0" w:color="auto"/>
          </w:divBdr>
          <w:divsChild>
            <w:div w:id="694036206">
              <w:marLeft w:val="0"/>
              <w:marRight w:val="0"/>
              <w:marTop w:val="0"/>
              <w:marBottom w:val="0"/>
              <w:divBdr>
                <w:top w:val="none" w:sz="0" w:space="0" w:color="auto"/>
                <w:left w:val="none" w:sz="0" w:space="0" w:color="auto"/>
                <w:bottom w:val="none" w:sz="0" w:space="0" w:color="auto"/>
                <w:right w:val="none" w:sz="0" w:space="0" w:color="auto"/>
              </w:divBdr>
            </w:div>
          </w:divsChild>
        </w:div>
        <w:div w:id="463961399">
          <w:marLeft w:val="0"/>
          <w:marRight w:val="0"/>
          <w:marTop w:val="0"/>
          <w:marBottom w:val="0"/>
          <w:divBdr>
            <w:top w:val="none" w:sz="0" w:space="0" w:color="auto"/>
            <w:left w:val="none" w:sz="0" w:space="0" w:color="auto"/>
            <w:bottom w:val="none" w:sz="0" w:space="0" w:color="auto"/>
            <w:right w:val="none" w:sz="0" w:space="0" w:color="auto"/>
          </w:divBdr>
          <w:divsChild>
            <w:div w:id="552886413">
              <w:marLeft w:val="0"/>
              <w:marRight w:val="0"/>
              <w:marTop w:val="0"/>
              <w:marBottom w:val="0"/>
              <w:divBdr>
                <w:top w:val="none" w:sz="0" w:space="0" w:color="auto"/>
                <w:left w:val="none" w:sz="0" w:space="0" w:color="auto"/>
                <w:bottom w:val="none" w:sz="0" w:space="0" w:color="auto"/>
                <w:right w:val="none" w:sz="0" w:space="0" w:color="auto"/>
              </w:divBdr>
            </w:div>
          </w:divsChild>
        </w:div>
        <w:div w:id="484931151">
          <w:marLeft w:val="0"/>
          <w:marRight w:val="0"/>
          <w:marTop w:val="0"/>
          <w:marBottom w:val="0"/>
          <w:divBdr>
            <w:top w:val="none" w:sz="0" w:space="0" w:color="auto"/>
            <w:left w:val="none" w:sz="0" w:space="0" w:color="auto"/>
            <w:bottom w:val="none" w:sz="0" w:space="0" w:color="auto"/>
            <w:right w:val="none" w:sz="0" w:space="0" w:color="auto"/>
          </w:divBdr>
          <w:divsChild>
            <w:div w:id="1173253809">
              <w:marLeft w:val="0"/>
              <w:marRight w:val="0"/>
              <w:marTop w:val="0"/>
              <w:marBottom w:val="0"/>
              <w:divBdr>
                <w:top w:val="none" w:sz="0" w:space="0" w:color="auto"/>
                <w:left w:val="none" w:sz="0" w:space="0" w:color="auto"/>
                <w:bottom w:val="none" w:sz="0" w:space="0" w:color="auto"/>
                <w:right w:val="none" w:sz="0" w:space="0" w:color="auto"/>
              </w:divBdr>
            </w:div>
          </w:divsChild>
        </w:div>
        <w:div w:id="488641864">
          <w:marLeft w:val="0"/>
          <w:marRight w:val="0"/>
          <w:marTop w:val="0"/>
          <w:marBottom w:val="0"/>
          <w:divBdr>
            <w:top w:val="none" w:sz="0" w:space="0" w:color="auto"/>
            <w:left w:val="none" w:sz="0" w:space="0" w:color="auto"/>
            <w:bottom w:val="none" w:sz="0" w:space="0" w:color="auto"/>
            <w:right w:val="none" w:sz="0" w:space="0" w:color="auto"/>
          </w:divBdr>
          <w:divsChild>
            <w:div w:id="1582173786">
              <w:marLeft w:val="0"/>
              <w:marRight w:val="0"/>
              <w:marTop w:val="0"/>
              <w:marBottom w:val="0"/>
              <w:divBdr>
                <w:top w:val="none" w:sz="0" w:space="0" w:color="auto"/>
                <w:left w:val="none" w:sz="0" w:space="0" w:color="auto"/>
                <w:bottom w:val="none" w:sz="0" w:space="0" w:color="auto"/>
                <w:right w:val="none" w:sz="0" w:space="0" w:color="auto"/>
              </w:divBdr>
            </w:div>
          </w:divsChild>
        </w:div>
        <w:div w:id="503207444">
          <w:marLeft w:val="0"/>
          <w:marRight w:val="0"/>
          <w:marTop w:val="0"/>
          <w:marBottom w:val="0"/>
          <w:divBdr>
            <w:top w:val="none" w:sz="0" w:space="0" w:color="auto"/>
            <w:left w:val="none" w:sz="0" w:space="0" w:color="auto"/>
            <w:bottom w:val="none" w:sz="0" w:space="0" w:color="auto"/>
            <w:right w:val="none" w:sz="0" w:space="0" w:color="auto"/>
          </w:divBdr>
          <w:divsChild>
            <w:div w:id="622922857">
              <w:marLeft w:val="0"/>
              <w:marRight w:val="0"/>
              <w:marTop w:val="0"/>
              <w:marBottom w:val="0"/>
              <w:divBdr>
                <w:top w:val="none" w:sz="0" w:space="0" w:color="auto"/>
                <w:left w:val="none" w:sz="0" w:space="0" w:color="auto"/>
                <w:bottom w:val="none" w:sz="0" w:space="0" w:color="auto"/>
                <w:right w:val="none" w:sz="0" w:space="0" w:color="auto"/>
              </w:divBdr>
            </w:div>
          </w:divsChild>
        </w:div>
        <w:div w:id="513155241">
          <w:marLeft w:val="0"/>
          <w:marRight w:val="0"/>
          <w:marTop w:val="0"/>
          <w:marBottom w:val="0"/>
          <w:divBdr>
            <w:top w:val="none" w:sz="0" w:space="0" w:color="auto"/>
            <w:left w:val="none" w:sz="0" w:space="0" w:color="auto"/>
            <w:bottom w:val="none" w:sz="0" w:space="0" w:color="auto"/>
            <w:right w:val="none" w:sz="0" w:space="0" w:color="auto"/>
          </w:divBdr>
          <w:divsChild>
            <w:div w:id="1860385563">
              <w:marLeft w:val="0"/>
              <w:marRight w:val="0"/>
              <w:marTop w:val="0"/>
              <w:marBottom w:val="0"/>
              <w:divBdr>
                <w:top w:val="none" w:sz="0" w:space="0" w:color="auto"/>
                <w:left w:val="none" w:sz="0" w:space="0" w:color="auto"/>
                <w:bottom w:val="none" w:sz="0" w:space="0" w:color="auto"/>
                <w:right w:val="none" w:sz="0" w:space="0" w:color="auto"/>
              </w:divBdr>
            </w:div>
          </w:divsChild>
        </w:div>
        <w:div w:id="522522838">
          <w:marLeft w:val="0"/>
          <w:marRight w:val="0"/>
          <w:marTop w:val="0"/>
          <w:marBottom w:val="0"/>
          <w:divBdr>
            <w:top w:val="none" w:sz="0" w:space="0" w:color="auto"/>
            <w:left w:val="none" w:sz="0" w:space="0" w:color="auto"/>
            <w:bottom w:val="none" w:sz="0" w:space="0" w:color="auto"/>
            <w:right w:val="none" w:sz="0" w:space="0" w:color="auto"/>
          </w:divBdr>
          <w:divsChild>
            <w:div w:id="14430799">
              <w:marLeft w:val="0"/>
              <w:marRight w:val="0"/>
              <w:marTop w:val="0"/>
              <w:marBottom w:val="0"/>
              <w:divBdr>
                <w:top w:val="none" w:sz="0" w:space="0" w:color="auto"/>
                <w:left w:val="none" w:sz="0" w:space="0" w:color="auto"/>
                <w:bottom w:val="none" w:sz="0" w:space="0" w:color="auto"/>
                <w:right w:val="none" w:sz="0" w:space="0" w:color="auto"/>
              </w:divBdr>
            </w:div>
          </w:divsChild>
        </w:div>
        <w:div w:id="522598375">
          <w:marLeft w:val="0"/>
          <w:marRight w:val="0"/>
          <w:marTop w:val="0"/>
          <w:marBottom w:val="0"/>
          <w:divBdr>
            <w:top w:val="none" w:sz="0" w:space="0" w:color="auto"/>
            <w:left w:val="none" w:sz="0" w:space="0" w:color="auto"/>
            <w:bottom w:val="none" w:sz="0" w:space="0" w:color="auto"/>
            <w:right w:val="none" w:sz="0" w:space="0" w:color="auto"/>
          </w:divBdr>
          <w:divsChild>
            <w:div w:id="825781173">
              <w:marLeft w:val="0"/>
              <w:marRight w:val="0"/>
              <w:marTop w:val="0"/>
              <w:marBottom w:val="0"/>
              <w:divBdr>
                <w:top w:val="none" w:sz="0" w:space="0" w:color="auto"/>
                <w:left w:val="none" w:sz="0" w:space="0" w:color="auto"/>
                <w:bottom w:val="none" w:sz="0" w:space="0" w:color="auto"/>
                <w:right w:val="none" w:sz="0" w:space="0" w:color="auto"/>
              </w:divBdr>
            </w:div>
          </w:divsChild>
        </w:div>
        <w:div w:id="527329186">
          <w:marLeft w:val="0"/>
          <w:marRight w:val="0"/>
          <w:marTop w:val="0"/>
          <w:marBottom w:val="0"/>
          <w:divBdr>
            <w:top w:val="none" w:sz="0" w:space="0" w:color="auto"/>
            <w:left w:val="none" w:sz="0" w:space="0" w:color="auto"/>
            <w:bottom w:val="none" w:sz="0" w:space="0" w:color="auto"/>
            <w:right w:val="none" w:sz="0" w:space="0" w:color="auto"/>
          </w:divBdr>
          <w:divsChild>
            <w:div w:id="1424184627">
              <w:marLeft w:val="0"/>
              <w:marRight w:val="0"/>
              <w:marTop w:val="0"/>
              <w:marBottom w:val="0"/>
              <w:divBdr>
                <w:top w:val="none" w:sz="0" w:space="0" w:color="auto"/>
                <w:left w:val="none" w:sz="0" w:space="0" w:color="auto"/>
                <w:bottom w:val="none" w:sz="0" w:space="0" w:color="auto"/>
                <w:right w:val="none" w:sz="0" w:space="0" w:color="auto"/>
              </w:divBdr>
            </w:div>
          </w:divsChild>
        </w:div>
        <w:div w:id="534736672">
          <w:marLeft w:val="0"/>
          <w:marRight w:val="0"/>
          <w:marTop w:val="0"/>
          <w:marBottom w:val="0"/>
          <w:divBdr>
            <w:top w:val="none" w:sz="0" w:space="0" w:color="auto"/>
            <w:left w:val="none" w:sz="0" w:space="0" w:color="auto"/>
            <w:bottom w:val="none" w:sz="0" w:space="0" w:color="auto"/>
            <w:right w:val="none" w:sz="0" w:space="0" w:color="auto"/>
          </w:divBdr>
          <w:divsChild>
            <w:div w:id="92821441">
              <w:marLeft w:val="0"/>
              <w:marRight w:val="0"/>
              <w:marTop w:val="0"/>
              <w:marBottom w:val="0"/>
              <w:divBdr>
                <w:top w:val="none" w:sz="0" w:space="0" w:color="auto"/>
                <w:left w:val="none" w:sz="0" w:space="0" w:color="auto"/>
                <w:bottom w:val="none" w:sz="0" w:space="0" w:color="auto"/>
                <w:right w:val="none" w:sz="0" w:space="0" w:color="auto"/>
              </w:divBdr>
            </w:div>
          </w:divsChild>
        </w:div>
        <w:div w:id="548617171">
          <w:marLeft w:val="0"/>
          <w:marRight w:val="0"/>
          <w:marTop w:val="0"/>
          <w:marBottom w:val="0"/>
          <w:divBdr>
            <w:top w:val="none" w:sz="0" w:space="0" w:color="auto"/>
            <w:left w:val="none" w:sz="0" w:space="0" w:color="auto"/>
            <w:bottom w:val="none" w:sz="0" w:space="0" w:color="auto"/>
            <w:right w:val="none" w:sz="0" w:space="0" w:color="auto"/>
          </w:divBdr>
          <w:divsChild>
            <w:div w:id="1144470703">
              <w:marLeft w:val="0"/>
              <w:marRight w:val="0"/>
              <w:marTop w:val="0"/>
              <w:marBottom w:val="0"/>
              <w:divBdr>
                <w:top w:val="none" w:sz="0" w:space="0" w:color="auto"/>
                <w:left w:val="none" w:sz="0" w:space="0" w:color="auto"/>
                <w:bottom w:val="none" w:sz="0" w:space="0" w:color="auto"/>
                <w:right w:val="none" w:sz="0" w:space="0" w:color="auto"/>
              </w:divBdr>
            </w:div>
          </w:divsChild>
        </w:div>
        <w:div w:id="554782502">
          <w:marLeft w:val="0"/>
          <w:marRight w:val="0"/>
          <w:marTop w:val="0"/>
          <w:marBottom w:val="0"/>
          <w:divBdr>
            <w:top w:val="none" w:sz="0" w:space="0" w:color="auto"/>
            <w:left w:val="none" w:sz="0" w:space="0" w:color="auto"/>
            <w:bottom w:val="none" w:sz="0" w:space="0" w:color="auto"/>
            <w:right w:val="none" w:sz="0" w:space="0" w:color="auto"/>
          </w:divBdr>
          <w:divsChild>
            <w:div w:id="1958832149">
              <w:marLeft w:val="0"/>
              <w:marRight w:val="0"/>
              <w:marTop w:val="0"/>
              <w:marBottom w:val="0"/>
              <w:divBdr>
                <w:top w:val="none" w:sz="0" w:space="0" w:color="auto"/>
                <w:left w:val="none" w:sz="0" w:space="0" w:color="auto"/>
                <w:bottom w:val="none" w:sz="0" w:space="0" w:color="auto"/>
                <w:right w:val="none" w:sz="0" w:space="0" w:color="auto"/>
              </w:divBdr>
            </w:div>
          </w:divsChild>
        </w:div>
        <w:div w:id="558790340">
          <w:marLeft w:val="0"/>
          <w:marRight w:val="0"/>
          <w:marTop w:val="0"/>
          <w:marBottom w:val="0"/>
          <w:divBdr>
            <w:top w:val="none" w:sz="0" w:space="0" w:color="auto"/>
            <w:left w:val="none" w:sz="0" w:space="0" w:color="auto"/>
            <w:bottom w:val="none" w:sz="0" w:space="0" w:color="auto"/>
            <w:right w:val="none" w:sz="0" w:space="0" w:color="auto"/>
          </w:divBdr>
          <w:divsChild>
            <w:div w:id="597254555">
              <w:marLeft w:val="0"/>
              <w:marRight w:val="0"/>
              <w:marTop w:val="0"/>
              <w:marBottom w:val="0"/>
              <w:divBdr>
                <w:top w:val="none" w:sz="0" w:space="0" w:color="auto"/>
                <w:left w:val="none" w:sz="0" w:space="0" w:color="auto"/>
                <w:bottom w:val="none" w:sz="0" w:space="0" w:color="auto"/>
                <w:right w:val="none" w:sz="0" w:space="0" w:color="auto"/>
              </w:divBdr>
            </w:div>
          </w:divsChild>
        </w:div>
        <w:div w:id="560677813">
          <w:marLeft w:val="0"/>
          <w:marRight w:val="0"/>
          <w:marTop w:val="0"/>
          <w:marBottom w:val="0"/>
          <w:divBdr>
            <w:top w:val="none" w:sz="0" w:space="0" w:color="auto"/>
            <w:left w:val="none" w:sz="0" w:space="0" w:color="auto"/>
            <w:bottom w:val="none" w:sz="0" w:space="0" w:color="auto"/>
            <w:right w:val="none" w:sz="0" w:space="0" w:color="auto"/>
          </w:divBdr>
          <w:divsChild>
            <w:div w:id="1473448578">
              <w:marLeft w:val="0"/>
              <w:marRight w:val="0"/>
              <w:marTop w:val="0"/>
              <w:marBottom w:val="0"/>
              <w:divBdr>
                <w:top w:val="none" w:sz="0" w:space="0" w:color="auto"/>
                <w:left w:val="none" w:sz="0" w:space="0" w:color="auto"/>
                <w:bottom w:val="none" w:sz="0" w:space="0" w:color="auto"/>
                <w:right w:val="none" w:sz="0" w:space="0" w:color="auto"/>
              </w:divBdr>
            </w:div>
          </w:divsChild>
        </w:div>
        <w:div w:id="573704631">
          <w:marLeft w:val="0"/>
          <w:marRight w:val="0"/>
          <w:marTop w:val="0"/>
          <w:marBottom w:val="0"/>
          <w:divBdr>
            <w:top w:val="none" w:sz="0" w:space="0" w:color="auto"/>
            <w:left w:val="none" w:sz="0" w:space="0" w:color="auto"/>
            <w:bottom w:val="none" w:sz="0" w:space="0" w:color="auto"/>
            <w:right w:val="none" w:sz="0" w:space="0" w:color="auto"/>
          </w:divBdr>
          <w:divsChild>
            <w:div w:id="671420047">
              <w:marLeft w:val="0"/>
              <w:marRight w:val="0"/>
              <w:marTop w:val="0"/>
              <w:marBottom w:val="0"/>
              <w:divBdr>
                <w:top w:val="none" w:sz="0" w:space="0" w:color="auto"/>
                <w:left w:val="none" w:sz="0" w:space="0" w:color="auto"/>
                <w:bottom w:val="none" w:sz="0" w:space="0" w:color="auto"/>
                <w:right w:val="none" w:sz="0" w:space="0" w:color="auto"/>
              </w:divBdr>
            </w:div>
          </w:divsChild>
        </w:div>
        <w:div w:id="577449391">
          <w:marLeft w:val="0"/>
          <w:marRight w:val="0"/>
          <w:marTop w:val="0"/>
          <w:marBottom w:val="0"/>
          <w:divBdr>
            <w:top w:val="none" w:sz="0" w:space="0" w:color="auto"/>
            <w:left w:val="none" w:sz="0" w:space="0" w:color="auto"/>
            <w:bottom w:val="none" w:sz="0" w:space="0" w:color="auto"/>
            <w:right w:val="none" w:sz="0" w:space="0" w:color="auto"/>
          </w:divBdr>
          <w:divsChild>
            <w:div w:id="573704547">
              <w:marLeft w:val="0"/>
              <w:marRight w:val="0"/>
              <w:marTop w:val="0"/>
              <w:marBottom w:val="0"/>
              <w:divBdr>
                <w:top w:val="none" w:sz="0" w:space="0" w:color="auto"/>
                <w:left w:val="none" w:sz="0" w:space="0" w:color="auto"/>
                <w:bottom w:val="none" w:sz="0" w:space="0" w:color="auto"/>
                <w:right w:val="none" w:sz="0" w:space="0" w:color="auto"/>
              </w:divBdr>
            </w:div>
          </w:divsChild>
        </w:div>
        <w:div w:id="587160431">
          <w:marLeft w:val="0"/>
          <w:marRight w:val="0"/>
          <w:marTop w:val="0"/>
          <w:marBottom w:val="0"/>
          <w:divBdr>
            <w:top w:val="none" w:sz="0" w:space="0" w:color="auto"/>
            <w:left w:val="none" w:sz="0" w:space="0" w:color="auto"/>
            <w:bottom w:val="none" w:sz="0" w:space="0" w:color="auto"/>
            <w:right w:val="none" w:sz="0" w:space="0" w:color="auto"/>
          </w:divBdr>
          <w:divsChild>
            <w:div w:id="119610634">
              <w:marLeft w:val="0"/>
              <w:marRight w:val="0"/>
              <w:marTop w:val="0"/>
              <w:marBottom w:val="0"/>
              <w:divBdr>
                <w:top w:val="none" w:sz="0" w:space="0" w:color="auto"/>
                <w:left w:val="none" w:sz="0" w:space="0" w:color="auto"/>
                <w:bottom w:val="none" w:sz="0" w:space="0" w:color="auto"/>
                <w:right w:val="none" w:sz="0" w:space="0" w:color="auto"/>
              </w:divBdr>
            </w:div>
          </w:divsChild>
        </w:div>
        <w:div w:id="587467281">
          <w:marLeft w:val="0"/>
          <w:marRight w:val="0"/>
          <w:marTop w:val="0"/>
          <w:marBottom w:val="0"/>
          <w:divBdr>
            <w:top w:val="none" w:sz="0" w:space="0" w:color="auto"/>
            <w:left w:val="none" w:sz="0" w:space="0" w:color="auto"/>
            <w:bottom w:val="none" w:sz="0" w:space="0" w:color="auto"/>
            <w:right w:val="none" w:sz="0" w:space="0" w:color="auto"/>
          </w:divBdr>
          <w:divsChild>
            <w:div w:id="1468161628">
              <w:marLeft w:val="0"/>
              <w:marRight w:val="0"/>
              <w:marTop w:val="0"/>
              <w:marBottom w:val="0"/>
              <w:divBdr>
                <w:top w:val="none" w:sz="0" w:space="0" w:color="auto"/>
                <w:left w:val="none" w:sz="0" w:space="0" w:color="auto"/>
                <w:bottom w:val="none" w:sz="0" w:space="0" w:color="auto"/>
                <w:right w:val="none" w:sz="0" w:space="0" w:color="auto"/>
              </w:divBdr>
            </w:div>
          </w:divsChild>
        </w:div>
        <w:div w:id="591664599">
          <w:marLeft w:val="0"/>
          <w:marRight w:val="0"/>
          <w:marTop w:val="0"/>
          <w:marBottom w:val="0"/>
          <w:divBdr>
            <w:top w:val="none" w:sz="0" w:space="0" w:color="auto"/>
            <w:left w:val="none" w:sz="0" w:space="0" w:color="auto"/>
            <w:bottom w:val="none" w:sz="0" w:space="0" w:color="auto"/>
            <w:right w:val="none" w:sz="0" w:space="0" w:color="auto"/>
          </w:divBdr>
          <w:divsChild>
            <w:div w:id="968709263">
              <w:marLeft w:val="0"/>
              <w:marRight w:val="0"/>
              <w:marTop w:val="0"/>
              <w:marBottom w:val="0"/>
              <w:divBdr>
                <w:top w:val="none" w:sz="0" w:space="0" w:color="auto"/>
                <w:left w:val="none" w:sz="0" w:space="0" w:color="auto"/>
                <w:bottom w:val="none" w:sz="0" w:space="0" w:color="auto"/>
                <w:right w:val="none" w:sz="0" w:space="0" w:color="auto"/>
              </w:divBdr>
            </w:div>
          </w:divsChild>
        </w:div>
        <w:div w:id="595479084">
          <w:marLeft w:val="0"/>
          <w:marRight w:val="0"/>
          <w:marTop w:val="0"/>
          <w:marBottom w:val="0"/>
          <w:divBdr>
            <w:top w:val="none" w:sz="0" w:space="0" w:color="auto"/>
            <w:left w:val="none" w:sz="0" w:space="0" w:color="auto"/>
            <w:bottom w:val="none" w:sz="0" w:space="0" w:color="auto"/>
            <w:right w:val="none" w:sz="0" w:space="0" w:color="auto"/>
          </w:divBdr>
          <w:divsChild>
            <w:div w:id="1715889236">
              <w:marLeft w:val="0"/>
              <w:marRight w:val="0"/>
              <w:marTop w:val="0"/>
              <w:marBottom w:val="0"/>
              <w:divBdr>
                <w:top w:val="none" w:sz="0" w:space="0" w:color="auto"/>
                <w:left w:val="none" w:sz="0" w:space="0" w:color="auto"/>
                <w:bottom w:val="none" w:sz="0" w:space="0" w:color="auto"/>
                <w:right w:val="none" w:sz="0" w:space="0" w:color="auto"/>
              </w:divBdr>
            </w:div>
          </w:divsChild>
        </w:div>
        <w:div w:id="597251904">
          <w:marLeft w:val="0"/>
          <w:marRight w:val="0"/>
          <w:marTop w:val="0"/>
          <w:marBottom w:val="0"/>
          <w:divBdr>
            <w:top w:val="none" w:sz="0" w:space="0" w:color="auto"/>
            <w:left w:val="none" w:sz="0" w:space="0" w:color="auto"/>
            <w:bottom w:val="none" w:sz="0" w:space="0" w:color="auto"/>
            <w:right w:val="none" w:sz="0" w:space="0" w:color="auto"/>
          </w:divBdr>
          <w:divsChild>
            <w:div w:id="8220941">
              <w:marLeft w:val="0"/>
              <w:marRight w:val="0"/>
              <w:marTop w:val="0"/>
              <w:marBottom w:val="0"/>
              <w:divBdr>
                <w:top w:val="none" w:sz="0" w:space="0" w:color="auto"/>
                <w:left w:val="none" w:sz="0" w:space="0" w:color="auto"/>
                <w:bottom w:val="none" w:sz="0" w:space="0" w:color="auto"/>
                <w:right w:val="none" w:sz="0" w:space="0" w:color="auto"/>
              </w:divBdr>
            </w:div>
          </w:divsChild>
        </w:div>
        <w:div w:id="598760710">
          <w:marLeft w:val="0"/>
          <w:marRight w:val="0"/>
          <w:marTop w:val="0"/>
          <w:marBottom w:val="0"/>
          <w:divBdr>
            <w:top w:val="none" w:sz="0" w:space="0" w:color="auto"/>
            <w:left w:val="none" w:sz="0" w:space="0" w:color="auto"/>
            <w:bottom w:val="none" w:sz="0" w:space="0" w:color="auto"/>
            <w:right w:val="none" w:sz="0" w:space="0" w:color="auto"/>
          </w:divBdr>
          <w:divsChild>
            <w:div w:id="1144079572">
              <w:marLeft w:val="0"/>
              <w:marRight w:val="0"/>
              <w:marTop w:val="0"/>
              <w:marBottom w:val="0"/>
              <w:divBdr>
                <w:top w:val="none" w:sz="0" w:space="0" w:color="auto"/>
                <w:left w:val="none" w:sz="0" w:space="0" w:color="auto"/>
                <w:bottom w:val="none" w:sz="0" w:space="0" w:color="auto"/>
                <w:right w:val="none" w:sz="0" w:space="0" w:color="auto"/>
              </w:divBdr>
            </w:div>
          </w:divsChild>
        </w:div>
        <w:div w:id="608318168">
          <w:marLeft w:val="0"/>
          <w:marRight w:val="0"/>
          <w:marTop w:val="0"/>
          <w:marBottom w:val="0"/>
          <w:divBdr>
            <w:top w:val="none" w:sz="0" w:space="0" w:color="auto"/>
            <w:left w:val="none" w:sz="0" w:space="0" w:color="auto"/>
            <w:bottom w:val="none" w:sz="0" w:space="0" w:color="auto"/>
            <w:right w:val="none" w:sz="0" w:space="0" w:color="auto"/>
          </w:divBdr>
          <w:divsChild>
            <w:div w:id="82267399">
              <w:marLeft w:val="0"/>
              <w:marRight w:val="0"/>
              <w:marTop w:val="0"/>
              <w:marBottom w:val="0"/>
              <w:divBdr>
                <w:top w:val="none" w:sz="0" w:space="0" w:color="auto"/>
                <w:left w:val="none" w:sz="0" w:space="0" w:color="auto"/>
                <w:bottom w:val="none" w:sz="0" w:space="0" w:color="auto"/>
                <w:right w:val="none" w:sz="0" w:space="0" w:color="auto"/>
              </w:divBdr>
            </w:div>
          </w:divsChild>
        </w:div>
        <w:div w:id="610359352">
          <w:marLeft w:val="0"/>
          <w:marRight w:val="0"/>
          <w:marTop w:val="0"/>
          <w:marBottom w:val="0"/>
          <w:divBdr>
            <w:top w:val="none" w:sz="0" w:space="0" w:color="auto"/>
            <w:left w:val="none" w:sz="0" w:space="0" w:color="auto"/>
            <w:bottom w:val="none" w:sz="0" w:space="0" w:color="auto"/>
            <w:right w:val="none" w:sz="0" w:space="0" w:color="auto"/>
          </w:divBdr>
          <w:divsChild>
            <w:div w:id="1430857748">
              <w:marLeft w:val="0"/>
              <w:marRight w:val="0"/>
              <w:marTop w:val="0"/>
              <w:marBottom w:val="0"/>
              <w:divBdr>
                <w:top w:val="none" w:sz="0" w:space="0" w:color="auto"/>
                <w:left w:val="none" w:sz="0" w:space="0" w:color="auto"/>
                <w:bottom w:val="none" w:sz="0" w:space="0" w:color="auto"/>
                <w:right w:val="none" w:sz="0" w:space="0" w:color="auto"/>
              </w:divBdr>
            </w:div>
          </w:divsChild>
        </w:div>
        <w:div w:id="613831240">
          <w:marLeft w:val="0"/>
          <w:marRight w:val="0"/>
          <w:marTop w:val="0"/>
          <w:marBottom w:val="0"/>
          <w:divBdr>
            <w:top w:val="none" w:sz="0" w:space="0" w:color="auto"/>
            <w:left w:val="none" w:sz="0" w:space="0" w:color="auto"/>
            <w:bottom w:val="none" w:sz="0" w:space="0" w:color="auto"/>
            <w:right w:val="none" w:sz="0" w:space="0" w:color="auto"/>
          </w:divBdr>
          <w:divsChild>
            <w:div w:id="818688351">
              <w:marLeft w:val="0"/>
              <w:marRight w:val="0"/>
              <w:marTop w:val="0"/>
              <w:marBottom w:val="0"/>
              <w:divBdr>
                <w:top w:val="none" w:sz="0" w:space="0" w:color="auto"/>
                <w:left w:val="none" w:sz="0" w:space="0" w:color="auto"/>
                <w:bottom w:val="none" w:sz="0" w:space="0" w:color="auto"/>
                <w:right w:val="none" w:sz="0" w:space="0" w:color="auto"/>
              </w:divBdr>
            </w:div>
          </w:divsChild>
        </w:div>
        <w:div w:id="618922731">
          <w:marLeft w:val="0"/>
          <w:marRight w:val="0"/>
          <w:marTop w:val="0"/>
          <w:marBottom w:val="0"/>
          <w:divBdr>
            <w:top w:val="none" w:sz="0" w:space="0" w:color="auto"/>
            <w:left w:val="none" w:sz="0" w:space="0" w:color="auto"/>
            <w:bottom w:val="none" w:sz="0" w:space="0" w:color="auto"/>
            <w:right w:val="none" w:sz="0" w:space="0" w:color="auto"/>
          </w:divBdr>
          <w:divsChild>
            <w:div w:id="1030226261">
              <w:marLeft w:val="0"/>
              <w:marRight w:val="0"/>
              <w:marTop w:val="0"/>
              <w:marBottom w:val="0"/>
              <w:divBdr>
                <w:top w:val="none" w:sz="0" w:space="0" w:color="auto"/>
                <w:left w:val="none" w:sz="0" w:space="0" w:color="auto"/>
                <w:bottom w:val="none" w:sz="0" w:space="0" w:color="auto"/>
                <w:right w:val="none" w:sz="0" w:space="0" w:color="auto"/>
              </w:divBdr>
            </w:div>
          </w:divsChild>
        </w:div>
        <w:div w:id="629823920">
          <w:marLeft w:val="0"/>
          <w:marRight w:val="0"/>
          <w:marTop w:val="0"/>
          <w:marBottom w:val="0"/>
          <w:divBdr>
            <w:top w:val="none" w:sz="0" w:space="0" w:color="auto"/>
            <w:left w:val="none" w:sz="0" w:space="0" w:color="auto"/>
            <w:bottom w:val="none" w:sz="0" w:space="0" w:color="auto"/>
            <w:right w:val="none" w:sz="0" w:space="0" w:color="auto"/>
          </w:divBdr>
          <w:divsChild>
            <w:div w:id="1891384719">
              <w:marLeft w:val="0"/>
              <w:marRight w:val="0"/>
              <w:marTop w:val="0"/>
              <w:marBottom w:val="0"/>
              <w:divBdr>
                <w:top w:val="none" w:sz="0" w:space="0" w:color="auto"/>
                <w:left w:val="none" w:sz="0" w:space="0" w:color="auto"/>
                <w:bottom w:val="none" w:sz="0" w:space="0" w:color="auto"/>
                <w:right w:val="none" w:sz="0" w:space="0" w:color="auto"/>
              </w:divBdr>
            </w:div>
          </w:divsChild>
        </w:div>
        <w:div w:id="638345396">
          <w:marLeft w:val="0"/>
          <w:marRight w:val="0"/>
          <w:marTop w:val="0"/>
          <w:marBottom w:val="0"/>
          <w:divBdr>
            <w:top w:val="none" w:sz="0" w:space="0" w:color="auto"/>
            <w:left w:val="none" w:sz="0" w:space="0" w:color="auto"/>
            <w:bottom w:val="none" w:sz="0" w:space="0" w:color="auto"/>
            <w:right w:val="none" w:sz="0" w:space="0" w:color="auto"/>
          </w:divBdr>
          <w:divsChild>
            <w:div w:id="1363823782">
              <w:marLeft w:val="0"/>
              <w:marRight w:val="0"/>
              <w:marTop w:val="0"/>
              <w:marBottom w:val="0"/>
              <w:divBdr>
                <w:top w:val="none" w:sz="0" w:space="0" w:color="auto"/>
                <w:left w:val="none" w:sz="0" w:space="0" w:color="auto"/>
                <w:bottom w:val="none" w:sz="0" w:space="0" w:color="auto"/>
                <w:right w:val="none" w:sz="0" w:space="0" w:color="auto"/>
              </w:divBdr>
            </w:div>
          </w:divsChild>
        </w:div>
        <w:div w:id="641233956">
          <w:marLeft w:val="0"/>
          <w:marRight w:val="0"/>
          <w:marTop w:val="0"/>
          <w:marBottom w:val="0"/>
          <w:divBdr>
            <w:top w:val="none" w:sz="0" w:space="0" w:color="auto"/>
            <w:left w:val="none" w:sz="0" w:space="0" w:color="auto"/>
            <w:bottom w:val="none" w:sz="0" w:space="0" w:color="auto"/>
            <w:right w:val="none" w:sz="0" w:space="0" w:color="auto"/>
          </w:divBdr>
          <w:divsChild>
            <w:div w:id="1480263171">
              <w:marLeft w:val="0"/>
              <w:marRight w:val="0"/>
              <w:marTop w:val="0"/>
              <w:marBottom w:val="0"/>
              <w:divBdr>
                <w:top w:val="none" w:sz="0" w:space="0" w:color="auto"/>
                <w:left w:val="none" w:sz="0" w:space="0" w:color="auto"/>
                <w:bottom w:val="none" w:sz="0" w:space="0" w:color="auto"/>
                <w:right w:val="none" w:sz="0" w:space="0" w:color="auto"/>
              </w:divBdr>
            </w:div>
          </w:divsChild>
        </w:div>
        <w:div w:id="643437773">
          <w:marLeft w:val="0"/>
          <w:marRight w:val="0"/>
          <w:marTop w:val="0"/>
          <w:marBottom w:val="0"/>
          <w:divBdr>
            <w:top w:val="none" w:sz="0" w:space="0" w:color="auto"/>
            <w:left w:val="none" w:sz="0" w:space="0" w:color="auto"/>
            <w:bottom w:val="none" w:sz="0" w:space="0" w:color="auto"/>
            <w:right w:val="none" w:sz="0" w:space="0" w:color="auto"/>
          </w:divBdr>
          <w:divsChild>
            <w:div w:id="1278022982">
              <w:marLeft w:val="0"/>
              <w:marRight w:val="0"/>
              <w:marTop w:val="0"/>
              <w:marBottom w:val="0"/>
              <w:divBdr>
                <w:top w:val="none" w:sz="0" w:space="0" w:color="auto"/>
                <w:left w:val="none" w:sz="0" w:space="0" w:color="auto"/>
                <w:bottom w:val="none" w:sz="0" w:space="0" w:color="auto"/>
                <w:right w:val="none" w:sz="0" w:space="0" w:color="auto"/>
              </w:divBdr>
            </w:div>
          </w:divsChild>
        </w:div>
        <w:div w:id="647781360">
          <w:marLeft w:val="0"/>
          <w:marRight w:val="0"/>
          <w:marTop w:val="0"/>
          <w:marBottom w:val="0"/>
          <w:divBdr>
            <w:top w:val="none" w:sz="0" w:space="0" w:color="auto"/>
            <w:left w:val="none" w:sz="0" w:space="0" w:color="auto"/>
            <w:bottom w:val="none" w:sz="0" w:space="0" w:color="auto"/>
            <w:right w:val="none" w:sz="0" w:space="0" w:color="auto"/>
          </w:divBdr>
          <w:divsChild>
            <w:div w:id="761729163">
              <w:marLeft w:val="0"/>
              <w:marRight w:val="0"/>
              <w:marTop w:val="0"/>
              <w:marBottom w:val="0"/>
              <w:divBdr>
                <w:top w:val="none" w:sz="0" w:space="0" w:color="auto"/>
                <w:left w:val="none" w:sz="0" w:space="0" w:color="auto"/>
                <w:bottom w:val="none" w:sz="0" w:space="0" w:color="auto"/>
                <w:right w:val="none" w:sz="0" w:space="0" w:color="auto"/>
              </w:divBdr>
            </w:div>
          </w:divsChild>
        </w:div>
        <w:div w:id="654185789">
          <w:marLeft w:val="0"/>
          <w:marRight w:val="0"/>
          <w:marTop w:val="0"/>
          <w:marBottom w:val="0"/>
          <w:divBdr>
            <w:top w:val="none" w:sz="0" w:space="0" w:color="auto"/>
            <w:left w:val="none" w:sz="0" w:space="0" w:color="auto"/>
            <w:bottom w:val="none" w:sz="0" w:space="0" w:color="auto"/>
            <w:right w:val="none" w:sz="0" w:space="0" w:color="auto"/>
          </w:divBdr>
          <w:divsChild>
            <w:div w:id="891624211">
              <w:marLeft w:val="0"/>
              <w:marRight w:val="0"/>
              <w:marTop w:val="0"/>
              <w:marBottom w:val="0"/>
              <w:divBdr>
                <w:top w:val="none" w:sz="0" w:space="0" w:color="auto"/>
                <w:left w:val="none" w:sz="0" w:space="0" w:color="auto"/>
                <w:bottom w:val="none" w:sz="0" w:space="0" w:color="auto"/>
                <w:right w:val="none" w:sz="0" w:space="0" w:color="auto"/>
              </w:divBdr>
            </w:div>
          </w:divsChild>
        </w:div>
        <w:div w:id="665791112">
          <w:marLeft w:val="0"/>
          <w:marRight w:val="0"/>
          <w:marTop w:val="0"/>
          <w:marBottom w:val="0"/>
          <w:divBdr>
            <w:top w:val="none" w:sz="0" w:space="0" w:color="auto"/>
            <w:left w:val="none" w:sz="0" w:space="0" w:color="auto"/>
            <w:bottom w:val="none" w:sz="0" w:space="0" w:color="auto"/>
            <w:right w:val="none" w:sz="0" w:space="0" w:color="auto"/>
          </w:divBdr>
          <w:divsChild>
            <w:div w:id="1149980462">
              <w:marLeft w:val="0"/>
              <w:marRight w:val="0"/>
              <w:marTop w:val="0"/>
              <w:marBottom w:val="0"/>
              <w:divBdr>
                <w:top w:val="none" w:sz="0" w:space="0" w:color="auto"/>
                <w:left w:val="none" w:sz="0" w:space="0" w:color="auto"/>
                <w:bottom w:val="none" w:sz="0" w:space="0" w:color="auto"/>
                <w:right w:val="none" w:sz="0" w:space="0" w:color="auto"/>
              </w:divBdr>
            </w:div>
          </w:divsChild>
        </w:div>
        <w:div w:id="667170759">
          <w:marLeft w:val="0"/>
          <w:marRight w:val="0"/>
          <w:marTop w:val="0"/>
          <w:marBottom w:val="0"/>
          <w:divBdr>
            <w:top w:val="none" w:sz="0" w:space="0" w:color="auto"/>
            <w:left w:val="none" w:sz="0" w:space="0" w:color="auto"/>
            <w:bottom w:val="none" w:sz="0" w:space="0" w:color="auto"/>
            <w:right w:val="none" w:sz="0" w:space="0" w:color="auto"/>
          </w:divBdr>
          <w:divsChild>
            <w:div w:id="1212813748">
              <w:marLeft w:val="0"/>
              <w:marRight w:val="0"/>
              <w:marTop w:val="0"/>
              <w:marBottom w:val="0"/>
              <w:divBdr>
                <w:top w:val="none" w:sz="0" w:space="0" w:color="auto"/>
                <w:left w:val="none" w:sz="0" w:space="0" w:color="auto"/>
                <w:bottom w:val="none" w:sz="0" w:space="0" w:color="auto"/>
                <w:right w:val="none" w:sz="0" w:space="0" w:color="auto"/>
              </w:divBdr>
            </w:div>
          </w:divsChild>
        </w:div>
        <w:div w:id="669480297">
          <w:marLeft w:val="0"/>
          <w:marRight w:val="0"/>
          <w:marTop w:val="0"/>
          <w:marBottom w:val="0"/>
          <w:divBdr>
            <w:top w:val="none" w:sz="0" w:space="0" w:color="auto"/>
            <w:left w:val="none" w:sz="0" w:space="0" w:color="auto"/>
            <w:bottom w:val="none" w:sz="0" w:space="0" w:color="auto"/>
            <w:right w:val="none" w:sz="0" w:space="0" w:color="auto"/>
          </w:divBdr>
          <w:divsChild>
            <w:div w:id="1828859925">
              <w:marLeft w:val="0"/>
              <w:marRight w:val="0"/>
              <w:marTop w:val="0"/>
              <w:marBottom w:val="0"/>
              <w:divBdr>
                <w:top w:val="none" w:sz="0" w:space="0" w:color="auto"/>
                <w:left w:val="none" w:sz="0" w:space="0" w:color="auto"/>
                <w:bottom w:val="none" w:sz="0" w:space="0" w:color="auto"/>
                <w:right w:val="none" w:sz="0" w:space="0" w:color="auto"/>
              </w:divBdr>
            </w:div>
          </w:divsChild>
        </w:div>
        <w:div w:id="669868731">
          <w:marLeft w:val="0"/>
          <w:marRight w:val="0"/>
          <w:marTop w:val="0"/>
          <w:marBottom w:val="0"/>
          <w:divBdr>
            <w:top w:val="none" w:sz="0" w:space="0" w:color="auto"/>
            <w:left w:val="none" w:sz="0" w:space="0" w:color="auto"/>
            <w:bottom w:val="none" w:sz="0" w:space="0" w:color="auto"/>
            <w:right w:val="none" w:sz="0" w:space="0" w:color="auto"/>
          </w:divBdr>
          <w:divsChild>
            <w:div w:id="1518618557">
              <w:marLeft w:val="0"/>
              <w:marRight w:val="0"/>
              <w:marTop w:val="0"/>
              <w:marBottom w:val="0"/>
              <w:divBdr>
                <w:top w:val="none" w:sz="0" w:space="0" w:color="auto"/>
                <w:left w:val="none" w:sz="0" w:space="0" w:color="auto"/>
                <w:bottom w:val="none" w:sz="0" w:space="0" w:color="auto"/>
                <w:right w:val="none" w:sz="0" w:space="0" w:color="auto"/>
              </w:divBdr>
            </w:div>
          </w:divsChild>
        </w:div>
        <w:div w:id="704603706">
          <w:marLeft w:val="0"/>
          <w:marRight w:val="0"/>
          <w:marTop w:val="0"/>
          <w:marBottom w:val="0"/>
          <w:divBdr>
            <w:top w:val="none" w:sz="0" w:space="0" w:color="auto"/>
            <w:left w:val="none" w:sz="0" w:space="0" w:color="auto"/>
            <w:bottom w:val="none" w:sz="0" w:space="0" w:color="auto"/>
            <w:right w:val="none" w:sz="0" w:space="0" w:color="auto"/>
          </w:divBdr>
          <w:divsChild>
            <w:div w:id="895969475">
              <w:marLeft w:val="0"/>
              <w:marRight w:val="0"/>
              <w:marTop w:val="0"/>
              <w:marBottom w:val="0"/>
              <w:divBdr>
                <w:top w:val="none" w:sz="0" w:space="0" w:color="auto"/>
                <w:left w:val="none" w:sz="0" w:space="0" w:color="auto"/>
                <w:bottom w:val="none" w:sz="0" w:space="0" w:color="auto"/>
                <w:right w:val="none" w:sz="0" w:space="0" w:color="auto"/>
              </w:divBdr>
            </w:div>
          </w:divsChild>
        </w:div>
        <w:div w:id="704794662">
          <w:marLeft w:val="0"/>
          <w:marRight w:val="0"/>
          <w:marTop w:val="0"/>
          <w:marBottom w:val="0"/>
          <w:divBdr>
            <w:top w:val="none" w:sz="0" w:space="0" w:color="auto"/>
            <w:left w:val="none" w:sz="0" w:space="0" w:color="auto"/>
            <w:bottom w:val="none" w:sz="0" w:space="0" w:color="auto"/>
            <w:right w:val="none" w:sz="0" w:space="0" w:color="auto"/>
          </w:divBdr>
          <w:divsChild>
            <w:div w:id="1695884692">
              <w:marLeft w:val="0"/>
              <w:marRight w:val="0"/>
              <w:marTop w:val="0"/>
              <w:marBottom w:val="0"/>
              <w:divBdr>
                <w:top w:val="none" w:sz="0" w:space="0" w:color="auto"/>
                <w:left w:val="none" w:sz="0" w:space="0" w:color="auto"/>
                <w:bottom w:val="none" w:sz="0" w:space="0" w:color="auto"/>
                <w:right w:val="none" w:sz="0" w:space="0" w:color="auto"/>
              </w:divBdr>
            </w:div>
          </w:divsChild>
        </w:div>
        <w:div w:id="708068737">
          <w:marLeft w:val="0"/>
          <w:marRight w:val="0"/>
          <w:marTop w:val="0"/>
          <w:marBottom w:val="0"/>
          <w:divBdr>
            <w:top w:val="none" w:sz="0" w:space="0" w:color="auto"/>
            <w:left w:val="none" w:sz="0" w:space="0" w:color="auto"/>
            <w:bottom w:val="none" w:sz="0" w:space="0" w:color="auto"/>
            <w:right w:val="none" w:sz="0" w:space="0" w:color="auto"/>
          </w:divBdr>
          <w:divsChild>
            <w:div w:id="1452672388">
              <w:marLeft w:val="0"/>
              <w:marRight w:val="0"/>
              <w:marTop w:val="0"/>
              <w:marBottom w:val="0"/>
              <w:divBdr>
                <w:top w:val="none" w:sz="0" w:space="0" w:color="auto"/>
                <w:left w:val="none" w:sz="0" w:space="0" w:color="auto"/>
                <w:bottom w:val="none" w:sz="0" w:space="0" w:color="auto"/>
                <w:right w:val="none" w:sz="0" w:space="0" w:color="auto"/>
              </w:divBdr>
            </w:div>
          </w:divsChild>
        </w:div>
        <w:div w:id="715856153">
          <w:marLeft w:val="0"/>
          <w:marRight w:val="0"/>
          <w:marTop w:val="0"/>
          <w:marBottom w:val="0"/>
          <w:divBdr>
            <w:top w:val="none" w:sz="0" w:space="0" w:color="auto"/>
            <w:left w:val="none" w:sz="0" w:space="0" w:color="auto"/>
            <w:bottom w:val="none" w:sz="0" w:space="0" w:color="auto"/>
            <w:right w:val="none" w:sz="0" w:space="0" w:color="auto"/>
          </w:divBdr>
          <w:divsChild>
            <w:div w:id="1546915231">
              <w:marLeft w:val="0"/>
              <w:marRight w:val="0"/>
              <w:marTop w:val="0"/>
              <w:marBottom w:val="0"/>
              <w:divBdr>
                <w:top w:val="none" w:sz="0" w:space="0" w:color="auto"/>
                <w:left w:val="none" w:sz="0" w:space="0" w:color="auto"/>
                <w:bottom w:val="none" w:sz="0" w:space="0" w:color="auto"/>
                <w:right w:val="none" w:sz="0" w:space="0" w:color="auto"/>
              </w:divBdr>
            </w:div>
          </w:divsChild>
        </w:div>
        <w:div w:id="716052248">
          <w:marLeft w:val="0"/>
          <w:marRight w:val="0"/>
          <w:marTop w:val="0"/>
          <w:marBottom w:val="0"/>
          <w:divBdr>
            <w:top w:val="none" w:sz="0" w:space="0" w:color="auto"/>
            <w:left w:val="none" w:sz="0" w:space="0" w:color="auto"/>
            <w:bottom w:val="none" w:sz="0" w:space="0" w:color="auto"/>
            <w:right w:val="none" w:sz="0" w:space="0" w:color="auto"/>
          </w:divBdr>
          <w:divsChild>
            <w:div w:id="1649821976">
              <w:marLeft w:val="0"/>
              <w:marRight w:val="0"/>
              <w:marTop w:val="0"/>
              <w:marBottom w:val="0"/>
              <w:divBdr>
                <w:top w:val="none" w:sz="0" w:space="0" w:color="auto"/>
                <w:left w:val="none" w:sz="0" w:space="0" w:color="auto"/>
                <w:bottom w:val="none" w:sz="0" w:space="0" w:color="auto"/>
                <w:right w:val="none" w:sz="0" w:space="0" w:color="auto"/>
              </w:divBdr>
            </w:div>
          </w:divsChild>
        </w:div>
        <w:div w:id="717433132">
          <w:marLeft w:val="0"/>
          <w:marRight w:val="0"/>
          <w:marTop w:val="0"/>
          <w:marBottom w:val="0"/>
          <w:divBdr>
            <w:top w:val="none" w:sz="0" w:space="0" w:color="auto"/>
            <w:left w:val="none" w:sz="0" w:space="0" w:color="auto"/>
            <w:bottom w:val="none" w:sz="0" w:space="0" w:color="auto"/>
            <w:right w:val="none" w:sz="0" w:space="0" w:color="auto"/>
          </w:divBdr>
          <w:divsChild>
            <w:div w:id="577642012">
              <w:marLeft w:val="0"/>
              <w:marRight w:val="0"/>
              <w:marTop w:val="0"/>
              <w:marBottom w:val="0"/>
              <w:divBdr>
                <w:top w:val="none" w:sz="0" w:space="0" w:color="auto"/>
                <w:left w:val="none" w:sz="0" w:space="0" w:color="auto"/>
                <w:bottom w:val="none" w:sz="0" w:space="0" w:color="auto"/>
                <w:right w:val="none" w:sz="0" w:space="0" w:color="auto"/>
              </w:divBdr>
            </w:div>
          </w:divsChild>
        </w:div>
        <w:div w:id="718364661">
          <w:marLeft w:val="0"/>
          <w:marRight w:val="0"/>
          <w:marTop w:val="0"/>
          <w:marBottom w:val="0"/>
          <w:divBdr>
            <w:top w:val="none" w:sz="0" w:space="0" w:color="auto"/>
            <w:left w:val="none" w:sz="0" w:space="0" w:color="auto"/>
            <w:bottom w:val="none" w:sz="0" w:space="0" w:color="auto"/>
            <w:right w:val="none" w:sz="0" w:space="0" w:color="auto"/>
          </w:divBdr>
          <w:divsChild>
            <w:div w:id="25182947">
              <w:marLeft w:val="0"/>
              <w:marRight w:val="0"/>
              <w:marTop w:val="0"/>
              <w:marBottom w:val="0"/>
              <w:divBdr>
                <w:top w:val="none" w:sz="0" w:space="0" w:color="auto"/>
                <w:left w:val="none" w:sz="0" w:space="0" w:color="auto"/>
                <w:bottom w:val="none" w:sz="0" w:space="0" w:color="auto"/>
                <w:right w:val="none" w:sz="0" w:space="0" w:color="auto"/>
              </w:divBdr>
            </w:div>
          </w:divsChild>
        </w:div>
        <w:div w:id="727000585">
          <w:marLeft w:val="0"/>
          <w:marRight w:val="0"/>
          <w:marTop w:val="0"/>
          <w:marBottom w:val="0"/>
          <w:divBdr>
            <w:top w:val="none" w:sz="0" w:space="0" w:color="auto"/>
            <w:left w:val="none" w:sz="0" w:space="0" w:color="auto"/>
            <w:bottom w:val="none" w:sz="0" w:space="0" w:color="auto"/>
            <w:right w:val="none" w:sz="0" w:space="0" w:color="auto"/>
          </w:divBdr>
          <w:divsChild>
            <w:div w:id="1400403434">
              <w:marLeft w:val="0"/>
              <w:marRight w:val="0"/>
              <w:marTop w:val="0"/>
              <w:marBottom w:val="0"/>
              <w:divBdr>
                <w:top w:val="none" w:sz="0" w:space="0" w:color="auto"/>
                <w:left w:val="none" w:sz="0" w:space="0" w:color="auto"/>
                <w:bottom w:val="none" w:sz="0" w:space="0" w:color="auto"/>
                <w:right w:val="none" w:sz="0" w:space="0" w:color="auto"/>
              </w:divBdr>
            </w:div>
          </w:divsChild>
        </w:div>
        <w:div w:id="727191395">
          <w:marLeft w:val="0"/>
          <w:marRight w:val="0"/>
          <w:marTop w:val="0"/>
          <w:marBottom w:val="0"/>
          <w:divBdr>
            <w:top w:val="none" w:sz="0" w:space="0" w:color="auto"/>
            <w:left w:val="none" w:sz="0" w:space="0" w:color="auto"/>
            <w:bottom w:val="none" w:sz="0" w:space="0" w:color="auto"/>
            <w:right w:val="none" w:sz="0" w:space="0" w:color="auto"/>
          </w:divBdr>
          <w:divsChild>
            <w:div w:id="1970090259">
              <w:marLeft w:val="0"/>
              <w:marRight w:val="0"/>
              <w:marTop w:val="0"/>
              <w:marBottom w:val="0"/>
              <w:divBdr>
                <w:top w:val="none" w:sz="0" w:space="0" w:color="auto"/>
                <w:left w:val="none" w:sz="0" w:space="0" w:color="auto"/>
                <w:bottom w:val="none" w:sz="0" w:space="0" w:color="auto"/>
                <w:right w:val="none" w:sz="0" w:space="0" w:color="auto"/>
              </w:divBdr>
            </w:div>
          </w:divsChild>
        </w:div>
        <w:div w:id="741370682">
          <w:marLeft w:val="0"/>
          <w:marRight w:val="0"/>
          <w:marTop w:val="0"/>
          <w:marBottom w:val="0"/>
          <w:divBdr>
            <w:top w:val="none" w:sz="0" w:space="0" w:color="auto"/>
            <w:left w:val="none" w:sz="0" w:space="0" w:color="auto"/>
            <w:bottom w:val="none" w:sz="0" w:space="0" w:color="auto"/>
            <w:right w:val="none" w:sz="0" w:space="0" w:color="auto"/>
          </w:divBdr>
          <w:divsChild>
            <w:div w:id="1470634133">
              <w:marLeft w:val="0"/>
              <w:marRight w:val="0"/>
              <w:marTop w:val="0"/>
              <w:marBottom w:val="0"/>
              <w:divBdr>
                <w:top w:val="none" w:sz="0" w:space="0" w:color="auto"/>
                <w:left w:val="none" w:sz="0" w:space="0" w:color="auto"/>
                <w:bottom w:val="none" w:sz="0" w:space="0" w:color="auto"/>
                <w:right w:val="none" w:sz="0" w:space="0" w:color="auto"/>
              </w:divBdr>
            </w:div>
          </w:divsChild>
        </w:div>
        <w:div w:id="742609277">
          <w:marLeft w:val="0"/>
          <w:marRight w:val="0"/>
          <w:marTop w:val="0"/>
          <w:marBottom w:val="0"/>
          <w:divBdr>
            <w:top w:val="none" w:sz="0" w:space="0" w:color="auto"/>
            <w:left w:val="none" w:sz="0" w:space="0" w:color="auto"/>
            <w:bottom w:val="none" w:sz="0" w:space="0" w:color="auto"/>
            <w:right w:val="none" w:sz="0" w:space="0" w:color="auto"/>
          </w:divBdr>
          <w:divsChild>
            <w:div w:id="13113243">
              <w:marLeft w:val="0"/>
              <w:marRight w:val="0"/>
              <w:marTop w:val="0"/>
              <w:marBottom w:val="0"/>
              <w:divBdr>
                <w:top w:val="none" w:sz="0" w:space="0" w:color="auto"/>
                <w:left w:val="none" w:sz="0" w:space="0" w:color="auto"/>
                <w:bottom w:val="none" w:sz="0" w:space="0" w:color="auto"/>
                <w:right w:val="none" w:sz="0" w:space="0" w:color="auto"/>
              </w:divBdr>
            </w:div>
          </w:divsChild>
        </w:div>
        <w:div w:id="751239564">
          <w:marLeft w:val="0"/>
          <w:marRight w:val="0"/>
          <w:marTop w:val="0"/>
          <w:marBottom w:val="0"/>
          <w:divBdr>
            <w:top w:val="none" w:sz="0" w:space="0" w:color="auto"/>
            <w:left w:val="none" w:sz="0" w:space="0" w:color="auto"/>
            <w:bottom w:val="none" w:sz="0" w:space="0" w:color="auto"/>
            <w:right w:val="none" w:sz="0" w:space="0" w:color="auto"/>
          </w:divBdr>
          <w:divsChild>
            <w:div w:id="251663379">
              <w:marLeft w:val="0"/>
              <w:marRight w:val="0"/>
              <w:marTop w:val="0"/>
              <w:marBottom w:val="0"/>
              <w:divBdr>
                <w:top w:val="none" w:sz="0" w:space="0" w:color="auto"/>
                <w:left w:val="none" w:sz="0" w:space="0" w:color="auto"/>
                <w:bottom w:val="none" w:sz="0" w:space="0" w:color="auto"/>
                <w:right w:val="none" w:sz="0" w:space="0" w:color="auto"/>
              </w:divBdr>
            </w:div>
          </w:divsChild>
        </w:div>
        <w:div w:id="763647856">
          <w:marLeft w:val="0"/>
          <w:marRight w:val="0"/>
          <w:marTop w:val="0"/>
          <w:marBottom w:val="0"/>
          <w:divBdr>
            <w:top w:val="none" w:sz="0" w:space="0" w:color="auto"/>
            <w:left w:val="none" w:sz="0" w:space="0" w:color="auto"/>
            <w:bottom w:val="none" w:sz="0" w:space="0" w:color="auto"/>
            <w:right w:val="none" w:sz="0" w:space="0" w:color="auto"/>
          </w:divBdr>
          <w:divsChild>
            <w:div w:id="366375548">
              <w:marLeft w:val="0"/>
              <w:marRight w:val="0"/>
              <w:marTop w:val="0"/>
              <w:marBottom w:val="0"/>
              <w:divBdr>
                <w:top w:val="none" w:sz="0" w:space="0" w:color="auto"/>
                <w:left w:val="none" w:sz="0" w:space="0" w:color="auto"/>
                <w:bottom w:val="none" w:sz="0" w:space="0" w:color="auto"/>
                <w:right w:val="none" w:sz="0" w:space="0" w:color="auto"/>
              </w:divBdr>
            </w:div>
          </w:divsChild>
        </w:div>
        <w:div w:id="765348812">
          <w:marLeft w:val="0"/>
          <w:marRight w:val="0"/>
          <w:marTop w:val="0"/>
          <w:marBottom w:val="0"/>
          <w:divBdr>
            <w:top w:val="none" w:sz="0" w:space="0" w:color="auto"/>
            <w:left w:val="none" w:sz="0" w:space="0" w:color="auto"/>
            <w:bottom w:val="none" w:sz="0" w:space="0" w:color="auto"/>
            <w:right w:val="none" w:sz="0" w:space="0" w:color="auto"/>
          </w:divBdr>
          <w:divsChild>
            <w:div w:id="862551227">
              <w:marLeft w:val="0"/>
              <w:marRight w:val="0"/>
              <w:marTop w:val="0"/>
              <w:marBottom w:val="0"/>
              <w:divBdr>
                <w:top w:val="none" w:sz="0" w:space="0" w:color="auto"/>
                <w:left w:val="none" w:sz="0" w:space="0" w:color="auto"/>
                <w:bottom w:val="none" w:sz="0" w:space="0" w:color="auto"/>
                <w:right w:val="none" w:sz="0" w:space="0" w:color="auto"/>
              </w:divBdr>
            </w:div>
          </w:divsChild>
        </w:div>
        <w:div w:id="766582452">
          <w:marLeft w:val="0"/>
          <w:marRight w:val="0"/>
          <w:marTop w:val="0"/>
          <w:marBottom w:val="0"/>
          <w:divBdr>
            <w:top w:val="none" w:sz="0" w:space="0" w:color="auto"/>
            <w:left w:val="none" w:sz="0" w:space="0" w:color="auto"/>
            <w:bottom w:val="none" w:sz="0" w:space="0" w:color="auto"/>
            <w:right w:val="none" w:sz="0" w:space="0" w:color="auto"/>
          </w:divBdr>
          <w:divsChild>
            <w:div w:id="2105032252">
              <w:marLeft w:val="0"/>
              <w:marRight w:val="0"/>
              <w:marTop w:val="0"/>
              <w:marBottom w:val="0"/>
              <w:divBdr>
                <w:top w:val="none" w:sz="0" w:space="0" w:color="auto"/>
                <w:left w:val="none" w:sz="0" w:space="0" w:color="auto"/>
                <w:bottom w:val="none" w:sz="0" w:space="0" w:color="auto"/>
                <w:right w:val="none" w:sz="0" w:space="0" w:color="auto"/>
              </w:divBdr>
            </w:div>
          </w:divsChild>
        </w:div>
        <w:div w:id="769935692">
          <w:marLeft w:val="0"/>
          <w:marRight w:val="0"/>
          <w:marTop w:val="0"/>
          <w:marBottom w:val="0"/>
          <w:divBdr>
            <w:top w:val="none" w:sz="0" w:space="0" w:color="auto"/>
            <w:left w:val="none" w:sz="0" w:space="0" w:color="auto"/>
            <w:bottom w:val="none" w:sz="0" w:space="0" w:color="auto"/>
            <w:right w:val="none" w:sz="0" w:space="0" w:color="auto"/>
          </w:divBdr>
          <w:divsChild>
            <w:div w:id="1140029927">
              <w:marLeft w:val="0"/>
              <w:marRight w:val="0"/>
              <w:marTop w:val="0"/>
              <w:marBottom w:val="0"/>
              <w:divBdr>
                <w:top w:val="none" w:sz="0" w:space="0" w:color="auto"/>
                <w:left w:val="none" w:sz="0" w:space="0" w:color="auto"/>
                <w:bottom w:val="none" w:sz="0" w:space="0" w:color="auto"/>
                <w:right w:val="none" w:sz="0" w:space="0" w:color="auto"/>
              </w:divBdr>
            </w:div>
          </w:divsChild>
        </w:div>
        <w:div w:id="773787615">
          <w:marLeft w:val="0"/>
          <w:marRight w:val="0"/>
          <w:marTop w:val="0"/>
          <w:marBottom w:val="0"/>
          <w:divBdr>
            <w:top w:val="none" w:sz="0" w:space="0" w:color="auto"/>
            <w:left w:val="none" w:sz="0" w:space="0" w:color="auto"/>
            <w:bottom w:val="none" w:sz="0" w:space="0" w:color="auto"/>
            <w:right w:val="none" w:sz="0" w:space="0" w:color="auto"/>
          </w:divBdr>
          <w:divsChild>
            <w:div w:id="1426882463">
              <w:marLeft w:val="0"/>
              <w:marRight w:val="0"/>
              <w:marTop w:val="0"/>
              <w:marBottom w:val="0"/>
              <w:divBdr>
                <w:top w:val="none" w:sz="0" w:space="0" w:color="auto"/>
                <w:left w:val="none" w:sz="0" w:space="0" w:color="auto"/>
                <w:bottom w:val="none" w:sz="0" w:space="0" w:color="auto"/>
                <w:right w:val="none" w:sz="0" w:space="0" w:color="auto"/>
              </w:divBdr>
            </w:div>
          </w:divsChild>
        </w:div>
        <w:div w:id="779570099">
          <w:marLeft w:val="0"/>
          <w:marRight w:val="0"/>
          <w:marTop w:val="0"/>
          <w:marBottom w:val="0"/>
          <w:divBdr>
            <w:top w:val="none" w:sz="0" w:space="0" w:color="auto"/>
            <w:left w:val="none" w:sz="0" w:space="0" w:color="auto"/>
            <w:bottom w:val="none" w:sz="0" w:space="0" w:color="auto"/>
            <w:right w:val="none" w:sz="0" w:space="0" w:color="auto"/>
          </w:divBdr>
          <w:divsChild>
            <w:div w:id="1204295012">
              <w:marLeft w:val="0"/>
              <w:marRight w:val="0"/>
              <w:marTop w:val="0"/>
              <w:marBottom w:val="0"/>
              <w:divBdr>
                <w:top w:val="none" w:sz="0" w:space="0" w:color="auto"/>
                <w:left w:val="none" w:sz="0" w:space="0" w:color="auto"/>
                <w:bottom w:val="none" w:sz="0" w:space="0" w:color="auto"/>
                <w:right w:val="none" w:sz="0" w:space="0" w:color="auto"/>
              </w:divBdr>
            </w:div>
          </w:divsChild>
        </w:div>
        <w:div w:id="785345302">
          <w:marLeft w:val="0"/>
          <w:marRight w:val="0"/>
          <w:marTop w:val="0"/>
          <w:marBottom w:val="0"/>
          <w:divBdr>
            <w:top w:val="none" w:sz="0" w:space="0" w:color="auto"/>
            <w:left w:val="none" w:sz="0" w:space="0" w:color="auto"/>
            <w:bottom w:val="none" w:sz="0" w:space="0" w:color="auto"/>
            <w:right w:val="none" w:sz="0" w:space="0" w:color="auto"/>
          </w:divBdr>
          <w:divsChild>
            <w:div w:id="973482145">
              <w:marLeft w:val="0"/>
              <w:marRight w:val="0"/>
              <w:marTop w:val="0"/>
              <w:marBottom w:val="0"/>
              <w:divBdr>
                <w:top w:val="none" w:sz="0" w:space="0" w:color="auto"/>
                <w:left w:val="none" w:sz="0" w:space="0" w:color="auto"/>
                <w:bottom w:val="none" w:sz="0" w:space="0" w:color="auto"/>
                <w:right w:val="none" w:sz="0" w:space="0" w:color="auto"/>
              </w:divBdr>
            </w:div>
          </w:divsChild>
        </w:div>
        <w:div w:id="786310712">
          <w:marLeft w:val="0"/>
          <w:marRight w:val="0"/>
          <w:marTop w:val="0"/>
          <w:marBottom w:val="0"/>
          <w:divBdr>
            <w:top w:val="none" w:sz="0" w:space="0" w:color="auto"/>
            <w:left w:val="none" w:sz="0" w:space="0" w:color="auto"/>
            <w:bottom w:val="none" w:sz="0" w:space="0" w:color="auto"/>
            <w:right w:val="none" w:sz="0" w:space="0" w:color="auto"/>
          </w:divBdr>
          <w:divsChild>
            <w:div w:id="851921072">
              <w:marLeft w:val="0"/>
              <w:marRight w:val="0"/>
              <w:marTop w:val="0"/>
              <w:marBottom w:val="0"/>
              <w:divBdr>
                <w:top w:val="none" w:sz="0" w:space="0" w:color="auto"/>
                <w:left w:val="none" w:sz="0" w:space="0" w:color="auto"/>
                <w:bottom w:val="none" w:sz="0" w:space="0" w:color="auto"/>
                <w:right w:val="none" w:sz="0" w:space="0" w:color="auto"/>
              </w:divBdr>
            </w:div>
          </w:divsChild>
        </w:div>
        <w:div w:id="793409895">
          <w:marLeft w:val="0"/>
          <w:marRight w:val="0"/>
          <w:marTop w:val="0"/>
          <w:marBottom w:val="0"/>
          <w:divBdr>
            <w:top w:val="none" w:sz="0" w:space="0" w:color="auto"/>
            <w:left w:val="none" w:sz="0" w:space="0" w:color="auto"/>
            <w:bottom w:val="none" w:sz="0" w:space="0" w:color="auto"/>
            <w:right w:val="none" w:sz="0" w:space="0" w:color="auto"/>
          </w:divBdr>
          <w:divsChild>
            <w:div w:id="184446014">
              <w:marLeft w:val="0"/>
              <w:marRight w:val="0"/>
              <w:marTop w:val="0"/>
              <w:marBottom w:val="0"/>
              <w:divBdr>
                <w:top w:val="none" w:sz="0" w:space="0" w:color="auto"/>
                <w:left w:val="none" w:sz="0" w:space="0" w:color="auto"/>
                <w:bottom w:val="none" w:sz="0" w:space="0" w:color="auto"/>
                <w:right w:val="none" w:sz="0" w:space="0" w:color="auto"/>
              </w:divBdr>
            </w:div>
          </w:divsChild>
        </w:div>
        <w:div w:id="797140567">
          <w:marLeft w:val="0"/>
          <w:marRight w:val="0"/>
          <w:marTop w:val="0"/>
          <w:marBottom w:val="0"/>
          <w:divBdr>
            <w:top w:val="none" w:sz="0" w:space="0" w:color="auto"/>
            <w:left w:val="none" w:sz="0" w:space="0" w:color="auto"/>
            <w:bottom w:val="none" w:sz="0" w:space="0" w:color="auto"/>
            <w:right w:val="none" w:sz="0" w:space="0" w:color="auto"/>
          </w:divBdr>
          <w:divsChild>
            <w:div w:id="2048722198">
              <w:marLeft w:val="0"/>
              <w:marRight w:val="0"/>
              <w:marTop w:val="0"/>
              <w:marBottom w:val="0"/>
              <w:divBdr>
                <w:top w:val="none" w:sz="0" w:space="0" w:color="auto"/>
                <w:left w:val="none" w:sz="0" w:space="0" w:color="auto"/>
                <w:bottom w:val="none" w:sz="0" w:space="0" w:color="auto"/>
                <w:right w:val="none" w:sz="0" w:space="0" w:color="auto"/>
              </w:divBdr>
            </w:div>
          </w:divsChild>
        </w:div>
        <w:div w:id="799035239">
          <w:marLeft w:val="0"/>
          <w:marRight w:val="0"/>
          <w:marTop w:val="0"/>
          <w:marBottom w:val="0"/>
          <w:divBdr>
            <w:top w:val="none" w:sz="0" w:space="0" w:color="auto"/>
            <w:left w:val="none" w:sz="0" w:space="0" w:color="auto"/>
            <w:bottom w:val="none" w:sz="0" w:space="0" w:color="auto"/>
            <w:right w:val="none" w:sz="0" w:space="0" w:color="auto"/>
          </w:divBdr>
          <w:divsChild>
            <w:div w:id="147325183">
              <w:marLeft w:val="0"/>
              <w:marRight w:val="0"/>
              <w:marTop w:val="0"/>
              <w:marBottom w:val="0"/>
              <w:divBdr>
                <w:top w:val="none" w:sz="0" w:space="0" w:color="auto"/>
                <w:left w:val="none" w:sz="0" w:space="0" w:color="auto"/>
                <w:bottom w:val="none" w:sz="0" w:space="0" w:color="auto"/>
                <w:right w:val="none" w:sz="0" w:space="0" w:color="auto"/>
              </w:divBdr>
            </w:div>
          </w:divsChild>
        </w:div>
        <w:div w:id="810292079">
          <w:marLeft w:val="0"/>
          <w:marRight w:val="0"/>
          <w:marTop w:val="0"/>
          <w:marBottom w:val="0"/>
          <w:divBdr>
            <w:top w:val="none" w:sz="0" w:space="0" w:color="auto"/>
            <w:left w:val="none" w:sz="0" w:space="0" w:color="auto"/>
            <w:bottom w:val="none" w:sz="0" w:space="0" w:color="auto"/>
            <w:right w:val="none" w:sz="0" w:space="0" w:color="auto"/>
          </w:divBdr>
          <w:divsChild>
            <w:div w:id="908072522">
              <w:marLeft w:val="0"/>
              <w:marRight w:val="0"/>
              <w:marTop w:val="0"/>
              <w:marBottom w:val="0"/>
              <w:divBdr>
                <w:top w:val="none" w:sz="0" w:space="0" w:color="auto"/>
                <w:left w:val="none" w:sz="0" w:space="0" w:color="auto"/>
                <w:bottom w:val="none" w:sz="0" w:space="0" w:color="auto"/>
                <w:right w:val="none" w:sz="0" w:space="0" w:color="auto"/>
              </w:divBdr>
            </w:div>
          </w:divsChild>
        </w:div>
        <w:div w:id="831605639">
          <w:marLeft w:val="0"/>
          <w:marRight w:val="0"/>
          <w:marTop w:val="0"/>
          <w:marBottom w:val="0"/>
          <w:divBdr>
            <w:top w:val="none" w:sz="0" w:space="0" w:color="auto"/>
            <w:left w:val="none" w:sz="0" w:space="0" w:color="auto"/>
            <w:bottom w:val="none" w:sz="0" w:space="0" w:color="auto"/>
            <w:right w:val="none" w:sz="0" w:space="0" w:color="auto"/>
          </w:divBdr>
          <w:divsChild>
            <w:div w:id="149910257">
              <w:marLeft w:val="0"/>
              <w:marRight w:val="0"/>
              <w:marTop w:val="0"/>
              <w:marBottom w:val="0"/>
              <w:divBdr>
                <w:top w:val="none" w:sz="0" w:space="0" w:color="auto"/>
                <w:left w:val="none" w:sz="0" w:space="0" w:color="auto"/>
                <w:bottom w:val="none" w:sz="0" w:space="0" w:color="auto"/>
                <w:right w:val="none" w:sz="0" w:space="0" w:color="auto"/>
              </w:divBdr>
            </w:div>
          </w:divsChild>
        </w:div>
        <w:div w:id="847328704">
          <w:marLeft w:val="0"/>
          <w:marRight w:val="0"/>
          <w:marTop w:val="0"/>
          <w:marBottom w:val="0"/>
          <w:divBdr>
            <w:top w:val="none" w:sz="0" w:space="0" w:color="auto"/>
            <w:left w:val="none" w:sz="0" w:space="0" w:color="auto"/>
            <w:bottom w:val="none" w:sz="0" w:space="0" w:color="auto"/>
            <w:right w:val="none" w:sz="0" w:space="0" w:color="auto"/>
          </w:divBdr>
          <w:divsChild>
            <w:div w:id="1709182791">
              <w:marLeft w:val="0"/>
              <w:marRight w:val="0"/>
              <w:marTop w:val="0"/>
              <w:marBottom w:val="0"/>
              <w:divBdr>
                <w:top w:val="none" w:sz="0" w:space="0" w:color="auto"/>
                <w:left w:val="none" w:sz="0" w:space="0" w:color="auto"/>
                <w:bottom w:val="none" w:sz="0" w:space="0" w:color="auto"/>
                <w:right w:val="none" w:sz="0" w:space="0" w:color="auto"/>
              </w:divBdr>
            </w:div>
          </w:divsChild>
        </w:div>
        <w:div w:id="865867465">
          <w:marLeft w:val="0"/>
          <w:marRight w:val="0"/>
          <w:marTop w:val="0"/>
          <w:marBottom w:val="0"/>
          <w:divBdr>
            <w:top w:val="none" w:sz="0" w:space="0" w:color="auto"/>
            <w:left w:val="none" w:sz="0" w:space="0" w:color="auto"/>
            <w:bottom w:val="none" w:sz="0" w:space="0" w:color="auto"/>
            <w:right w:val="none" w:sz="0" w:space="0" w:color="auto"/>
          </w:divBdr>
          <w:divsChild>
            <w:div w:id="651058247">
              <w:marLeft w:val="0"/>
              <w:marRight w:val="0"/>
              <w:marTop w:val="0"/>
              <w:marBottom w:val="0"/>
              <w:divBdr>
                <w:top w:val="none" w:sz="0" w:space="0" w:color="auto"/>
                <w:left w:val="none" w:sz="0" w:space="0" w:color="auto"/>
                <w:bottom w:val="none" w:sz="0" w:space="0" w:color="auto"/>
                <w:right w:val="none" w:sz="0" w:space="0" w:color="auto"/>
              </w:divBdr>
            </w:div>
          </w:divsChild>
        </w:div>
        <w:div w:id="877814164">
          <w:marLeft w:val="0"/>
          <w:marRight w:val="0"/>
          <w:marTop w:val="0"/>
          <w:marBottom w:val="0"/>
          <w:divBdr>
            <w:top w:val="none" w:sz="0" w:space="0" w:color="auto"/>
            <w:left w:val="none" w:sz="0" w:space="0" w:color="auto"/>
            <w:bottom w:val="none" w:sz="0" w:space="0" w:color="auto"/>
            <w:right w:val="none" w:sz="0" w:space="0" w:color="auto"/>
          </w:divBdr>
          <w:divsChild>
            <w:div w:id="72553922">
              <w:marLeft w:val="0"/>
              <w:marRight w:val="0"/>
              <w:marTop w:val="0"/>
              <w:marBottom w:val="0"/>
              <w:divBdr>
                <w:top w:val="none" w:sz="0" w:space="0" w:color="auto"/>
                <w:left w:val="none" w:sz="0" w:space="0" w:color="auto"/>
                <w:bottom w:val="none" w:sz="0" w:space="0" w:color="auto"/>
                <w:right w:val="none" w:sz="0" w:space="0" w:color="auto"/>
              </w:divBdr>
            </w:div>
          </w:divsChild>
        </w:div>
        <w:div w:id="880705417">
          <w:marLeft w:val="0"/>
          <w:marRight w:val="0"/>
          <w:marTop w:val="0"/>
          <w:marBottom w:val="0"/>
          <w:divBdr>
            <w:top w:val="none" w:sz="0" w:space="0" w:color="auto"/>
            <w:left w:val="none" w:sz="0" w:space="0" w:color="auto"/>
            <w:bottom w:val="none" w:sz="0" w:space="0" w:color="auto"/>
            <w:right w:val="none" w:sz="0" w:space="0" w:color="auto"/>
          </w:divBdr>
          <w:divsChild>
            <w:div w:id="236402943">
              <w:marLeft w:val="0"/>
              <w:marRight w:val="0"/>
              <w:marTop w:val="0"/>
              <w:marBottom w:val="0"/>
              <w:divBdr>
                <w:top w:val="none" w:sz="0" w:space="0" w:color="auto"/>
                <w:left w:val="none" w:sz="0" w:space="0" w:color="auto"/>
                <w:bottom w:val="none" w:sz="0" w:space="0" w:color="auto"/>
                <w:right w:val="none" w:sz="0" w:space="0" w:color="auto"/>
              </w:divBdr>
            </w:div>
          </w:divsChild>
        </w:div>
        <w:div w:id="899024751">
          <w:marLeft w:val="0"/>
          <w:marRight w:val="0"/>
          <w:marTop w:val="0"/>
          <w:marBottom w:val="0"/>
          <w:divBdr>
            <w:top w:val="none" w:sz="0" w:space="0" w:color="auto"/>
            <w:left w:val="none" w:sz="0" w:space="0" w:color="auto"/>
            <w:bottom w:val="none" w:sz="0" w:space="0" w:color="auto"/>
            <w:right w:val="none" w:sz="0" w:space="0" w:color="auto"/>
          </w:divBdr>
          <w:divsChild>
            <w:div w:id="1477337813">
              <w:marLeft w:val="0"/>
              <w:marRight w:val="0"/>
              <w:marTop w:val="0"/>
              <w:marBottom w:val="0"/>
              <w:divBdr>
                <w:top w:val="none" w:sz="0" w:space="0" w:color="auto"/>
                <w:left w:val="none" w:sz="0" w:space="0" w:color="auto"/>
                <w:bottom w:val="none" w:sz="0" w:space="0" w:color="auto"/>
                <w:right w:val="none" w:sz="0" w:space="0" w:color="auto"/>
              </w:divBdr>
            </w:div>
          </w:divsChild>
        </w:div>
        <w:div w:id="903418795">
          <w:marLeft w:val="0"/>
          <w:marRight w:val="0"/>
          <w:marTop w:val="0"/>
          <w:marBottom w:val="0"/>
          <w:divBdr>
            <w:top w:val="none" w:sz="0" w:space="0" w:color="auto"/>
            <w:left w:val="none" w:sz="0" w:space="0" w:color="auto"/>
            <w:bottom w:val="none" w:sz="0" w:space="0" w:color="auto"/>
            <w:right w:val="none" w:sz="0" w:space="0" w:color="auto"/>
          </w:divBdr>
          <w:divsChild>
            <w:div w:id="1499616143">
              <w:marLeft w:val="0"/>
              <w:marRight w:val="0"/>
              <w:marTop w:val="0"/>
              <w:marBottom w:val="0"/>
              <w:divBdr>
                <w:top w:val="none" w:sz="0" w:space="0" w:color="auto"/>
                <w:left w:val="none" w:sz="0" w:space="0" w:color="auto"/>
                <w:bottom w:val="none" w:sz="0" w:space="0" w:color="auto"/>
                <w:right w:val="none" w:sz="0" w:space="0" w:color="auto"/>
              </w:divBdr>
            </w:div>
          </w:divsChild>
        </w:div>
        <w:div w:id="905458011">
          <w:marLeft w:val="0"/>
          <w:marRight w:val="0"/>
          <w:marTop w:val="0"/>
          <w:marBottom w:val="0"/>
          <w:divBdr>
            <w:top w:val="none" w:sz="0" w:space="0" w:color="auto"/>
            <w:left w:val="none" w:sz="0" w:space="0" w:color="auto"/>
            <w:bottom w:val="none" w:sz="0" w:space="0" w:color="auto"/>
            <w:right w:val="none" w:sz="0" w:space="0" w:color="auto"/>
          </w:divBdr>
          <w:divsChild>
            <w:div w:id="1898279201">
              <w:marLeft w:val="0"/>
              <w:marRight w:val="0"/>
              <w:marTop w:val="0"/>
              <w:marBottom w:val="0"/>
              <w:divBdr>
                <w:top w:val="none" w:sz="0" w:space="0" w:color="auto"/>
                <w:left w:val="none" w:sz="0" w:space="0" w:color="auto"/>
                <w:bottom w:val="none" w:sz="0" w:space="0" w:color="auto"/>
                <w:right w:val="none" w:sz="0" w:space="0" w:color="auto"/>
              </w:divBdr>
            </w:div>
          </w:divsChild>
        </w:div>
        <w:div w:id="909192068">
          <w:marLeft w:val="0"/>
          <w:marRight w:val="0"/>
          <w:marTop w:val="0"/>
          <w:marBottom w:val="0"/>
          <w:divBdr>
            <w:top w:val="none" w:sz="0" w:space="0" w:color="auto"/>
            <w:left w:val="none" w:sz="0" w:space="0" w:color="auto"/>
            <w:bottom w:val="none" w:sz="0" w:space="0" w:color="auto"/>
            <w:right w:val="none" w:sz="0" w:space="0" w:color="auto"/>
          </w:divBdr>
          <w:divsChild>
            <w:div w:id="786511880">
              <w:marLeft w:val="0"/>
              <w:marRight w:val="0"/>
              <w:marTop w:val="0"/>
              <w:marBottom w:val="0"/>
              <w:divBdr>
                <w:top w:val="none" w:sz="0" w:space="0" w:color="auto"/>
                <w:left w:val="none" w:sz="0" w:space="0" w:color="auto"/>
                <w:bottom w:val="none" w:sz="0" w:space="0" w:color="auto"/>
                <w:right w:val="none" w:sz="0" w:space="0" w:color="auto"/>
              </w:divBdr>
            </w:div>
          </w:divsChild>
        </w:div>
        <w:div w:id="912930547">
          <w:marLeft w:val="0"/>
          <w:marRight w:val="0"/>
          <w:marTop w:val="0"/>
          <w:marBottom w:val="0"/>
          <w:divBdr>
            <w:top w:val="none" w:sz="0" w:space="0" w:color="auto"/>
            <w:left w:val="none" w:sz="0" w:space="0" w:color="auto"/>
            <w:bottom w:val="none" w:sz="0" w:space="0" w:color="auto"/>
            <w:right w:val="none" w:sz="0" w:space="0" w:color="auto"/>
          </w:divBdr>
          <w:divsChild>
            <w:div w:id="1932466095">
              <w:marLeft w:val="0"/>
              <w:marRight w:val="0"/>
              <w:marTop w:val="0"/>
              <w:marBottom w:val="0"/>
              <w:divBdr>
                <w:top w:val="none" w:sz="0" w:space="0" w:color="auto"/>
                <w:left w:val="none" w:sz="0" w:space="0" w:color="auto"/>
                <w:bottom w:val="none" w:sz="0" w:space="0" w:color="auto"/>
                <w:right w:val="none" w:sz="0" w:space="0" w:color="auto"/>
              </w:divBdr>
            </w:div>
          </w:divsChild>
        </w:div>
        <w:div w:id="923806912">
          <w:marLeft w:val="0"/>
          <w:marRight w:val="0"/>
          <w:marTop w:val="0"/>
          <w:marBottom w:val="0"/>
          <w:divBdr>
            <w:top w:val="none" w:sz="0" w:space="0" w:color="auto"/>
            <w:left w:val="none" w:sz="0" w:space="0" w:color="auto"/>
            <w:bottom w:val="none" w:sz="0" w:space="0" w:color="auto"/>
            <w:right w:val="none" w:sz="0" w:space="0" w:color="auto"/>
          </w:divBdr>
          <w:divsChild>
            <w:div w:id="1561018040">
              <w:marLeft w:val="0"/>
              <w:marRight w:val="0"/>
              <w:marTop w:val="0"/>
              <w:marBottom w:val="0"/>
              <w:divBdr>
                <w:top w:val="none" w:sz="0" w:space="0" w:color="auto"/>
                <w:left w:val="none" w:sz="0" w:space="0" w:color="auto"/>
                <w:bottom w:val="none" w:sz="0" w:space="0" w:color="auto"/>
                <w:right w:val="none" w:sz="0" w:space="0" w:color="auto"/>
              </w:divBdr>
            </w:div>
          </w:divsChild>
        </w:div>
        <w:div w:id="942344841">
          <w:marLeft w:val="0"/>
          <w:marRight w:val="0"/>
          <w:marTop w:val="0"/>
          <w:marBottom w:val="0"/>
          <w:divBdr>
            <w:top w:val="none" w:sz="0" w:space="0" w:color="auto"/>
            <w:left w:val="none" w:sz="0" w:space="0" w:color="auto"/>
            <w:bottom w:val="none" w:sz="0" w:space="0" w:color="auto"/>
            <w:right w:val="none" w:sz="0" w:space="0" w:color="auto"/>
          </w:divBdr>
          <w:divsChild>
            <w:div w:id="197202149">
              <w:marLeft w:val="0"/>
              <w:marRight w:val="0"/>
              <w:marTop w:val="0"/>
              <w:marBottom w:val="0"/>
              <w:divBdr>
                <w:top w:val="none" w:sz="0" w:space="0" w:color="auto"/>
                <w:left w:val="none" w:sz="0" w:space="0" w:color="auto"/>
                <w:bottom w:val="none" w:sz="0" w:space="0" w:color="auto"/>
                <w:right w:val="none" w:sz="0" w:space="0" w:color="auto"/>
              </w:divBdr>
            </w:div>
          </w:divsChild>
        </w:div>
        <w:div w:id="946471772">
          <w:marLeft w:val="0"/>
          <w:marRight w:val="0"/>
          <w:marTop w:val="0"/>
          <w:marBottom w:val="0"/>
          <w:divBdr>
            <w:top w:val="none" w:sz="0" w:space="0" w:color="auto"/>
            <w:left w:val="none" w:sz="0" w:space="0" w:color="auto"/>
            <w:bottom w:val="none" w:sz="0" w:space="0" w:color="auto"/>
            <w:right w:val="none" w:sz="0" w:space="0" w:color="auto"/>
          </w:divBdr>
          <w:divsChild>
            <w:div w:id="2027899867">
              <w:marLeft w:val="0"/>
              <w:marRight w:val="0"/>
              <w:marTop w:val="0"/>
              <w:marBottom w:val="0"/>
              <w:divBdr>
                <w:top w:val="none" w:sz="0" w:space="0" w:color="auto"/>
                <w:left w:val="none" w:sz="0" w:space="0" w:color="auto"/>
                <w:bottom w:val="none" w:sz="0" w:space="0" w:color="auto"/>
                <w:right w:val="none" w:sz="0" w:space="0" w:color="auto"/>
              </w:divBdr>
            </w:div>
          </w:divsChild>
        </w:div>
        <w:div w:id="975992824">
          <w:marLeft w:val="0"/>
          <w:marRight w:val="0"/>
          <w:marTop w:val="0"/>
          <w:marBottom w:val="0"/>
          <w:divBdr>
            <w:top w:val="none" w:sz="0" w:space="0" w:color="auto"/>
            <w:left w:val="none" w:sz="0" w:space="0" w:color="auto"/>
            <w:bottom w:val="none" w:sz="0" w:space="0" w:color="auto"/>
            <w:right w:val="none" w:sz="0" w:space="0" w:color="auto"/>
          </w:divBdr>
          <w:divsChild>
            <w:div w:id="1155223582">
              <w:marLeft w:val="0"/>
              <w:marRight w:val="0"/>
              <w:marTop w:val="0"/>
              <w:marBottom w:val="0"/>
              <w:divBdr>
                <w:top w:val="none" w:sz="0" w:space="0" w:color="auto"/>
                <w:left w:val="none" w:sz="0" w:space="0" w:color="auto"/>
                <w:bottom w:val="none" w:sz="0" w:space="0" w:color="auto"/>
                <w:right w:val="none" w:sz="0" w:space="0" w:color="auto"/>
              </w:divBdr>
            </w:div>
          </w:divsChild>
        </w:div>
        <w:div w:id="976765300">
          <w:marLeft w:val="0"/>
          <w:marRight w:val="0"/>
          <w:marTop w:val="0"/>
          <w:marBottom w:val="0"/>
          <w:divBdr>
            <w:top w:val="none" w:sz="0" w:space="0" w:color="auto"/>
            <w:left w:val="none" w:sz="0" w:space="0" w:color="auto"/>
            <w:bottom w:val="none" w:sz="0" w:space="0" w:color="auto"/>
            <w:right w:val="none" w:sz="0" w:space="0" w:color="auto"/>
          </w:divBdr>
          <w:divsChild>
            <w:div w:id="1352605636">
              <w:marLeft w:val="0"/>
              <w:marRight w:val="0"/>
              <w:marTop w:val="0"/>
              <w:marBottom w:val="0"/>
              <w:divBdr>
                <w:top w:val="none" w:sz="0" w:space="0" w:color="auto"/>
                <w:left w:val="none" w:sz="0" w:space="0" w:color="auto"/>
                <w:bottom w:val="none" w:sz="0" w:space="0" w:color="auto"/>
                <w:right w:val="none" w:sz="0" w:space="0" w:color="auto"/>
              </w:divBdr>
            </w:div>
          </w:divsChild>
        </w:div>
        <w:div w:id="981154426">
          <w:marLeft w:val="0"/>
          <w:marRight w:val="0"/>
          <w:marTop w:val="0"/>
          <w:marBottom w:val="0"/>
          <w:divBdr>
            <w:top w:val="none" w:sz="0" w:space="0" w:color="auto"/>
            <w:left w:val="none" w:sz="0" w:space="0" w:color="auto"/>
            <w:bottom w:val="none" w:sz="0" w:space="0" w:color="auto"/>
            <w:right w:val="none" w:sz="0" w:space="0" w:color="auto"/>
          </w:divBdr>
          <w:divsChild>
            <w:div w:id="754743876">
              <w:marLeft w:val="0"/>
              <w:marRight w:val="0"/>
              <w:marTop w:val="0"/>
              <w:marBottom w:val="0"/>
              <w:divBdr>
                <w:top w:val="none" w:sz="0" w:space="0" w:color="auto"/>
                <w:left w:val="none" w:sz="0" w:space="0" w:color="auto"/>
                <w:bottom w:val="none" w:sz="0" w:space="0" w:color="auto"/>
                <w:right w:val="none" w:sz="0" w:space="0" w:color="auto"/>
              </w:divBdr>
            </w:div>
          </w:divsChild>
        </w:div>
        <w:div w:id="984697990">
          <w:marLeft w:val="0"/>
          <w:marRight w:val="0"/>
          <w:marTop w:val="0"/>
          <w:marBottom w:val="0"/>
          <w:divBdr>
            <w:top w:val="none" w:sz="0" w:space="0" w:color="auto"/>
            <w:left w:val="none" w:sz="0" w:space="0" w:color="auto"/>
            <w:bottom w:val="none" w:sz="0" w:space="0" w:color="auto"/>
            <w:right w:val="none" w:sz="0" w:space="0" w:color="auto"/>
          </w:divBdr>
          <w:divsChild>
            <w:div w:id="469204138">
              <w:marLeft w:val="0"/>
              <w:marRight w:val="0"/>
              <w:marTop w:val="0"/>
              <w:marBottom w:val="0"/>
              <w:divBdr>
                <w:top w:val="none" w:sz="0" w:space="0" w:color="auto"/>
                <w:left w:val="none" w:sz="0" w:space="0" w:color="auto"/>
                <w:bottom w:val="none" w:sz="0" w:space="0" w:color="auto"/>
                <w:right w:val="none" w:sz="0" w:space="0" w:color="auto"/>
              </w:divBdr>
            </w:div>
          </w:divsChild>
        </w:div>
        <w:div w:id="996302092">
          <w:marLeft w:val="0"/>
          <w:marRight w:val="0"/>
          <w:marTop w:val="0"/>
          <w:marBottom w:val="0"/>
          <w:divBdr>
            <w:top w:val="none" w:sz="0" w:space="0" w:color="auto"/>
            <w:left w:val="none" w:sz="0" w:space="0" w:color="auto"/>
            <w:bottom w:val="none" w:sz="0" w:space="0" w:color="auto"/>
            <w:right w:val="none" w:sz="0" w:space="0" w:color="auto"/>
          </w:divBdr>
          <w:divsChild>
            <w:div w:id="750349421">
              <w:marLeft w:val="0"/>
              <w:marRight w:val="0"/>
              <w:marTop w:val="0"/>
              <w:marBottom w:val="0"/>
              <w:divBdr>
                <w:top w:val="none" w:sz="0" w:space="0" w:color="auto"/>
                <w:left w:val="none" w:sz="0" w:space="0" w:color="auto"/>
                <w:bottom w:val="none" w:sz="0" w:space="0" w:color="auto"/>
                <w:right w:val="none" w:sz="0" w:space="0" w:color="auto"/>
              </w:divBdr>
            </w:div>
          </w:divsChild>
        </w:div>
        <w:div w:id="1010794286">
          <w:marLeft w:val="0"/>
          <w:marRight w:val="0"/>
          <w:marTop w:val="0"/>
          <w:marBottom w:val="0"/>
          <w:divBdr>
            <w:top w:val="none" w:sz="0" w:space="0" w:color="auto"/>
            <w:left w:val="none" w:sz="0" w:space="0" w:color="auto"/>
            <w:bottom w:val="none" w:sz="0" w:space="0" w:color="auto"/>
            <w:right w:val="none" w:sz="0" w:space="0" w:color="auto"/>
          </w:divBdr>
          <w:divsChild>
            <w:div w:id="1416855042">
              <w:marLeft w:val="0"/>
              <w:marRight w:val="0"/>
              <w:marTop w:val="0"/>
              <w:marBottom w:val="0"/>
              <w:divBdr>
                <w:top w:val="none" w:sz="0" w:space="0" w:color="auto"/>
                <w:left w:val="none" w:sz="0" w:space="0" w:color="auto"/>
                <w:bottom w:val="none" w:sz="0" w:space="0" w:color="auto"/>
                <w:right w:val="none" w:sz="0" w:space="0" w:color="auto"/>
              </w:divBdr>
            </w:div>
          </w:divsChild>
        </w:div>
        <w:div w:id="1014499211">
          <w:marLeft w:val="0"/>
          <w:marRight w:val="0"/>
          <w:marTop w:val="0"/>
          <w:marBottom w:val="0"/>
          <w:divBdr>
            <w:top w:val="none" w:sz="0" w:space="0" w:color="auto"/>
            <w:left w:val="none" w:sz="0" w:space="0" w:color="auto"/>
            <w:bottom w:val="none" w:sz="0" w:space="0" w:color="auto"/>
            <w:right w:val="none" w:sz="0" w:space="0" w:color="auto"/>
          </w:divBdr>
          <w:divsChild>
            <w:div w:id="77869141">
              <w:marLeft w:val="0"/>
              <w:marRight w:val="0"/>
              <w:marTop w:val="0"/>
              <w:marBottom w:val="0"/>
              <w:divBdr>
                <w:top w:val="none" w:sz="0" w:space="0" w:color="auto"/>
                <w:left w:val="none" w:sz="0" w:space="0" w:color="auto"/>
                <w:bottom w:val="none" w:sz="0" w:space="0" w:color="auto"/>
                <w:right w:val="none" w:sz="0" w:space="0" w:color="auto"/>
              </w:divBdr>
            </w:div>
          </w:divsChild>
        </w:div>
        <w:div w:id="1027214961">
          <w:marLeft w:val="0"/>
          <w:marRight w:val="0"/>
          <w:marTop w:val="0"/>
          <w:marBottom w:val="0"/>
          <w:divBdr>
            <w:top w:val="none" w:sz="0" w:space="0" w:color="auto"/>
            <w:left w:val="none" w:sz="0" w:space="0" w:color="auto"/>
            <w:bottom w:val="none" w:sz="0" w:space="0" w:color="auto"/>
            <w:right w:val="none" w:sz="0" w:space="0" w:color="auto"/>
          </w:divBdr>
          <w:divsChild>
            <w:div w:id="1592006492">
              <w:marLeft w:val="0"/>
              <w:marRight w:val="0"/>
              <w:marTop w:val="0"/>
              <w:marBottom w:val="0"/>
              <w:divBdr>
                <w:top w:val="none" w:sz="0" w:space="0" w:color="auto"/>
                <w:left w:val="none" w:sz="0" w:space="0" w:color="auto"/>
                <w:bottom w:val="none" w:sz="0" w:space="0" w:color="auto"/>
                <w:right w:val="none" w:sz="0" w:space="0" w:color="auto"/>
              </w:divBdr>
            </w:div>
          </w:divsChild>
        </w:div>
        <w:div w:id="1045301219">
          <w:marLeft w:val="0"/>
          <w:marRight w:val="0"/>
          <w:marTop w:val="0"/>
          <w:marBottom w:val="0"/>
          <w:divBdr>
            <w:top w:val="none" w:sz="0" w:space="0" w:color="auto"/>
            <w:left w:val="none" w:sz="0" w:space="0" w:color="auto"/>
            <w:bottom w:val="none" w:sz="0" w:space="0" w:color="auto"/>
            <w:right w:val="none" w:sz="0" w:space="0" w:color="auto"/>
          </w:divBdr>
          <w:divsChild>
            <w:div w:id="1346134618">
              <w:marLeft w:val="0"/>
              <w:marRight w:val="0"/>
              <w:marTop w:val="0"/>
              <w:marBottom w:val="0"/>
              <w:divBdr>
                <w:top w:val="none" w:sz="0" w:space="0" w:color="auto"/>
                <w:left w:val="none" w:sz="0" w:space="0" w:color="auto"/>
                <w:bottom w:val="none" w:sz="0" w:space="0" w:color="auto"/>
                <w:right w:val="none" w:sz="0" w:space="0" w:color="auto"/>
              </w:divBdr>
            </w:div>
          </w:divsChild>
        </w:div>
        <w:div w:id="1051661168">
          <w:marLeft w:val="0"/>
          <w:marRight w:val="0"/>
          <w:marTop w:val="0"/>
          <w:marBottom w:val="0"/>
          <w:divBdr>
            <w:top w:val="none" w:sz="0" w:space="0" w:color="auto"/>
            <w:left w:val="none" w:sz="0" w:space="0" w:color="auto"/>
            <w:bottom w:val="none" w:sz="0" w:space="0" w:color="auto"/>
            <w:right w:val="none" w:sz="0" w:space="0" w:color="auto"/>
          </w:divBdr>
          <w:divsChild>
            <w:div w:id="492986546">
              <w:marLeft w:val="0"/>
              <w:marRight w:val="0"/>
              <w:marTop w:val="0"/>
              <w:marBottom w:val="0"/>
              <w:divBdr>
                <w:top w:val="none" w:sz="0" w:space="0" w:color="auto"/>
                <w:left w:val="none" w:sz="0" w:space="0" w:color="auto"/>
                <w:bottom w:val="none" w:sz="0" w:space="0" w:color="auto"/>
                <w:right w:val="none" w:sz="0" w:space="0" w:color="auto"/>
              </w:divBdr>
            </w:div>
          </w:divsChild>
        </w:div>
        <w:div w:id="1054548595">
          <w:marLeft w:val="0"/>
          <w:marRight w:val="0"/>
          <w:marTop w:val="0"/>
          <w:marBottom w:val="0"/>
          <w:divBdr>
            <w:top w:val="none" w:sz="0" w:space="0" w:color="auto"/>
            <w:left w:val="none" w:sz="0" w:space="0" w:color="auto"/>
            <w:bottom w:val="none" w:sz="0" w:space="0" w:color="auto"/>
            <w:right w:val="none" w:sz="0" w:space="0" w:color="auto"/>
          </w:divBdr>
          <w:divsChild>
            <w:div w:id="1690988623">
              <w:marLeft w:val="0"/>
              <w:marRight w:val="0"/>
              <w:marTop w:val="0"/>
              <w:marBottom w:val="0"/>
              <w:divBdr>
                <w:top w:val="none" w:sz="0" w:space="0" w:color="auto"/>
                <w:left w:val="none" w:sz="0" w:space="0" w:color="auto"/>
                <w:bottom w:val="none" w:sz="0" w:space="0" w:color="auto"/>
                <w:right w:val="none" w:sz="0" w:space="0" w:color="auto"/>
              </w:divBdr>
            </w:div>
          </w:divsChild>
        </w:div>
        <w:div w:id="1072318203">
          <w:marLeft w:val="0"/>
          <w:marRight w:val="0"/>
          <w:marTop w:val="0"/>
          <w:marBottom w:val="0"/>
          <w:divBdr>
            <w:top w:val="none" w:sz="0" w:space="0" w:color="auto"/>
            <w:left w:val="none" w:sz="0" w:space="0" w:color="auto"/>
            <w:bottom w:val="none" w:sz="0" w:space="0" w:color="auto"/>
            <w:right w:val="none" w:sz="0" w:space="0" w:color="auto"/>
          </w:divBdr>
          <w:divsChild>
            <w:div w:id="1378121761">
              <w:marLeft w:val="0"/>
              <w:marRight w:val="0"/>
              <w:marTop w:val="0"/>
              <w:marBottom w:val="0"/>
              <w:divBdr>
                <w:top w:val="none" w:sz="0" w:space="0" w:color="auto"/>
                <w:left w:val="none" w:sz="0" w:space="0" w:color="auto"/>
                <w:bottom w:val="none" w:sz="0" w:space="0" w:color="auto"/>
                <w:right w:val="none" w:sz="0" w:space="0" w:color="auto"/>
              </w:divBdr>
            </w:div>
          </w:divsChild>
        </w:div>
        <w:div w:id="1074937371">
          <w:marLeft w:val="0"/>
          <w:marRight w:val="0"/>
          <w:marTop w:val="0"/>
          <w:marBottom w:val="0"/>
          <w:divBdr>
            <w:top w:val="none" w:sz="0" w:space="0" w:color="auto"/>
            <w:left w:val="none" w:sz="0" w:space="0" w:color="auto"/>
            <w:bottom w:val="none" w:sz="0" w:space="0" w:color="auto"/>
            <w:right w:val="none" w:sz="0" w:space="0" w:color="auto"/>
          </w:divBdr>
          <w:divsChild>
            <w:div w:id="1978217220">
              <w:marLeft w:val="0"/>
              <w:marRight w:val="0"/>
              <w:marTop w:val="0"/>
              <w:marBottom w:val="0"/>
              <w:divBdr>
                <w:top w:val="none" w:sz="0" w:space="0" w:color="auto"/>
                <w:left w:val="none" w:sz="0" w:space="0" w:color="auto"/>
                <w:bottom w:val="none" w:sz="0" w:space="0" w:color="auto"/>
                <w:right w:val="none" w:sz="0" w:space="0" w:color="auto"/>
              </w:divBdr>
            </w:div>
          </w:divsChild>
        </w:div>
        <w:div w:id="1112238729">
          <w:marLeft w:val="0"/>
          <w:marRight w:val="0"/>
          <w:marTop w:val="0"/>
          <w:marBottom w:val="0"/>
          <w:divBdr>
            <w:top w:val="none" w:sz="0" w:space="0" w:color="auto"/>
            <w:left w:val="none" w:sz="0" w:space="0" w:color="auto"/>
            <w:bottom w:val="none" w:sz="0" w:space="0" w:color="auto"/>
            <w:right w:val="none" w:sz="0" w:space="0" w:color="auto"/>
          </w:divBdr>
          <w:divsChild>
            <w:div w:id="168300770">
              <w:marLeft w:val="0"/>
              <w:marRight w:val="0"/>
              <w:marTop w:val="0"/>
              <w:marBottom w:val="0"/>
              <w:divBdr>
                <w:top w:val="none" w:sz="0" w:space="0" w:color="auto"/>
                <w:left w:val="none" w:sz="0" w:space="0" w:color="auto"/>
                <w:bottom w:val="none" w:sz="0" w:space="0" w:color="auto"/>
                <w:right w:val="none" w:sz="0" w:space="0" w:color="auto"/>
              </w:divBdr>
            </w:div>
          </w:divsChild>
        </w:div>
        <w:div w:id="1119371887">
          <w:marLeft w:val="0"/>
          <w:marRight w:val="0"/>
          <w:marTop w:val="0"/>
          <w:marBottom w:val="0"/>
          <w:divBdr>
            <w:top w:val="none" w:sz="0" w:space="0" w:color="auto"/>
            <w:left w:val="none" w:sz="0" w:space="0" w:color="auto"/>
            <w:bottom w:val="none" w:sz="0" w:space="0" w:color="auto"/>
            <w:right w:val="none" w:sz="0" w:space="0" w:color="auto"/>
          </w:divBdr>
          <w:divsChild>
            <w:div w:id="1480490655">
              <w:marLeft w:val="0"/>
              <w:marRight w:val="0"/>
              <w:marTop w:val="0"/>
              <w:marBottom w:val="0"/>
              <w:divBdr>
                <w:top w:val="none" w:sz="0" w:space="0" w:color="auto"/>
                <w:left w:val="none" w:sz="0" w:space="0" w:color="auto"/>
                <w:bottom w:val="none" w:sz="0" w:space="0" w:color="auto"/>
                <w:right w:val="none" w:sz="0" w:space="0" w:color="auto"/>
              </w:divBdr>
            </w:div>
          </w:divsChild>
        </w:div>
        <w:div w:id="1142848069">
          <w:marLeft w:val="0"/>
          <w:marRight w:val="0"/>
          <w:marTop w:val="0"/>
          <w:marBottom w:val="0"/>
          <w:divBdr>
            <w:top w:val="none" w:sz="0" w:space="0" w:color="auto"/>
            <w:left w:val="none" w:sz="0" w:space="0" w:color="auto"/>
            <w:bottom w:val="none" w:sz="0" w:space="0" w:color="auto"/>
            <w:right w:val="none" w:sz="0" w:space="0" w:color="auto"/>
          </w:divBdr>
          <w:divsChild>
            <w:div w:id="186140105">
              <w:marLeft w:val="0"/>
              <w:marRight w:val="0"/>
              <w:marTop w:val="0"/>
              <w:marBottom w:val="0"/>
              <w:divBdr>
                <w:top w:val="none" w:sz="0" w:space="0" w:color="auto"/>
                <w:left w:val="none" w:sz="0" w:space="0" w:color="auto"/>
                <w:bottom w:val="none" w:sz="0" w:space="0" w:color="auto"/>
                <w:right w:val="none" w:sz="0" w:space="0" w:color="auto"/>
              </w:divBdr>
            </w:div>
          </w:divsChild>
        </w:div>
        <w:div w:id="1153373879">
          <w:marLeft w:val="0"/>
          <w:marRight w:val="0"/>
          <w:marTop w:val="0"/>
          <w:marBottom w:val="0"/>
          <w:divBdr>
            <w:top w:val="none" w:sz="0" w:space="0" w:color="auto"/>
            <w:left w:val="none" w:sz="0" w:space="0" w:color="auto"/>
            <w:bottom w:val="none" w:sz="0" w:space="0" w:color="auto"/>
            <w:right w:val="none" w:sz="0" w:space="0" w:color="auto"/>
          </w:divBdr>
          <w:divsChild>
            <w:div w:id="1351104124">
              <w:marLeft w:val="0"/>
              <w:marRight w:val="0"/>
              <w:marTop w:val="0"/>
              <w:marBottom w:val="0"/>
              <w:divBdr>
                <w:top w:val="none" w:sz="0" w:space="0" w:color="auto"/>
                <w:left w:val="none" w:sz="0" w:space="0" w:color="auto"/>
                <w:bottom w:val="none" w:sz="0" w:space="0" w:color="auto"/>
                <w:right w:val="none" w:sz="0" w:space="0" w:color="auto"/>
              </w:divBdr>
            </w:div>
          </w:divsChild>
        </w:div>
        <w:div w:id="1155141905">
          <w:marLeft w:val="0"/>
          <w:marRight w:val="0"/>
          <w:marTop w:val="0"/>
          <w:marBottom w:val="0"/>
          <w:divBdr>
            <w:top w:val="none" w:sz="0" w:space="0" w:color="auto"/>
            <w:left w:val="none" w:sz="0" w:space="0" w:color="auto"/>
            <w:bottom w:val="none" w:sz="0" w:space="0" w:color="auto"/>
            <w:right w:val="none" w:sz="0" w:space="0" w:color="auto"/>
          </w:divBdr>
          <w:divsChild>
            <w:div w:id="551355687">
              <w:marLeft w:val="0"/>
              <w:marRight w:val="0"/>
              <w:marTop w:val="0"/>
              <w:marBottom w:val="0"/>
              <w:divBdr>
                <w:top w:val="none" w:sz="0" w:space="0" w:color="auto"/>
                <w:left w:val="none" w:sz="0" w:space="0" w:color="auto"/>
                <w:bottom w:val="none" w:sz="0" w:space="0" w:color="auto"/>
                <w:right w:val="none" w:sz="0" w:space="0" w:color="auto"/>
              </w:divBdr>
            </w:div>
          </w:divsChild>
        </w:div>
        <w:div w:id="1161772821">
          <w:marLeft w:val="0"/>
          <w:marRight w:val="0"/>
          <w:marTop w:val="0"/>
          <w:marBottom w:val="0"/>
          <w:divBdr>
            <w:top w:val="none" w:sz="0" w:space="0" w:color="auto"/>
            <w:left w:val="none" w:sz="0" w:space="0" w:color="auto"/>
            <w:bottom w:val="none" w:sz="0" w:space="0" w:color="auto"/>
            <w:right w:val="none" w:sz="0" w:space="0" w:color="auto"/>
          </w:divBdr>
          <w:divsChild>
            <w:div w:id="124088360">
              <w:marLeft w:val="0"/>
              <w:marRight w:val="0"/>
              <w:marTop w:val="0"/>
              <w:marBottom w:val="0"/>
              <w:divBdr>
                <w:top w:val="none" w:sz="0" w:space="0" w:color="auto"/>
                <w:left w:val="none" w:sz="0" w:space="0" w:color="auto"/>
                <w:bottom w:val="none" w:sz="0" w:space="0" w:color="auto"/>
                <w:right w:val="none" w:sz="0" w:space="0" w:color="auto"/>
              </w:divBdr>
            </w:div>
          </w:divsChild>
        </w:div>
        <w:div w:id="1172449629">
          <w:marLeft w:val="0"/>
          <w:marRight w:val="0"/>
          <w:marTop w:val="0"/>
          <w:marBottom w:val="0"/>
          <w:divBdr>
            <w:top w:val="none" w:sz="0" w:space="0" w:color="auto"/>
            <w:left w:val="none" w:sz="0" w:space="0" w:color="auto"/>
            <w:bottom w:val="none" w:sz="0" w:space="0" w:color="auto"/>
            <w:right w:val="none" w:sz="0" w:space="0" w:color="auto"/>
          </w:divBdr>
          <w:divsChild>
            <w:div w:id="814033011">
              <w:marLeft w:val="0"/>
              <w:marRight w:val="0"/>
              <w:marTop w:val="0"/>
              <w:marBottom w:val="0"/>
              <w:divBdr>
                <w:top w:val="none" w:sz="0" w:space="0" w:color="auto"/>
                <w:left w:val="none" w:sz="0" w:space="0" w:color="auto"/>
                <w:bottom w:val="none" w:sz="0" w:space="0" w:color="auto"/>
                <w:right w:val="none" w:sz="0" w:space="0" w:color="auto"/>
              </w:divBdr>
            </w:div>
          </w:divsChild>
        </w:div>
        <w:div w:id="1177042973">
          <w:marLeft w:val="0"/>
          <w:marRight w:val="0"/>
          <w:marTop w:val="0"/>
          <w:marBottom w:val="0"/>
          <w:divBdr>
            <w:top w:val="none" w:sz="0" w:space="0" w:color="auto"/>
            <w:left w:val="none" w:sz="0" w:space="0" w:color="auto"/>
            <w:bottom w:val="none" w:sz="0" w:space="0" w:color="auto"/>
            <w:right w:val="none" w:sz="0" w:space="0" w:color="auto"/>
          </w:divBdr>
          <w:divsChild>
            <w:div w:id="1814178734">
              <w:marLeft w:val="0"/>
              <w:marRight w:val="0"/>
              <w:marTop w:val="0"/>
              <w:marBottom w:val="0"/>
              <w:divBdr>
                <w:top w:val="none" w:sz="0" w:space="0" w:color="auto"/>
                <w:left w:val="none" w:sz="0" w:space="0" w:color="auto"/>
                <w:bottom w:val="none" w:sz="0" w:space="0" w:color="auto"/>
                <w:right w:val="none" w:sz="0" w:space="0" w:color="auto"/>
              </w:divBdr>
            </w:div>
          </w:divsChild>
        </w:div>
        <w:div w:id="1181819780">
          <w:marLeft w:val="0"/>
          <w:marRight w:val="0"/>
          <w:marTop w:val="0"/>
          <w:marBottom w:val="0"/>
          <w:divBdr>
            <w:top w:val="none" w:sz="0" w:space="0" w:color="auto"/>
            <w:left w:val="none" w:sz="0" w:space="0" w:color="auto"/>
            <w:bottom w:val="none" w:sz="0" w:space="0" w:color="auto"/>
            <w:right w:val="none" w:sz="0" w:space="0" w:color="auto"/>
          </w:divBdr>
          <w:divsChild>
            <w:div w:id="1034425170">
              <w:marLeft w:val="0"/>
              <w:marRight w:val="0"/>
              <w:marTop w:val="0"/>
              <w:marBottom w:val="0"/>
              <w:divBdr>
                <w:top w:val="none" w:sz="0" w:space="0" w:color="auto"/>
                <w:left w:val="none" w:sz="0" w:space="0" w:color="auto"/>
                <w:bottom w:val="none" w:sz="0" w:space="0" w:color="auto"/>
                <w:right w:val="none" w:sz="0" w:space="0" w:color="auto"/>
              </w:divBdr>
            </w:div>
          </w:divsChild>
        </w:div>
        <w:div w:id="1184595403">
          <w:marLeft w:val="0"/>
          <w:marRight w:val="0"/>
          <w:marTop w:val="0"/>
          <w:marBottom w:val="0"/>
          <w:divBdr>
            <w:top w:val="none" w:sz="0" w:space="0" w:color="auto"/>
            <w:left w:val="none" w:sz="0" w:space="0" w:color="auto"/>
            <w:bottom w:val="none" w:sz="0" w:space="0" w:color="auto"/>
            <w:right w:val="none" w:sz="0" w:space="0" w:color="auto"/>
          </w:divBdr>
          <w:divsChild>
            <w:div w:id="1744328919">
              <w:marLeft w:val="0"/>
              <w:marRight w:val="0"/>
              <w:marTop w:val="0"/>
              <w:marBottom w:val="0"/>
              <w:divBdr>
                <w:top w:val="none" w:sz="0" w:space="0" w:color="auto"/>
                <w:left w:val="none" w:sz="0" w:space="0" w:color="auto"/>
                <w:bottom w:val="none" w:sz="0" w:space="0" w:color="auto"/>
                <w:right w:val="none" w:sz="0" w:space="0" w:color="auto"/>
              </w:divBdr>
            </w:div>
          </w:divsChild>
        </w:div>
        <w:div w:id="1195463198">
          <w:marLeft w:val="0"/>
          <w:marRight w:val="0"/>
          <w:marTop w:val="0"/>
          <w:marBottom w:val="0"/>
          <w:divBdr>
            <w:top w:val="none" w:sz="0" w:space="0" w:color="auto"/>
            <w:left w:val="none" w:sz="0" w:space="0" w:color="auto"/>
            <w:bottom w:val="none" w:sz="0" w:space="0" w:color="auto"/>
            <w:right w:val="none" w:sz="0" w:space="0" w:color="auto"/>
          </w:divBdr>
          <w:divsChild>
            <w:div w:id="1370491800">
              <w:marLeft w:val="0"/>
              <w:marRight w:val="0"/>
              <w:marTop w:val="0"/>
              <w:marBottom w:val="0"/>
              <w:divBdr>
                <w:top w:val="none" w:sz="0" w:space="0" w:color="auto"/>
                <w:left w:val="none" w:sz="0" w:space="0" w:color="auto"/>
                <w:bottom w:val="none" w:sz="0" w:space="0" w:color="auto"/>
                <w:right w:val="none" w:sz="0" w:space="0" w:color="auto"/>
              </w:divBdr>
            </w:div>
          </w:divsChild>
        </w:div>
        <w:div w:id="1196385069">
          <w:marLeft w:val="0"/>
          <w:marRight w:val="0"/>
          <w:marTop w:val="0"/>
          <w:marBottom w:val="0"/>
          <w:divBdr>
            <w:top w:val="none" w:sz="0" w:space="0" w:color="auto"/>
            <w:left w:val="none" w:sz="0" w:space="0" w:color="auto"/>
            <w:bottom w:val="none" w:sz="0" w:space="0" w:color="auto"/>
            <w:right w:val="none" w:sz="0" w:space="0" w:color="auto"/>
          </w:divBdr>
          <w:divsChild>
            <w:div w:id="1413310533">
              <w:marLeft w:val="0"/>
              <w:marRight w:val="0"/>
              <w:marTop w:val="0"/>
              <w:marBottom w:val="0"/>
              <w:divBdr>
                <w:top w:val="none" w:sz="0" w:space="0" w:color="auto"/>
                <w:left w:val="none" w:sz="0" w:space="0" w:color="auto"/>
                <w:bottom w:val="none" w:sz="0" w:space="0" w:color="auto"/>
                <w:right w:val="none" w:sz="0" w:space="0" w:color="auto"/>
              </w:divBdr>
            </w:div>
          </w:divsChild>
        </w:div>
        <w:div w:id="1201824081">
          <w:marLeft w:val="0"/>
          <w:marRight w:val="0"/>
          <w:marTop w:val="0"/>
          <w:marBottom w:val="0"/>
          <w:divBdr>
            <w:top w:val="none" w:sz="0" w:space="0" w:color="auto"/>
            <w:left w:val="none" w:sz="0" w:space="0" w:color="auto"/>
            <w:bottom w:val="none" w:sz="0" w:space="0" w:color="auto"/>
            <w:right w:val="none" w:sz="0" w:space="0" w:color="auto"/>
          </w:divBdr>
          <w:divsChild>
            <w:div w:id="131140060">
              <w:marLeft w:val="0"/>
              <w:marRight w:val="0"/>
              <w:marTop w:val="0"/>
              <w:marBottom w:val="0"/>
              <w:divBdr>
                <w:top w:val="none" w:sz="0" w:space="0" w:color="auto"/>
                <w:left w:val="none" w:sz="0" w:space="0" w:color="auto"/>
                <w:bottom w:val="none" w:sz="0" w:space="0" w:color="auto"/>
                <w:right w:val="none" w:sz="0" w:space="0" w:color="auto"/>
              </w:divBdr>
            </w:div>
          </w:divsChild>
        </w:div>
        <w:div w:id="1204945687">
          <w:marLeft w:val="0"/>
          <w:marRight w:val="0"/>
          <w:marTop w:val="0"/>
          <w:marBottom w:val="0"/>
          <w:divBdr>
            <w:top w:val="none" w:sz="0" w:space="0" w:color="auto"/>
            <w:left w:val="none" w:sz="0" w:space="0" w:color="auto"/>
            <w:bottom w:val="none" w:sz="0" w:space="0" w:color="auto"/>
            <w:right w:val="none" w:sz="0" w:space="0" w:color="auto"/>
          </w:divBdr>
          <w:divsChild>
            <w:div w:id="1208569126">
              <w:marLeft w:val="0"/>
              <w:marRight w:val="0"/>
              <w:marTop w:val="0"/>
              <w:marBottom w:val="0"/>
              <w:divBdr>
                <w:top w:val="none" w:sz="0" w:space="0" w:color="auto"/>
                <w:left w:val="none" w:sz="0" w:space="0" w:color="auto"/>
                <w:bottom w:val="none" w:sz="0" w:space="0" w:color="auto"/>
                <w:right w:val="none" w:sz="0" w:space="0" w:color="auto"/>
              </w:divBdr>
            </w:div>
          </w:divsChild>
        </w:div>
        <w:div w:id="1205408067">
          <w:marLeft w:val="0"/>
          <w:marRight w:val="0"/>
          <w:marTop w:val="0"/>
          <w:marBottom w:val="0"/>
          <w:divBdr>
            <w:top w:val="none" w:sz="0" w:space="0" w:color="auto"/>
            <w:left w:val="none" w:sz="0" w:space="0" w:color="auto"/>
            <w:bottom w:val="none" w:sz="0" w:space="0" w:color="auto"/>
            <w:right w:val="none" w:sz="0" w:space="0" w:color="auto"/>
          </w:divBdr>
          <w:divsChild>
            <w:div w:id="1395813986">
              <w:marLeft w:val="0"/>
              <w:marRight w:val="0"/>
              <w:marTop w:val="0"/>
              <w:marBottom w:val="0"/>
              <w:divBdr>
                <w:top w:val="none" w:sz="0" w:space="0" w:color="auto"/>
                <w:left w:val="none" w:sz="0" w:space="0" w:color="auto"/>
                <w:bottom w:val="none" w:sz="0" w:space="0" w:color="auto"/>
                <w:right w:val="none" w:sz="0" w:space="0" w:color="auto"/>
              </w:divBdr>
            </w:div>
          </w:divsChild>
        </w:div>
        <w:div w:id="1205829354">
          <w:marLeft w:val="0"/>
          <w:marRight w:val="0"/>
          <w:marTop w:val="0"/>
          <w:marBottom w:val="0"/>
          <w:divBdr>
            <w:top w:val="none" w:sz="0" w:space="0" w:color="auto"/>
            <w:left w:val="none" w:sz="0" w:space="0" w:color="auto"/>
            <w:bottom w:val="none" w:sz="0" w:space="0" w:color="auto"/>
            <w:right w:val="none" w:sz="0" w:space="0" w:color="auto"/>
          </w:divBdr>
          <w:divsChild>
            <w:div w:id="12341359">
              <w:marLeft w:val="0"/>
              <w:marRight w:val="0"/>
              <w:marTop w:val="0"/>
              <w:marBottom w:val="0"/>
              <w:divBdr>
                <w:top w:val="none" w:sz="0" w:space="0" w:color="auto"/>
                <w:left w:val="none" w:sz="0" w:space="0" w:color="auto"/>
                <w:bottom w:val="none" w:sz="0" w:space="0" w:color="auto"/>
                <w:right w:val="none" w:sz="0" w:space="0" w:color="auto"/>
              </w:divBdr>
            </w:div>
          </w:divsChild>
        </w:div>
        <w:div w:id="1206523187">
          <w:marLeft w:val="0"/>
          <w:marRight w:val="0"/>
          <w:marTop w:val="0"/>
          <w:marBottom w:val="0"/>
          <w:divBdr>
            <w:top w:val="none" w:sz="0" w:space="0" w:color="auto"/>
            <w:left w:val="none" w:sz="0" w:space="0" w:color="auto"/>
            <w:bottom w:val="none" w:sz="0" w:space="0" w:color="auto"/>
            <w:right w:val="none" w:sz="0" w:space="0" w:color="auto"/>
          </w:divBdr>
          <w:divsChild>
            <w:div w:id="1249003130">
              <w:marLeft w:val="0"/>
              <w:marRight w:val="0"/>
              <w:marTop w:val="0"/>
              <w:marBottom w:val="0"/>
              <w:divBdr>
                <w:top w:val="none" w:sz="0" w:space="0" w:color="auto"/>
                <w:left w:val="none" w:sz="0" w:space="0" w:color="auto"/>
                <w:bottom w:val="none" w:sz="0" w:space="0" w:color="auto"/>
                <w:right w:val="none" w:sz="0" w:space="0" w:color="auto"/>
              </w:divBdr>
            </w:div>
          </w:divsChild>
        </w:div>
        <w:div w:id="1208183890">
          <w:marLeft w:val="0"/>
          <w:marRight w:val="0"/>
          <w:marTop w:val="0"/>
          <w:marBottom w:val="0"/>
          <w:divBdr>
            <w:top w:val="none" w:sz="0" w:space="0" w:color="auto"/>
            <w:left w:val="none" w:sz="0" w:space="0" w:color="auto"/>
            <w:bottom w:val="none" w:sz="0" w:space="0" w:color="auto"/>
            <w:right w:val="none" w:sz="0" w:space="0" w:color="auto"/>
          </w:divBdr>
          <w:divsChild>
            <w:div w:id="297345935">
              <w:marLeft w:val="0"/>
              <w:marRight w:val="0"/>
              <w:marTop w:val="0"/>
              <w:marBottom w:val="0"/>
              <w:divBdr>
                <w:top w:val="none" w:sz="0" w:space="0" w:color="auto"/>
                <w:left w:val="none" w:sz="0" w:space="0" w:color="auto"/>
                <w:bottom w:val="none" w:sz="0" w:space="0" w:color="auto"/>
                <w:right w:val="none" w:sz="0" w:space="0" w:color="auto"/>
              </w:divBdr>
            </w:div>
          </w:divsChild>
        </w:div>
        <w:div w:id="1219853700">
          <w:marLeft w:val="0"/>
          <w:marRight w:val="0"/>
          <w:marTop w:val="0"/>
          <w:marBottom w:val="0"/>
          <w:divBdr>
            <w:top w:val="none" w:sz="0" w:space="0" w:color="auto"/>
            <w:left w:val="none" w:sz="0" w:space="0" w:color="auto"/>
            <w:bottom w:val="none" w:sz="0" w:space="0" w:color="auto"/>
            <w:right w:val="none" w:sz="0" w:space="0" w:color="auto"/>
          </w:divBdr>
          <w:divsChild>
            <w:div w:id="751123412">
              <w:marLeft w:val="0"/>
              <w:marRight w:val="0"/>
              <w:marTop w:val="0"/>
              <w:marBottom w:val="0"/>
              <w:divBdr>
                <w:top w:val="none" w:sz="0" w:space="0" w:color="auto"/>
                <w:left w:val="none" w:sz="0" w:space="0" w:color="auto"/>
                <w:bottom w:val="none" w:sz="0" w:space="0" w:color="auto"/>
                <w:right w:val="none" w:sz="0" w:space="0" w:color="auto"/>
              </w:divBdr>
            </w:div>
          </w:divsChild>
        </w:div>
        <w:div w:id="1221938878">
          <w:marLeft w:val="0"/>
          <w:marRight w:val="0"/>
          <w:marTop w:val="0"/>
          <w:marBottom w:val="0"/>
          <w:divBdr>
            <w:top w:val="none" w:sz="0" w:space="0" w:color="auto"/>
            <w:left w:val="none" w:sz="0" w:space="0" w:color="auto"/>
            <w:bottom w:val="none" w:sz="0" w:space="0" w:color="auto"/>
            <w:right w:val="none" w:sz="0" w:space="0" w:color="auto"/>
          </w:divBdr>
          <w:divsChild>
            <w:div w:id="1329141190">
              <w:marLeft w:val="0"/>
              <w:marRight w:val="0"/>
              <w:marTop w:val="0"/>
              <w:marBottom w:val="0"/>
              <w:divBdr>
                <w:top w:val="none" w:sz="0" w:space="0" w:color="auto"/>
                <w:left w:val="none" w:sz="0" w:space="0" w:color="auto"/>
                <w:bottom w:val="none" w:sz="0" w:space="0" w:color="auto"/>
                <w:right w:val="none" w:sz="0" w:space="0" w:color="auto"/>
              </w:divBdr>
            </w:div>
          </w:divsChild>
        </w:div>
        <w:div w:id="1248424043">
          <w:marLeft w:val="0"/>
          <w:marRight w:val="0"/>
          <w:marTop w:val="0"/>
          <w:marBottom w:val="0"/>
          <w:divBdr>
            <w:top w:val="none" w:sz="0" w:space="0" w:color="auto"/>
            <w:left w:val="none" w:sz="0" w:space="0" w:color="auto"/>
            <w:bottom w:val="none" w:sz="0" w:space="0" w:color="auto"/>
            <w:right w:val="none" w:sz="0" w:space="0" w:color="auto"/>
          </w:divBdr>
          <w:divsChild>
            <w:div w:id="1027682189">
              <w:marLeft w:val="0"/>
              <w:marRight w:val="0"/>
              <w:marTop w:val="0"/>
              <w:marBottom w:val="0"/>
              <w:divBdr>
                <w:top w:val="none" w:sz="0" w:space="0" w:color="auto"/>
                <w:left w:val="none" w:sz="0" w:space="0" w:color="auto"/>
                <w:bottom w:val="none" w:sz="0" w:space="0" w:color="auto"/>
                <w:right w:val="none" w:sz="0" w:space="0" w:color="auto"/>
              </w:divBdr>
            </w:div>
          </w:divsChild>
        </w:div>
        <w:div w:id="1296836908">
          <w:marLeft w:val="0"/>
          <w:marRight w:val="0"/>
          <w:marTop w:val="0"/>
          <w:marBottom w:val="0"/>
          <w:divBdr>
            <w:top w:val="none" w:sz="0" w:space="0" w:color="auto"/>
            <w:left w:val="none" w:sz="0" w:space="0" w:color="auto"/>
            <w:bottom w:val="none" w:sz="0" w:space="0" w:color="auto"/>
            <w:right w:val="none" w:sz="0" w:space="0" w:color="auto"/>
          </w:divBdr>
          <w:divsChild>
            <w:div w:id="562298999">
              <w:marLeft w:val="0"/>
              <w:marRight w:val="0"/>
              <w:marTop w:val="0"/>
              <w:marBottom w:val="0"/>
              <w:divBdr>
                <w:top w:val="none" w:sz="0" w:space="0" w:color="auto"/>
                <w:left w:val="none" w:sz="0" w:space="0" w:color="auto"/>
                <w:bottom w:val="none" w:sz="0" w:space="0" w:color="auto"/>
                <w:right w:val="none" w:sz="0" w:space="0" w:color="auto"/>
              </w:divBdr>
            </w:div>
          </w:divsChild>
        </w:div>
        <w:div w:id="1298562947">
          <w:marLeft w:val="0"/>
          <w:marRight w:val="0"/>
          <w:marTop w:val="0"/>
          <w:marBottom w:val="0"/>
          <w:divBdr>
            <w:top w:val="none" w:sz="0" w:space="0" w:color="auto"/>
            <w:left w:val="none" w:sz="0" w:space="0" w:color="auto"/>
            <w:bottom w:val="none" w:sz="0" w:space="0" w:color="auto"/>
            <w:right w:val="none" w:sz="0" w:space="0" w:color="auto"/>
          </w:divBdr>
          <w:divsChild>
            <w:div w:id="876431200">
              <w:marLeft w:val="0"/>
              <w:marRight w:val="0"/>
              <w:marTop w:val="0"/>
              <w:marBottom w:val="0"/>
              <w:divBdr>
                <w:top w:val="none" w:sz="0" w:space="0" w:color="auto"/>
                <w:left w:val="none" w:sz="0" w:space="0" w:color="auto"/>
                <w:bottom w:val="none" w:sz="0" w:space="0" w:color="auto"/>
                <w:right w:val="none" w:sz="0" w:space="0" w:color="auto"/>
              </w:divBdr>
            </w:div>
          </w:divsChild>
        </w:div>
        <w:div w:id="1326086709">
          <w:marLeft w:val="0"/>
          <w:marRight w:val="0"/>
          <w:marTop w:val="0"/>
          <w:marBottom w:val="0"/>
          <w:divBdr>
            <w:top w:val="none" w:sz="0" w:space="0" w:color="auto"/>
            <w:left w:val="none" w:sz="0" w:space="0" w:color="auto"/>
            <w:bottom w:val="none" w:sz="0" w:space="0" w:color="auto"/>
            <w:right w:val="none" w:sz="0" w:space="0" w:color="auto"/>
          </w:divBdr>
          <w:divsChild>
            <w:div w:id="1244872020">
              <w:marLeft w:val="0"/>
              <w:marRight w:val="0"/>
              <w:marTop w:val="0"/>
              <w:marBottom w:val="0"/>
              <w:divBdr>
                <w:top w:val="none" w:sz="0" w:space="0" w:color="auto"/>
                <w:left w:val="none" w:sz="0" w:space="0" w:color="auto"/>
                <w:bottom w:val="none" w:sz="0" w:space="0" w:color="auto"/>
                <w:right w:val="none" w:sz="0" w:space="0" w:color="auto"/>
              </w:divBdr>
            </w:div>
          </w:divsChild>
        </w:div>
        <w:div w:id="1341542717">
          <w:marLeft w:val="0"/>
          <w:marRight w:val="0"/>
          <w:marTop w:val="0"/>
          <w:marBottom w:val="0"/>
          <w:divBdr>
            <w:top w:val="none" w:sz="0" w:space="0" w:color="auto"/>
            <w:left w:val="none" w:sz="0" w:space="0" w:color="auto"/>
            <w:bottom w:val="none" w:sz="0" w:space="0" w:color="auto"/>
            <w:right w:val="none" w:sz="0" w:space="0" w:color="auto"/>
          </w:divBdr>
          <w:divsChild>
            <w:div w:id="1848254668">
              <w:marLeft w:val="0"/>
              <w:marRight w:val="0"/>
              <w:marTop w:val="0"/>
              <w:marBottom w:val="0"/>
              <w:divBdr>
                <w:top w:val="none" w:sz="0" w:space="0" w:color="auto"/>
                <w:left w:val="none" w:sz="0" w:space="0" w:color="auto"/>
                <w:bottom w:val="none" w:sz="0" w:space="0" w:color="auto"/>
                <w:right w:val="none" w:sz="0" w:space="0" w:color="auto"/>
              </w:divBdr>
            </w:div>
          </w:divsChild>
        </w:div>
        <w:div w:id="1360669558">
          <w:marLeft w:val="0"/>
          <w:marRight w:val="0"/>
          <w:marTop w:val="0"/>
          <w:marBottom w:val="0"/>
          <w:divBdr>
            <w:top w:val="none" w:sz="0" w:space="0" w:color="auto"/>
            <w:left w:val="none" w:sz="0" w:space="0" w:color="auto"/>
            <w:bottom w:val="none" w:sz="0" w:space="0" w:color="auto"/>
            <w:right w:val="none" w:sz="0" w:space="0" w:color="auto"/>
          </w:divBdr>
          <w:divsChild>
            <w:div w:id="600451160">
              <w:marLeft w:val="0"/>
              <w:marRight w:val="0"/>
              <w:marTop w:val="0"/>
              <w:marBottom w:val="0"/>
              <w:divBdr>
                <w:top w:val="none" w:sz="0" w:space="0" w:color="auto"/>
                <w:left w:val="none" w:sz="0" w:space="0" w:color="auto"/>
                <w:bottom w:val="none" w:sz="0" w:space="0" w:color="auto"/>
                <w:right w:val="none" w:sz="0" w:space="0" w:color="auto"/>
              </w:divBdr>
            </w:div>
          </w:divsChild>
        </w:div>
        <w:div w:id="1368070178">
          <w:marLeft w:val="0"/>
          <w:marRight w:val="0"/>
          <w:marTop w:val="0"/>
          <w:marBottom w:val="0"/>
          <w:divBdr>
            <w:top w:val="none" w:sz="0" w:space="0" w:color="auto"/>
            <w:left w:val="none" w:sz="0" w:space="0" w:color="auto"/>
            <w:bottom w:val="none" w:sz="0" w:space="0" w:color="auto"/>
            <w:right w:val="none" w:sz="0" w:space="0" w:color="auto"/>
          </w:divBdr>
          <w:divsChild>
            <w:div w:id="1587349570">
              <w:marLeft w:val="0"/>
              <w:marRight w:val="0"/>
              <w:marTop w:val="0"/>
              <w:marBottom w:val="0"/>
              <w:divBdr>
                <w:top w:val="none" w:sz="0" w:space="0" w:color="auto"/>
                <w:left w:val="none" w:sz="0" w:space="0" w:color="auto"/>
                <w:bottom w:val="none" w:sz="0" w:space="0" w:color="auto"/>
                <w:right w:val="none" w:sz="0" w:space="0" w:color="auto"/>
              </w:divBdr>
            </w:div>
          </w:divsChild>
        </w:div>
        <w:div w:id="1375889771">
          <w:marLeft w:val="0"/>
          <w:marRight w:val="0"/>
          <w:marTop w:val="0"/>
          <w:marBottom w:val="0"/>
          <w:divBdr>
            <w:top w:val="none" w:sz="0" w:space="0" w:color="auto"/>
            <w:left w:val="none" w:sz="0" w:space="0" w:color="auto"/>
            <w:bottom w:val="none" w:sz="0" w:space="0" w:color="auto"/>
            <w:right w:val="none" w:sz="0" w:space="0" w:color="auto"/>
          </w:divBdr>
          <w:divsChild>
            <w:div w:id="1580674797">
              <w:marLeft w:val="0"/>
              <w:marRight w:val="0"/>
              <w:marTop w:val="0"/>
              <w:marBottom w:val="0"/>
              <w:divBdr>
                <w:top w:val="none" w:sz="0" w:space="0" w:color="auto"/>
                <w:left w:val="none" w:sz="0" w:space="0" w:color="auto"/>
                <w:bottom w:val="none" w:sz="0" w:space="0" w:color="auto"/>
                <w:right w:val="none" w:sz="0" w:space="0" w:color="auto"/>
              </w:divBdr>
            </w:div>
          </w:divsChild>
        </w:div>
        <w:div w:id="1379472548">
          <w:marLeft w:val="0"/>
          <w:marRight w:val="0"/>
          <w:marTop w:val="0"/>
          <w:marBottom w:val="0"/>
          <w:divBdr>
            <w:top w:val="none" w:sz="0" w:space="0" w:color="auto"/>
            <w:left w:val="none" w:sz="0" w:space="0" w:color="auto"/>
            <w:bottom w:val="none" w:sz="0" w:space="0" w:color="auto"/>
            <w:right w:val="none" w:sz="0" w:space="0" w:color="auto"/>
          </w:divBdr>
          <w:divsChild>
            <w:div w:id="1276517193">
              <w:marLeft w:val="0"/>
              <w:marRight w:val="0"/>
              <w:marTop w:val="0"/>
              <w:marBottom w:val="0"/>
              <w:divBdr>
                <w:top w:val="none" w:sz="0" w:space="0" w:color="auto"/>
                <w:left w:val="none" w:sz="0" w:space="0" w:color="auto"/>
                <w:bottom w:val="none" w:sz="0" w:space="0" w:color="auto"/>
                <w:right w:val="none" w:sz="0" w:space="0" w:color="auto"/>
              </w:divBdr>
            </w:div>
          </w:divsChild>
        </w:div>
        <w:div w:id="1390573960">
          <w:marLeft w:val="0"/>
          <w:marRight w:val="0"/>
          <w:marTop w:val="0"/>
          <w:marBottom w:val="0"/>
          <w:divBdr>
            <w:top w:val="none" w:sz="0" w:space="0" w:color="auto"/>
            <w:left w:val="none" w:sz="0" w:space="0" w:color="auto"/>
            <w:bottom w:val="none" w:sz="0" w:space="0" w:color="auto"/>
            <w:right w:val="none" w:sz="0" w:space="0" w:color="auto"/>
          </w:divBdr>
          <w:divsChild>
            <w:div w:id="785343660">
              <w:marLeft w:val="0"/>
              <w:marRight w:val="0"/>
              <w:marTop w:val="0"/>
              <w:marBottom w:val="0"/>
              <w:divBdr>
                <w:top w:val="none" w:sz="0" w:space="0" w:color="auto"/>
                <w:left w:val="none" w:sz="0" w:space="0" w:color="auto"/>
                <w:bottom w:val="none" w:sz="0" w:space="0" w:color="auto"/>
                <w:right w:val="none" w:sz="0" w:space="0" w:color="auto"/>
              </w:divBdr>
            </w:div>
          </w:divsChild>
        </w:div>
        <w:div w:id="1395466720">
          <w:marLeft w:val="0"/>
          <w:marRight w:val="0"/>
          <w:marTop w:val="0"/>
          <w:marBottom w:val="0"/>
          <w:divBdr>
            <w:top w:val="none" w:sz="0" w:space="0" w:color="auto"/>
            <w:left w:val="none" w:sz="0" w:space="0" w:color="auto"/>
            <w:bottom w:val="none" w:sz="0" w:space="0" w:color="auto"/>
            <w:right w:val="none" w:sz="0" w:space="0" w:color="auto"/>
          </w:divBdr>
          <w:divsChild>
            <w:div w:id="930969884">
              <w:marLeft w:val="0"/>
              <w:marRight w:val="0"/>
              <w:marTop w:val="0"/>
              <w:marBottom w:val="0"/>
              <w:divBdr>
                <w:top w:val="none" w:sz="0" w:space="0" w:color="auto"/>
                <w:left w:val="none" w:sz="0" w:space="0" w:color="auto"/>
                <w:bottom w:val="none" w:sz="0" w:space="0" w:color="auto"/>
                <w:right w:val="none" w:sz="0" w:space="0" w:color="auto"/>
              </w:divBdr>
            </w:div>
          </w:divsChild>
        </w:div>
        <w:div w:id="1397971573">
          <w:marLeft w:val="0"/>
          <w:marRight w:val="0"/>
          <w:marTop w:val="0"/>
          <w:marBottom w:val="0"/>
          <w:divBdr>
            <w:top w:val="none" w:sz="0" w:space="0" w:color="auto"/>
            <w:left w:val="none" w:sz="0" w:space="0" w:color="auto"/>
            <w:bottom w:val="none" w:sz="0" w:space="0" w:color="auto"/>
            <w:right w:val="none" w:sz="0" w:space="0" w:color="auto"/>
          </w:divBdr>
          <w:divsChild>
            <w:div w:id="659773341">
              <w:marLeft w:val="0"/>
              <w:marRight w:val="0"/>
              <w:marTop w:val="0"/>
              <w:marBottom w:val="0"/>
              <w:divBdr>
                <w:top w:val="none" w:sz="0" w:space="0" w:color="auto"/>
                <w:left w:val="none" w:sz="0" w:space="0" w:color="auto"/>
                <w:bottom w:val="none" w:sz="0" w:space="0" w:color="auto"/>
                <w:right w:val="none" w:sz="0" w:space="0" w:color="auto"/>
              </w:divBdr>
            </w:div>
          </w:divsChild>
        </w:div>
        <w:div w:id="1398094150">
          <w:marLeft w:val="0"/>
          <w:marRight w:val="0"/>
          <w:marTop w:val="0"/>
          <w:marBottom w:val="0"/>
          <w:divBdr>
            <w:top w:val="none" w:sz="0" w:space="0" w:color="auto"/>
            <w:left w:val="none" w:sz="0" w:space="0" w:color="auto"/>
            <w:bottom w:val="none" w:sz="0" w:space="0" w:color="auto"/>
            <w:right w:val="none" w:sz="0" w:space="0" w:color="auto"/>
          </w:divBdr>
          <w:divsChild>
            <w:div w:id="1994747667">
              <w:marLeft w:val="0"/>
              <w:marRight w:val="0"/>
              <w:marTop w:val="0"/>
              <w:marBottom w:val="0"/>
              <w:divBdr>
                <w:top w:val="none" w:sz="0" w:space="0" w:color="auto"/>
                <w:left w:val="none" w:sz="0" w:space="0" w:color="auto"/>
                <w:bottom w:val="none" w:sz="0" w:space="0" w:color="auto"/>
                <w:right w:val="none" w:sz="0" w:space="0" w:color="auto"/>
              </w:divBdr>
            </w:div>
          </w:divsChild>
        </w:div>
        <w:div w:id="1408452828">
          <w:marLeft w:val="0"/>
          <w:marRight w:val="0"/>
          <w:marTop w:val="0"/>
          <w:marBottom w:val="0"/>
          <w:divBdr>
            <w:top w:val="none" w:sz="0" w:space="0" w:color="auto"/>
            <w:left w:val="none" w:sz="0" w:space="0" w:color="auto"/>
            <w:bottom w:val="none" w:sz="0" w:space="0" w:color="auto"/>
            <w:right w:val="none" w:sz="0" w:space="0" w:color="auto"/>
          </w:divBdr>
          <w:divsChild>
            <w:div w:id="1887447839">
              <w:marLeft w:val="0"/>
              <w:marRight w:val="0"/>
              <w:marTop w:val="0"/>
              <w:marBottom w:val="0"/>
              <w:divBdr>
                <w:top w:val="none" w:sz="0" w:space="0" w:color="auto"/>
                <w:left w:val="none" w:sz="0" w:space="0" w:color="auto"/>
                <w:bottom w:val="none" w:sz="0" w:space="0" w:color="auto"/>
                <w:right w:val="none" w:sz="0" w:space="0" w:color="auto"/>
              </w:divBdr>
            </w:div>
          </w:divsChild>
        </w:div>
        <w:div w:id="1408769382">
          <w:marLeft w:val="0"/>
          <w:marRight w:val="0"/>
          <w:marTop w:val="0"/>
          <w:marBottom w:val="0"/>
          <w:divBdr>
            <w:top w:val="none" w:sz="0" w:space="0" w:color="auto"/>
            <w:left w:val="none" w:sz="0" w:space="0" w:color="auto"/>
            <w:bottom w:val="none" w:sz="0" w:space="0" w:color="auto"/>
            <w:right w:val="none" w:sz="0" w:space="0" w:color="auto"/>
          </w:divBdr>
          <w:divsChild>
            <w:div w:id="1732653769">
              <w:marLeft w:val="0"/>
              <w:marRight w:val="0"/>
              <w:marTop w:val="0"/>
              <w:marBottom w:val="0"/>
              <w:divBdr>
                <w:top w:val="none" w:sz="0" w:space="0" w:color="auto"/>
                <w:left w:val="none" w:sz="0" w:space="0" w:color="auto"/>
                <w:bottom w:val="none" w:sz="0" w:space="0" w:color="auto"/>
                <w:right w:val="none" w:sz="0" w:space="0" w:color="auto"/>
              </w:divBdr>
            </w:div>
          </w:divsChild>
        </w:div>
        <w:div w:id="1426655147">
          <w:marLeft w:val="0"/>
          <w:marRight w:val="0"/>
          <w:marTop w:val="0"/>
          <w:marBottom w:val="0"/>
          <w:divBdr>
            <w:top w:val="none" w:sz="0" w:space="0" w:color="auto"/>
            <w:left w:val="none" w:sz="0" w:space="0" w:color="auto"/>
            <w:bottom w:val="none" w:sz="0" w:space="0" w:color="auto"/>
            <w:right w:val="none" w:sz="0" w:space="0" w:color="auto"/>
          </w:divBdr>
          <w:divsChild>
            <w:div w:id="327755404">
              <w:marLeft w:val="0"/>
              <w:marRight w:val="0"/>
              <w:marTop w:val="0"/>
              <w:marBottom w:val="0"/>
              <w:divBdr>
                <w:top w:val="none" w:sz="0" w:space="0" w:color="auto"/>
                <w:left w:val="none" w:sz="0" w:space="0" w:color="auto"/>
                <w:bottom w:val="none" w:sz="0" w:space="0" w:color="auto"/>
                <w:right w:val="none" w:sz="0" w:space="0" w:color="auto"/>
              </w:divBdr>
            </w:div>
          </w:divsChild>
        </w:div>
        <w:div w:id="1428039275">
          <w:marLeft w:val="0"/>
          <w:marRight w:val="0"/>
          <w:marTop w:val="0"/>
          <w:marBottom w:val="0"/>
          <w:divBdr>
            <w:top w:val="none" w:sz="0" w:space="0" w:color="auto"/>
            <w:left w:val="none" w:sz="0" w:space="0" w:color="auto"/>
            <w:bottom w:val="none" w:sz="0" w:space="0" w:color="auto"/>
            <w:right w:val="none" w:sz="0" w:space="0" w:color="auto"/>
          </w:divBdr>
          <w:divsChild>
            <w:div w:id="931158595">
              <w:marLeft w:val="0"/>
              <w:marRight w:val="0"/>
              <w:marTop w:val="0"/>
              <w:marBottom w:val="0"/>
              <w:divBdr>
                <w:top w:val="none" w:sz="0" w:space="0" w:color="auto"/>
                <w:left w:val="none" w:sz="0" w:space="0" w:color="auto"/>
                <w:bottom w:val="none" w:sz="0" w:space="0" w:color="auto"/>
                <w:right w:val="none" w:sz="0" w:space="0" w:color="auto"/>
              </w:divBdr>
            </w:div>
          </w:divsChild>
        </w:div>
        <w:div w:id="1442798372">
          <w:marLeft w:val="0"/>
          <w:marRight w:val="0"/>
          <w:marTop w:val="0"/>
          <w:marBottom w:val="0"/>
          <w:divBdr>
            <w:top w:val="none" w:sz="0" w:space="0" w:color="auto"/>
            <w:left w:val="none" w:sz="0" w:space="0" w:color="auto"/>
            <w:bottom w:val="none" w:sz="0" w:space="0" w:color="auto"/>
            <w:right w:val="none" w:sz="0" w:space="0" w:color="auto"/>
          </w:divBdr>
          <w:divsChild>
            <w:div w:id="1568809275">
              <w:marLeft w:val="0"/>
              <w:marRight w:val="0"/>
              <w:marTop w:val="0"/>
              <w:marBottom w:val="0"/>
              <w:divBdr>
                <w:top w:val="none" w:sz="0" w:space="0" w:color="auto"/>
                <w:left w:val="none" w:sz="0" w:space="0" w:color="auto"/>
                <w:bottom w:val="none" w:sz="0" w:space="0" w:color="auto"/>
                <w:right w:val="none" w:sz="0" w:space="0" w:color="auto"/>
              </w:divBdr>
            </w:div>
          </w:divsChild>
        </w:div>
        <w:div w:id="1455252724">
          <w:marLeft w:val="0"/>
          <w:marRight w:val="0"/>
          <w:marTop w:val="0"/>
          <w:marBottom w:val="0"/>
          <w:divBdr>
            <w:top w:val="none" w:sz="0" w:space="0" w:color="auto"/>
            <w:left w:val="none" w:sz="0" w:space="0" w:color="auto"/>
            <w:bottom w:val="none" w:sz="0" w:space="0" w:color="auto"/>
            <w:right w:val="none" w:sz="0" w:space="0" w:color="auto"/>
          </w:divBdr>
          <w:divsChild>
            <w:div w:id="1103108717">
              <w:marLeft w:val="0"/>
              <w:marRight w:val="0"/>
              <w:marTop w:val="0"/>
              <w:marBottom w:val="0"/>
              <w:divBdr>
                <w:top w:val="none" w:sz="0" w:space="0" w:color="auto"/>
                <w:left w:val="none" w:sz="0" w:space="0" w:color="auto"/>
                <w:bottom w:val="none" w:sz="0" w:space="0" w:color="auto"/>
                <w:right w:val="none" w:sz="0" w:space="0" w:color="auto"/>
              </w:divBdr>
            </w:div>
          </w:divsChild>
        </w:div>
        <w:div w:id="1461338355">
          <w:marLeft w:val="0"/>
          <w:marRight w:val="0"/>
          <w:marTop w:val="0"/>
          <w:marBottom w:val="0"/>
          <w:divBdr>
            <w:top w:val="none" w:sz="0" w:space="0" w:color="auto"/>
            <w:left w:val="none" w:sz="0" w:space="0" w:color="auto"/>
            <w:bottom w:val="none" w:sz="0" w:space="0" w:color="auto"/>
            <w:right w:val="none" w:sz="0" w:space="0" w:color="auto"/>
          </w:divBdr>
          <w:divsChild>
            <w:div w:id="1228686470">
              <w:marLeft w:val="0"/>
              <w:marRight w:val="0"/>
              <w:marTop w:val="0"/>
              <w:marBottom w:val="0"/>
              <w:divBdr>
                <w:top w:val="none" w:sz="0" w:space="0" w:color="auto"/>
                <w:left w:val="none" w:sz="0" w:space="0" w:color="auto"/>
                <w:bottom w:val="none" w:sz="0" w:space="0" w:color="auto"/>
                <w:right w:val="none" w:sz="0" w:space="0" w:color="auto"/>
              </w:divBdr>
            </w:div>
          </w:divsChild>
        </w:div>
        <w:div w:id="1462966586">
          <w:marLeft w:val="0"/>
          <w:marRight w:val="0"/>
          <w:marTop w:val="0"/>
          <w:marBottom w:val="0"/>
          <w:divBdr>
            <w:top w:val="none" w:sz="0" w:space="0" w:color="auto"/>
            <w:left w:val="none" w:sz="0" w:space="0" w:color="auto"/>
            <w:bottom w:val="none" w:sz="0" w:space="0" w:color="auto"/>
            <w:right w:val="none" w:sz="0" w:space="0" w:color="auto"/>
          </w:divBdr>
          <w:divsChild>
            <w:div w:id="198320803">
              <w:marLeft w:val="0"/>
              <w:marRight w:val="0"/>
              <w:marTop w:val="0"/>
              <w:marBottom w:val="0"/>
              <w:divBdr>
                <w:top w:val="none" w:sz="0" w:space="0" w:color="auto"/>
                <w:left w:val="none" w:sz="0" w:space="0" w:color="auto"/>
                <w:bottom w:val="none" w:sz="0" w:space="0" w:color="auto"/>
                <w:right w:val="none" w:sz="0" w:space="0" w:color="auto"/>
              </w:divBdr>
            </w:div>
          </w:divsChild>
        </w:div>
        <w:div w:id="1465195412">
          <w:marLeft w:val="0"/>
          <w:marRight w:val="0"/>
          <w:marTop w:val="0"/>
          <w:marBottom w:val="0"/>
          <w:divBdr>
            <w:top w:val="none" w:sz="0" w:space="0" w:color="auto"/>
            <w:left w:val="none" w:sz="0" w:space="0" w:color="auto"/>
            <w:bottom w:val="none" w:sz="0" w:space="0" w:color="auto"/>
            <w:right w:val="none" w:sz="0" w:space="0" w:color="auto"/>
          </w:divBdr>
          <w:divsChild>
            <w:div w:id="426971977">
              <w:marLeft w:val="0"/>
              <w:marRight w:val="0"/>
              <w:marTop w:val="0"/>
              <w:marBottom w:val="0"/>
              <w:divBdr>
                <w:top w:val="none" w:sz="0" w:space="0" w:color="auto"/>
                <w:left w:val="none" w:sz="0" w:space="0" w:color="auto"/>
                <w:bottom w:val="none" w:sz="0" w:space="0" w:color="auto"/>
                <w:right w:val="none" w:sz="0" w:space="0" w:color="auto"/>
              </w:divBdr>
            </w:div>
          </w:divsChild>
        </w:div>
        <w:div w:id="1465810607">
          <w:marLeft w:val="0"/>
          <w:marRight w:val="0"/>
          <w:marTop w:val="0"/>
          <w:marBottom w:val="0"/>
          <w:divBdr>
            <w:top w:val="none" w:sz="0" w:space="0" w:color="auto"/>
            <w:left w:val="none" w:sz="0" w:space="0" w:color="auto"/>
            <w:bottom w:val="none" w:sz="0" w:space="0" w:color="auto"/>
            <w:right w:val="none" w:sz="0" w:space="0" w:color="auto"/>
          </w:divBdr>
          <w:divsChild>
            <w:div w:id="380176593">
              <w:marLeft w:val="0"/>
              <w:marRight w:val="0"/>
              <w:marTop w:val="0"/>
              <w:marBottom w:val="0"/>
              <w:divBdr>
                <w:top w:val="none" w:sz="0" w:space="0" w:color="auto"/>
                <w:left w:val="none" w:sz="0" w:space="0" w:color="auto"/>
                <w:bottom w:val="none" w:sz="0" w:space="0" w:color="auto"/>
                <w:right w:val="none" w:sz="0" w:space="0" w:color="auto"/>
              </w:divBdr>
            </w:div>
          </w:divsChild>
        </w:div>
        <w:div w:id="1467509702">
          <w:marLeft w:val="0"/>
          <w:marRight w:val="0"/>
          <w:marTop w:val="0"/>
          <w:marBottom w:val="0"/>
          <w:divBdr>
            <w:top w:val="none" w:sz="0" w:space="0" w:color="auto"/>
            <w:left w:val="none" w:sz="0" w:space="0" w:color="auto"/>
            <w:bottom w:val="none" w:sz="0" w:space="0" w:color="auto"/>
            <w:right w:val="none" w:sz="0" w:space="0" w:color="auto"/>
          </w:divBdr>
          <w:divsChild>
            <w:div w:id="595554004">
              <w:marLeft w:val="0"/>
              <w:marRight w:val="0"/>
              <w:marTop w:val="0"/>
              <w:marBottom w:val="0"/>
              <w:divBdr>
                <w:top w:val="none" w:sz="0" w:space="0" w:color="auto"/>
                <w:left w:val="none" w:sz="0" w:space="0" w:color="auto"/>
                <w:bottom w:val="none" w:sz="0" w:space="0" w:color="auto"/>
                <w:right w:val="none" w:sz="0" w:space="0" w:color="auto"/>
              </w:divBdr>
            </w:div>
          </w:divsChild>
        </w:div>
        <w:div w:id="1483891483">
          <w:marLeft w:val="0"/>
          <w:marRight w:val="0"/>
          <w:marTop w:val="0"/>
          <w:marBottom w:val="0"/>
          <w:divBdr>
            <w:top w:val="none" w:sz="0" w:space="0" w:color="auto"/>
            <w:left w:val="none" w:sz="0" w:space="0" w:color="auto"/>
            <w:bottom w:val="none" w:sz="0" w:space="0" w:color="auto"/>
            <w:right w:val="none" w:sz="0" w:space="0" w:color="auto"/>
          </w:divBdr>
          <w:divsChild>
            <w:div w:id="1891768667">
              <w:marLeft w:val="0"/>
              <w:marRight w:val="0"/>
              <w:marTop w:val="0"/>
              <w:marBottom w:val="0"/>
              <w:divBdr>
                <w:top w:val="none" w:sz="0" w:space="0" w:color="auto"/>
                <w:left w:val="none" w:sz="0" w:space="0" w:color="auto"/>
                <w:bottom w:val="none" w:sz="0" w:space="0" w:color="auto"/>
                <w:right w:val="none" w:sz="0" w:space="0" w:color="auto"/>
              </w:divBdr>
            </w:div>
          </w:divsChild>
        </w:div>
        <w:div w:id="1488284432">
          <w:marLeft w:val="0"/>
          <w:marRight w:val="0"/>
          <w:marTop w:val="0"/>
          <w:marBottom w:val="0"/>
          <w:divBdr>
            <w:top w:val="none" w:sz="0" w:space="0" w:color="auto"/>
            <w:left w:val="none" w:sz="0" w:space="0" w:color="auto"/>
            <w:bottom w:val="none" w:sz="0" w:space="0" w:color="auto"/>
            <w:right w:val="none" w:sz="0" w:space="0" w:color="auto"/>
          </w:divBdr>
          <w:divsChild>
            <w:div w:id="94714940">
              <w:marLeft w:val="0"/>
              <w:marRight w:val="0"/>
              <w:marTop w:val="0"/>
              <w:marBottom w:val="0"/>
              <w:divBdr>
                <w:top w:val="none" w:sz="0" w:space="0" w:color="auto"/>
                <w:left w:val="none" w:sz="0" w:space="0" w:color="auto"/>
                <w:bottom w:val="none" w:sz="0" w:space="0" w:color="auto"/>
                <w:right w:val="none" w:sz="0" w:space="0" w:color="auto"/>
              </w:divBdr>
            </w:div>
          </w:divsChild>
        </w:div>
        <w:div w:id="1494250992">
          <w:marLeft w:val="0"/>
          <w:marRight w:val="0"/>
          <w:marTop w:val="0"/>
          <w:marBottom w:val="0"/>
          <w:divBdr>
            <w:top w:val="none" w:sz="0" w:space="0" w:color="auto"/>
            <w:left w:val="none" w:sz="0" w:space="0" w:color="auto"/>
            <w:bottom w:val="none" w:sz="0" w:space="0" w:color="auto"/>
            <w:right w:val="none" w:sz="0" w:space="0" w:color="auto"/>
          </w:divBdr>
          <w:divsChild>
            <w:div w:id="2074963608">
              <w:marLeft w:val="0"/>
              <w:marRight w:val="0"/>
              <w:marTop w:val="0"/>
              <w:marBottom w:val="0"/>
              <w:divBdr>
                <w:top w:val="none" w:sz="0" w:space="0" w:color="auto"/>
                <w:left w:val="none" w:sz="0" w:space="0" w:color="auto"/>
                <w:bottom w:val="none" w:sz="0" w:space="0" w:color="auto"/>
                <w:right w:val="none" w:sz="0" w:space="0" w:color="auto"/>
              </w:divBdr>
            </w:div>
          </w:divsChild>
        </w:div>
        <w:div w:id="1497648132">
          <w:marLeft w:val="0"/>
          <w:marRight w:val="0"/>
          <w:marTop w:val="0"/>
          <w:marBottom w:val="0"/>
          <w:divBdr>
            <w:top w:val="none" w:sz="0" w:space="0" w:color="auto"/>
            <w:left w:val="none" w:sz="0" w:space="0" w:color="auto"/>
            <w:bottom w:val="none" w:sz="0" w:space="0" w:color="auto"/>
            <w:right w:val="none" w:sz="0" w:space="0" w:color="auto"/>
          </w:divBdr>
          <w:divsChild>
            <w:div w:id="1442648394">
              <w:marLeft w:val="0"/>
              <w:marRight w:val="0"/>
              <w:marTop w:val="0"/>
              <w:marBottom w:val="0"/>
              <w:divBdr>
                <w:top w:val="none" w:sz="0" w:space="0" w:color="auto"/>
                <w:left w:val="none" w:sz="0" w:space="0" w:color="auto"/>
                <w:bottom w:val="none" w:sz="0" w:space="0" w:color="auto"/>
                <w:right w:val="none" w:sz="0" w:space="0" w:color="auto"/>
              </w:divBdr>
            </w:div>
          </w:divsChild>
        </w:div>
        <w:div w:id="1499687929">
          <w:marLeft w:val="0"/>
          <w:marRight w:val="0"/>
          <w:marTop w:val="0"/>
          <w:marBottom w:val="0"/>
          <w:divBdr>
            <w:top w:val="none" w:sz="0" w:space="0" w:color="auto"/>
            <w:left w:val="none" w:sz="0" w:space="0" w:color="auto"/>
            <w:bottom w:val="none" w:sz="0" w:space="0" w:color="auto"/>
            <w:right w:val="none" w:sz="0" w:space="0" w:color="auto"/>
          </w:divBdr>
          <w:divsChild>
            <w:div w:id="1572543122">
              <w:marLeft w:val="0"/>
              <w:marRight w:val="0"/>
              <w:marTop w:val="0"/>
              <w:marBottom w:val="0"/>
              <w:divBdr>
                <w:top w:val="none" w:sz="0" w:space="0" w:color="auto"/>
                <w:left w:val="none" w:sz="0" w:space="0" w:color="auto"/>
                <w:bottom w:val="none" w:sz="0" w:space="0" w:color="auto"/>
                <w:right w:val="none" w:sz="0" w:space="0" w:color="auto"/>
              </w:divBdr>
            </w:div>
          </w:divsChild>
        </w:div>
        <w:div w:id="1514764928">
          <w:marLeft w:val="0"/>
          <w:marRight w:val="0"/>
          <w:marTop w:val="0"/>
          <w:marBottom w:val="0"/>
          <w:divBdr>
            <w:top w:val="none" w:sz="0" w:space="0" w:color="auto"/>
            <w:left w:val="none" w:sz="0" w:space="0" w:color="auto"/>
            <w:bottom w:val="none" w:sz="0" w:space="0" w:color="auto"/>
            <w:right w:val="none" w:sz="0" w:space="0" w:color="auto"/>
          </w:divBdr>
          <w:divsChild>
            <w:div w:id="1274283995">
              <w:marLeft w:val="0"/>
              <w:marRight w:val="0"/>
              <w:marTop w:val="0"/>
              <w:marBottom w:val="0"/>
              <w:divBdr>
                <w:top w:val="none" w:sz="0" w:space="0" w:color="auto"/>
                <w:left w:val="none" w:sz="0" w:space="0" w:color="auto"/>
                <w:bottom w:val="none" w:sz="0" w:space="0" w:color="auto"/>
                <w:right w:val="none" w:sz="0" w:space="0" w:color="auto"/>
              </w:divBdr>
            </w:div>
          </w:divsChild>
        </w:div>
        <w:div w:id="1531531897">
          <w:marLeft w:val="0"/>
          <w:marRight w:val="0"/>
          <w:marTop w:val="0"/>
          <w:marBottom w:val="0"/>
          <w:divBdr>
            <w:top w:val="none" w:sz="0" w:space="0" w:color="auto"/>
            <w:left w:val="none" w:sz="0" w:space="0" w:color="auto"/>
            <w:bottom w:val="none" w:sz="0" w:space="0" w:color="auto"/>
            <w:right w:val="none" w:sz="0" w:space="0" w:color="auto"/>
          </w:divBdr>
          <w:divsChild>
            <w:div w:id="705914616">
              <w:marLeft w:val="0"/>
              <w:marRight w:val="0"/>
              <w:marTop w:val="0"/>
              <w:marBottom w:val="0"/>
              <w:divBdr>
                <w:top w:val="none" w:sz="0" w:space="0" w:color="auto"/>
                <w:left w:val="none" w:sz="0" w:space="0" w:color="auto"/>
                <w:bottom w:val="none" w:sz="0" w:space="0" w:color="auto"/>
                <w:right w:val="none" w:sz="0" w:space="0" w:color="auto"/>
              </w:divBdr>
            </w:div>
          </w:divsChild>
        </w:div>
        <w:div w:id="1533760526">
          <w:marLeft w:val="0"/>
          <w:marRight w:val="0"/>
          <w:marTop w:val="0"/>
          <w:marBottom w:val="0"/>
          <w:divBdr>
            <w:top w:val="none" w:sz="0" w:space="0" w:color="auto"/>
            <w:left w:val="none" w:sz="0" w:space="0" w:color="auto"/>
            <w:bottom w:val="none" w:sz="0" w:space="0" w:color="auto"/>
            <w:right w:val="none" w:sz="0" w:space="0" w:color="auto"/>
          </w:divBdr>
          <w:divsChild>
            <w:div w:id="2080054590">
              <w:marLeft w:val="0"/>
              <w:marRight w:val="0"/>
              <w:marTop w:val="0"/>
              <w:marBottom w:val="0"/>
              <w:divBdr>
                <w:top w:val="none" w:sz="0" w:space="0" w:color="auto"/>
                <w:left w:val="none" w:sz="0" w:space="0" w:color="auto"/>
                <w:bottom w:val="none" w:sz="0" w:space="0" w:color="auto"/>
                <w:right w:val="none" w:sz="0" w:space="0" w:color="auto"/>
              </w:divBdr>
            </w:div>
          </w:divsChild>
        </w:div>
        <w:div w:id="1534539179">
          <w:marLeft w:val="0"/>
          <w:marRight w:val="0"/>
          <w:marTop w:val="0"/>
          <w:marBottom w:val="0"/>
          <w:divBdr>
            <w:top w:val="none" w:sz="0" w:space="0" w:color="auto"/>
            <w:left w:val="none" w:sz="0" w:space="0" w:color="auto"/>
            <w:bottom w:val="none" w:sz="0" w:space="0" w:color="auto"/>
            <w:right w:val="none" w:sz="0" w:space="0" w:color="auto"/>
          </w:divBdr>
          <w:divsChild>
            <w:div w:id="1793404286">
              <w:marLeft w:val="0"/>
              <w:marRight w:val="0"/>
              <w:marTop w:val="0"/>
              <w:marBottom w:val="0"/>
              <w:divBdr>
                <w:top w:val="none" w:sz="0" w:space="0" w:color="auto"/>
                <w:left w:val="none" w:sz="0" w:space="0" w:color="auto"/>
                <w:bottom w:val="none" w:sz="0" w:space="0" w:color="auto"/>
                <w:right w:val="none" w:sz="0" w:space="0" w:color="auto"/>
              </w:divBdr>
            </w:div>
          </w:divsChild>
        </w:div>
        <w:div w:id="1539586121">
          <w:marLeft w:val="0"/>
          <w:marRight w:val="0"/>
          <w:marTop w:val="0"/>
          <w:marBottom w:val="0"/>
          <w:divBdr>
            <w:top w:val="none" w:sz="0" w:space="0" w:color="auto"/>
            <w:left w:val="none" w:sz="0" w:space="0" w:color="auto"/>
            <w:bottom w:val="none" w:sz="0" w:space="0" w:color="auto"/>
            <w:right w:val="none" w:sz="0" w:space="0" w:color="auto"/>
          </w:divBdr>
          <w:divsChild>
            <w:div w:id="1994093502">
              <w:marLeft w:val="0"/>
              <w:marRight w:val="0"/>
              <w:marTop w:val="0"/>
              <w:marBottom w:val="0"/>
              <w:divBdr>
                <w:top w:val="none" w:sz="0" w:space="0" w:color="auto"/>
                <w:left w:val="none" w:sz="0" w:space="0" w:color="auto"/>
                <w:bottom w:val="none" w:sz="0" w:space="0" w:color="auto"/>
                <w:right w:val="none" w:sz="0" w:space="0" w:color="auto"/>
              </w:divBdr>
            </w:div>
          </w:divsChild>
        </w:div>
        <w:div w:id="1541556651">
          <w:marLeft w:val="0"/>
          <w:marRight w:val="0"/>
          <w:marTop w:val="0"/>
          <w:marBottom w:val="0"/>
          <w:divBdr>
            <w:top w:val="none" w:sz="0" w:space="0" w:color="auto"/>
            <w:left w:val="none" w:sz="0" w:space="0" w:color="auto"/>
            <w:bottom w:val="none" w:sz="0" w:space="0" w:color="auto"/>
            <w:right w:val="none" w:sz="0" w:space="0" w:color="auto"/>
          </w:divBdr>
          <w:divsChild>
            <w:div w:id="1774666979">
              <w:marLeft w:val="0"/>
              <w:marRight w:val="0"/>
              <w:marTop w:val="0"/>
              <w:marBottom w:val="0"/>
              <w:divBdr>
                <w:top w:val="none" w:sz="0" w:space="0" w:color="auto"/>
                <w:left w:val="none" w:sz="0" w:space="0" w:color="auto"/>
                <w:bottom w:val="none" w:sz="0" w:space="0" w:color="auto"/>
                <w:right w:val="none" w:sz="0" w:space="0" w:color="auto"/>
              </w:divBdr>
            </w:div>
          </w:divsChild>
        </w:div>
        <w:div w:id="1547713170">
          <w:marLeft w:val="0"/>
          <w:marRight w:val="0"/>
          <w:marTop w:val="0"/>
          <w:marBottom w:val="0"/>
          <w:divBdr>
            <w:top w:val="none" w:sz="0" w:space="0" w:color="auto"/>
            <w:left w:val="none" w:sz="0" w:space="0" w:color="auto"/>
            <w:bottom w:val="none" w:sz="0" w:space="0" w:color="auto"/>
            <w:right w:val="none" w:sz="0" w:space="0" w:color="auto"/>
          </w:divBdr>
          <w:divsChild>
            <w:div w:id="688220653">
              <w:marLeft w:val="0"/>
              <w:marRight w:val="0"/>
              <w:marTop w:val="0"/>
              <w:marBottom w:val="0"/>
              <w:divBdr>
                <w:top w:val="none" w:sz="0" w:space="0" w:color="auto"/>
                <w:left w:val="none" w:sz="0" w:space="0" w:color="auto"/>
                <w:bottom w:val="none" w:sz="0" w:space="0" w:color="auto"/>
                <w:right w:val="none" w:sz="0" w:space="0" w:color="auto"/>
              </w:divBdr>
            </w:div>
          </w:divsChild>
        </w:div>
        <w:div w:id="1550528604">
          <w:marLeft w:val="0"/>
          <w:marRight w:val="0"/>
          <w:marTop w:val="0"/>
          <w:marBottom w:val="0"/>
          <w:divBdr>
            <w:top w:val="none" w:sz="0" w:space="0" w:color="auto"/>
            <w:left w:val="none" w:sz="0" w:space="0" w:color="auto"/>
            <w:bottom w:val="none" w:sz="0" w:space="0" w:color="auto"/>
            <w:right w:val="none" w:sz="0" w:space="0" w:color="auto"/>
          </w:divBdr>
          <w:divsChild>
            <w:div w:id="598945784">
              <w:marLeft w:val="0"/>
              <w:marRight w:val="0"/>
              <w:marTop w:val="0"/>
              <w:marBottom w:val="0"/>
              <w:divBdr>
                <w:top w:val="none" w:sz="0" w:space="0" w:color="auto"/>
                <w:left w:val="none" w:sz="0" w:space="0" w:color="auto"/>
                <w:bottom w:val="none" w:sz="0" w:space="0" w:color="auto"/>
                <w:right w:val="none" w:sz="0" w:space="0" w:color="auto"/>
              </w:divBdr>
            </w:div>
          </w:divsChild>
        </w:div>
        <w:div w:id="1559781690">
          <w:marLeft w:val="0"/>
          <w:marRight w:val="0"/>
          <w:marTop w:val="0"/>
          <w:marBottom w:val="0"/>
          <w:divBdr>
            <w:top w:val="none" w:sz="0" w:space="0" w:color="auto"/>
            <w:left w:val="none" w:sz="0" w:space="0" w:color="auto"/>
            <w:bottom w:val="none" w:sz="0" w:space="0" w:color="auto"/>
            <w:right w:val="none" w:sz="0" w:space="0" w:color="auto"/>
          </w:divBdr>
          <w:divsChild>
            <w:div w:id="1414160513">
              <w:marLeft w:val="0"/>
              <w:marRight w:val="0"/>
              <w:marTop w:val="0"/>
              <w:marBottom w:val="0"/>
              <w:divBdr>
                <w:top w:val="none" w:sz="0" w:space="0" w:color="auto"/>
                <w:left w:val="none" w:sz="0" w:space="0" w:color="auto"/>
                <w:bottom w:val="none" w:sz="0" w:space="0" w:color="auto"/>
                <w:right w:val="none" w:sz="0" w:space="0" w:color="auto"/>
              </w:divBdr>
            </w:div>
          </w:divsChild>
        </w:div>
        <w:div w:id="1580750588">
          <w:marLeft w:val="0"/>
          <w:marRight w:val="0"/>
          <w:marTop w:val="0"/>
          <w:marBottom w:val="0"/>
          <w:divBdr>
            <w:top w:val="none" w:sz="0" w:space="0" w:color="auto"/>
            <w:left w:val="none" w:sz="0" w:space="0" w:color="auto"/>
            <w:bottom w:val="none" w:sz="0" w:space="0" w:color="auto"/>
            <w:right w:val="none" w:sz="0" w:space="0" w:color="auto"/>
          </w:divBdr>
          <w:divsChild>
            <w:div w:id="864445162">
              <w:marLeft w:val="0"/>
              <w:marRight w:val="0"/>
              <w:marTop w:val="0"/>
              <w:marBottom w:val="0"/>
              <w:divBdr>
                <w:top w:val="none" w:sz="0" w:space="0" w:color="auto"/>
                <w:left w:val="none" w:sz="0" w:space="0" w:color="auto"/>
                <w:bottom w:val="none" w:sz="0" w:space="0" w:color="auto"/>
                <w:right w:val="none" w:sz="0" w:space="0" w:color="auto"/>
              </w:divBdr>
            </w:div>
          </w:divsChild>
        </w:div>
        <w:div w:id="1585144029">
          <w:marLeft w:val="0"/>
          <w:marRight w:val="0"/>
          <w:marTop w:val="0"/>
          <w:marBottom w:val="0"/>
          <w:divBdr>
            <w:top w:val="none" w:sz="0" w:space="0" w:color="auto"/>
            <w:left w:val="none" w:sz="0" w:space="0" w:color="auto"/>
            <w:bottom w:val="none" w:sz="0" w:space="0" w:color="auto"/>
            <w:right w:val="none" w:sz="0" w:space="0" w:color="auto"/>
          </w:divBdr>
          <w:divsChild>
            <w:div w:id="14424145">
              <w:marLeft w:val="0"/>
              <w:marRight w:val="0"/>
              <w:marTop w:val="0"/>
              <w:marBottom w:val="0"/>
              <w:divBdr>
                <w:top w:val="none" w:sz="0" w:space="0" w:color="auto"/>
                <w:left w:val="none" w:sz="0" w:space="0" w:color="auto"/>
                <w:bottom w:val="none" w:sz="0" w:space="0" w:color="auto"/>
                <w:right w:val="none" w:sz="0" w:space="0" w:color="auto"/>
              </w:divBdr>
            </w:div>
          </w:divsChild>
        </w:div>
        <w:div w:id="1621840648">
          <w:marLeft w:val="0"/>
          <w:marRight w:val="0"/>
          <w:marTop w:val="0"/>
          <w:marBottom w:val="0"/>
          <w:divBdr>
            <w:top w:val="none" w:sz="0" w:space="0" w:color="auto"/>
            <w:left w:val="none" w:sz="0" w:space="0" w:color="auto"/>
            <w:bottom w:val="none" w:sz="0" w:space="0" w:color="auto"/>
            <w:right w:val="none" w:sz="0" w:space="0" w:color="auto"/>
          </w:divBdr>
          <w:divsChild>
            <w:div w:id="1923562513">
              <w:marLeft w:val="0"/>
              <w:marRight w:val="0"/>
              <w:marTop w:val="0"/>
              <w:marBottom w:val="0"/>
              <w:divBdr>
                <w:top w:val="none" w:sz="0" w:space="0" w:color="auto"/>
                <w:left w:val="none" w:sz="0" w:space="0" w:color="auto"/>
                <w:bottom w:val="none" w:sz="0" w:space="0" w:color="auto"/>
                <w:right w:val="none" w:sz="0" w:space="0" w:color="auto"/>
              </w:divBdr>
            </w:div>
          </w:divsChild>
        </w:div>
        <w:div w:id="1638760111">
          <w:marLeft w:val="0"/>
          <w:marRight w:val="0"/>
          <w:marTop w:val="0"/>
          <w:marBottom w:val="0"/>
          <w:divBdr>
            <w:top w:val="none" w:sz="0" w:space="0" w:color="auto"/>
            <w:left w:val="none" w:sz="0" w:space="0" w:color="auto"/>
            <w:bottom w:val="none" w:sz="0" w:space="0" w:color="auto"/>
            <w:right w:val="none" w:sz="0" w:space="0" w:color="auto"/>
          </w:divBdr>
          <w:divsChild>
            <w:div w:id="1909880893">
              <w:marLeft w:val="0"/>
              <w:marRight w:val="0"/>
              <w:marTop w:val="0"/>
              <w:marBottom w:val="0"/>
              <w:divBdr>
                <w:top w:val="none" w:sz="0" w:space="0" w:color="auto"/>
                <w:left w:val="none" w:sz="0" w:space="0" w:color="auto"/>
                <w:bottom w:val="none" w:sz="0" w:space="0" w:color="auto"/>
                <w:right w:val="none" w:sz="0" w:space="0" w:color="auto"/>
              </w:divBdr>
            </w:div>
          </w:divsChild>
        </w:div>
        <w:div w:id="1646665873">
          <w:marLeft w:val="0"/>
          <w:marRight w:val="0"/>
          <w:marTop w:val="0"/>
          <w:marBottom w:val="0"/>
          <w:divBdr>
            <w:top w:val="none" w:sz="0" w:space="0" w:color="auto"/>
            <w:left w:val="none" w:sz="0" w:space="0" w:color="auto"/>
            <w:bottom w:val="none" w:sz="0" w:space="0" w:color="auto"/>
            <w:right w:val="none" w:sz="0" w:space="0" w:color="auto"/>
          </w:divBdr>
          <w:divsChild>
            <w:div w:id="835610250">
              <w:marLeft w:val="0"/>
              <w:marRight w:val="0"/>
              <w:marTop w:val="0"/>
              <w:marBottom w:val="0"/>
              <w:divBdr>
                <w:top w:val="none" w:sz="0" w:space="0" w:color="auto"/>
                <w:left w:val="none" w:sz="0" w:space="0" w:color="auto"/>
                <w:bottom w:val="none" w:sz="0" w:space="0" w:color="auto"/>
                <w:right w:val="none" w:sz="0" w:space="0" w:color="auto"/>
              </w:divBdr>
            </w:div>
          </w:divsChild>
        </w:div>
        <w:div w:id="1683507178">
          <w:marLeft w:val="0"/>
          <w:marRight w:val="0"/>
          <w:marTop w:val="0"/>
          <w:marBottom w:val="0"/>
          <w:divBdr>
            <w:top w:val="none" w:sz="0" w:space="0" w:color="auto"/>
            <w:left w:val="none" w:sz="0" w:space="0" w:color="auto"/>
            <w:bottom w:val="none" w:sz="0" w:space="0" w:color="auto"/>
            <w:right w:val="none" w:sz="0" w:space="0" w:color="auto"/>
          </w:divBdr>
          <w:divsChild>
            <w:div w:id="1643341867">
              <w:marLeft w:val="0"/>
              <w:marRight w:val="0"/>
              <w:marTop w:val="0"/>
              <w:marBottom w:val="0"/>
              <w:divBdr>
                <w:top w:val="none" w:sz="0" w:space="0" w:color="auto"/>
                <w:left w:val="none" w:sz="0" w:space="0" w:color="auto"/>
                <w:bottom w:val="none" w:sz="0" w:space="0" w:color="auto"/>
                <w:right w:val="none" w:sz="0" w:space="0" w:color="auto"/>
              </w:divBdr>
            </w:div>
          </w:divsChild>
        </w:div>
        <w:div w:id="1686394182">
          <w:marLeft w:val="0"/>
          <w:marRight w:val="0"/>
          <w:marTop w:val="0"/>
          <w:marBottom w:val="0"/>
          <w:divBdr>
            <w:top w:val="none" w:sz="0" w:space="0" w:color="auto"/>
            <w:left w:val="none" w:sz="0" w:space="0" w:color="auto"/>
            <w:bottom w:val="none" w:sz="0" w:space="0" w:color="auto"/>
            <w:right w:val="none" w:sz="0" w:space="0" w:color="auto"/>
          </w:divBdr>
          <w:divsChild>
            <w:div w:id="1173373739">
              <w:marLeft w:val="0"/>
              <w:marRight w:val="0"/>
              <w:marTop w:val="0"/>
              <w:marBottom w:val="0"/>
              <w:divBdr>
                <w:top w:val="none" w:sz="0" w:space="0" w:color="auto"/>
                <w:left w:val="none" w:sz="0" w:space="0" w:color="auto"/>
                <w:bottom w:val="none" w:sz="0" w:space="0" w:color="auto"/>
                <w:right w:val="none" w:sz="0" w:space="0" w:color="auto"/>
              </w:divBdr>
            </w:div>
          </w:divsChild>
        </w:div>
        <w:div w:id="1687249360">
          <w:marLeft w:val="0"/>
          <w:marRight w:val="0"/>
          <w:marTop w:val="0"/>
          <w:marBottom w:val="0"/>
          <w:divBdr>
            <w:top w:val="none" w:sz="0" w:space="0" w:color="auto"/>
            <w:left w:val="none" w:sz="0" w:space="0" w:color="auto"/>
            <w:bottom w:val="none" w:sz="0" w:space="0" w:color="auto"/>
            <w:right w:val="none" w:sz="0" w:space="0" w:color="auto"/>
          </w:divBdr>
          <w:divsChild>
            <w:div w:id="260182160">
              <w:marLeft w:val="0"/>
              <w:marRight w:val="0"/>
              <w:marTop w:val="0"/>
              <w:marBottom w:val="0"/>
              <w:divBdr>
                <w:top w:val="none" w:sz="0" w:space="0" w:color="auto"/>
                <w:left w:val="none" w:sz="0" w:space="0" w:color="auto"/>
                <w:bottom w:val="none" w:sz="0" w:space="0" w:color="auto"/>
                <w:right w:val="none" w:sz="0" w:space="0" w:color="auto"/>
              </w:divBdr>
            </w:div>
          </w:divsChild>
        </w:div>
        <w:div w:id="1693460635">
          <w:marLeft w:val="0"/>
          <w:marRight w:val="0"/>
          <w:marTop w:val="0"/>
          <w:marBottom w:val="0"/>
          <w:divBdr>
            <w:top w:val="none" w:sz="0" w:space="0" w:color="auto"/>
            <w:left w:val="none" w:sz="0" w:space="0" w:color="auto"/>
            <w:bottom w:val="none" w:sz="0" w:space="0" w:color="auto"/>
            <w:right w:val="none" w:sz="0" w:space="0" w:color="auto"/>
          </w:divBdr>
          <w:divsChild>
            <w:div w:id="253976982">
              <w:marLeft w:val="0"/>
              <w:marRight w:val="0"/>
              <w:marTop w:val="0"/>
              <w:marBottom w:val="0"/>
              <w:divBdr>
                <w:top w:val="none" w:sz="0" w:space="0" w:color="auto"/>
                <w:left w:val="none" w:sz="0" w:space="0" w:color="auto"/>
                <w:bottom w:val="none" w:sz="0" w:space="0" w:color="auto"/>
                <w:right w:val="none" w:sz="0" w:space="0" w:color="auto"/>
              </w:divBdr>
            </w:div>
          </w:divsChild>
        </w:div>
        <w:div w:id="1699547235">
          <w:marLeft w:val="0"/>
          <w:marRight w:val="0"/>
          <w:marTop w:val="0"/>
          <w:marBottom w:val="0"/>
          <w:divBdr>
            <w:top w:val="none" w:sz="0" w:space="0" w:color="auto"/>
            <w:left w:val="none" w:sz="0" w:space="0" w:color="auto"/>
            <w:bottom w:val="none" w:sz="0" w:space="0" w:color="auto"/>
            <w:right w:val="none" w:sz="0" w:space="0" w:color="auto"/>
          </w:divBdr>
          <w:divsChild>
            <w:div w:id="670302327">
              <w:marLeft w:val="0"/>
              <w:marRight w:val="0"/>
              <w:marTop w:val="0"/>
              <w:marBottom w:val="0"/>
              <w:divBdr>
                <w:top w:val="none" w:sz="0" w:space="0" w:color="auto"/>
                <w:left w:val="none" w:sz="0" w:space="0" w:color="auto"/>
                <w:bottom w:val="none" w:sz="0" w:space="0" w:color="auto"/>
                <w:right w:val="none" w:sz="0" w:space="0" w:color="auto"/>
              </w:divBdr>
            </w:div>
          </w:divsChild>
        </w:div>
        <w:div w:id="1702319297">
          <w:marLeft w:val="0"/>
          <w:marRight w:val="0"/>
          <w:marTop w:val="0"/>
          <w:marBottom w:val="0"/>
          <w:divBdr>
            <w:top w:val="none" w:sz="0" w:space="0" w:color="auto"/>
            <w:left w:val="none" w:sz="0" w:space="0" w:color="auto"/>
            <w:bottom w:val="none" w:sz="0" w:space="0" w:color="auto"/>
            <w:right w:val="none" w:sz="0" w:space="0" w:color="auto"/>
          </w:divBdr>
          <w:divsChild>
            <w:div w:id="1394114074">
              <w:marLeft w:val="0"/>
              <w:marRight w:val="0"/>
              <w:marTop w:val="0"/>
              <w:marBottom w:val="0"/>
              <w:divBdr>
                <w:top w:val="none" w:sz="0" w:space="0" w:color="auto"/>
                <w:left w:val="none" w:sz="0" w:space="0" w:color="auto"/>
                <w:bottom w:val="none" w:sz="0" w:space="0" w:color="auto"/>
                <w:right w:val="none" w:sz="0" w:space="0" w:color="auto"/>
              </w:divBdr>
            </w:div>
          </w:divsChild>
        </w:div>
        <w:div w:id="1726952554">
          <w:marLeft w:val="0"/>
          <w:marRight w:val="0"/>
          <w:marTop w:val="0"/>
          <w:marBottom w:val="0"/>
          <w:divBdr>
            <w:top w:val="none" w:sz="0" w:space="0" w:color="auto"/>
            <w:left w:val="none" w:sz="0" w:space="0" w:color="auto"/>
            <w:bottom w:val="none" w:sz="0" w:space="0" w:color="auto"/>
            <w:right w:val="none" w:sz="0" w:space="0" w:color="auto"/>
          </w:divBdr>
          <w:divsChild>
            <w:div w:id="1031958762">
              <w:marLeft w:val="0"/>
              <w:marRight w:val="0"/>
              <w:marTop w:val="0"/>
              <w:marBottom w:val="0"/>
              <w:divBdr>
                <w:top w:val="none" w:sz="0" w:space="0" w:color="auto"/>
                <w:left w:val="none" w:sz="0" w:space="0" w:color="auto"/>
                <w:bottom w:val="none" w:sz="0" w:space="0" w:color="auto"/>
                <w:right w:val="none" w:sz="0" w:space="0" w:color="auto"/>
              </w:divBdr>
            </w:div>
          </w:divsChild>
        </w:div>
        <w:div w:id="1737316144">
          <w:marLeft w:val="0"/>
          <w:marRight w:val="0"/>
          <w:marTop w:val="0"/>
          <w:marBottom w:val="0"/>
          <w:divBdr>
            <w:top w:val="none" w:sz="0" w:space="0" w:color="auto"/>
            <w:left w:val="none" w:sz="0" w:space="0" w:color="auto"/>
            <w:bottom w:val="none" w:sz="0" w:space="0" w:color="auto"/>
            <w:right w:val="none" w:sz="0" w:space="0" w:color="auto"/>
          </w:divBdr>
          <w:divsChild>
            <w:div w:id="1714648642">
              <w:marLeft w:val="0"/>
              <w:marRight w:val="0"/>
              <w:marTop w:val="0"/>
              <w:marBottom w:val="0"/>
              <w:divBdr>
                <w:top w:val="none" w:sz="0" w:space="0" w:color="auto"/>
                <w:left w:val="none" w:sz="0" w:space="0" w:color="auto"/>
                <w:bottom w:val="none" w:sz="0" w:space="0" w:color="auto"/>
                <w:right w:val="none" w:sz="0" w:space="0" w:color="auto"/>
              </w:divBdr>
            </w:div>
          </w:divsChild>
        </w:div>
        <w:div w:id="1743334662">
          <w:marLeft w:val="0"/>
          <w:marRight w:val="0"/>
          <w:marTop w:val="0"/>
          <w:marBottom w:val="0"/>
          <w:divBdr>
            <w:top w:val="none" w:sz="0" w:space="0" w:color="auto"/>
            <w:left w:val="none" w:sz="0" w:space="0" w:color="auto"/>
            <w:bottom w:val="none" w:sz="0" w:space="0" w:color="auto"/>
            <w:right w:val="none" w:sz="0" w:space="0" w:color="auto"/>
          </w:divBdr>
          <w:divsChild>
            <w:div w:id="1115520872">
              <w:marLeft w:val="0"/>
              <w:marRight w:val="0"/>
              <w:marTop w:val="0"/>
              <w:marBottom w:val="0"/>
              <w:divBdr>
                <w:top w:val="none" w:sz="0" w:space="0" w:color="auto"/>
                <w:left w:val="none" w:sz="0" w:space="0" w:color="auto"/>
                <w:bottom w:val="none" w:sz="0" w:space="0" w:color="auto"/>
                <w:right w:val="none" w:sz="0" w:space="0" w:color="auto"/>
              </w:divBdr>
            </w:div>
          </w:divsChild>
        </w:div>
        <w:div w:id="1744571318">
          <w:marLeft w:val="0"/>
          <w:marRight w:val="0"/>
          <w:marTop w:val="0"/>
          <w:marBottom w:val="0"/>
          <w:divBdr>
            <w:top w:val="none" w:sz="0" w:space="0" w:color="auto"/>
            <w:left w:val="none" w:sz="0" w:space="0" w:color="auto"/>
            <w:bottom w:val="none" w:sz="0" w:space="0" w:color="auto"/>
            <w:right w:val="none" w:sz="0" w:space="0" w:color="auto"/>
          </w:divBdr>
          <w:divsChild>
            <w:div w:id="599533003">
              <w:marLeft w:val="0"/>
              <w:marRight w:val="0"/>
              <w:marTop w:val="0"/>
              <w:marBottom w:val="0"/>
              <w:divBdr>
                <w:top w:val="none" w:sz="0" w:space="0" w:color="auto"/>
                <w:left w:val="none" w:sz="0" w:space="0" w:color="auto"/>
                <w:bottom w:val="none" w:sz="0" w:space="0" w:color="auto"/>
                <w:right w:val="none" w:sz="0" w:space="0" w:color="auto"/>
              </w:divBdr>
            </w:div>
          </w:divsChild>
        </w:div>
        <w:div w:id="1782335860">
          <w:marLeft w:val="0"/>
          <w:marRight w:val="0"/>
          <w:marTop w:val="0"/>
          <w:marBottom w:val="0"/>
          <w:divBdr>
            <w:top w:val="none" w:sz="0" w:space="0" w:color="auto"/>
            <w:left w:val="none" w:sz="0" w:space="0" w:color="auto"/>
            <w:bottom w:val="none" w:sz="0" w:space="0" w:color="auto"/>
            <w:right w:val="none" w:sz="0" w:space="0" w:color="auto"/>
          </w:divBdr>
          <w:divsChild>
            <w:div w:id="1676616873">
              <w:marLeft w:val="0"/>
              <w:marRight w:val="0"/>
              <w:marTop w:val="0"/>
              <w:marBottom w:val="0"/>
              <w:divBdr>
                <w:top w:val="none" w:sz="0" w:space="0" w:color="auto"/>
                <w:left w:val="none" w:sz="0" w:space="0" w:color="auto"/>
                <w:bottom w:val="none" w:sz="0" w:space="0" w:color="auto"/>
                <w:right w:val="none" w:sz="0" w:space="0" w:color="auto"/>
              </w:divBdr>
            </w:div>
          </w:divsChild>
        </w:div>
        <w:div w:id="1787117365">
          <w:marLeft w:val="0"/>
          <w:marRight w:val="0"/>
          <w:marTop w:val="0"/>
          <w:marBottom w:val="0"/>
          <w:divBdr>
            <w:top w:val="none" w:sz="0" w:space="0" w:color="auto"/>
            <w:left w:val="none" w:sz="0" w:space="0" w:color="auto"/>
            <w:bottom w:val="none" w:sz="0" w:space="0" w:color="auto"/>
            <w:right w:val="none" w:sz="0" w:space="0" w:color="auto"/>
          </w:divBdr>
          <w:divsChild>
            <w:div w:id="1403136436">
              <w:marLeft w:val="0"/>
              <w:marRight w:val="0"/>
              <w:marTop w:val="0"/>
              <w:marBottom w:val="0"/>
              <w:divBdr>
                <w:top w:val="none" w:sz="0" w:space="0" w:color="auto"/>
                <w:left w:val="none" w:sz="0" w:space="0" w:color="auto"/>
                <w:bottom w:val="none" w:sz="0" w:space="0" w:color="auto"/>
                <w:right w:val="none" w:sz="0" w:space="0" w:color="auto"/>
              </w:divBdr>
            </w:div>
          </w:divsChild>
        </w:div>
        <w:div w:id="1820927376">
          <w:marLeft w:val="0"/>
          <w:marRight w:val="0"/>
          <w:marTop w:val="0"/>
          <w:marBottom w:val="0"/>
          <w:divBdr>
            <w:top w:val="none" w:sz="0" w:space="0" w:color="auto"/>
            <w:left w:val="none" w:sz="0" w:space="0" w:color="auto"/>
            <w:bottom w:val="none" w:sz="0" w:space="0" w:color="auto"/>
            <w:right w:val="none" w:sz="0" w:space="0" w:color="auto"/>
          </w:divBdr>
          <w:divsChild>
            <w:div w:id="2045865434">
              <w:marLeft w:val="0"/>
              <w:marRight w:val="0"/>
              <w:marTop w:val="0"/>
              <w:marBottom w:val="0"/>
              <w:divBdr>
                <w:top w:val="none" w:sz="0" w:space="0" w:color="auto"/>
                <w:left w:val="none" w:sz="0" w:space="0" w:color="auto"/>
                <w:bottom w:val="none" w:sz="0" w:space="0" w:color="auto"/>
                <w:right w:val="none" w:sz="0" w:space="0" w:color="auto"/>
              </w:divBdr>
            </w:div>
          </w:divsChild>
        </w:div>
        <w:div w:id="1841238136">
          <w:marLeft w:val="0"/>
          <w:marRight w:val="0"/>
          <w:marTop w:val="0"/>
          <w:marBottom w:val="0"/>
          <w:divBdr>
            <w:top w:val="none" w:sz="0" w:space="0" w:color="auto"/>
            <w:left w:val="none" w:sz="0" w:space="0" w:color="auto"/>
            <w:bottom w:val="none" w:sz="0" w:space="0" w:color="auto"/>
            <w:right w:val="none" w:sz="0" w:space="0" w:color="auto"/>
          </w:divBdr>
          <w:divsChild>
            <w:div w:id="1261839315">
              <w:marLeft w:val="0"/>
              <w:marRight w:val="0"/>
              <w:marTop w:val="0"/>
              <w:marBottom w:val="0"/>
              <w:divBdr>
                <w:top w:val="none" w:sz="0" w:space="0" w:color="auto"/>
                <w:left w:val="none" w:sz="0" w:space="0" w:color="auto"/>
                <w:bottom w:val="none" w:sz="0" w:space="0" w:color="auto"/>
                <w:right w:val="none" w:sz="0" w:space="0" w:color="auto"/>
              </w:divBdr>
            </w:div>
          </w:divsChild>
        </w:div>
        <w:div w:id="1842964259">
          <w:marLeft w:val="0"/>
          <w:marRight w:val="0"/>
          <w:marTop w:val="0"/>
          <w:marBottom w:val="0"/>
          <w:divBdr>
            <w:top w:val="none" w:sz="0" w:space="0" w:color="auto"/>
            <w:left w:val="none" w:sz="0" w:space="0" w:color="auto"/>
            <w:bottom w:val="none" w:sz="0" w:space="0" w:color="auto"/>
            <w:right w:val="none" w:sz="0" w:space="0" w:color="auto"/>
          </w:divBdr>
          <w:divsChild>
            <w:div w:id="635837752">
              <w:marLeft w:val="0"/>
              <w:marRight w:val="0"/>
              <w:marTop w:val="0"/>
              <w:marBottom w:val="0"/>
              <w:divBdr>
                <w:top w:val="none" w:sz="0" w:space="0" w:color="auto"/>
                <w:left w:val="none" w:sz="0" w:space="0" w:color="auto"/>
                <w:bottom w:val="none" w:sz="0" w:space="0" w:color="auto"/>
                <w:right w:val="none" w:sz="0" w:space="0" w:color="auto"/>
              </w:divBdr>
            </w:div>
          </w:divsChild>
        </w:div>
        <w:div w:id="1863855465">
          <w:marLeft w:val="0"/>
          <w:marRight w:val="0"/>
          <w:marTop w:val="0"/>
          <w:marBottom w:val="0"/>
          <w:divBdr>
            <w:top w:val="none" w:sz="0" w:space="0" w:color="auto"/>
            <w:left w:val="none" w:sz="0" w:space="0" w:color="auto"/>
            <w:bottom w:val="none" w:sz="0" w:space="0" w:color="auto"/>
            <w:right w:val="none" w:sz="0" w:space="0" w:color="auto"/>
          </w:divBdr>
          <w:divsChild>
            <w:div w:id="1563178925">
              <w:marLeft w:val="0"/>
              <w:marRight w:val="0"/>
              <w:marTop w:val="0"/>
              <w:marBottom w:val="0"/>
              <w:divBdr>
                <w:top w:val="none" w:sz="0" w:space="0" w:color="auto"/>
                <w:left w:val="none" w:sz="0" w:space="0" w:color="auto"/>
                <w:bottom w:val="none" w:sz="0" w:space="0" w:color="auto"/>
                <w:right w:val="none" w:sz="0" w:space="0" w:color="auto"/>
              </w:divBdr>
            </w:div>
          </w:divsChild>
        </w:div>
        <w:div w:id="1865357978">
          <w:marLeft w:val="0"/>
          <w:marRight w:val="0"/>
          <w:marTop w:val="0"/>
          <w:marBottom w:val="0"/>
          <w:divBdr>
            <w:top w:val="none" w:sz="0" w:space="0" w:color="auto"/>
            <w:left w:val="none" w:sz="0" w:space="0" w:color="auto"/>
            <w:bottom w:val="none" w:sz="0" w:space="0" w:color="auto"/>
            <w:right w:val="none" w:sz="0" w:space="0" w:color="auto"/>
          </w:divBdr>
          <w:divsChild>
            <w:div w:id="796722086">
              <w:marLeft w:val="0"/>
              <w:marRight w:val="0"/>
              <w:marTop w:val="0"/>
              <w:marBottom w:val="0"/>
              <w:divBdr>
                <w:top w:val="none" w:sz="0" w:space="0" w:color="auto"/>
                <w:left w:val="none" w:sz="0" w:space="0" w:color="auto"/>
                <w:bottom w:val="none" w:sz="0" w:space="0" w:color="auto"/>
                <w:right w:val="none" w:sz="0" w:space="0" w:color="auto"/>
              </w:divBdr>
            </w:div>
          </w:divsChild>
        </w:div>
        <w:div w:id="1865367410">
          <w:marLeft w:val="0"/>
          <w:marRight w:val="0"/>
          <w:marTop w:val="0"/>
          <w:marBottom w:val="0"/>
          <w:divBdr>
            <w:top w:val="none" w:sz="0" w:space="0" w:color="auto"/>
            <w:left w:val="none" w:sz="0" w:space="0" w:color="auto"/>
            <w:bottom w:val="none" w:sz="0" w:space="0" w:color="auto"/>
            <w:right w:val="none" w:sz="0" w:space="0" w:color="auto"/>
          </w:divBdr>
          <w:divsChild>
            <w:div w:id="177618224">
              <w:marLeft w:val="0"/>
              <w:marRight w:val="0"/>
              <w:marTop w:val="0"/>
              <w:marBottom w:val="0"/>
              <w:divBdr>
                <w:top w:val="none" w:sz="0" w:space="0" w:color="auto"/>
                <w:left w:val="none" w:sz="0" w:space="0" w:color="auto"/>
                <w:bottom w:val="none" w:sz="0" w:space="0" w:color="auto"/>
                <w:right w:val="none" w:sz="0" w:space="0" w:color="auto"/>
              </w:divBdr>
            </w:div>
          </w:divsChild>
        </w:div>
        <w:div w:id="1868522468">
          <w:marLeft w:val="0"/>
          <w:marRight w:val="0"/>
          <w:marTop w:val="0"/>
          <w:marBottom w:val="0"/>
          <w:divBdr>
            <w:top w:val="none" w:sz="0" w:space="0" w:color="auto"/>
            <w:left w:val="none" w:sz="0" w:space="0" w:color="auto"/>
            <w:bottom w:val="none" w:sz="0" w:space="0" w:color="auto"/>
            <w:right w:val="none" w:sz="0" w:space="0" w:color="auto"/>
          </w:divBdr>
          <w:divsChild>
            <w:div w:id="1475949051">
              <w:marLeft w:val="0"/>
              <w:marRight w:val="0"/>
              <w:marTop w:val="0"/>
              <w:marBottom w:val="0"/>
              <w:divBdr>
                <w:top w:val="none" w:sz="0" w:space="0" w:color="auto"/>
                <w:left w:val="none" w:sz="0" w:space="0" w:color="auto"/>
                <w:bottom w:val="none" w:sz="0" w:space="0" w:color="auto"/>
                <w:right w:val="none" w:sz="0" w:space="0" w:color="auto"/>
              </w:divBdr>
            </w:div>
          </w:divsChild>
        </w:div>
        <w:div w:id="1872959599">
          <w:marLeft w:val="0"/>
          <w:marRight w:val="0"/>
          <w:marTop w:val="0"/>
          <w:marBottom w:val="0"/>
          <w:divBdr>
            <w:top w:val="none" w:sz="0" w:space="0" w:color="auto"/>
            <w:left w:val="none" w:sz="0" w:space="0" w:color="auto"/>
            <w:bottom w:val="none" w:sz="0" w:space="0" w:color="auto"/>
            <w:right w:val="none" w:sz="0" w:space="0" w:color="auto"/>
          </w:divBdr>
          <w:divsChild>
            <w:div w:id="1435707691">
              <w:marLeft w:val="0"/>
              <w:marRight w:val="0"/>
              <w:marTop w:val="0"/>
              <w:marBottom w:val="0"/>
              <w:divBdr>
                <w:top w:val="none" w:sz="0" w:space="0" w:color="auto"/>
                <w:left w:val="none" w:sz="0" w:space="0" w:color="auto"/>
                <w:bottom w:val="none" w:sz="0" w:space="0" w:color="auto"/>
                <w:right w:val="none" w:sz="0" w:space="0" w:color="auto"/>
              </w:divBdr>
            </w:div>
          </w:divsChild>
        </w:div>
        <w:div w:id="1884712165">
          <w:marLeft w:val="0"/>
          <w:marRight w:val="0"/>
          <w:marTop w:val="0"/>
          <w:marBottom w:val="0"/>
          <w:divBdr>
            <w:top w:val="none" w:sz="0" w:space="0" w:color="auto"/>
            <w:left w:val="none" w:sz="0" w:space="0" w:color="auto"/>
            <w:bottom w:val="none" w:sz="0" w:space="0" w:color="auto"/>
            <w:right w:val="none" w:sz="0" w:space="0" w:color="auto"/>
          </w:divBdr>
          <w:divsChild>
            <w:div w:id="751393825">
              <w:marLeft w:val="0"/>
              <w:marRight w:val="0"/>
              <w:marTop w:val="0"/>
              <w:marBottom w:val="0"/>
              <w:divBdr>
                <w:top w:val="none" w:sz="0" w:space="0" w:color="auto"/>
                <w:left w:val="none" w:sz="0" w:space="0" w:color="auto"/>
                <w:bottom w:val="none" w:sz="0" w:space="0" w:color="auto"/>
                <w:right w:val="none" w:sz="0" w:space="0" w:color="auto"/>
              </w:divBdr>
            </w:div>
          </w:divsChild>
        </w:div>
        <w:div w:id="1911651693">
          <w:marLeft w:val="0"/>
          <w:marRight w:val="0"/>
          <w:marTop w:val="0"/>
          <w:marBottom w:val="0"/>
          <w:divBdr>
            <w:top w:val="none" w:sz="0" w:space="0" w:color="auto"/>
            <w:left w:val="none" w:sz="0" w:space="0" w:color="auto"/>
            <w:bottom w:val="none" w:sz="0" w:space="0" w:color="auto"/>
            <w:right w:val="none" w:sz="0" w:space="0" w:color="auto"/>
          </w:divBdr>
          <w:divsChild>
            <w:div w:id="246422112">
              <w:marLeft w:val="0"/>
              <w:marRight w:val="0"/>
              <w:marTop w:val="0"/>
              <w:marBottom w:val="0"/>
              <w:divBdr>
                <w:top w:val="none" w:sz="0" w:space="0" w:color="auto"/>
                <w:left w:val="none" w:sz="0" w:space="0" w:color="auto"/>
                <w:bottom w:val="none" w:sz="0" w:space="0" w:color="auto"/>
                <w:right w:val="none" w:sz="0" w:space="0" w:color="auto"/>
              </w:divBdr>
            </w:div>
          </w:divsChild>
        </w:div>
        <w:div w:id="1918981414">
          <w:marLeft w:val="0"/>
          <w:marRight w:val="0"/>
          <w:marTop w:val="0"/>
          <w:marBottom w:val="0"/>
          <w:divBdr>
            <w:top w:val="none" w:sz="0" w:space="0" w:color="auto"/>
            <w:left w:val="none" w:sz="0" w:space="0" w:color="auto"/>
            <w:bottom w:val="none" w:sz="0" w:space="0" w:color="auto"/>
            <w:right w:val="none" w:sz="0" w:space="0" w:color="auto"/>
          </w:divBdr>
          <w:divsChild>
            <w:div w:id="792528115">
              <w:marLeft w:val="0"/>
              <w:marRight w:val="0"/>
              <w:marTop w:val="0"/>
              <w:marBottom w:val="0"/>
              <w:divBdr>
                <w:top w:val="none" w:sz="0" w:space="0" w:color="auto"/>
                <w:left w:val="none" w:sz="0" w:space="0" w:color="auto"/>
                <w:bottom w:val="none" w:sz="0" w:space="0" w:color="auto"/>
                <w:right w:val="none" w:sz="0" w:space="0" w:color="auto"/>
              </w:divBdr>
            </w:div>
          </w:divsChild>
        </w:div>
        <w:div w:id="1943997548">
          <w:marLeft w:val="0"/>
          <w:marRight w:val="0"/>
          <w:marTop w:val="0"/>
          <w:marBottom w:val="0"/>
          <w:divBdr>
            <w:top w:val="none" w:sz="0" w:space="0" w:color="auto"/>
            <w:left w:val="none" w:sz="0" w:space="0" w:color="auto"/>
            <w:bottom w:val="none" w:sz="0" w:space="0" w:color="auto"/>
            <w:right w:val="none" w:sz="0" w:space="0" w:color="auto"/>
          </w:divBdr>
          <w:divsChild>
            <w:div w:id="1500271368">
              <w:marLeft w:val="0"/>
              <w:marRight w:val="0"/>
              <w:marTop w:val="0"/>
              <w:marBottom w:val="0"/>
              <w:divBdr>
                <w:top w:val="none" w:sz="0" w:space="0" w:color="auto"/>
                <w:left w:val="none" w:sz="0" w:space="0" w:color="auto"/>
                <w:bottom w:val="none" w:sz="0" w:space="0" w:color="auto"/>
                <w:right w:val="none" w:sz="0" w:space="0" w:color="auto"/>
              </w:divBdr>
            </w:div>
          </w:divsChild>
        </w:div>
        <w:div w:id="1946880418">
          <w:marLeft w:val="0"/>
          <w:marRight w:val="0"/>
          <w:marTop w:val="0"/>
          <w:marBottom w:val="0"/>
          <w:divBdr>
            <w:top w:val="none" w:sz="0" w:space="0" w:color="auto"/>
            <w:left w:val="none" w:sz="0" w:space="0" w:color="auto"/>
            <w:bottom w:val="none" w:sz="0" w:space="0" w:color="auto"/>
            <w:right w:val="none" w:sz="0" w:space="0" w:color="auto"/>
          </w:divBdr>
          <w:divsChild>
            <w:div w:id="1157376536">
              <w:marLeft w:val="0"/>
              <w:marRight w:val="0"/>
              <w:marTop w:val="0"/>
              <w:marBottom w:val="0"/>
              <w:divBdr>
                <w:top w:val="none" w:sz="0" w:space="0" w:color="auto"/>
                <w:left w:val="none" w:sz="0" w:space="0" w:color="auto"/>
                <w:bottom w:val="none" w:sz="0" w:space="0" w:color="auto"/>
                <w:right w:val="none" w:sz="0" w:space="0" w:color="auto"/>
              </w:divBdr>
            </w:div>
          </w:divsChild>
        </w:div>
        <w:div w:id="1951080405">
          <w:marLeft w:val="0"/>
          <w:marRight w:val="0"/>
          <w:marTop w:val="0"/>
          <w:marBottom w:val="0"/>
          <w:divBdr>
            <w:top w:val="none" w:sz="0" w:space="0" w:color="auto"/>
            <w:left w:val="none" w:sz="0" w:space="0" w:color="auto"/>
            <w:bottom w:val="none" w:sz="0" w:space="0" w:color="auto"/>
            <w:right w:val="none" w:sz="0" w:space="0" w:color="auto"/>
          </w:divBdr>
          <w:divsChild>
            <w:div w:id="143088426">
              <w:marLeft w:val="0"/>
              <w:marRight w:val="0"/>
              <w:marTop w:val="0"/>
              <w:marBottom w:val="0"/>
              <w:divBdr>
                <w:top w:val="none" w:sz="0" w:space="0" w:color="auto"/>
                <w:left w:val="none" w:sz="0" w:space="0" w:color="auto"/>
                <w:bottom w:val="none" w:sz="0" w:space="0" w:color="auto"/>
                <w:right w:val="none" w:sz="0" w:space="0" w:color="auto"/>
              </w:divBdr>
            </w:div>
          </w:divsChild>
        </w:div>
        <w:div w:id="1951469430">
          <w:marLeft w:val="0"/>
          <w:marRight w:val="0"/>
          <w:marTop w:val="0"/>
          <w:marBottom w:val="0"/>
          <w:divBdr>
            <w:top w:val="none" w:sz="0" w:space="0" w:color="auto"/>
            <w:left w:val="none" w:sz="0" w:space="0" w:color="auto"/>
            <w:bottom w:val="none" w:sz="0" w:space="0" w:color="auto"/>
            <w:right w:val="none" w:sz="0" w:space="0" w:color="auto"/>
          </w:divBdr>
          <w:divsChild>
            <w:div w:id="1721055599">
              <w:marLeft w:val="0"/>
              <w:marRight w:val="0"/>
              <w:marTop w:val="0"/>
              <w:marBottom w:val="0"/>
              <w:divBdr>
                <w:top w:val="none" w:sz="0" w:space="0" w:color="auto"/>
                <w:left w:val="none" w:sz="0" w:space="0" w:color="auto"/>
                <w:bottom w:val="none" w:sz="0" w:space="0" w:color="auto"/>
                <w:right w:val="none" w:sz="0" w:space="0" w:color="auto"/>
              </w:divBdr>
            </w:div>
          </w:divsChild>
        </w:div>
        <w:div w:id="1953516295">
          <w:marLeft w:val="0"/>
          <w:marRight w:val="0"/>
          <w:marTop w:val="0"/>
          <w:marBottom w:val="0"/>
          <w:divBdr>
            <w:top w:val="none" w:sz="0" w:space="0" w:color="auto"/>
            <w:left w:val="none" w:sz="0" w:space="0" w:color="auto"/>
            <w:bottom w:val="none" w:sz="0" w:space="0" w:color="auto"/>
            <w:right w:val="none" w:sz="0" w:space="0" w:color="auto"/>
          </w:divBdr>
          <w:divsChild>
            <w:div w:id="1363825806">
              <w:marLeft w:val="0"/>
              <w:marRight w:val="0"/>
              <w:marTop w:val="0"/>
              <w:marBottom w:val="0"/>
              <w:divBdr>
                <w:top w:val="none" w:sz="0" w:space="0" w:color="auto"/>
                <w:left w:val="none" w:sz="0" w:space="0" w:color="auto"/>
                <w:bottom w:val="none" w:sz="0" w:space="0" w:color="auto"/>
                <w:right w:val="none" w:sz="0" w:space="0" w:color="auto"/>
              </w:divBdr>
            </w:div>
          </w:divsChild>
        </w:div>
        <w:div w:id="1968049500">
          <w:marLeft w:val="0"/>
          <w:marRight w:val="0"/>
          <w:marTop w:val="0"/>
          <w:marBottom w:val="0"/>
          <w:divBdr>
            <w:top w:val="none" w:sz="0" w:space="0" w:color="auto"/>
            <w:left w:val="none" w:sz="0" w:space="0" w:color="auto"/>
            <w:bottom w:val="none" w:sz="0" w:space="0" w:color="auto"/>
            <w:right w:val="none" w:sz="0" w:space="0" w:color="auto"/>
          </w:divBdr>
          <w:divsChild>
            <w:div w:id="425420176">
              <w:marLeft w:val="0"/>
              <w:marRight w:val="0"/>
              <w:marTop w:val="0"/>
              <w:marBottom w:val="0"/>
              <w:divBdr>
                <w:top w:val="none" w:sz="0" w:space="0" w:color="auto"/>
                <w:left w:val="none" w:sz="0" w:space="0" w:color="auto"/>
                <w:bottom w:val="none" w:sz="0" w:space="0" w:color="auto"/>
                <w:right w:val="none" w:sz="0" w:space="0" w:color="auto"/>
              </w:divBdr>
            </w:div>
          </w:divsChild>
        </w:div>
        <w:div w:id="1972981930">
          <w:marLeft w:val="0"/>
          <w:marRight w:val="0"/>
          <w:marTop w:val="0"/>
          <w:marBottom w:val="0"/>
          <w:divBdr>
            <w:top w:val="none" w:sz="0" w:space="0" w:color="auto"/>
            <w:left w:val="none" w:sz="0" w:space="0" w:color="auto"/>
            <w:bottom w:val="none" w:sz="0" w:space="0" w:color="auto"/>
            <w:right w:val="none" w:sz="0" w:space="0" w:color="auto"/>
          </w:divBdr>
          <w:divsChild>
            <w:div w:id="1498765221">
              <w:marLeft w:val="0"/>
              <w:marRight w:val="0"/>
              <w:marTop w:val="0"/>
              <w:marBottom w:val="0"/>
              <w:divBdr>
                <w:top w:val="none" w:sz="0" w:space="0" w:color="auto"/>
                <w:left w:val="none" w:sz="0" w:space="0" w:color="auto"/>
                <w:bottom w:val="none" w:sz="0" w:space="0" w:color="auto"/>
                <w:right w:val="none" w:sz="0" w:space="0" w:color="auto"/>
              </w:divBdr>
            </w:div>
          </w:divsChild>
        </w:div>
        <w:div w:id="1979802282">
          <w:marLeft w:val="0"/>
          <w:marRight w:val="0"/>
          <w:marTop w:val="0"/>
          <w:marBottom w:val="0"/>
          <w:divBdr>
            <w:top w:val="none" w:sz="0" w:space="0" w:color="auto"/>
            <w:left w:val="none" w:sz="0" w:space="0" w:color="auto"/>
            <w:bottom w:val="none" w:sz="0" w:space="0" w:color="auto"/>
            <w:right w:val="none" w:sz="0" w:space="0" w:color="auto"/>
          </w:divBdr>
          <w:divsChild>
            <w:div w:id="2125804354">
              <w:marLeft w:val="0"/>
              <w:marRight w:val="0"/>
              <w:marTop w:val="0"/>
              <w:marBottom w:val="0"/>
              <w:divBdr>
                <w:top w:val="none" w:sz="0" w:space="0" w:color="auto"/>
                <w:left w:val="none" w:sz="0" w:space="0" w:color="auto"/>
                <w:bottom w:val="none" w:sz="0" w:space="0" w:color="auto"/>
                <w:right w:val="none" w:sz="0" w:space="0" w:color="auto"/>
              </w:divBdr>
            </w:div>
          </w:divsChild>
        </w:div>
        <w:div w:id="1987472088">
          <w:marLeft w:val="0"/>
          <w:marRight w:val="0"/>
          <w:marTop w:val="0"/>
          <w:marBottom w:val="0"/>
          <w:divBdr>
            <w:top w:val="none" w:sz="0" w:space="0" w:color="auto"/>
            <w:left w:val="none" w:sz="0" w:space="0" w:color="auto"/>
            <w:bottom w:val="none" w:sz="0" w:space="0" w:color="auto"/>
            <w:right w:val="none" w:sz="0" w:space="0" w:color="auto"/>
          </w:divBdr>
          <w:divsChild>
            <w:div w:id="265816228">
              <w:marLeft w:val="0"/>
              <w:marRight w:val="0"/>
              <w:marTop w:val="0"/>
              <w:marBottom w:val="0"/>
              <w:divBdr>
                <w:top w:val="none" w:sz="0" w:space="0" w:color="auto"/>
                <w:left w:val="none" w:sz="0" w:space="0" w:color="auto"/>
                <w:bottom w:val="none" w:sz="0" w:space="0" w:color="auto"/>
                <w:right w:val="none" w:sz="0" w:space="0" w:color="auto"/>
              </w:divBdr>
            </w:div>
          </w:divsChild>
        </w:div>
        <w:div w:id="1998455945">
          <w:marLeft w:val="0"/>
          <w:marRight w:val="0"/>
          <w:marTop w:val="0"/>
          <w:marBottom w:val="0"/>
          <w:divBdr>
            <w:top w:val="none" w:sz="0" w:space="0" w:color="auto"/>
            <w:left w:val="none" w:sz="0" w:space="0" w:color="auto"/>
            <w:bottom w:val="none" w:sz="0" w:space="0" w:color="auto"/>
            <w:right w:val="none" w:sz="0" w:space="0" w:color="auto"/>
          </w:divBdr>
          <w:divsChild>
            <w:div w:id="2008242449">
              <w:marLeft w:val="0"/>
              <w:marRight w:val="0"/>
              <w:marTop w:val="0"/>
              <w:marBottom w:val="0"/>
              <w:divBdr>
                <w:top w:val="none" w:sz="0" w:space="0" w:color="auto"/>
                <w:left w:val="none" w:sz="0" w:space="0" w:color="auto"/>
                <w:bottom w:val="none" w:sz="0" w:space="0" w:color="auto"/>
                <w:right w:val="none" w:sz="0" w:space="0" w:color="auto"/>
              </w:divBdr>
            </w:div>
          </w:divsChild>
        </w:div>
        <w:div w:id="2008052571">
          <w:marLeft w:val="0"/>
          <w:marRight w:val="0"/>
          <w:marTop w:val="0"/>
          <w:marBottom w:val="0"/>
          <w:divBdr>
            <w:top w:val="none" w:sz="0" w:space="0" w:color="auto"/>
            <w:left w:val="none" w:sz="0" w:space="0" w:color="auto"/>
            <w:bottom w:val="none" w:sz="0" w:space="0" w:color="auto"/>
            <w:right w:val="none" w:sz="0" w:space="0" w:color="auto"/>
          </w:divBdr>
          <w:divsChild>
            <w:div w:id="969289985">
              <w:marLeft w:val="0"/>
              <w:marRight w:val="0"/>
              <w:marTop w:val="0"/>
              <w:marBottom w:val="0"/>
              <w:divBdr>
                <w:top w:val="none" w:sz="0" w:space="0" w:color="auto"/>
                <w:left w:val="none" w:sz="0" w:space="0" w:color="auto"/>
                <w:bottom w:val="none" w:sz="0" w:space="0" w:color="auto"/>
                <w:right w:val="none" w:sz="0" w:space="0" w:color="auto"/>
              </w:divBdr>
            </w:div>
          </w:divsChild>
        </w:div>
        <w:div w:id="2020355217">
          <w:marLeft w:val="0"/>
          <w:marRight w:val="0"/>
          <w:marTop w:val="0"/>
          <w:marBottom w:val="0"/>
          <w:divBdr>
            <w:top w:val="none" w:sz="0" w:space="0" w:color="auto"/>
            <w:left w:val="none" w:sz="0" w:space="0" w:color="auto"/>
            <w:bottom w:val="none" w:sz="0" w:space="0" w:color="auto"/>
            <w:right w:val="none" w:sz="0" w:space="0" w:color="auto"/>
          </w:divBdr>
          <w:divsChild>
            <w:div w:id="2043897456">
              <w:marLeft w:val="0"/>
              <w:marRight w:val="0"/>
              <w:marTop w:val="0"/>
              <w:marBottom w:val="0"/>
              <w:divBdr>
                <w:top w:val="none" w:sz="0" w:space="0" w:color="auto"/>
                <w:left w:val="none" w:sz="0" w:space="0" w:color="auto"/>
                <w:bottom w:val="none" w:sz="0" w:space="0" w:color="auto"/>
                <w:right w:val="none" w:sz="0" w:space="0" w:color="auto"/>
              </w:divBdr>
            </w:div>
          </w:divsChild>
        </w:div>
        <w:div w:id="2023122549">
          <w:marLeft w:val="0"/>
          <w:marRight w:val="0"/>
          <w:marTop w:val="0"/>
          <w:marBottom w:val="0"/>
          <w:divBdr>
            <w:top w:val="none" w:sz="0" w:space="0" w:color="auto"/>
            <w:left w:val="none" w:sz="0" w:space="0" w:color="auto"/>
            <w:bottom w:val="none" w:sz="0" w:space="0" w:color="auto"/>
            <w:right w:val="none" w:sz="0" w:space="0" w:color="auto"/>
          </w:divBdr>
          <w:divsChild>
            <w:div w:id="1970554187">
              <w:marLeft w:val="0"/>
              <w:marRight w:val="0"/>
              <w:marTop w:val="0"/>
              <w:marBottom w:val="0"/>
              <w:divBdr>
                <w:top w:val="none" w:sz="0" w:space="0" w:color="auto"/>
                <w:left w:val="none" w:sz="0" w:space="0" w:color="auto"/>
                <w:bottom w:val="none" w:sz="0" w:space="0" w:color="auto"/>
                <w:right w:val="none" w:sz="0" w:space="0" w:color="auto"/>
              </w:divBdr>
            </w:div>
          </w:divsChild>
        </w:div>
        <w:div w:id="2024934625">
          <w:marLeft w:val="0"/>
          <w:marRight w:val="0"/>
          <w:marTop w:val="0"/>
          <w:marBottom w:val="0"/>
          <w:divBdr>
            <w:top w:val="none" w:sz="0" w:space="0" w:color="auto"/>
            <w:left w:val="none" w:sz="0" w:space="0" w:color="auto"/>
            <w:bottom w:val="none" w:sz="0" w:space="0" w:color="auto"/>
            <w:right w:val="none" w:sz="0" w:space="0" w:color="auto"/>
          </w:divBdr>
          <w:divsChild>
            <w:div w:id="2112241721">
              <w:marLeft w:val="0"/>
              <w:marRight w:val="0"/>
              <w:marTop w:val="0"/>
              <w:marBottom w:val="0"/>
              <w:divBdr>
                <w:top w:val="none" w:sz="0" w:space="0" w:color="auto"/>
                <w:left w:val="none" w:sz="0" w:space="0" w:color="auto"/>
                <w:bottom w:val="none" w:sz="0" w:space="0" w:color="auto"/>
                <w:right w:val="none" w:sz="0" w:space="0" w:color="auto"/>
              </w:divBdr>
            </w:div>
          </w:divsChild>
        </w:div>
        <w:div w:id="2039774688">
          <w:marLeft w:val="0"/>
          <w:marRight w:val="0"/>
          <w:marTop w:val="0"/>
          <w:marBottom w:val="0"/>
          <w:divBdr>
            <w:top w:val="none" w:sz="0" w:space="0" w:color="auto"/>
            <w:left w:val="none" w:sz="0" w:space="0" w:color="auto"/>
            <w:bottom w:val="none" w:sz="0" w:space="0" w:color="auto"/>
            <w:right w:val="none" w:sz="0" w:space="0" w:color="auto"/>
          </w:divBdr>
          <w:divsChild>
            <w:div w:id="335764389">
              <w:marLeft w:val="0"/>
              <w:marRight w:val="0"/>
              <w:marTop w:val="0"/>
              <w:marBottom w:val="0"/>
              <w:divBdr>
                <w:top w:val="none" w:sz="0" w:space="0" w:color="auto"/>
                <w:left w:val="none" w:sz="0" w:space="0" w:color="auto"/>
                <w:bottom w:val="none" w:sz="0" w:space="0" w:color="auto"/>
                <w:right w:val="none" w:sz="0" w:space="0" w:color="auto"/>
              </w:divBdr>
            </w:div>
          </w:divsChild>
        </w:div>
        <w:div w:id="2046786212">
          <w:marLeft w:val="0"/>
          <w:marRight w:val="0"/>
          <w:marTop w:val="0"/>
          <w:marBottom w:val="0"/>
          <w:divBdr>
            <w:top w:val="none" w:sz="0" w:space="0" w:color="auto"/>
            <w:left w:val="none" w:sz="0" w:space="0" w:color="auto"/>
            <w:bottom w:val="none" w:sz="0" w:space="0" w:color="auto"/>
            <w:right w:val="none" w:sz="0" w:space="0" w:color="auto"/>
          </w:divBdr>
          <w:divsChild>
            <w:div w:id="1742362330">
              <w:marLeft w:val="0"/>
              <w:marRight w:val="0"/>
              <w:marTop w:val="0"/>
              <w:marBottom w:val="0"/>
              <w:divBdr>
                <w:top w:val="none" w:sz="0" w:space="0" w:color="auto"/>
                <w:left w:val="none" w:sz="0" w:space="0" w:color="auto"/>
                <w:bottom w:val="none" w:sz="0" w:space="0" w:color="auto"/>
                <w:right w:val="none" w:sz="0" w:space="0" w:color="auto"/>
              </w:divBdr>
            </w:div>
          </w:divsChild>
        </w:div>
        <w:div w:id="2051418634">
          <w:marLeft w:val="0"/>
          <w:marRight w:val="0"/>
          <w:marTop w:val="0"/>
          <w:marBottom w:val="0"/>
          <w:divBdr>
            <w:top w:val="none" w:sz="0" w:space="0" w:color="auto"/>
            <w:left w:val="none" w:sz="0" w:space="0" w:color="auto"/>
            <w:bottom w:val="none" w:sz="0" w:space="0" w:color="auto"/>
            <w:right w:val="none" w:sz="0" w:space="0" w:color="auto"/>
          </w:divBdr>
          <w:divsChild>
            <w:div w:id="1537885075">
              <w:marLeft w:val="0"/>
              <w:marRight w:val="0"/>
              <w:marTop w:val="0"/>
              <w:marBottom w:val="0"/>
              <w:divBdr>
                <w:top w:val="none" w:sz="0" w:space="0" w:color="auto"/>
                <w:left w:val="none" w:sz="0" w:space="0" w:color="auto"/>
                <w:bottom w:val="none" w:sz="0" w:space="0" w:color="auto"/>
                <w:right w:val="none" w:sz="0" w:space="0" w:color="auto"/>
              </w:divBdr>
            </w:div>
          </w:divsChild>
        </w:div>
        <w:div w:id="2055739290">
          <w:marLeft w:val="0"/>
          <w:marRight w:val="0"/>
          <w:marTop w:val="0"/>
          <w:marBottom w:val="0"/>
          <w:divBdr>
            <w:top w:val="none" w:sz="0" w:space="0" w:color="auto"/>
            <w:left w:val="none" w:sz="0" w:space="0" w:color="auto"/>
            <w:bottom w:val="none" w:sz="0" w:space="0" w:color="auto"/>
            <w:right w:val="none" w:sz="0" w:space="0" w:color="auto"/>
          </w:divBdr>
          <w:divsChild>
            <w:div w:id="1556552235">
              <w:marLeft w:val="0"/>
              <w:marRight w:val="0"/>
              <w:marTop w:val="0"/>
              <w:marBottom w:val="0"/>
              <w:divBdr>
                <w:top w:val="none" w:sz="0" w:space="0" w:color="auto"/>
                <w:left w:val="none" w:sz="0" w:space="0" w:color="auto"/>
                <w:bottom w:val="none" w:sz="0" w:space="0" w:color="auto"/>
                <w:right w:val="none" w:sz="0" w:space="0" w:color="auto"/>
              </w:divBdr>
            </w:div>
          </w:divsChild>
        </w:div>
        <w:div w:id="2062710560">
          <w:marLeft w:val="0"/>
          <w:marRight w:val="0"/>
          <w:marTop w:val="0"/>
          <w:marBottom w:val="0"/>
          <w:divBdr>
            <w:top w:val="none" w:sz="0" w:space="0" w:color="auto"/>
            <w:left w:val="none" w:sz="0" w:space="0" w:color="auto"/>
            <w:bottom w:val="none" w:sz="0" w:space="0" w:color="auto"/>
            <w:right w:val="none" w:sz="0" w:space="0" w:color="auto"/>
          </w:divBdr>
          <w:divsChild>
            <w:div w:id="196360793">
              <w:marLeft w:val="0"/>
              <w:marRight w:val="0"/>
              <w:marTop w:val="0"/>
              <w:marBottom w:val="0"/>
              <w:divBdr>
                <w:top w:val="none" w:sz="0" w:space="0" w:color="auto"/>
                <w:left w:val="none" w:sz="0" w:space="0" w:color="auto"/>
                <w:bottom w:val="none" w:sz="0" w:space="0" w:color="auto"/>
                <w:right w:val="none" w:sz="0" w:space="0" w:color="auto"/>
              </w:divBdr>
            </w:div>
          </w:divsChild>
        </w:div>
        <w:div w:id="2065442024">
          <w:marLeft w:val="0"/>
          <w:marRight w:val="0"/>
          <w:marTop w:val="0"/>
          <w:marBottom w:val="0"/>
          <w:divBdr>
            <w:top w:val="none" w:sz="0" w:space="0" w:color="auto"/>
            <w:left w:val="none" w:sz="0" w:space="0" w:color="auto"/>
            <w:bottom w:val="none" w:sz="0" w:space="0" w:color="auto"/>
            <w:right w:val="none" w:sz="0" w:space="0" w:color="auto"/>
          </w:divBdr>
          <w:divsChild>
            <w:div w:id="1858034844">
              <w:marLeft w:val="0"/>
              <w:marRight w:val="0"/>
              <w:marTop w:val="0"/>
              <w:marBottom w:val="0"/>
              <w:divBdr>
                <w:top w:val="none" w:sz="0" w:space="0" w:color="auto"/>
                <w:left w:val="none" w:sz="0" w:space="0" w:color="auto"/>
                <w:bottom w:val="none" w:sz="0" w:space="0" w:color="auto"/>
                <w:right w:val="none" w:sz="0" w:space="0" w:color="auto"/>
              </w:divBdr>
            </w:div>
          </w:divsChild>
        </w:div>
        <w:div w:id="2072267790">
          <w:marLeft w:val="0"/>
          <w:marRight w:val="0"/>
          <w:marTop w:val="0"/>
          <w:marBottom w:val="0"/>
          <w:divBdr>
            <w:top w:val="none" w:sz="0" w:space="0" w:color="auto"/>
            <w:left w:val="none" w:sz="0" w:space="0" w:color="auto"/>
            <w:bottom w:val="none" w:sz="0" w:space="0" w:color="auto"/>
            <w:right w:val="none" w:sz="0" w:space="0" w:color="auto"/>
          </w:divBdr>
          <w:divsChild>
            <w:div w:id="1717314095">
              <w:marLeft w:val="0"/>
              <w:marRight w:val="0"/>
              <w:marTop w:val="0"/>
              <w:marBottom w:val="0"/>
              <w:divBdr>
                <w:top w:val="none" w:sz="0" w:space="0" w:color="auto"/>
                <w:left w:val="none" w:sz="0" w:space="0" w:color="auto"/>
                <w:bottom w:val="none" w:sz="0" w:space="0" w:color="auto"/>
                <w:right w:val="none" w:sz="0" w:space="0" w:color="auto"/>
              </w:divBdr>
            </w:div>
          </w:divsChild>
        </w:div>
        <w:div w:id="2076195622">
          <w:marLeft w:val="0"/>
          <w:marRight w:val="0"/>
          <w:marTop w:val="0"/>
          <w:marBottom w:val="0"/>
          <w:divBdr>
            <w:top w:val="none" w:sz="0" w:space="0" w:color="auto"/>
            <w:left w:val="none" w:sz="0" w:space="0" w:color="auto"/>
            <w:bottom w:val="none" w:sz="0" w:space="0" w:color="auto"/>
            <w:right w:val="none" w:sz="0" w:space="0" w:color="auto"/>
          </w:divBdr>
          <w:divsChild>
            <w:div w:id="1864972685">
              <w:marLeft w:val="0"/>
              <w:marRight w:val="0"/>
              <w:marTop w:val="0"/>
              <w:marBottom w:val="0"/>
              <w:divBdr>
                <w:top w:val="none" w:sz="0" w:space="0" w:color="auto"/>
                <w:left w:val="none" w:sz="0" w:space="0" w:color="auto"/>
                <w:bottom w:val="none" w:sz="0" w:space="0" w:color="auto"/>
                <w:right w:val="none" w:sz="0" w:space="0" w:color="auto"/>
              </w:divBdr>
            </w:div>
          </w:divsChild>
        </w:div>
        <w:div w:id="2077125348">
          <w:marLeft w:val="0"/>
          <w:marRight w:val="0"/>
          <w:marTop w:val="0"/>
          <w:marBottom w:val="0"/>
          <w:divBdr>
            <w:top w:val="none" w:sz="0" w:space="0" w:color="auto"/>
            <w:left w:val="none" w:sz="0" w:space="0" w:color="auto"/>
            <w:bottom w:val="none" w:sz="0" w:space="0" w:color="auto"/>
            <w:right w:val="none" w:sz="0" w:space="0" w:color="auto"/>
          </w:divBdr>
          <w:divsChild>
            <w:div w:id="1368289658">
              <w:marLeft w:val="0"/>
              <w:marRight w:val="0"/>
              <w:marTop w:val="0"/>
              <w:marBottom w:val="0"/>
              <w:divBdr>
                <w:top w:val="none" w:sz="0" w:space="0" w:color="auto"/>
                <w:left w:val="none" w:sz="0" w:space="0" w:color="auto"/>
                <w:bottom w:val="none" w:sz="0" w:space="0" w:color="auto"/>
                <w:right w:val="none" w:sz="0" w:space="0" w:color="auto"/>
              </w:divBdr>
            </w:div>
          </w:divsChild>
        </w:div>
        <w:div w:id="2077362357">
          <w:marLeft w:val="0"/>
          <w:marRight w:val="0"/>
          <w:marTop w:val="0"/>
          <w:marBottom w:val="0"/>
          <w:divBdr>
            <w:top w:val="none" w:sz="0" w:space="0" w:color="auto"/>
            <w:left w:val="none" w:sz="0" w:space="0" w:color="auto"/>
            <w:bottom w:val="none" w:sz="0" w:space="0" w:color="auto"/>
            <w:right w:val="none" w:sz="0" w:space="0" w:color="auto"/>
          </w:divBdr>
          <w:divsChild>
            <w:div w:id="998776220">
              <w:marLeft w:val="0"/>
              <w:marRight w:val="0"/>
              <w:marTop w:val="0"/>
              <w:marBottom w:val="0"/>
              <w:divBdr>
                <w:top w:val="none" w:sz="0" w:space="0" w:color="auto"/>
                <w:left w:val="none" w:sz="0" w:space="0" w:color="auto"/>
                <w:bottom w:val="none" w:sz="0" w:space="0" w:color="auto"/>
                <w:right w:val="none" w:sz="0" w:space="0" w:color="auto"/>
              </w:divBdr>
            </w:div>
          </w:divsChild>
        </w:div>
        <w:div w:id="2077392622">
          <w:marLeft w:val="0"/>
          <w:marRight w:val="0"/>
          <w:marTop w:val="0"/>
          <w:marBottom w:val="0"/>
          <w:divBdr>
            <w:top w:val="none" w:sz="0" w:space="0" w:color="auto"/>
            <w:left w:val="none" w:sz="0" w:space="0" w:color="auto"/>
            <w:bottom w:val="none" w:sz="0" w:space="0" w:color="auto"/>
            <w:right w:val="none" w:sz="0" w:space="0" w:color="auto"/>
          </w:divBdr>
          <w:divsChild>
            <w:div w:id="400718506">
              <w:marLeft w:val="0"/>
              <w:marRight w:val="0"/>
              <w:marTop w:val="0"/>
              <w:marBottom w:val="0"/>
              <w:divBdr>
                <w:top w:val="none" w:sz="0" w:space="0" w:color="auto"/>
                <w:left w:val="none" w:sz="0" w:space="0" w:color="auto"/>
                <w:bottom w:val="none" w:sz="0" w:space="0" w:color="auto"/>
                <w:right w:val="none" w:sz="0" w:space="0" w:color="auto"/>
              </w:divBdr>
            </w:div>
          </w:divsChild>
        </w:div>
        <w:div w:id="2091192250">
          <w:marLeft w:val="0"/>
          <w:marRight w:val="0"/>
          <w:marTop w:val="0"/>
          <w:marBottom w:val="0"/>
          <w:divBdr>
            <w:top w:val="none" w:sz="0" w:space="0" w:color="auto"/>
            <w:left w:val="none" w:sz="0" w:space="0" w:color="auto"/>
            <w:bottom w:val="none" w:sz="0" w:space="0" w:color="auto"/>
            <w:right w:val="none" w:sz="0" w:space="0" w:color="auto"/>
          </w:divBdr>
          <w:divsChild>
            <w:div w:id="1033306682">
              <w:marLeft w:val="0"/>
              <w:marRight w:val="0"/>
              <w:marTop w:val="0"/>
              <w:marBottom w:val="0"/>
              <w:divBdr>
                <w:top w:val="none" w:sz="0" w:space="0" w:color="auto"/>
                <w:left w:val="none" w:sz="0" w:space="0" w:color="auto"/>
                <w:bottom w:val="none" w:sz="0" w:space="0" w:color="auto"/>
                <w:right w:val="none" w:sz="0" w:space="0" w:color="auto"/>
              </w:divBdr>
            </w:div>
          </w:divsChild>
        </w:div>
        <w:div w:id="2094547173">
          <w:marLeft w:val="0"/>
          <w:marRight w:val="0"/>
          <w:marTop w:val="0"/>
          <w:marBottom w:val="0"/>
          <w:divBdr>
            <w:top w:val="none" w:sz="0" w:space="0" w:color="auto"/>
            <w:left w:val="none" w:sz="0" w:space="0" w:color="auto"/>
            <w:bottom w:val="none" w:sz="0" w:space="0" w:color="auto"/>
            <w:right w:val="none" w:sz="0" w:space="0" w:color="auto"/>
          </w:divBdr>
          <w:divsChild>
            <w:div w:id="837427876">
              <w:marLeft w:val="0"/>
              <w:marRight w:val="0"/>
              <w:marTop w:val="0"/>
              <w:marBottom w:val="0"/>
              <w:divBdr>
                <w:top w:val="none" w:sz="0" w:space="0" w:color="auto"/>
                <w:left w:val="none" w:sz="0" w:space="0" w:color="auto"/>
                <w:bottom w:val="none" w:sz="0" w:space="0" w:color="auto"/>
                <w:right w:val="none" w:sz="0" w:space="0" w:color="auto"/>
              </w:divBdr>
            </w:div>
          </w:divsChild>
        </w:div>
        <w:div w:id="2095470652">
          <w:marLeft w:val="0"/>
          <w:marRight w:val="0"/>
          <w:marTop w:val="0"/>
          <w:marBottom w:val="0"/>
          <w:divBdr>
            <w:top w:val="none" w:sz="0" w:space="0" w:color="auto"/>
            <w:left w:val="none" w:sz="0" w:space="0" w:color="auto"/>
            <w:bottom w:val="none" w:sz="0" w:space="0" w:color="auto"/>
            <w:right w:val="none" w:sz="0" w:space="0" w:color="auto"/>
          </w:divBdr>
          <w:divsChild>
            <w:div w:id="453524771">
              <w:marLeft w:val="0"/>
              <w:marRight w:val="0"/>
              <w:marTop w:val="0"/>
              <w:marBottom w:val="0"/>
              <w:divBdr>
                <w:top w:val="none" w:sz="0" w:space="0" w:color="auto"/>
                <w:left w:val="none" w:sz="0" w:space="0" w:color="auto"/>
                <w:bottom w:val="none" w:sz="0" w:space="0" w:color="auto"/>
                <w:right w:val="none" w:sz="0" w:space="0" w:color="auto"/>
              </w:divBdr>
            </w:div>
          </w:divsChild>
        </w:div>
        <w:div w:id="2109080263">
          <w:marLeft w:val="0"/>
          <w:marRight w:val="0"/>
          <w:marTop w:val="0"/>
          <w:marBottom w:val="0"/>
          <w:divBdr>
            <w:top w:val="none" w:sz="0" w:space="0" w:color="auto"/>
            <w:left w:val="none" w:sz="0" w:space="0" w:color="auto"/>
            <w:bottom w:val="none" w:sz="0" w:space="0" w:color="auto"/>
            <w:right w:val="none" w:sz="0" w:space="0" w:color="auto"/>
          </w:divBdr>
          <w:divsChild>
            <w:div w:id="191767671">
              <w:marLeft w:val="0"/>
              <w:marRight w:val="0"/>
              <w:marTop w:val="0"/>
              <w:marBottom w:val="0"/>
              <w:divBdr>
                <w:top w:val="none" w:sz="0" w:space="0" w:color="auto"/>
                <w:left w:val="none" w:sz="0" w:space="0" w:color="auto"/>
                <w:bottom w:val="none" w:sz="0" w:space="0" w:color="auto"/>
                <w:right w:val="none" w:sz="0" w:space="0" w:color="auto"/>
              </w:divBdr>
            </w:div>
          </w:divsChild>
        </w:div>
        <w:div w:id="2117677979">
          <w:marLeft w:val="0"/>
          <w:marRight w:val="0"/>
          <w:marTop w:val="0"/>
          <w:marBottom w:val="0"/>
          <w:divBdr>
            <w:top w:val="none" w:sz="0" w:space="0" w:color="auto"/>
            <w:left w:val="none" w:sz="0" w:space="0" w:color="auto"/>
            <w:bottom w:val="none" w:sz="0" w:space="0" w:color="auto"/>
            <w:right w:val="none" w:sz="0" w:space="0" w:color="auto"/>
          </w:divBdr>
          <w:divsChild>
            <w:div w:id="2103211730">
              <w:marLeft w:val="0"/>
              <w:marRight w:val="0"/>
              <w:marTop w:val="0"/>
              <w:marBottom w:val="0"/>
              <w:divBdr>
                <w:top w:val="none" w:sz="0" w:space="0" w:color="auto"/>
                <w:left w:val="none" w:sz="0" w:space="0" w:color="auto"/>
                <w:bottom w:val="none" w:sz="0" w:space="0" w:color="auto"/>
                <w:right w:val="none" w:sz="0" w:space="0" w:color="auto"/>
              </w:divBdr>
            </w:div>
          </w:divsChild>
        </w:div>
        <w:div w:id="2119596865">
          <w:marLeft w:val="0"/>
          <w:marRight w:val="0"/>
          <w:marTop w:val="0"/>
          <w:marBottom w:val="0"/>
          <w:divBdr>
            <w:top w:val="none" w:sz="0" w:space="0" w:color="auto"/>
            <w:left w:val="none" w:sz="0" w:space="0" w:color="auto"/>
            <w:bottom w:val="none" w:sz="0" w:space="0" w:color="auto"/>
            <w:right w:val="none" w:sz="0" w:space="0" w:color="auto"/>
          </w:divBdr>
          <w:divsChild>
            <w:div w:id="1914000883">
              <w:marLeft w:val="0"/>
              <w:marRight w:val="0"/>
              <w:marTop w:val="0"/>
              <w:marBottom w:val="0"/>
              <w:divBdr>
                <w:top w:val="none" w:sz="0" w:space="0" w:color="auto"/>
                <w:left w:val="none" w:sz="0" w:space="0" w:color="auto"/>
                <w:bottom w:val="none" w:sz="0" w:space="0" w:color="auto"/>
                <w:right w:val="none" w:sz="0" w:space="0" w:color="auto"/>
              </w:divBdr>
            </w:div>
          </w:divsChild>
        </w:div>
        <w:div w:id="2128235901">
          <w:marLeft w:val="0"/>
          <w:marRight w:val="0"/>
          <w:marTop w:val="0"/>
          <w:marBottom w:val="0"/>
          <w:divBdr>
            <w:top w:val="none" w:sz="0" w:space="0" w:color="auto"/>
            <w:left w:val="none" w:sz="0" w:space="0" w:color="auto"/>
            <w:bottom w:val="none" w:sz="0" w:space="0" w:color="auto"/>
            <w:right w:val="none" w:sz="0" w:space="0" w:color="auto"/>
          </w:divBdr>
          <w:divsChild>
            <w:div w:id="634485558">
              <w:marLeft w:val="0"/>
              <w:marRight w:val="0"/>
              <w:marTop w:val="0"/>
              <w:marBottom w:val="0"/>
              <w:divBdr>
                <w:top w:val="none" w:sz="0" w:space="0" w:color="auto"/>
                <w:left w:val="none" w:sz="0" w:space="0" w:color="auto"/>
                <w:bottom w:val="none" w:sz="0" w:space="0" w:color="auto"/>
                <w:right w:val="none" w:sz="0" w:space="0" w:color="auto"/>
              </w:divBdr>
            </w:div>
          </w:divsChild>
        </w:div>
        <w:div w:id="2129272870">
          <w:marLeft w:val="0"/>
          <w:marRight w:val="0"/>
          <w:marTop w:val="0"/>
          <w:marBottom w:val="0"/>
          <w:divBdr>
            <w:top w:val="none" w:sz="0" w:space="0" w:color="auto"/>
            <w:left w:val="none" w:sz="0" w:space="0" w:color="auto"/>
            <w:bottom w:val="none" w:sz="0" w:space="0" w:color="auto"/>
            <w:right w:val="none" w:sz="0" w:space="0" w:color="auto"/>
          </w:divBdr>
          <w:divsChild>
            <w:div w:id="1164399522">
              <w:marLeft w:val="0"/>
              <w:marRight w:val="0"/>
              <w:marTop w:val="0"/>
              <w:marBottom w:val="0"/>
              <w:divBdr>
                <w:top w:val="none" w:sz="0" w:space="0" w:color="auto"/>
                <w:left w:val="none" w:sz="0" w:space="0" w:color="auto"/>
                <w:bottom w:val="none" w:sz="0" w:space="0" w:color="auto"/>
                <w:right w:val="none" w:sz="0" w:space="0" w:color="auto"/>
              </w:divBdr>
            </w:div>
          </w:divsChild>
        </w:div>
        <w:div w:id="2137749625">
          <w:marLeft w:val="0"/>
          <w:marRight w:val="0"/>
          <w:marTop w:val="0"/>
          <w:marBottom w:val="0"/>
          <w:divBdr>
            <w:top w:val="none" w:sz="0" w:space="0" w:color="auto"/>
            <w:left w:val="none" w:sz="0" w:space="0" w:color="auto"/>
            <w:bottom w:val="none" w:sz="0" w:space="0" w:color="auto"/>
            <w:right w:val="none" w:sz="0" w:space="0" w:color="auto"/>
          </w:divBdr>
          <w:divsChild>
            <w:div w:id="625045145">
              <w:marLeft w:val="0"/>
              <w:marRight w:val="0"/>
              <w:marTop w:val="0"/>
              <w:marBottom w:val="0"/>
              <w:divBdr>
                <w:top w:val="none" w:sz="0" w:space="0" w:color="auto"/>
                <w:left w:val="none" w:sz="0" w:space="0" w:color="auto"/>
                <w:bottom w:val="none" w:sz="0" w:space="0" w:color="auto"/>
                <w:right w:val="none" w:sz="0" w:space="0" w:color="auto"/>
              </w:divBdr>
            </w:div>
          </w:divsChild>
        </w:div>
        <w:div w:id="2142265381">
          <w:marLeft w:val="0"/>
          <w:marRight w:val="0"/>
          <w:marTop w:val="0"/>
          <w:marBottom w:val="0"/>
          <w:divBdr>
            <w:top w:val="none" w:sz="0" w:space="0" w:color="auto"/>
            <w:left w:val="none" w:sz="0" w:space="0" w:color="auto"/>
            <w:bottom w:val="none" w:sz="0" w:space="0" w:color="auto"/>
            <w:right w:val="none" w:sz="0" w:space="0" w:color="auto"/>
          </w:divBdr>
          <w:divsChild>
            <w:div w:id="165448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02283">
      <w:bodyDiv w:val="1"/>
      <w:marLeft w:val="0"/>
      <w:marRight w:val="0"/>
      <w:marTop w:val="0"/>
      <w:marBottom w:val="0"/>
      <w:divBdr>
        <w:top w:val="none" w:sz="0" w:space="0" w:color="auto"/>
        <w:left w:val="none" w:sz="0" w:space="0" w:color="auto"/>
        <w:bottom w:val="none" w:sz="0" w:space="0" w:color="auto"/>
        <w:right w:val="none" w:sz="0" w:space="0" w:color="auto"/>
      </w:divBdr>
    </w:div>
    <w:div w:id="2040933852">
      <w:bodyDiv w:val="1"/>
      <w:marLeft w:val="0"/>
      <w:marRight w:val="0"/>
      <w:marTop w:val="0"/>
      <w:marBottom w:val="0"/>
      <w:divBdr>
        <w:top w:val="none" w:sz="0" w:space="0" w:color="auto"/>
        <w:left w:val="none" w:sz="0" w:space="0" w:color="auto"/>
        <w:bottom w:val="none" w:sz="0" w:space="0" w:color="auto"/>
        <w:right w:val="none" w:sz="0" w:space="0" w:color="auto"/>
      </w:divBdr>
      <w:divsChild>
        <w:div w:id="2245902">
          <w:marLeft w:val="0"/>
          <w:marRight w:val="0"/>
          <w:marTop w:val="0"/>
          <w:marBottom w:val="0"/>
          <w:divBdr>
            <w:top w:val="none" w:sz="0" w:space="0" w:color="auto"/>
            <w:left w:val="none" w:sz="0" w:space="0" w:color="auto"/>
            <w:bottom w:val="none" w:sz="0" w:space="0" w:color="auto"/>
            <w:right w:val="none" w:sz="0" w:space="0" w:color="auto"/>
          </w:divBdr>
          <w:divsChild>
            <w:div w:id="68386158">
              <w:marLeft w:val="0"/>
              <w:marRight w:val="0"/>
              <w:marTop w:val="0"/>
              <w:marBottom w:val="0"/>
              <w:divBdr>
                <w:top w:val="none" w:sz="0" w:space="0" w:color="auto"/>
                <w:left w:val="none" w:sz="0" w:space="0" w:color="auto"/>
                <w:bottom w:val="none" w:sz="0" w:space="0" w:color="auto"/>
                <w:right w:val="none" w:sz="0" w:space="0" w:color="auto"/>
              </w:divBdr>
            </w:div>
          </w:divsChild>
        </w:div>
        <w:div w:id="2976436">
          <w:marLeft w:val="0"/>
          <w:marRight w:val="0"/>
          <w:marTop w:val="0"/>
          <w:marBottom w:val="0"/>
          <w:divBdr>
            <w:top w:val="none" w:sz="0" w:space="0" w:color="auto"/>
            <w:left w:val="none" w:sz="0" w:space="0" w:color="auto"/>
            <w:bottom w:val="none" w:sz="0" w:space="0" w:color="auto"/>
            <w:right w:val="none" w:sz="0" w:space="0" w:color="auto"/>
          </w:divBdr>
          <w:divsChild>
            <w:div w:id="905334920">
              <w:marLeft w:val="0"/>
              <w:marRight w:val="0"/>
              <w:marTop w:val="0"/>
              <w:marBottom w:val="0"/>
              <w:divBdr>
                <w:top w:val="none" w:sz="0" w:space="0" w:color="auto"/>
                <w:left w:val="none" w:sz="0" w:space="0" w:color="auto"/>
                <w:bottom w:val="none" w:sz="0" w:space="0" w:color="auto"/>
                <w:right w:val="none" w:sz="0" w:space="0" w:color="auto"/>
              </w:divBdr>
            </w:div>
          </w:divsChild>
        </w:div>
        <w:div w:id="11540325">
          <w:marLeft w:val="0"/>
          <w:marRight w:val="0"/>
          <w:marTop w:val="0"/>
          <w:marBottom w:val="0"/>
          <w:divBdr>
            <w:top w:val="none" w:sz="0" w:space="0" w:color="auto"/>
            <w:left w:val="none" w:sz="0" w:space="0" w:color="auto"/>
            <w:bottom w:val="none" w:sz="0" w:space="0" w:color="auto"/>
            <w:right w:val="none" w:sz="0" w:space="0" w:color="auto"/>
          </w:divBdr>
          <w:divsChild>
            <w:div w:id="584993684">
              <w:marLeft w:val="0"/>
              <w:marRight w:val="0"/>
              <w:marTop w:val="0"/>
              <w:marBottom w:val="0"/>
              <w:divBdr>
                <w:top w:val="none" w:sz="0" w:space="0" w:color="auto"/>
                <w:left w:val="none" w:sz="0" w:space="0" w:color="auto"/>
                <w:bottom w:val="none" w:sz="0" w:space="0" w:color="auto"/>
                <w:right w:val="none" w:sz="0" w:space="0" w:color="auto"/>
              </w:divBdr>
            </w:div>
          </w:divsChild>
        </w:div>
        <w:div w:id="16201061">
          <w:marLeft w:val="0"/>
          <w:marRight w:val="0"/>
          <w:marTop w:val="0"/>
          <w:marBottom w:val="0"/>
          <w:divBdr>
            <w:top w:val="none" w:sz="0" w:space="0" w:color="auto"/>
            <w:left w:val="none" w:sz="0" w:space="0" w:color="auto"/>
            <w:bottom w:val="none" w:sz="0" w:space="0" w:color="auto"/>
            <w:right w:val="none" w:sz="0" w:space="0" w:color="auto"/>
          </w:divBdr>
          <w:divsChild>
            <w:div w:id="2029525187">
              <w:marLeft w:val="0"/>
              <w:marRight w:val="0"/>
              <w:marTop w:val="0"/>
              <w:marBottom w:val="0"/>
              <w:divBdr>
                <w:top w:val="none" w:sz="0" w:space="0" w:color="auto"/>
                <w:left w:val="none" w:sz="0" w:space="0" w:color="auto"/>
                <w:bottom w:val="none" w:sz="0" w:space="0" w:color="auto"/>
                <w:right w:val="none" w:sz="0" w:space="0" w:color="auto"/>
              </w:divBdr>
            </w:div>
          </w:divsChild>
        </w:div>
        <w:div w:id="20281118">
          <w:marLeft w:val="0"/>
          <w:marRight w:val="0"/>
          <w:marTop w:val="0"/>
          <w:marBottom w:val="0"/>
          <w:divBdr>
            <w:top w:val="none" w:sz="0" w:space="0" w:color="auto"/>
            <w:left w:val="none" w:sz="0" w:space="0" w:color="auto"/>
            <w:bottom w:val="none" w:sz="0" w:space="0" w:color="auto"/>
            <w:right w:val="none" w:sz="0" w:space="0" w:color="auto"/>
          </w:divBdr>
          <w:divsChild>
            <w:div w:id="261109270">
              <w:marLeft w:val="0"/>
              <w:marRight w:val="0"/>
              <w:marTop w:val="0"/>
              <w:marBottom w:val="0"/>
              <w:divBdr>
                <w:top w:val="none" w:sz="0" w:space="0" w:color="auto"/>
                <w:left w:val="none" w:sz="0" w:space="0" w:color="auto"/>
                <w:bottom w:val="none" w:sz="0" w:space="0" w:color="auto"/>
                <w:right w:val="none" w:sz="0" w:space="0" w:color="auto"/>
              </w:divBdr>
            </w:div>
          </w:divsChild>
        </w:div>
        <w:div w:id="27950723">
          <w:marLeft w:val="0"/>
          <w:marRight w:val="0"/>
          <w:marTop w:val="0"/>
          <w:marBottom w:val="0"/>
          <w:divBdr>
            <w:top w:val="none" w:sz="0" w:space="0" w:color="auto"/>
            <w:left w:val="none" w:sz="0" w:space="0" w:color="auto"/>
            <w:bottom w:val="none" w:sz="0" w:space="0" w:color="auto"/>
            <w:right w:val="none" w:sz="0" w:space="0" w:color="auto"/>
          </w:divBdr>
          <w:divsChild>
            <w:div w:id="768741624">
              <w:marLeft w:val="0"/>
              <w:marRight w:val="0"/>
              <w:marTop w:val="0"/>
              <w:marBottom w:val="0"/>
              <w:divBdr>
                <w:top w:val="none" w:sz="0" w:space="0" w:color="auto"/>
                <w:left w:val="none" w:sz="0" w:space="0" w:color="auto"/>
                <w:bottom w:val="none" w:sz="0" w:space="0" w:color="auto"/>
                <w:right w:val="none" w:sz="0" w:space="0" w:color="auto"/>
              </w:divBdr>
            </w:div>
          </w:divsChild>
        </w:div>
        <w:div w:id="35080596">
          <w:marLeft w:val="0"/>
          <w:marRight w:val="0"/>
          <w:marTop w:val="0"/>
          <w:marBottom w:val="0"/>
          <w:divBdr>
            <w:top w:val="none" w:sz="0" w:space="0" w:color="auto"/>
            <w:left w:val="none" w:sz="0" w:space="0" w:color="auto"/>
            <w:bottom w:val="none" w:sz="0" w:space="0" w:color="auto"/>
            <w:right w:val="none" w:sz="0" w:space="0" w:color="auto"/>
          </w:divBdr>
          <w:divsChild>
            <w:div w:id="369182715">
              <w:marLeft w:val="0"/>
              <w:marRight w:val="0"/>
              <w:marTop w:val="0"/>
              <w:marBottom w:val="0"/>
              <w:divBdr>
                <w:top w:val="none" w:sz="0" w:space="0" w:color="auto"/>
                <w:left w:val="none" w:sz="0" w:space="0" w:color="auto"/>
                <w:bottom w:val="none" w:sz="0" w:space="0" w:color="auto"/>
                <w:right w:val="none" w:sz="0" w:space="0" w:color="auto"/>
              </w:divBdr>
            </w:div>
          </w:divsChild>
        </w:div>
        <w:div w:id="40061018">
          <w:marLeft w:val="0"/>
          <w:marRight w:val="0"/>
          <w:marTop w:val="0"/>
          <w:marBottom w:val="0"/>
          <w:divBdr>
            <w:top w:val="none" w:sz="0" w:space="0" w:color="auto"/>
            <w:left w:val="none" w:sz="0" w:space="0" w:color="auto"/>
            <w:bottom w:val="none" w:sz="0" w:space="0" w:color="auto"/>
            <w:right w:val="none" w:sz="0" w:space="0" w:color="auto"/>
          </w:divBdr>
          <w:divsChild>
            <w:div w:id="485633321">
              <w:marLeft w:val="0"/>
              <w:marRight w:val="0"/>
              <w:marTop w:val="0"/>
              <w:marBottom w:val="0"/>
              <w:divBdr>
                <w:top w:val="none" w:sz="0" w:space="0" w:color="auto"/>
                <w:left w:val="none" w:sz="0" w:space="0" w:color="auto"/>
                <w:bottom w:val="none" w:sz="0" w:space="0" w:color="auto"/>
                <w:right w:val="none" w:sz="0" w:space="0" w:color="auto"/>
              </w:divBdr>
            </w:div>
          </w:divsChild>
        </w:div>
        <w:div w:id="40835041">
          <w:marLeft w:val="0"/>
          <w:marRight w:val="0"/>
          <w:marTop w:val="0"/>
          <w:marBottom w:val="0"/>
          <w:divBdr>
            <w:top w:val="none" w:sz="0" w:space="0" w:color="auto"/>
            <w:left w:val="none" w:sz="0" w:space="0" w:color="auto"/>
            <w:bottom w:val="none" w:sz="0" w:space="0" w:color="auto"/>
            <w:right w:val="none" w:sz="0" w:space="0" w:color="auto"/>
          </w:divBdr>
          <w:divsChild>
            <w:div w:id="666321091">
              <w:marLeft w:val="0"/>
              <w:marRight w:val="0"/>
              <w:marTop w:val="0"/>
              <w:marBottom w:val="0"/>
              <w:divBdr>
                <w:top w:val="none" w:sz="0" w:space="0" w:color="auto"/>
                <w:left w:val="none" w:sz="0" w:space="0" w:color="auto"/>
                <w:bottom w:val="none" w:sz="0" w:space="0" w:color="auto"/>
                <w:right w:val="none" w:sz="0" w:space="0" w:color="auto"/>
              </w:divBdr>
            </w:div>
          </w:divsChild>
        </w:div>
        <w:div w:id="46883895">
          <w:marLeft w:val="0"/>
          <w:marRight w:val="0"/>
          <w:marTop w:val="0"/>
          <w:marBottom w:val="0"/>
          <w:divBdr>
            <w:top w:val="none" w:sz="0" w:space="0" w:color="auto"/>
            <w:left w:val="none" w:sz="0" w:space="0" w:color="auto"/>
            <w:bottom w:val="none" w:sz="0" w:space="0" w:color="auto"/>
            <w:right w:val="none" w:sz="0" w:space="0" w:color="auto"/>
          </w:divBdr>
          <w:divsChild>
            <w:div w:id="1160923131">
              <w:marLeft w:val="0"/>
              <w:marRight w:val="0"/>
              <w:marTop w:val="0"/>
              <w:marBottom w:val="0"/>
              <w:divBdr>
                <w:top w:val="none" w:sz="0" w:space="0" w:color="auto"/>
                <w:left w:val="none" w:sz="0" w:space="0" w:color="auto"/>
                <w:bottom w:val="none" w:sz="0" w:space="0" w:color="auto"/>
                <w:right w:val="none" w:sz="0" w:space="0" w:color="auto"/>
              </w:divBdr>
            </w:div>
          </w:divsChild>
        </w:div>
        <w:div w:id="51009708">
          <w:marLeft w:val="0"/>
          <w:marRight w:val="0"/>
          <w:marTop w:val="0"/>
          <w:marBottom w:val="0"/>
          <w:divBdr>
            <w:top w:val="none" w:sz="0" w:space="0" w:color="auto"/>
            <w:left w:val="none" w:sz="0" w:space="0" w:color="auto"/>
            <w:bottom w:val="none" w:sz="0" w:space="0" w:color="auto"/>
            <w:right w:val="none" w:sz="0" w:space="0" w:color="auto"/>
          </w:divBdr>
          <w:divsChild>
            <w:div w:id="981345546">
              <w:marLeft w:val="0"/>
              <w:marRight w:val="0"/>
              <w:marTop w:val="0"/>
              <w:marBottom w:val="0"/>
              <w:divBdr>
                <w:top w:val="none" w:sz="0" w:space="0" w:color="auto"/>
                <w:left w:val="none" w:sz="0" w:space="0" w:color="auto"/>
                <w:bottom w:val="none" w:sz="0" w:space="0" w:color="auto"/>
                <w:right w:val="none" w:sz="0" w:space="0" w:color="auto"/>
              </w:divBdr>
            </w:div>
          </w:divsChild>
        </w:div>
        <w:div w:id="51197506">
          <w:marLeft w:val="0"/>
          <w:marRight w:val="0"/>
          <w:marTop w:val="0"/>
          <w:marBottom w:val="0"/>
          <w:divBdr>
            <w:top w:val="none" w:sz="0" w:space="0" w:color="auto"/>
            <w:left w:val="none" w:sz="0" w:space="0" w:color="auto"/>
            <w:bottom w:val="none" w:sz="0" w:space="0" w:color="auto"/>
            <w:right w:val="none" w:sz="0" w:space="0" w:color="auto"/>
          </w:divBdr>
          <w:divsChild>
            <w:div w:id="1493449712">
              <w:marLeft w:val="0"/>
              <w:marRight w:val="0"/>
              <w:marTop w:val="0"/>
              <w:marBottom w:val="0"/>
              <w:divBdr>
                <w:top w:val="none" w:sz="0" w:space="0" w:color="auto"/>
                <w:left w:val="none" w:sz="0" w:space="0" w:color="auto"/>
                <w:bottom w:val="none" w:sz="0" w:space="0" w:color="auto"/>
                <w:right w:val="none" w:sz="0" w:space="0" w:color="auto"/>
              </w:divBdr>
            </w:div>
          </w:divsChild>
        </w:div>
        <w:div w:id="51588589">
          <w:marLeft w:val="0"/>
          <w:marRight w:val="0"/>
          <w:marTop w:val="0"/>
          <w:marBottom w:val="0"/>
          <w:divBdr>
            <w:top w:val="none" w:sz="0" w:space="0" w:color="auto"/>
            <w:left w:val="none" w:sz="0" w:space="0" w:color="auto"/>
            <w:bottom w:val="none" w:sz="0" w:space="0" w:color="auto"/>
            <w:right w:val="none" w:sz="0" w:space="0" w:color="auto"/>
          </w:divBdr>
          <w:divsChild>
            <w:div w:id="193885039">
              <w:marLeft w:val="0"/>
              <w:marRight w:val="0"/>
              <w:marTop w:val="0"/>
              <w:marBottom w:val="0"/>
              <w:divBdr>
                <w:top w:val="none" w:sz="0" w:space="0" w:color="auto"/>
                <w:left w:val="none" w:sz="0" w:space="0" w:color="auto"/>
                <w:bottom w:val="none" w:sz="0" w:space="0" w:color="auto"/>
                <w:right w:val="none" w:sz="0" w:space="0" w:color="auto"/>
              </w:divBdr>
            </w:div>
          </w:divsChild>
        </w:div>
        <w:div w:id="54013996">
          <w:marLeft w:val="0"/>
          <w:marRight w:val="0"/>
          <w:marTop w:val="0"/>
          <w:marBottom w:val="0"/>
          <w:divBdr>
            <w:top w:val="none" w:sz="0" w:space="0" w:color="auto"/>
            <w:left w:val="none" w:sz="0" w:space="0" w:color="auto"/>
            <w:bottom w:val="none" w:sz="0" w:space="0" w:color="auto"/>
            <w:right w:val="none" w:sz="0" w:space="0" w:color="auto"/>
          </w:divBdr>
          <w:divsChild>
            <w:div w:id="1947694972">
              <w:marLeft w:val="0"/>
              <w:marRight w:val="0"/>
              <w:marTop w:val="0"/>
              <w:marBottom w:val="0"/>
              <w:divBdr>
                <w:top w:val="none" w:sz="0" w:space="0" w:color="auto"/>
                <w:left w:val="none" w:sz="0" w:space="0" w:color="auto"/>
                <w:bottom w:val="none" w:sz="0" w:space="0" w:color="auto"/>
                <w:right w:val="none" w:sz="0" w:space="0" w:color="auto"/>
              </w:divBdr>
            </w:div>
          </w:divsChild>
        </w:div>
        <w:div w:id="60567016">
          <w:marLeft w:val="0"/>
          <w:marRight w:val="0"/>
          <w:marTop w:val="0"/>
          <w:marBottom w:val="0"/>
          <w:divBdr>
            <w:top w:val="none" w:sz="0" w:space="0" w:color="auto"/>
            <w:left w:val="none" w:sz="0" w:space="0" w:color="auto"/>
            <w:bottom w:val="none" w:sz="0" w:space="0" w:color="auto"/>
            <w:right w:val="none" w:sz="0" w:space="0" w:color="auto"/>
          </w:divBdr>
          <w:divsChild>
            <w:div w:id="526606643">
              <w:marLeft w:val="0"/>
              <w:marRight w:val="0"/>
              <w:marTop w:val="0"/>
              <w:marBottom w:val="0"/>
              <w:divBdr>
                <w:top w:val="none" w:sz="0" w:space="0" w:color="auto"/>
                <w:left w:val="none" w:sz="0" w:space="0" w:color="auto"/>
                <w:bottom w:val="none" w:sz="0" w:space="0" w:color="auto"/>
                <w:right w:val="none" w:sz="0" w:space="0" w:color="auto"/>
              </w:divBdr>
            </w:div>
          </w:divsChild>
        </w:div>
        <w:div w:id="73868110">
          <w:marLeft w:val="0"/>
          <w:marRight w:val="0"/>
          <w:marTop w:val="0"/>
          <w:marBottom w:val="0"/>
          <w:divBdr>
            <w:top w:val="none" w:sz="0" w:space="0" w:color="auto"/>
            <w:left w:val="none" w:sz="0" w:space="0" w:color="auto"/>
            <w:bottom w:val="none" w:sz="0" w:space="0" w:color="auto"/>
            <w:right w:val="none" w:sz="0" w:space="0" w:color="auto"/>
          </w:divBdr>
          <w:divsChild>
            <w:div w:id="129715642">
              <w:marLeft w:val="0"/>
              <w:marRight w:val="0"/>
              <w:marTop w:val="0"/>
              <w:marBottom w:val="0"/>
              <w:divBdr>
                <w:top w:val="none" w:sz="0" w:space="0" w:color="auto"/>
                <w:left w:val="none" w:sz="0" w:space="0" w:color="auto"/>
                <w:bottom w:val="none" w:sz="0" w:space="0" w:color="auto"/>
                <w:right w:val="none" w:sz="0" w:space="0" w:color="auto"/>
              </w:divBdr>
            </w:div>
          </w:divsChild>
        </w:div>
        <w:div w:id="79180379">
          <w:marLeft w:val="0"/>
          <w:marRight w:val="0"/>
          <w:marTop w:val="0"/>
          <w:marBottom w:val="0"/>
          <w:divBdr>
            <w:top w:val="none" w:sz="0" w:space="0" w:color="auto"/>
            <w:left w:val="none" w:sz="0" w:space="0" w:color="auto"/>
            <w:bottom w:val="none" w:sz="0" w:space="0" w:color="auto"/>
            <w:right w:val="none" w:sz="0" w:space="0" w:color="auto"/>
          </w:divBdr>
          <w:divsChild>
            <w:div w:id="7681965">
              <w:marLeft w:val="0"/>
              <w:marRight w:val="0"/>
              <w:marTop w:val="0"/>
              <w:marBottom w:val="0"/>
              <w:divBdr>
                <w:top w:val="none" w:sz="0" w:space="0" w:color="auto"/>
                <w:left w:val="none" w:sz="0" w:space="0" w:color="auto"/>
                <w:bottom w:val="none" w:sz="0" w:space="0" w:color="auto"/>
                <w:right w:val="none" w:sz="0" w:space="0" w:color="auto"/>
              </w:divBdr>
            </w:div>
          </w:divsChild>
        </w:div>
        <w:div w:id="89934584">
          <w:marLeft w:val="0"/>
          <w:marRight w:val="0"/>
          <w:marTop w:val="0"/>
          <w:marBottom w:val="0"/>
          <w:divBdr>
            <w:top w:val="none" w:sz="0" w:space="0" w:color="auto"/>
            <w:left w:val="none" w:sz="0" w:space="0" w:color="auto"/>
            <w:bottom w:val="none" w:sz="0" w:space="0" w:color="auto"/>
            <w:right w:val="none" w:sz="0" w:space="0" w:color="auto"/>
          </w:divBdr>
          <w:divsChild>
            <w:div w:id="992873917">
              <w:marLeft w:val="0"/>
              <w:marRight w:val="0"/>
              <w:marTop w:val="0"/>
              <w:marBottom w:val="0"/>
              <w:divBdr>
                <w:top w:val="none" w:sz="0" w:space="0" w:color="auto"/>
                <w:left w:val="none" w:sz="0" w:space="0" w:color="auto"/>
                <w:bottom w:val="none" w:sz="0" w:space="0" w:color="auto"/>
                <w:right w:val="none" w:sz="0" w:space="0" w:color="auto"/>
              </w:divBdr>
            </w:div>
          </w:divsChild>
        </w:div>
        <w:div w:id="113906085">
          <w:marLeft w:val="0"/>
          <w:marRight w:val="0"/>
          <w:marTop w:val="0"/>
          <w:marBottom w:val="0"/>
          <w:divBdr>
            <w:top w:val="none" w:sz="0" w:space="0" w:color="auto"/>
            <w:left w:val="none" w:sz="0" w:space="0" w:color="auto"/>
            <w:bottom w:val="none" w:sz="0" w:space="0" w:color="auto"/>
            <w:right w:val="none" w:sz="0" w:space="0" w:color="auto"/>
          </w:divBdr>
          <w:divsChild>
            <w:div w:id="2082940657">
              <w:marLeft w:val="0"/>
              <w:marRight w:val="0"/>
              <w:marTop w:val="0"/>
              <w:marBottom w:val="0"/>
              <w:divBdr>
                <w:top w:val="none" w:sz="0" w:space="0" w:color="auto"/>
                <w:left w:val="none" w:sz="0" w:space="0" w:color="auto"/>
                <w:bottom w:val="none" w:sz="0" w:space="0" w:color="auto"/>
                <w:right w:val="none" w:sz="0" w:space="0" w:color="auto"/>
              </w:divBdr>
            </w:div>
          </w:divsChild>
        </w:div>
        <w:div w:id="115681447">
          <w:marLeft w:val="0"/>
          <w:marRight w:val="0"/>
          <w:marTop w:val="0"/>
          <w:marBottom w:val="0"/>
          <w:divBdr>
            <w:top w:val="none" w:sz="0" w:space="0" w:color="auto"/>
            <w:left w:val="none" w:sz="0" w:space="0" w:color="auto"/>
            <w:bottom w:val="none" w:sz="0" w:space="0" w:color="auto"/>
            <w:right w:val="none" w:sz="0" w:space="0" w:color="auto"/>
          </w:divBdr>
          <w:divsChild>
            <w:div w:id="1859008086">
              <w:marLeft w:val="0"/>
              <w:marRight w:val="0"/>
              <w:marTop w:val="0"/>
              <w:marBottom w:val="0"/>
              <w:divBdr>
                <w:top w:val="none" w:sz="0" w:space="0" w:color="auto"/>
                <w:left w:val="none" w:sz="0" w:space="0" w:color="auto"/>
                <w:bottom w:val="none" w:sz="0" w:space="0" w:color="auto"/>
                <w:right w:val="none" w:sz="0" w:space="0" w:color="auto"/>
              </w:divBdr>
            </w:div>
          </w:divsChild>
        </w:div>
        <w:div w:id="115949614">
          <w:marLeft w:val="0"/>
          <w:marRight w:val="0"/>
          <w:marTop w:val="0"/>
          <w:marBottom w:val="0"/>
          <w:divBdr>
            <w:top w:val="none" w:sz="0" w:space="0" w:color="auto"/>
            <w:left w:val="none" w:sz="0" w:space="0" w:color="auto"/>
            <w:bottom w:val="none" w:sz="0" w:space="0" w:color="auto"/>
            <w:right w:val="none" w:sz="0" w:space="0" w:color="auto"/>
          </w:divBdr>
          <w:divsChild>
            <w:div w:id="1031998011">
              <w:marLeft w:val="0"/>
              <w:marRight w:val="0"/>
              <w:marTop w:val="0"/>
              <w:marBottom w:val="0"/>
              <w:divBdr>
                <w:top w:val="none" w:sz="0" w:space="0" w:color="auto"/>
                <w:left w:val="none" w:sz="0" w:space="0" w:color="auto"/>
                <w:bottom w:val="none" w:sz="0" w:space="0" w:color="auto"/>
                <w:right w:val="none" w:sz="0" w:space="0" w:color="auto"/>
              </w:divBdr>
            </w:div>
          </w:divsChild>
        </w:div>
        <w:div w:id="132872985">
          <w:marLeft w:val="0"/>
          <w:marRight w:val="0"/>
          <w:marTop w:val="0"/>
          <w:marBottom w:val="0"/>
          <w:divBdr>
            <w:top w:val="none" w:sz="0" w:space="0" w:color="auto"/>
            <w:left w:val="none" w:sz="0" w:space="0" w:color="auto"/>
            <w:bottom w:val="none" w:sz="0" w:space="0" w:color="auto"/>
            <w:right w:val="none" w:sz="0" w:space="0" w:color="auto"/>
          </w:divBdr>
          <w:divsChild>
            <w:div w:id="1206067506">
              <w:marLeft w:val="0"/>
              <w:marRight w:val="0"/>
              <w:marTop w:val="0"/>
              <w:marBottom w:val="0"/>
              <w:divBdr>
                <w:top w:val="none" w:sz="0" w:space="0" w:color="auto"/>
                <w:left w:val="none" w:sz="0" w:space="0" w:color="auto"/>
                <w:bottom w:val="none" w:sz="0" w:space="0" w:color="auto"/>
                <w:right w:val="none" w:sz="0" w:space="0" w:color="auto"/>
              </w:divBdr>
            </w:div>
          </w:divsChild>
        </w:div>
        <w:div w:id="139886370">
          <w:marLeft w:val="0"/>
          <w:marRight w:val="0"/>
          <w:marTop w:val="0"/>
          <w:marBottom w:val="0"/>
          <w:divBdr>
            <w:top w:val="none" w:sz="0" w:space="0" w:color="auto"/>
            <w:left w:val="none" w:sz="0" w:space="0" w:color="auto"/>
            <w:bottom w:val="none" w:sz="0" w:space="0" w:color="auto"/>
            <w:right w:val="none" w:sz="0" w:space="0" w:color="auto"/>
          </w:divBdr>
          <w:divsChild>
            <w:div w:id="459881837">
              <w:marLeft w:val="0"/>
              <w:marRight w:val="0"/>
              <w:marTop w:val="0"/>
              <w:marBottom w:val="0"/>
              <w:divBdr>
                <w:top w:val="none" w:sz="0" w:space="0" w:color="auto"/>
                <w:left w:val="none" w:sz="0" w:space="0" w:color="auto"/>
                <w:bottom w:val="none" w:sz="0" w:space="0" w:color="auto"/>
                <w:right w:val="none" w:sz="0" w:space="0" w:color="auto"/>
              </w:divBdr>
            </w:div>
          </w:divsChild>
        </w:div>
        <w:div w:id="141508240">
          <w:marLeft w:val="0"/>
          <w:marRight w:val="0"/>
          <w:marTop w:val="0"/>
          <w:marBottom w:val="0"/>
          <w:divBdr>
            <w:top w:val="none" w:sz="0" w:space="0" w:color="auto"/>
            <w:left w:val="none" w:sz="0" w:space="0" w:color="auto"/>
            <w:bottom w:val="none" w:sz="0" w:space="0" w:color="auto"/>
            <w:right w:val="none" w:sz="0" w:space="0" w:color="auto"/>
          </w:divBdr>
          <w:divsChild>
            <w:div w:id="1617977591">
              <w:marLeft w:val="0"/>
              <w:marRight w:val="0"/>
              <w:marTop w:val="0"/>
              <w:marBottom w:val="0"/>
              <w:divBdr>
                <w:top w:val="none" w:sz="0" w:space="0" w:color="auto"/>
                <w:left w:val="none" w:sz="0" w:space="0" w:color="auto"/>
                <w:bottom w:val="none" w:sz="0" w:space="0" w:color="auto"/>
                <w:right w:val="none" w:sz="0" w:space="0" w:color="auto"/>
              </w:divBdr>
            </w:div>
          </w:divsChild>
        </w:div>
        <w:div w:id="144472674">
          <w:marLeft w:val="0"/>
          <w:marRight w:val="0"/>
          <w:marTop w:val="0"/>
          <w:marBottom w:val="0"/>
          <w:divBdr>
            <w:top w:val="none" w:sz="0" w:space="0" w:color="auto"/>
            <w:left w:val="none" w:sz="0" w:space="0" w:color="auto"/>
            <w:bottom w:val="none" w:sz="0" w:space="0" w:color="auto"/>
            <w:right w:val="none" w:sz="0" w:space="0" w:color="auto"/>
          </w:divBdr>
          <w:divsChild>
            <w:div w:id="966810807">
              <w:marLeft w:val="0"/>
              <w:marRight w:val="0"/>
              <w:marTop w:val="0"/>
              <w:marBottom w:val="0"/>
              <w:divBdr>
                <w:top w:val="none" w:sz="0" w:space="0" w:color="auto"/>
                <w:left w:val="none" w:sz="0" w:space="0" w:color="auto"/>
                <w:bottom w:val="none" w:sz="0" w:space="0" w:color="auto"/>
                <w:right w:val="none" w:sz="0" w:space="0" w:color="auto"/>
              </w:divBdr>
            </w:div>
          </w:divsChild>
        </w:div>
        <w:div w:id="145052541">
          <w:marLeft w:val="0"/>
          <w:marRight w:val="0"/>
          <w:marTop w:val="0"/>
          <w:marBottom w:val="0"/>
          <w:divBdr>
            <w:top w:val="none" w:sz="0" w:space="0" w:color="auto"/>
            <w:left w:val="none" w:sz="0" w:space="0" w:color="auto"/>
            <w:bottom w:val="none" w:sz="0" w:space="0" w:color="auto"/>
            <w:right w:val="none" w:sz="0" w:space="0" w:color="auto"/>
          </w:divBdr>
          <w:divsChild>
            <w:div w:id="1533805211">
              <w:marLeft w:val="0"/>
              <w:marRight w:val="0"/>
              <w:marTop w:val="0"/>
              <w:marBottom w:val="0"/>
              <w:divBdr>
                <w:top w:val="none" w:sz="0" w:space="0" w:color="auto"/>
                <w:left w:val="none" w:sz="0" w:space="0" w:color="auto"/>
                <w:bottom w:val="none" w:sz="0" w:space="0" w:color="auto"/>
                <w:right w:val="none" w:sz="0" w:space="0" w:color="auto"/>
              </w:divBdr>
            </w:div>
          </w:divsChild>
        </w:div>
        <w:div w:id="146166808">
          <w:marLeft w:val="0"/>
          <w:marRight w:val="0"/>
          <w:marTop w:val="0"/>
          <w:marBottom w:val="0"/>
          <w:divBdr>
            <w:top w:val="none" w:sz="0" w:space="0" w:color="auto"/>
            <w:left w:val="none" w:sz="0" w:space="0" w:color="auto"/>
            <w:bottom w:val="none" w:sz="0" w:space="0" w:color="auto"/>
            <w:right w:val="none" w:sz="0" w:space="0" w:color="auto"/>
          </w:divBdr>
          <w:divsChild>
            <w:div w:id="283509507">
              <w:marLeft w:val="0"/>
              <w:marRight w:val="0"/>
              <w:marTop w:val="0"/>
              <w:marBottom w:val="0"/>
              <w:divBdr>
                <w:top w:val="none" w:sz="0" w:space="0" w:color="auto"/>
                <w:left w:val="none" w:sz="0" w:space="0" w:color="auto"/>
                <w:bottom w:val="none" w:sz="0" w:space="0" w:color="auto"/>
                <w:right w:val="none" w:sz="0" w:space="0" w:color="auto"/>
              </w:divBdr>
            </w:div>
          </w:divsChild>
        </w:div>
        <w:div w:id="154035738">
          <w:marLeft w:val="0"/>
          <w:marRight w:val="0"/>
          <w:marTop w:val="0"/>
          <w:marBottom w:val="0"/>
          <w:divBdr>
            <w:top w:val="none" w:sz="0" w:space="0" w:color="auto"/>
            <w:left w:val="none" w:sz="0" w:space="0" w:color="auto"/>
            <w:bottom w:val="none" w:sz="0" w:space="0" w:color="auto"/>
            <w:right w:val="none" w:sz="0" w:space="0" w:color="auto"/>
          </w:divBdr>
          <w:divsChild>
            <w:div w:id="264264197">
              <w:marLeft w:val="0"/>
              <w:marRight w:val="0"/>
              <w:marTop w:val="0"/>
              <w:marBottom w:val="0"/>
              <w:divBdr>
                <w:top w:val="none" w:sz="0" w:space="0" w:color="auto"/>
                <w:left w:val="none" w:sz="0" w:space="0" w:color="auto"/>
                <w:bottom w:val="none" w:sz="0" w:space="0" w:color="auto"/>
                <w:right w:val="none" w:sz="0" w:space="0" w:color="auto"/>
              </w:divBdr>
            </w:div>
          </w:divsChild>
        </w:div>
        <w:div w:id="167058306">
          <w:marLeft w:val="0"/>
          <w:marRight w:val="0"/>
          <w:marTop w:val="0"/>
          <w:marBottom w:val="0"/>
          <w:divBdr>
            <w:top w:val="none" w:sz="0" w:space="0" w:color="auto"/>
            <w:left w:val="none" w:sz="0" w:space="0" w:color="auto"/>
            <w:bottom w:val="none" w:sz="0" w:space="0" w:color="auto"/>
            <w:right w:val="none" w:sz="0" w:space="0" w:color="auto"/>
          </w:divBdr>
          <w:divsChild>
            <w:div w:id="555746348">
              <w:marLeft w:val="0"/>
              <w:marRight w:val="0"/>
              <w:marTop w:val="0"/>
              <w:marBottom w:val="0"/>
              <w:divBdr>
                <w:top w:val="none" w:sz="0" w:space="0" w:color="auto"/>
                <w:left w:val="none" w:sz="0" w:space="0" w:color="auto"/>
                <w:bottom w:val="none" w:sz="0" w:space="0" w:color="auto"/>
                <w:right w:val="none" w:sz="0" w:space="0" w:color="auto"/>
              </w:divBdr>
            </w:div>
          </w:divsChild>
        </w:div>
        <w:div w:id="184442383">
          <w:marLeft w:val="0"/>
          <w:marRight w:val="0"/>
          <w:marTop w:val="0"/>
          <w:marBottom w:val="0"/>
          <w:divBdr>
            <w:top w:val="none" w:sz="0" w:space="0" w:color="auto"/>
            <w:left w:val="none" w:sz="0" w:space="0" w:color="auto"/>
            <w:bottom w:val="none" w:sz="0" w:space="0" w:color="auto"/>
            <w:right w:val="none" w:sz="0" w:space="0" w:color="auto"/>
          </w:divBdr>
          <w:divsChild>
            <w:div w:id="359362381">
              <w:marLeft w:val="0"/>
              <w:marRight w:val="0"/>
              <w:marTop w:val="0"/>
              <w:marBottom w:val="0"/>
              <w:divBdr>
                <w:top w:val="none" w:sz="0" w:space="0" w:color="auto"/>
                <w:left w:val="none" w:sz="0" w:space="0" w:color="auto"/>
                <w:bottom w:val="none" w:sz="0" w:space="0" w:color="auto"/>
                <w:right w:val="none" w:sz="0" w:space="0" w:color="auto"/>
              </w:divBdr>
            </w:div>
          </w:divsChild>
        </w:div>
        <w:div w:id="195701697">
          <w:marLeft w:val="0"/>
          <w:marRight w:val="0"/>
          <w:marTop w:val="0"/>
          <w:marBottom w:val="0"/>
          <w:divBdr>
            <w:top w:val="none" w:sz="0" w:space="0" w:color="auto"/>
            <w:left w:val="none" w:sz="0" w:space="0" w:color="auto"/>
            <w:bottom w:val="none" w:sz="0" w:space="0" w:color="auto"/>
            <w:right w:val="none" w:sz="0" w:space="0" w:color="auto"/>
          </w:divBdr>
          <w:divsChild>
            <w:div w:id="1243218010">
              <w:marLeft w:val="0"/>
              <w:marRight w:val="0"/>
              <w:marTop w:val="0"/>
              <w:marBottom w:val="0"/>
              <w:divBdr>
                <w:top w:val="none" w:sz="0" w:space="0" w:color="auto"/>
                <w:left w:val="none" w:sz="0" w:space="0" w:color="auto"/>
                <w:bottom w:val="none" w:sz="0" w:space="0" w:color="auto"/>
                <w:right w:val="none" w:sz="0" w:space="0" w:color="auto"/>
              </w:divBdr>
            </w:div>
          </w:divsChild>
        </w:div>
        <w:div w:id="212037546">
          <w:marLeft w:val="0"/>
          <w:marRight w:val="0"/>
          <w:marTop w:val="0"/>
          <w:marBottom w:val="0"/>
          <w:divBdr>
            <w:top w:val="none" w:sz="0" w:space="0" w:color="auto"/>
            <w:left w:val="none" w:sz="0" w:space="0" w:color="auto"/>
            <w:bottom w:val="none" w:sz="0" w:space="0" w:color="auto"/>
            <w:right w:val="none" w:sz="0" w:space="0" w:color="auto"/>
          </w:divBdr>
          <w:divsChild>
            <w:div w:id="922567805">
              <w:marLeft w:val="0"/>
              <w:marRight w:val="0"/>
              <w:marTop w:val="0"/>
              <w:marBottom w:val="0"/>
              <w:divBdr>
                <w:top w:val="none" w:sz="0" w:space="0" w:color="auto"/>
                <w:left w:val="none" w:sz="0" w:space="0" w:color="auto"/>
                <w:bottom w:val="none" w:sz="0" w:space="0" w:color="auto"/>
                <w:right w:val="none" w:sz="0" w:space="0" w:color="auto"/>
              </w:divBdr>
            </w:div>
          </w:divsChild>
        </w:div>
        <w:div w:id="224343165">
          <w:marLeft w:val="0"/>
          <w:marRight w:val="0"/>
          <w:marTop w:val="0"/>
          <w:marBottom w:val="0"/>
          <w:divBdr>
            <w:top w:val="none" w:sz="0" w:space="0" w:color="auto"/>
            <w:left w:val="none" w:sz="0" w:space="0" w:color="auto"/>
            <w:bottom w:val="none" w:sz="0" w:space="0" w:color="auto"/>
            <w:right w:val="none" w:sz="0" w:space="0" w:color="auto"/>
          </w:divBdr>
          <w:divsChild>
            <w:div w:id="1963996211">
              <w:marLeft w:val="0"/>
              <w:marRight w:val="0"/>
              <w:marTop w:val="0"/>
              <w:marBottom w:val="0"/>
              <w:divBdr>
                <w:top w:val="none" w:sz="0" w:space="0" w:color="auto"/>
                <w:left w:val="none" w:sz="0" w:space="0" w:color="auto"/>
                <w:bottom w:val="none" w:sz="0" w:space="0" w:color="auto"/>
                <w:right w:val="none" w:sz="0" w:space="0" w:color="auto"/>
              </w:divBdr>
            </w:div>
          </w:divsChild>
        </w:div>
        <w:div w:id="226767968">
          <w:marLeft w:val="0"/>
          <w:marRight w:val="0"/>
          <w:marTop w:val="0"/>
          <w:marBottom w:val="0"/>
          <w:divBdr>
            <w:top w:val="none" w:sz="0" w:space="0" w:color="auto"/>
            <w:left w:val="none" w:sz="0" w:space="0" w:color="auto"/>
            <w:bottom w:val="none" w:sz="0" w:space="0" w:color="auto"/>
            <w:right w:val="none" w:sz="0" w:space="0" w:color="auto"/>
          </w:divBdr>
          <w:divsChild>
            <w:div w:id="1303920258">
              <w:marLeft w:val="0"/>
              <w:marRight w:val="0"/>
              <w:marTop w:val="0"/>
              <w:marBottom w:val="0"/>
              <w:divBdr>
                <w:top w:val="none" w:sz="0" w:space="0" w:color="auto"/>
                <w:left w:val="none" w:sz="0" w:space="0" w:color="auto"/>
                <w:bottom w:val="none" w:sz="0" w:space="0" w:color="auto"/>
                <w:right w:val="none" w:sz="0" w:space="0" w:color="auto"/>
              </w:divBdr>
            </w:div>
          </w:divsChild>
        </w:div>
        <w:div w:id="241915178">
          <w:marLeft w:val="0"/>
          <w:marRight w:val="0"/>
          <w:marTop w:val="0"/>
          <w:marBottom w:val="0"/>
          <w:divBdr>
            <w:top w:val="none" w:sz="0" w:space="0" w:color="auto"/>
            <w:left w:val="none" w:sz="0" w:space="0" w:color="auto"/>
            <w:bottom w:val="none" w:sz="0" w:space="0" w:color="auto"/>
            <w:right w:val="none" w:sz="0" w:space="0" w:color="auto"/>
          </w:divBdr>
          <w:divsChild>
            <w:div w:id="1123692174">
              <w:marLeft w:val="0"/>
              <w:marRight w:val="0"/>
              <w:marTop w:val="0"/>
              <w:marBottom w:val="0"/>
              <w:divBdr>
                <w:top w:val="none" w:sz="0" w:space="0" w:color="auto"/>
                <w:left w:val="none" w:sz="0" w:space="0" w:color="auto"/>
                <w:bottom w:val="none" w:sz="0" w:space="0" w:color="auto"/>
                <w:right w:val="none" w:sz="0" w:space="0" w:color="auto"/>
              </w:divBdr>
            </w:div>
          </w:divsChild>
        </w:div>
        <w:div w:id="262417164">
          <w:marLeft w:val="0"/>
          <w:marRight w:val="0"/>
          <w:marTop w:val="0"/>
          <w:marBottom w:val="0"/>
          <w:divBdr>
            <w:top w:val="none" w:sz="0" w:space="0" w:color="auto"/>
            <w:left w:val="none" w:sz="0" w:space="0" w:color="auto"/>
            <w:bottom w:val="none" w:sz="0" w:space="0" w:color="auto"/>
            <w:right w:val="none" w:sz="0" w:space="0" w:color="auto"/>
          </w:divBdr>
          <w:divsChild>
            <w:div w:id="212619573">
              <w:marLeft w:val="0"/>
              <w:marRight w:val="0"/>
              <w:marTop w:val="0"/>
              <w:marBottom w:val="0"/>
              <w:divBdr>
                <w:top w:val="none" w:sz="0" w:space="0" w:color="auto"/>
                <w:left w:val="none" w:sz="0" w:space="0" w:color="auto"/>
                <w:bottom w:val="none" w:sz="0" w:space="0" w:color="auto"/>
                <w:right w:val="none" w:sz="0" w:space="0" w:color="auto"/>
              </w:divBdr>
            </w:div>
          </w:divsChild>
        </w:div>
        <w:div w:id="262806128">
          <w:marLeft w:val="0"/>
          <w:marRight w:val="0"/>
          <w:marTop w:val="0"/>
          <w:marBottom w:val="0"/>
          <w:divBdr>
            <w:top w:val="none" w:sz="0" w:space="0" w:color="auto"/>
            <w:left w:val="none" w:sz="0" w:space="0" w:color="auto"/>
            <w:bottom w:val="none" w:sz="0" w:space="0" w:color="auto"/>
            <w:right w:val="none" w:sz="0" w:space="0" w:color="auto"/>
          </w:divBdr>
          <w:divsChild>
            <w:div w:id="1571765943">
              <w:marLeft w:val="0"/>
              <w:marRight w:val="0"/>
              <w:marTop w:val="0"/>
              <w:marBottom w:val="0"/>
              <w:divBdr>
                <w:top w:val="none" w:sz="0" w:space="0" w:color="auto"/>
                <w:left w:val="none" w:sz="0" w:space="0" w:color="auto"/>
                <w:bottom w:val="none" w:sz="0" w:space="0" w:color="auto"/>
                <w:right w:val="none" w:sz="0" w:space="0" w:color="auto"/>
              </w:divBdr>
            </w:div>
          </w:divsChild>
        </w:div>
        <w:div w:id="267811196">
          <w:marLeft w:val="0"/>
          <w:marRight w:val="0"/>
          <w:marTop w:val="0"/>
          <w:marBottom w:val="0"/>
          <w:divBdr>
            <w:top w:val="none" w:sz="0" w:space="0" w:color="auto"/>
            <w:left w:val="none" w:sz="0" w:space="0" w:color="auto"/>
            <w:bottom w:val="none" w:sz="0" w:space="0" w:color="auto"/>
            <w:right w:val="none" w:sz="0" w:space="0" w:color="auto"/>
          </w:divBdr>
          <w:divsChild>
            <w:div w:id="1814789356">
              <w:marLeft w:val="0"/>
              <w:marRight w:val="0"/>
              <w:marTop w:val="0"/>
              <w:marBottom w:val="0"/>
              <w:divBdr>
                <w:top w:val="none" w:sz="0" w:space="0" w:color="auto"/>
                <w:left w:val="none" w:sz="0" w:space="0" w:color="auto"/>
                <w:bottom w:val="none" w:sz="0" w:space="0" w:color="auto"/>
                <w:right w:val="none" w:sz="0" w:space="0" w:color="auto"/>
              </w:divBdr>
            </w:div>
          </w:divsChild>
        </w:div>
        <w:div w:id="295336385">
          <w:marLeft w:val="0"/>
          <w:marRight w:val="0"/>
          <w:marTop w:val="0"/>
          <w:marBottom w:val="0"/>
          <w:divBdr>
            <w:top w:val="none" w:sz="0" w:space="0" w:color="auto"/>
            <w:left w:val="none" w:sz="0" w:space="0" w:color="auto"/>
            <w:bottom w:val="none" w:sz="0" w:space="0" w:color="auto"/>
            <w:right w:val="none" w:sz="0" w:space="0" w:color="auto"/>
          </w:divBdr>
          <w:divsChild>
            <w:div w:id="842939130">
              <w:marLeft w:val="0"/>
              <w:marRight w:val="0"/>
              <w:marTop w:val="0"/>
              <w:marBottom w:val="0"/>
              <w:divBdr>
                <w:top w:val="none" w:sz="0" w:space="0" w:color="auto"/>
                <w:left w:val="none" w:sz="0" w:space="0" w:color="auto"/>
                <w:bottom w:val="none" w:sz="0" w:space="0" w:color="auto"/>
                <w:right w:val="none" w:sz="0" w:space="0" w:color="auto"/>
              </w:divBdr>
            </w:div>
          </w:divsChild>
        </w:div>
        <w:div w:id="304119417">
          <w:marLeft w:val="0"/>
          <w:marRight w:val="0"/>
          <w:marTop w:val="0"/>
          <w:marBottom w:val="0"/>
          <w:divBdr>
            <w:top w:val="none" w:sz="0" w:space="0" w:color="auto"/>
            <w:left w:val="none" w:sz="0" w:space="0" w:color="auto"/>
            <w:bottom w:val="none" w:sz="0" w:space="0" w:color="auto"/>
            <w:right w:val="none" w:sz="0" w:space="0" w:color="auto"/>
          </w:divBdr>
          <w:divsChild>
            <w:div w:id="924411414">
              <w:marLeft w:val="0"/>
              <w:marRight w:val="0"/>
              <w:marTop w:val="0"/>
              <w:marBottom w:val="0"/>
              <w:divBdr>
                <w:top w:val="none" w:sz="0" w:space="0" w:color="auto"/>
                <w:left w:val="none" w:sz="0" w:space="0" w:color="auto"/>
                <w:bottom w:val="none" w:sz="0" w:space="0" w:color="auto"/>
                <w:right w:val="none" w:sz="0" w:space="0" w:color="auto"/>
              </w:divBdr>
            </w:div>
          </w:divsChild>
        </w:div>
        <w:div w:id="305747471">
          <w:marLeft w:val="0"/>
          <w:marRight w:val="0"/>
          <w:marTop w:val="0"/>
          <w:marBottom w:val="0"/>
          <w:divBdr>
            <w:top w:val="none" w:sz="0" w:space="0" w:color="auto"/>
            <w:left w:val="none" w:sz="0" w:space="0" w:color="auto"/>
            <w:bottom w:val="none" w:sz="0" w:space="0" w:color="auto"/>
            <w:right w:val="none" w:sz="0" w:space="0" w:color="auto"/>
          </w:divBdr>
          <w:divsChild>
            <w:div w:id="1739477789">
              <w:marLeft w:val="0"/>
              <w:marRight w:val="0"/>
              <w:marTop w:val="0"/>
              <w:marBottom w:val="0"/>
              <w:divBdr>
                <w:top w:val="none" w:sz="0" w:space="0" w:color="auto"/>
                <w:left w:val="none" w:sz="0" w:space="0" w:color="auto"/>
                <w:bottom w:val="none" w:sz="0" w:space="0" w:color="auto"/>
                <w:right w:val="none" w:sz="0" w:space="0" w:color="auto"/>
              </w:divBdr>
            </w:div>
          </w:divsChild>
        </w:div>
        <w:div w:id="309285352">
          <w:marLeft w:val="0"/>
          <w:marRight w:val="0"/>
          <w:marTop w:val="0"/>
          <w:marBottom w:val="0"/>
          <w:divBdr>
            <w:top w:val="none" w:sz="0" w:space="0" w:color="auto"/>
            <w:left w:val="none" w:sz="0" w:space="0" w:color="auto"/>
            <w:bottom w:val="none" w:sz="0" w:space="0" w:color="auto"/>
            <w:right w:val="none" w:sz="0" w:space="0" w:color="auto"/>
          </w:divBdr>
          <w:divsChild>
            <w:div w:id="549801313">
              <w:marLeft w:val="0"/>
              <w:marRight w:val="0"/>
              <w:marTop w:val="0"/>
              <w:marBottom w:val="0"/>
              <w:divBdr>
                <w:top w:val="none" w:sz="0" w:space="0" w:color="auto"/>
                <w:left w:val="none" w:sz="0" w:space="0" w:color="auto"/>
                <w:bottom w:val="none" w:sz="0" w:space="0" w:color="auto"/>
                <w:right w:val="none" w:sz="0" w:space="0" w:color="auto"/>
              </w:divBdr>
            </w:div>
          </w:divsChild>
        </w:div>
        <w:div w:id="310212990">
          <w:marLeft w:val="0"/>
          <w:marRight w:val="0"/>
          <w:marTop w:val="0"/>
          <w:marBottom w:val="0"/>
          <w:divBdr>
            <w:top w:val="none" w:sz="0" w:space="0" w:color="auto"/>
            <w:left w:val="none" w:sz="0" w:space="0" w:color="auto"/>
            <w:bottom w:val="none" w:sz="0" w:space="0" w:color="auto"/>
            <w:right w:val="none" w:sz="0" w:space="0" w:color="auto"/>
          </w:divBdr>
          <w:divsChild>
            <w:div w:id="410585269">
              <w:marLeft w:val="0"/>
              <w:marRight w:val="0"/>
              <w:marTop w:val="0"/>
              <w:marBottom w:val="0"/>
              <w:divBdr>
                <w:top w:val="none" w:sz="0" w:space="0" w:color="auto"/>
                <w:left w:val="none" w:sz="0" w:space="0" w:color="auto"/>
                <w:bottom w:val="none" w:sz="0" w:space="0" w:color="auto"/>
                <w:right w:val="none" w:sz="0" w:space="0" w:color="auto"/>
              </w:divBdr>
            </w:div>
          </w:divsChild>
        </w:div>
        <w:div w:id="310213721">
          <w:marLeft w:val="0"/>
          <w:marRight w:val="0"/>
          <w:marTop w:val="0"/>
          <w:marBottom w:val="0"/>
          <w:divBdr>
            <w:top w:val="none" w:sz="0" w:space="0" w:color="auto"/>
            <w:left w:val="none" w:sz="0" w:space="0" w:color="auto"/>
            <w:bottom w:val="none" w:sz="0" w:space="0" w:color="auto"/>
            <w:right w:val="none" w:sz="0" w:space="0" w:color="auto"/>
          </w:divBdr>
          <w:divsChild>
            <w:div w:id="406877936">
              <w:marLeft w:val="0"/>
              <w:marRight w:val="0"/>
              <w:marTop w:val="0"/>
              <w:marBottom w:val="0"/>
              <w:divBdr>
                <w:top w:val="none" w:sz="0" w:space="0" w:color="auto"/>
                <w:left w:val="none" w:sz="0" w:space="0" w:color="auto"/>
                <w:bottom w:val="none" w:sz="0" w:space="0" w:color="auto"/>
                <w:right w:val="none" w:sz="0" w:space="0" w:color="auto"/>
              </w:divBdr>
            </w:div>
          </w:divsChild>
        </w:div>
        <w:div w:id="328481460">
          <w:marLeft w:val="0"/>
          <w:marRight w:val="0"/>
          <w:marTop w:val="0"/>
          <w:marBottom w:val="0"/>
          <w:divBdr>
            <w:top w:val="none" w:sz="0" w:space="0" w:color="auto"/>
            <w:left w:val="none" w:sz="0" w:space="0" w:color="auto"/>
            <w:bottom w:val="none" w:sz="0" w:space="0" w:color="auto"/>
            <w:right w:val="none" w:sz="0" w:space="0" w:color="auto"/>
          </w:divBdr>
          <w:divsChild>
            <w:div w:id="1535078228">
              <w:marLeft w:val="0"/>
              <w:marRight w:val="0"/>
              <w:marTop w:val="0"/>
              <w:marBottom w:val="0"/>
              <w:divBdr>
                <w:top w:val="none" w:sz="0" w:space="0" w:color="auto"/>
                <w:left w:val="none" w:sz="0" w:space="0" w:color="auto"/>
                <w:bottom w:val="none" w:sz="0" w:space="0" w:color="auto"/>
                <w:right w:val="none" w:sz="0" w:space="0" w:color="auto"/>
              </w:divBdr>
            </w:div>
          </w:divsChild>
        </w:div>
        <w:div w:id="355738704">
          <w:marLeft w:val="0"/>
          <w:marRight w:val="0"/>
          <w:marTop w:val="0"/>
          <w:marBottom w:val="0"/>
          <w:divBdr>
            <w:top w:val="none" w:sz="0" w:space="0" w:color="auto"/>
            <w:left w:val="none" w:sz="0" w:space="0" w:color="auto"/>
            <w:bottom w:val="none" w:sz="0" w:space="0" w:color="auto"/>
            <w:right w:val="none" w:sz="0" w:space="0" w:color="auto"/>
          </w:divBdr>
          <w:divsChild>
            <w:div w:id="446580047">
              <w:marLeft w:val="0"/>
              <w:marRight w:val="0"/>
              <w:marTop w:val="0"/>
              <w:marBottom w:val="0"/>
              <w:divBdr>
                <w:top w:val="none" w:sz="0" w:space="0" w:color="auto"/>
                <w:left w:val="none" w:sz="0" w:space="0" w:color="auto"/>
                <w:bottom w:val="none" w:sz="0" w:space="0" w:color="auto"/>
                <w:right w:val="none" w:sz="0" w:space="0" w:color="auto"/>
              </w:divBdr>
            </w:div>
          </w:divsChild>
        </w:div>
        <w:div w:id="356541598">
          <w:marLeft w:val="0"/>
          <w:marRight w:val="0"/>
          <w:marTop w:val="0"/>
          <w:marBottom w:val="0"/>
          <w:divBdr>
            <w:top w:val="none" w:sz="0" w:space="0" w:color="auto"/>
            <w:left w:val="none" w:sz="0" w:space="0" w:color="auto"/>
            <w:bottom w:val="none" w:sz="0" w:space="0" w:color="auto"/>
            <w:right w:val="none" w:sz="0" w:space="0" w:color="auto"/>
          </w:divBdr>
          <w:divsChild>
            <w:div w:id="275675238">
              <w:marLeft w:val="0"/>
              <w:marRight w:val="0"/>
              <w:marTop w:val="0"/>
              <w:marBottom w:val="0"/>
              <w:divBdr>
                <w:top w:val="none" w:sz="0" w:space="0" w:color="auto"/>
                <w:left w:val="none" w:sz="0" w:space="0" w:color="auto"/>
                <w:bottom w:val="none" w:sz="0" w:space="0" w:color="auto"/>
                <w:right w:val="none" w:sz="0" w:space="0" w:color="auto"/>
              </w:divBdr>
            </w:div>
          </w:divsChild>
        </w:div>
        <w:div w:id="359597939">
          <w:marLeft w:val="0"/>
          <w:marRight w:val="0"/>
          <w:marTop w:val="0"/>
          <w:marBottom w:val="0"/>
          <w:divBdr>
            <w:top w:val="none" w:sz="0" w:space="0" w:color="auto"/>
            <w:left w:val="none" w:sz="0" w:space="0" w:color="auto"/>
            <w:bottom w:val="none" w:sz="0" w:space="0" w:color="auto"/>
            <w:right w:val="none" w:sz="0" w:space="0" w:color="auto"/>
          </w:divBdr>
          <w:divsChild>
            <w:div w:id="213778966">
              <w:marLeft w:val="0"/>
              <w:marRight w:val="0"/>
              <w:marTop w:val="0"/>
              <w:marBottom w:val="0"/>
              <w:divBdr>
                <w:top w:val="none" w:sz="0" w:space="0" w:color="auto"/>
                <w:left w:val="none" w:sz="0" w:space="0" w:color="auto"/>
                <w:bottom w:val="none" w:sz="0" w:space="0" w:color="auto"/>
                <w:right w:val="none" w:sz="0" w:space="0" w:color="auto"/>
              </w:divBdr>
            </w:div>
          </w:divsChild>
        </w:div>
        <w:div w:id="363099133">
          <w:marLeft w:val="0"/>
          <w:marRight w:val="0"/>
          <w:marTop w:val="0"/>
          <w:marBottom w:val="0"/>
          <w:divBdr>
            <w:top w:val="none" w:sz="0" w:space="0" w:color="auto"/>
            <w:left w:val="none" w:sz="0" w:space="0" w:color="auto"/>
            <w:bottom w:val="none" w:sz="0" w:space="0" w:color="auto"/>
            <w:right w:val="none" w:sz="0" w:space="0" w:color="auto"/>
          </w:divBdr>
          <w:divsChild>
            <w:div w:id="636495371">
              <w:marLeft w:val="0"/>
              <w:marRight w:val="0"/>
              <w:marTop w:val="0"/>
              <w:marBottom w:val="0"/>
              <w:divBdr>
                <w:top w:val="none" w:sz="0" w:space="0" w:color="auto"/>
                <w:left w:val="none" w:sz="0" w:space="0" w:color="auto"/>
                <w:bottom w:val="none" w:sz="0" w:space="0" w:color="auto"/>
                <w:right w:val="none" w:sz="0" w:space="0" w:color="auto"/>
              </w:divBdr>
            </w:div>
          </w:divsChild>
        </w:div>
        <w:div w:id="373776360">
          <w:marLeft w:val="0"/>
          <w:marRight w:val="0"/>
          <w:marTop w:val="0"/>
          <w:marBottom w:val="0"/>
          <w:divBdr>
            <w:top w:val="none" w:sz="0" w:space="0" w:color="auto"/>
            <w:left w:val="none" w:sz="0" w:space="0" w:color="auto"/>
            <w:bottom w:val="none" w:sz="0" w:space="0" w:color="auto"/>
            <w:right w:val="none" w:sz="0" w:space="0" w:color="auto"/>
          </w:divBdr>
          <w:divsChild>
            <w:div w:id="173964167">
              <w:marLeft w:val="0"/>
              <w:marRight w:val="0"/>
              <w:marTop w:val="0"/>
              <w:marBottom w:val="0"/>
              <w:divBdr>
                <w:top w:val="none" w:sz="0" w:space="0" w:color="auto"/>
                <w:left w:val="none" w:sz="0" w:space="0" w:color="auto"/>
                <w:bottom w:val="none" w:sz="0" w:space="0" w:color="auto"/>
                <w:right w:val="none" w:sz="0" w:space="0" w:color="auto"/>
              </w:divBdr>
            </w:div>
          </w:divsChild>
        </w:div>
        <w:div w:id="374237943">
          <w:marLeft w:val="0"/>
          <w:marRight w:val="0"/>
          <w:marTop w:val="0"/>
          <w:marBottom w:val="0"/>
          <w:divBdr>
            <w:top w:val="none" w:sz="0" w:space="0" w:color="auto"/>
            <w:left w:val="none" w:sz="0" w:space="0" w:color="auto"/>
            <w:bottom w:val="none" w:sz="0" w:space="0" w:color="auto"/>
            <w:right w:val="none" w:sz="0" w:space="0" w:color="auto"/>
          </w:divBdr>
          <w:divsChild>
            <w:div w:id="828138250">
              <w:marLeft w:val="0"/>
              <w:marRight w:val="0"/>
              <w:marTop w:val="0"/>
              <w:marBottom w:val="0"/>
              <w:divBdr>
                <w:top w:val="none" w:sz="0" w:space="0" w:color="auto"/>
                <w:left w:val="none" w:sz="0" w:space="0" w:color="auto"/>
                <w:bottom w:val="none" w:sz="0" w:space="0" w:color="auto"/>
                <w:right w:val="none" w:sz="0" w:space="0" w:color="auto"/>
              </w:divBdr>
            </w:div>
          </w:divsChild>
        </w:div>
        <w:div w:id="389811402">
          <w:marLeft w:val="0"/>
          <w:marRight w:val="0"/>
          <w:marTop w:val="0"/>
          <w:marBottom w:val="0"/>
          <w:divBdr>
            <w:top w:val="none" w:sz="0" w:space="0" w:color="auto"/>
            <w:left w:val="none" w:sz="0" w:space="0" w:color="auto"/>
            <w:bottom w:val="none" w:sz="0" w:space="0" w:color="auto"/>
            <w:right w:val="none" w:sz="0" w:space="0" w:color="auto"/>
          </w:divBdr>
          <w:divsChild>
            <w:div w:id="2137602526">
              <w:marLeft w:val="0"/>
              <w:marRight w:val="0"/>
              <w:marTop w:val="0"/>
              <w:marBottom w:val="0"/>
              <w:divBdr>
                <w:top w:val="none" w:sz="0" w:space="0" w:color="auto"/>
                <w:left w:val="none" w:sz="0" w:space="0" w:color="auto"/>
                <w:bottom w:val="none" w:sz="0" w:space="0" w:color="auto"/>
                <w:right w:val="none" w:sz="0" w:space="0" w:color="auto"/>
              </w:divBdr>
            </w:div>
          </w:divsChild>
        </w:div>
        <w:div w:id="389891649">
          <w:marLeft w:val="0"/>
          <w:marRight w:val="0"/>
          <w:marTop w:val="0"/>
          <w:marBottom w:val="0"/>
          <w:divBdr>
            <w:top w:val="none" w:sz="0" w:space="0" w:color="auto"/>
            <w:left w:val="none" w:sz="0" w:space="0" w:color="auto"/>
            <w:bottom w:val="none" w:sz="0" w:space="0" w:color="auto"/>
            <w:right w:val="none" w:sz="0" w:space="0" w:color="auto"/>
          </w:divBdr>
          <w:divsChild>
            <w:div w:id="831874232">
              <w:marLeft w:val="0"/>
              <w:marRight w:val="0"/>
              <w:marTop w:val="0"/>
              <w:marBottom w:val="0"/>
              <w:divBdr>
                <w:top w:val="none" w:sz="0" w:space="0" w:color="auto"/>
                <w:left w:val="none" w:sz="0" w:space="0" w:color="auto"/>
                <w:bottom w:val="none" w:sz="0" w:space="0" w:color="auto"/>
                <w:right w:val="none" w:sz="0" w:space="0" w:color="auto"/>
              </w:divBdr>
            </w:div>
          </w:divsChild>
        </w:div>
        <w:div w:id="399866555">
          <w:marLeft w:val="0"/>
          <w:marRight w:val="0"/>
          <w:marTop w:val="0"/>
          <w:marBottom w:val="0"/>
          <w:divBdr>
            <w:top w:val="none" w:sz="0" w:space="0" w:color="auto"/>
            <w:left w:val="none" w:sz="0" w:space="0" w:color="auto"/>
            <w:bottom w:val="none" w:sz="0" w:space="0" w:color="auto"/>
            <w:right w:val="none" w:sz="0" w:space="0" w:color="auto"/>
          </w:divBdr>
          <w:divsChild>
            <w:div w:id="404491502">
              <w:marLeft w:val="0"/>
              <w:marRight w:val="0"/>
              <w:marTop w:val="0"/>
              <w:marBottom w:val="0"/>
              <w:divBdr>
                <w:top w:val="none" w:sz="0" w:space="0" w:color="auto"/>
                <w:left w:val="none" w:sz="0" w:space="0" w:color="auto"/>
                <w:bottom w:val="none" w:sz="0" w:space="0" w:color="auto"/>
                <w:right w:val="none" w:sz="0" w:space="0" w:color="auto"/>
              </w:divBdr>
            </w:div>
          </w:divsChild>
        </w:div>
        <w:div w:id="410154282">
          <w:marLeft w:val="0"/>
          <w:marRight w:val="0"/>
          <w:marTop w:val="0"/>
          <w:marBottom w:val="0"/>
          <w:divBdr>
            <w:top w:val="none" w:sz="0" w:space="0" w:color="auto"/>
            <w:left w:val="none" w:sz="0" w:space="0" w:color="auto"/>
            <w:bottom w:val="none" w:sz="0" w:space="0" w:color="auto"/>
            <w:right w:val="none" w:sz="0" w:space="0" w:color="auto"/>
          </w:divBdr>
          <w:divsChild>
            <w:div w:id="1678924967">
              <w:marLeft w:val="0"/>
              <w:marRight w:val="0"/>
              <w:marTop w:val="0"/>
              <w:marBottom w:val="0"/>
              <w:divBdr>
                <w:top w:val="none" w:sz="0" w:space="0" w:color="auto"/>
                <w:left w:val="none" w:sz="0" w:space="0" w:color="auto"/>
                <w:bottom w:val="none" w:sz="0" w:space="0" w:color="auto"/>
                <w:right w:val="none" w:sz="0" w:space="0" w:color="auto"/>
              </w:divBdr>
            </w:div>
          </w:divsChild>
        </w:div>
        <w:div w:id="410591884">
          <w:marLeft w:val="0"/>
          <w:marRight w:val="0"/>
          <w:marTop w:val="0"/>
          <w:marBottom w:val="0"/>
          <w:divBdr>
            <w:top w:val="none" w:sz="0" w:space="0" w:color="auto"/>
            <w:left w:val="none" w:sz="0" w:space="0" w:color="auto"/>
            <w:bottom w:val="none" w:sz="0" w:space="0" w:color="auto"/>
            <w:right w:val="none" w:sz="0" w:space="0" w:color="auto"/>
          </w:divBdr>
          <w:divsChild>
            <w:div w:id="1412893387">
              <w:marLeft w:val="0"/>
              <w:marRight w:val="0"/>
              <w:marTop w:val="0"/>
              <w:marBottom w:val="0"/>
              <w:divBdr>
                <w:top w:val="none" w:sz="0" w:space="0" w:color="auto"/>
                <w:left w:val="none" w:sz="0" w:space="0" w:color="auto"/>
                <w:bottom w:val="none" w:sz="0" w:space="0" w:color="auto"/>
                <w:right w:val="none" w:sz="0" w:space="0" w:color="auto"/>
              </w:divBdr>
            </w:div>
          </w:divsChild>
        </w:div>
        <w:div w:id="430588770">
          <w:marLeft w:val="0"/>
          <w:marRight w:val="0"/>
          <w:marTop w:val="0"/>
          <w:marBottom w:val="0"/>
          <w:divBdr>
            <w:top w:val="none" w:sz="0" w:space="0" w:color="auto"/>
            <w:left w:val="none" w:sz="0" w:space="0" w:color="auto"/>
            <w:bottom w:val="none" w:sz="0" w:space="0" w:color="auto"/>
            <w:right w:val="none" w:sz="0" w:space="0" w:color="auto"/>
          </w:divBdr>
          <w:divsChild>
            <w:div w:id="1508443437">
              <w:marLeft w:val="0"/>
              <w:marRight w:val="0"/>
              <w:marTop w:val="0"/>
              <w:marBottom w:val="0"/>
              <w:divBdr>
                <w:top w:val="none" w:sz="0" w:space="0" w:color="auto"/>
                <w:left w:val="none" w:sz="0" w:space="0" w:color="auto"/>
                <w:bottom w:val="none" w:sz="0" w:space="0" w:color="auto"/>
                <w:right w:val="none" w:sz="0" w:space="0" w:color="auto"/>
              </w:divBdr>
            </w:div>
          </w:divsChild>
        </w:div>
        <w:div w:id="443311539">
          <w:marLeft w:val="0"/>
          <w:marRight w:val="0"/>
          <w:marTop w:val="0"/>
          <w:marBottom w:val="0"/>
          <w:divBdr>
            <w:top w:val="none" w:sz="0" w:space="0" w:color="auto"/>
            <w:left w:val="none" w:sz="0" w:space="0" w:color="auto"/>
            <w:bottom w:val="none" w:sz="0" w:space="0" w:color="auto"/>
            <w:right w:val="none" w:sz="0" w:space="0" w:color="auto"/>
          </w:divBdr>
          <w:divsChild>
            <w:div w:id="1223827776">
              <w:marLeft w:val="0"/>
              <w:marRight w:val="0"/>
              <w:marTop w:val="0"/>
              <w:marBottom w:val="0"/>
              <w:divBdr>
                <w:top w:val="none" w:sz="0" w:space="0" w:color="auto"/>
                <w:left w:val="none" w:sz="0" w:space="0" w:color="auto"/>
                <w:bottom w:val="none" w:sz="0" w:space="0" w:color="auto"/>
                <w:right w:val="none" w:sz="0" w:space="0" w:color="auto"/>
              </w:divBdr>
            </w:div>
          </w:divsChild>
        </w:div>
        <w:div w:id="445540563">
          <w:marLeft w:val="0"/>
          <w:marRight w:val="0"/>
          <w:marTop w:val="0"/>
          <w:marBottom w:val="0"/>
          <w:divBdr>
            <w:top w:val="none" w:sz="0" w:space="0" w:color="auto"/>
            <w:left w:val="none" w:sz="0" w:space="0" w:color="auto"/>
            <w:bottom w:val="none" w:sz="0" w:space="0" w:color="auto"/>
            <w:right w:val="none" w:sz="0" w:space="0" w:color="auto"/>
          </w:divBdr>
          <w:divsChild>
            <w:div w:id="2015839895">
              <w:marLeft w:val="0"/>
              <w:marRight w:val="0"/>
              <w:marTop w:val="0"/>
              <w:marBottom w:val="0"/>
              <w:divBdr>
                <w:top w:val="none" w:sz="0" w:space="0" w:color="auto"/>
                <w:left w:val="none" w:sz="0" w:space="0" w:color="auto"/>
                <w:bottom w:val="none" w:sz="0" w:space="0" w:color="auto"/>
                <w:right w:val="none" w:sz="0" w:space="0" w:color="auto"/>
              </w:divBdr>
            </w:div>
          </w:divsChild>
        </w:div>
        <w:div w:id="445851299">
          <w:marLeft w:val="0"/>
          <w:marRight w:val="0"/>
          <w:marTop w:val="0"/>
          <w:marBottom w:val="0"/>
          <w:divBdr>
            <w:top w:val="none" w:sz="0" w:space="0" w:color="auto"/>
            <w:left w:val="none" w:sz="0" w:space="0" w:color="auto"/>
            <w:bottom w:val="none" w:sz="0" w:space="0" w:color="auto"/>
            <w:right w:val="none" w:sz="0" w:space="0" w:color="auto"/>
          </w:divBdr>
          <w:divsChild>
            <w:div w:id="414135530">
              <w:marLeft w:val="0"/>
              <w:marRight w:val="0"/>
              <w:marTop w:val="0"/>
              <w:marBottom w:val="0"/>
              <w:divBdr>
                <w:top w:val="none" w:sz="0" w:space="0" w:color="auto"/>
                <w:left w:val="none" w:sz="0" w:space="0" w:color="auto"/>
                <w:bottom w:val="none" w:sz="0" w:space="0" w:color="auto"/>
                <w:right w:val="none" w:sz="0" w:space="0" w:color="auto"/>
              </w:divBdr>
            </w:div>
          </w:divsChild>
        </w:div>
        <w:div w:id="447353983">
          <w:marLeft w:val="0"/>
          <w:marRight w:val="0"/>
          <w:marTop w:val="0"/>
          <w:marBottom w:val="0"/>
          <w:divBdr>
            <w:top w:val="none" w:sz="0" w:space="0" w:color="auto"/>
            <w:left w:val="none" w:sz="0" w:space="0" w:color="auto"/>
            <w:bottom w:val="none" w:sz="0" w:space="0" w:color="auto"/>
            <w:right w:val="none" w:sz="0" w:space="0" w:color="auto"/>
          </w:divBdr>
          <w:divsChild>
            <w:div w:id="2086950215">
              <w:marLeft w:val="0"/>
              <w:marRight w:val="0"/>
              <w:marTop w:val="0"/>
              <w:marBottom w:val="0"/>
              <w:divBdr>
                <w:top w:val="none" w:sz="0" w:space="0" w:color="auto"/>
                <w:left w:val="none" w:sz="0" w:space="0" w:color="auto"/>
                <w:bottom w:val="none" w:sz="0" w:space="0" w:color="auto"/>
                <w:right w:val="none" w:sz="0" w:space="0" w:color="auto"/>
              </w:divBdr>
            </w:div>
          </w:divsChild>
        </w:div>
        <w:div w:id="450393060">
          <w:marLeft w:val="0"/>
          <w:marRight w:val="0"/>
          <w:marTop w:val="0"/>
          <w:marBottom w:val="0"/>
          <w:divBdr>
            <w:top w:val="none" w:sz="0" w:space="0" w:color="auto"/>
            <w:left w:val="none" w:sz="0" w:space="0" w:color="auto"/>
            <w:bottom w:val="none" w:sz="0" w:space="0" w:color="auto"/>
            <w:right w:val="none" w:sz="0" w:space="0" w:color="auto"/>
          </w:divBdr>
          <w:divsChild>
            <w:div w:id="1166361725">
              <w:marLeft w:val="0"/>
              <w:marRight w:val="0"/>
              <w:marTop w:val="0"/>
              <w:marBottom w:val="0"/>
              <w:divBdr>
                <w:top w:val="none" w:sz="0" w:space="0" w:color="auto"/>
                <w:left w:val="none" w:sz="0" w:space="0" w:color="auto"/>
                <w:bottom w:val="none" w:sz="0" w:space="0" w:color="auto"/>
                <w:right w:val="none" w:sz="0" w:space="0" w:color="auto"/>
              </w:divBdr>
            </w:div>
          </w:divsChild>
        </w:div>
        <w:div w:id="465977239">
          <w:marLeft w:val="0"/>
          <w:marRight w:val="0"/>
          <w:marTop w:val="0"/>
          <w:marBottom w:val="0"/>
          <w:divBdr>
            <w:top w:val="none" w:sz="0" w:space="0" w:color="auto"/>
            <w:left w:val="none" w:sz="0" w:space="0" w:color="auto"/>
            <w:bottom w:val="none" w:sz="0" w:space="0" w:color="auto"/>
            <w:right w:val="none" w:sz="0" w:space="0" w:color="auto"/>
          </w:divBdr>
          <w:divsChild>
            <w:div w:id="1697802435">
              <w:marLeft w:val="0"/>
              <w:marRight w:val="0"/>
              <w:marTop w:val="0"/>
              <w:marBottom w:val="0"/>
              <w:divBdr>
                <w:top w:val="none" w:sz="0" w:space="0" w:color="auto"/>
                <w:left w:val="none" w:sz="0" w:space="0" w:color="auto"/>
                <w:bottom w:val="none" w:sz="0" w:space="0" w:color="auto"/>
                <w:right w:val="none" w:sz="0" w:space="0" w:color="auto"/>
              </w:divBdr>
            </w:div>
          </w:divsChild>
        </w:div>
        <w:div w:id="466582875">
          <w:marLeft w:val="0"/>
          <w:marRight w:val="0"/>
          <w:marTop w:val="0"/>
          <w:marBottom w:val="0"/>
          <w:divBdr>
            <w:top w:val="none" w:sz="0" w:space="0" w:color="auto"/>
            <w:left w:val="none" w:sz="0" w:space="0" w:color="auto"/>
            <w:bottom w:val="none" w:sz="0" w:space="0" w:color="auto"/>
            <w:right w:val="none" w:sz="0" w:space="0" w:color="auto"/>
          </w:divBdr>
          <w:divsChild>
            <w:div w:id="1745453052">
              <w:marLeft w:val="0"/>
              <w:marRight w:val="0"/>
              <w:marTop w:val="0"/>
              <w:marBottom w:val="0"/>
              <w:divBdr>
                <w:top w:val="none" w:sz="0" w:space="0" w:color="auto"/>
                <w:left w:val="none" w:sz="0" w:space="0" w:color="auto"/>
                <w:bottom w:val="none" w:sz="0" w:space="0" w:color="auto"/>
                <w:right w:val="none" w:sz="0" w:space="0" w:color="auto"/>
              </w:divBdr>
            </w:div>
          </w:divsChild>
        </w:div>
        <w:div w:id="520775698">
          <w:marLeft w:val="0"/>
          <w:marRight w:val="0"/>
          <w:marTop w:val="0"/>
          <w:marBottom w:val="0"/>
          <w:divBdr>
            <w:top w:val="none" w:sz="0" w:space="0" w:color="auto"/>
            <w:left w:val="none" w:sz="0" w:space="0" w:color="auto"/>
            <w:bottom w:val="none" w:sz="0" w:space="0" w:color="auto"/>
            <w:right w:val="none" w:sz="0" w:space="0" w:color="auto"/>
          </w:divBdr>
          <w:divsChild>
            <w:div w:id="311449887">
              <w:marLeft w:val="0"/>
              <w:marRight w:val="0"/>
              <w:marTop w:val="0"/>
              <w:marBottom w:val="0"/>
              <w:divBdr>
                <w:top w:val="none" w:sz="0" w:space="0" w:color="auto"/>
                <w:left w:val="none" w:sz="0" w:space="0" w:color="auto"/>
                <w:bottom w:val="none" w:sz="0" w:space="0" w:color="auto"/>
                <w:right w:val="none" w:sz="0" w:space="0" w:color="auto"/>
              </w:divBdr>
            </w:div>
          </w:divsChild>
        </w:div>
        <w:div w:id="522206289">
          <w:marLeft w:val="0"/>
          <w:marRight w:val="0"/>
          <w:marTop w:val="0"/>
          <w:marBottom w:val="0"/>
          <w:divBdr>
            <w:top w:val="none" w:sz="0" w:space="0" w:color="auto"/>
            <w:left w:val="none" w:sz="0" w:space="0" w:color="auto"/>
            <w:bottom w:val="none" w:sz="0" w:space="0" w:color="auto"/>
            <w:right w:val="none" w:sz="0" w:space="0" w:color="auto"/>
          </w:divBdr>
          <w:divsChild>
            <w:div w:id="629164935">
              <w:marLeft w:val="0"/>
              <w:marRight w:val="0"/>
              <w:marTop w:val="0"/>
              <w:marBottom w:val="0"/>
              <w:divBdr>
                <w:top w:val="none" w:sz="0" w:space="0" w:color="auto"/>
                <w:left w:val="none" w:sz="0" w:space="0" w:color="auto"/>
                <w:bottom w:val="none" w:sz="0" w:space="0" w:color="auto"/>
                <w:right w:val="none" w:sz="0" w:space="0" w:color="auto"/>
              </w:divBdr>
            </w:div>
          </w:divsChild>
        </w:div>
        <w:div w:id="535699412">
          <w:marLeft w:val="0"/>
          <w:marRight w:val="0"/>
          <w:marTop w:val="0"/>
          <w:marBottom w:val="0"/>
          <w:divBdr>
            <w:top w:val="none" w:sz="0" w:space="0" w:color="auto"/>
            <w:left w:val="none" w:sz="0" w:space="0" w:color="auto"/>
            <w:bottom w:val="none" w:sz="0" w:space="0" w:color="auto"/>
            <w:right w:val="none" w:sz="0" w:space="0" w:color="auto"/>
          </w:divBdr>
          <w:divsChild>
            <w:div w:id="1387871127">
              <w:marLeft w:val="0"/>
              <w:marRight w:val="0"/>
              <w:marTop w:val="0"/>
              <w:marBottom w:val="0"/>
              <w:divBdr>
                <w:top w:val="none" w:sz="0" w:space="0" w:color="auto"/>
                <w:left w:val="none" w:sz="0" w:space="0" w:color="auto"/>
                <w:bottom w:val="none" w:sz="0" w:space="0" w:color="auto"/>
                <w:right w:val="none" w:sz="0" w:space="0" w:color="auto"/>
              </w:divBdr>
            </w:div>
          </w:divsChild>
        </w:div>
        <w:div w:id="545023370">
          <w:marLeft w:val="0"/>
          <w:marRight w:val="0"/>
          <w:marTop w:val="0"/>
          <w:marBottom w:val="0"/>
          <w:divBdr>
            <w:top w:val="none" w:sz="0" w:space="0" w:color="auto"/>
            <w:left w:val="none" w:sz="0" w:space="0" w:color="auto"/>
            <w:bottom w:val="none" w:sz="0" w:space="0" w:color="auto"/>
            <w:right w:val="none" w:sz="0" w:space="0" w:color="auto"/>
          </w:divBdr>
          <w:divsChild>
            <w:div w:id="1350371503">
              <w:marLeft w:val="0"/>
              <w:marRight w:val="0"/>
              <w:marTop w:val="0"/>
              <w:marBottom w:val="0"/>
              <w:divBdr>
                <w:top w:val="none" w:sz="0" w:space="0" w:color="auto"/>
                <w:left w:val="none" w:sz="0" w:space="0" w:color="auto"/>
                <w:bottom w:val="none" w:sz="0" w:space="0" w:color="auto"/>
                <w:right w:val="none" w:sz="0" w:space="0" w:color="auto"/>
              </w:divBdr>
            </w:div>
          </w:divsChild>
        </w:div>
        <w:div w:id="546531525">
          <w:marLeft w:val="0"/>
          <w:marRight w:val="0"/>
          <w:marTop w:val="0"/>
          <w:marBottom w:val="0"/>
          <w:divBdr>
            <w:top w:val="none" w:sz="0" w:space="0" w:color="auto"/>
            <w:left w:val="none" w:sz="0" w:space="0" w:color="auto"/>
            <w:bottom w:val="none" w:sz="0" w:space="0" w:color="auto"/>
            <w:right w:val="none" w:sz="0" w:space="0" w:color="auto"/>
          </w:divBdr>
          <w:divsChild>
            <w:div w:id="1338121666">
              <w:marLeft w:val="0"/>
              <w:marRight w:val="0"/>
              <w:marTop w:val="0"/>
              <w:marBottom w:val="0"/>
              <w:divBdr>
                <w:top w:val="none" w:sz="0" w:space="0" w:color="auto"/>
                <w:left w:val="none" w:sz="0" w:space="0" w:color="auto"/>
                <w:bottom w:val="none" w:sz="0" w:space="0" w:color="auto"/>
                <w:right w:val="none" w:sz="0" w:space="0" w:color="auto"/>
              </w:divBdr>
            </w:div>
          </w:divsChild>
        </w:div>
        <w:div w:id="549078388">
          <w:marLeft w:val="0"/>
          <w:marRight w:val="0"/>
          <w:marTop w:val="0"/>
          <w:marBottom w:val="0"/>
          <w:divBdr>
            <w:top w:val="none" w:sz="0" w:space="0" w:color="auto"/>
            <w:left w:val="none" w:sz="0" w:space="0" w:color="auto"/>
            <w:bottom w:val="none" w:sz="0" w:space="0" w:color="auto"/>
            <w:right w:val="none" w:sz="0" w:space="0" w:color="auto"/>
          </w:divBdr>
          <w:divsChild>
            <w:div w:id="1088768516">
              <w:marLeft w:val="0"/>
              <w:marRight w:val="0"/>
              <w:marTop w:val="0"/>
              <w:marBottom w:val="0"/>
              <w:divBdr>
                <w:top w:val="none" w:sz="0" w:space="0" w:color="auto"/>
                <w:left w:val="none" w:sz="0" w:space="0" w:color="auto"/>
                <w:bottom w:val="none" w:sz="0" w:space="0" w:color="auto"/>
                <w:right w:val="none" w:sz="0" w:space="0" w:color="auto"/>
              </w:divBdr>
            </w:div>
          </w:divsChild>
        </w:div>
        <w:div w:id="557252944">
          <w:marLeft w:val="0"/>
          <w:marRight w:val="0"/>
          <w:marTop w:val="0"/>
          <w:marBottom w:val="0"/>
          <w:divBdr>
            <w:top w:val="none" w:sz="0" w:space="0" w:color="auto"/>
            <w:left w:val="none" w:sz="0" w:space="0" w:color="auto"/>
            <w:bottom w:val="none" w:sz="0" w:space="0" w:color="auto"/>
            <w:right w:val="none" w:sz="0" w:space="0" w:color="auto"/>
          </w:divBdr>
          <w:divsChild>
            <w:div w:id="2122912527">
              <w:marLeft w:val="0"/>
              <w:marRight w:val="0"/>
              <w:marTop w:val="0"/>
              <w:marBottom w:val="0"/>
              <w:divBdr>
                <w:top w:val="none" w:sz="0" w:space="0" w:color="auto"/>
                <w:left w:val="none" w:sz="0" w:space="0" w:color="auto"/>
                <w:bottom w:val="none" w:sz="0" w:space="0" w:color="auto"/>
                <w:right w:val="none" w:sz="0" w:space="0" w:color="auto"/>
              </w:divBdr>
            </w:div>
          </w:divsChild>
        </w:div>
        <w:div w:id="561405992">
          <w:marLeft w:val="0"/>
          <w:marRight w:val="0"/>
          <w:marTop w:val="0"/>
          <w:marBottom w:val="0"/>
          <w:divBdr>
            <w:top w:val="none" w:sz="0" w:space="0" w:color="auto"/>
            <w:left w:val="none" w:sz="0" w:space="0" w:color="auto"/>
            <w:bottom w:val="none" w:sz="0" w:space="0" w:color="auto"/>
            <w:right w:val="none" w:sz="0" w:space="0" w:color="auto"/>
          </w:divBdr>
          <w:divsChild>
            <w:div w:id="620500577">
              <w:marLeft w:val="0"/>
              <w:marRight w:val="0"/>
              <w:marTop w:val="0"/>
              <w:marBottom w:val="0"/>
              <w:divBdr>
                <w:top w:val="none" w:sz="0" w:space="0" w:color="auto"/>
                <w:left w:val="none" w:sz="0" w:space="0" w:color="auto"/>
                <w:bottom w:val="none" w:sz="0" w:space="0" w:color="auto"/>
                <w:right w:val="none" w:sz="0" w:space="0" w:color="auto"/>
              </w:divBdr>
            </w:div>
          </w:divsChild>
        </w:div>
        <w:div w:id="576591600">
          <w:marLeft w:val="0"/>
          <w:marRight w:val="0"/>
          <w:marTop w:val="0"/>
          <w:marBottom w:val="0"/>
          <w:divBdr>
            <w:top w:val="none" w:sz="0" w:space="0" w:color="auto"/>
            <w:left w:val="none" w:sz="0" w:space="0" w:color="auto"/>
            <w:bottom w:val="none" w:sz="0" w:space="0" w:color="auto"/>
            <w:right w:val="none" w:sz="0" w:space="0" w:color="auto"/>
          </w:divBdr>
          <w:divsChild>
            <w:div w:id="1714117172">
              <w:marLeft w:val="0"/>
              <w:marRight w:val="0"/>
              <w:marTop w:val="0"/>
              <w:marBottom w:val="0"/>
              <w:divBdr>
                <w:top w:val="none" w:sz="0" w:space="0" w:color="auto"/>
                <w:left w:val="none" w:sz="0" w:space="0" w:color="auto"/>
                <w:bottom w:val="none" w:sz="0" w:space="0" w:color="auto"/>
                <w:right w:val="none" w:sz="0" w:space="0" w:color="auto"/>
              </w:divBdr>
            </w:div>
          </w:divsChild>
        </w:div>
        <w:div w:id="577204913">
          <w:marLeft w:val="0"/>
          <w:marRight w:val="0"/>
          <w:marTop w:val="0"/>
          <w:marBottom w:val="0"/>
          <w:divBdr>
            <w:top w:val="none" w:sz="0" w:space="0" w:color="auto"/>
            <w:left w:val="none" w:sz="0" w:space="0" w:color="auto"/>
            <w:bottom w:val="none" w:sz="0" w:space="0" w:color="auto"/>
            <w:right w:val="none" w:sz="0" w:space="0" w:color="auto"/>
          </w:divBdr>
          <w:divsChild>
            <w:div w:id="1761292939">
              <w:marLeft w:val="0"/>
              <w:marRight w:val="0"/>
              <w:marTop w:val="0"/>
              <w:marBottom w:val="0"/>
              <w:divBdr>
                <w:top w:val="none" w:sz="0" w:space="0" w:color="auto"/>
                <w:left w:val="none" w:sz="0" w:space="0" w:color="auto"/>
                <w:bottom w:val="none" w:sz="0" w:space="0" w:color="auto"/>
                <w:right w:val="none" w:sz="0" w:space="0" w:color="auto"/>
              </w:divBdr>
            </w:div>
          </w:divsChild>
        </w:div>
        <w:div w:id="593896945">
          <w:marLeft w:val="0"/>
          <w:marRight w:val="0"/>
          <w:marTop w:val="0"/>
          <w:marBottom w:val="0"/>
          <w:divBdr>
            <w:top w:val="none" w:sz="0" w:space="0" w:color="auto"/>
            <w:left w:val="none" w:sz="0" w:space="0" w:color="auto"/>
            <w:bottom w:val="none" w:sz="0" w:space="0" w:color="auto"/>
            <w:right w:val="none" w:sz="0" w:space="0" w:color="auto"/>
          </w:divBdr>
          <w:divsChild>
            <w:div w:id="182982758">
              <w:marLeft w:val="0"/>
              <w:marRight w:val="0"/>
              <w:marTop w:val="0"/>
              <w:marBottom w:val="0"/>
              <w:divBdr>
                <w:top w:val="none" w:sz="0" w:space="0" w:color="auto"/>
                <w:left w:val="none" w:sz="0" w:space="0" w:color="auto"/>
                <w:bottom w:val="none" w:sz="0" w:space="0" w:color="auto"/>
                <w:right w:val="none" w:sz="0" w:space="0" w:color="auto"/>
              </w:divBdr>
            </w:div>
          </w:divsChild>
        </w:div>
        <w:div w:id="595985052">
          <w:marLeft w:val="0"/>
          <w:marRight w:val="0"/>
          <w:marTop w:val="0"/>
          <w:marBottom w:val="0"/>
          <w:divBdr>
            <w:top w:val="none" w:sz="0" w:space="0" w:color="auto"/>
            <w:left w:val="none" w:sz="0" w:space="0" w:color="auto"/>
            <w:bottom w:val="none" w:sz="0" w:space="0" w:color="auto"/>
            <w:right w:val="none" w:sz="0" w:space="0" w:color="auto"/>
          </w:divBdr>
          <w:divsChild>
            <w:div w:id="1634098847">
              <w:marLeft w:val="0"/>
              <w:marRight w:val="0"/>
              <w:marTop w:val="0"/>
              <w:marBottom w:val="0"/>
              <w:divBdr>
                <w:top w:val="none" w:sz="0" w:space="0" w:color="auto"/>
                <w:left w:val="none" w:sz="0" w:space="0" w:color="auto"/>
                <w:bottom w:val="none" w:sz="0" w:space="0" w:color="auto"/>
                <w:right w:val="none" w:sz="0" w:space="0" w:color="auto"/>
              </w:divBdr>
            </w:div>
          </w:divsChild>
        </w:div>
        <w:div w:id="600797320">
          <w:marLeft w:val="0"/>
          <w:marRight w:val="0"/>
          <w:marTop w:val="0"/>
          <w:marBottom w:val="0"/>
          <w:divBdr>
            <w:top w:val="none" w:sz="0" w:space="0" w:color="auto"/>
            <w:left w:val="none" w:sz="0" w:space="0" w:color="auto"/>
            <w:bottom w:val="none" w:sz="0" w:space="0" w:color="auto"/>
            <w:right w:val="none" w:sz="0" w:space="0" w:color="auto"/>
          </w:divBdr>
          <w:divsChild>
            <w:div w:id="2134668097">
              <w:marLeft w:val="0"/>
              <w:marRight w:val="0"/>
              <w:marTop w:val="0"/>
              <w:marBottom w:val="0"/>
              <w:divBdr>
                <w:top w:val="none" w:sz="0" w:space="0" w:color="auto"/>
                <w:left w:val="none" w:sz="0" w:space="0" w:color="auto"/>
                <w:bottom w:val="none" w:sz="0" w:space="0" w:color="auto"/>
                <w:right w:val="none" w:sz="0" w:space="0" w:color="auto"/>
              </w:divBdr>
            </w:div>
          </w:divsChild>
        </w:div>
        <w:div w:id="602762400">
          <w:marLeft w:val="0"/>
          <w:marRight w:val="0"/>
          <w:marTop w:val="0"/>
          <w:marBottom w:val="0"/>
          <w:divBdr>
            <w:top w:val="none" w:sz="0" w:space="0" w:color="auto"/>
            <w:left w:val="none" w:sz="0" w:space="0" w:color="auto"/>
            <w:bottom w:val="none" w:sz="0" w:space="0" w:color="auto"/>
            <w:right w:val="none" w:sz="0" w:space="0" w:color="auto"/>
          </w:divBdr>
          <w:divsChild>
            <w:div w:id="420949523">
              <w:marLeft w:val="0"/>
              <w:marRight w:val="0"/>
              <w:marTop w:val="0"/>
              <w:marBottom w:val="0"/>
              <w:divBdr>
                <w:top w:val="none" w:sz="0" w:space="0" w:color="auto"/>
                <w:left w:val="none" w:sz="0" w:space="0" w:color="auto"/>
                <w:bottom w:val="none" w:sz="0" w:space="0" w:color="auto"/>
                <w:right w:val="none" w:sz="0" w:space="0" w:color="auto"/>
              </w:divBdr>
            </w:div>
          </w:divsChild>
        </w:div>
        <w:div w:id="606356692">
          <w:marLeft w:val="0"/>
          <w:marRight w:val="0"/>
          <w:marTop w:val="0"/>
          <w:marBottom w:val="0"/>
          <w:divBdr>
            <w:top w:val="none" w:sz="0" w:space="0" w:color="auto"/>
            <w:left w:val="none" w:sz="0" w:space="0" w:color="auto"/>
            <w:bottom w:val="none" w:sz="0" w:space="0" w:color="auto"/>
            <w:right w:val="none" w:sz="0" w:space="0" w:color="auto"/>
          </w:divBdr>
          <w:divsChild>
            <w:div w:id="303123776">
              <w:marLeft w:val="0"/>
              <w:marRight w:val="0"/>
              <w:marTop w:val="0"/>
              <w:marBottom w:val="0"/>
              <w:divBdr>
                <w:top w:val="none" w:sz="0" w:space="0" w:color="auto"/>
                <w:left w:val="none" w:sz="0" w:space="0" w:color="auto"/>
                <w:bottom w:val="none" w:sz="0" w:space="0" w:color="auto"/>
                <w:right w:val="none" w:sz="0" w:space="0" w:color="auto"/>
              </w:divBdr>
            </w:div>
          </w:divsChild>
        </w:div>
        <w:div w:id="614992369">
          <w:marLeft w:val="0"/>
          <w:marRight w:val="0"/>
          <w:marTop w:val="0"/>
          <w:marBottom w:val="0"/>
          <w:divBdr>
            <w:top w:val="none" w:sz="0" w:space="0" w:color="auto"/>
            <w:left w:val="none" w:sz="0" w:space="0" w:color="auto"/>
            <w:bottom w:val="none" w:sz="0" w:space="0" w:color="auto"/>
            <w:right w:val="none" w:sz="0" w:space="0" w:color="auto"/>
          </w:divBdr>
          <w:divsChild>
            <w:div w:id="1132943707">
              <w:marLeft w:val="0"/>
              <w:marRight w:val="0"/>
              <w:marTop w:val="0"/>
              <w:marBottom w:val="0"/>
              <w:divBdr>
                <w:top w:val="none" w:sz="0" w:space="0" w:color="auto"/>
                <w:left w:val="none" w:sz="0" w:space="0" w:color="auto"/>
                <w:bottom w:val="none" w:sz="0" w:space="0" w:color="auto"/>
                <w:right w:val="none" w:sz="0" w:space="0" w:color="auto"/>
              </w:divBdr>
            </w:div>
          </w:divsChild>
        </w:div>
        <w:div w:id="615143607">
          <w:marLeft w:val="0"/>
          <w:marRight w:val="0"/>
          <w:marTop w:val="0"/>
          <w:marBottom w:val="0"/>
          <w:divBdr>
            <w:top w:val="none" w:sz="0" w:space="0" w:color="auto"/>
            <w:left w:val="none" w:sz="0" w:space="0" w:color="auto"/>
            <w:bottom w:val="none" w:sz="0" w:space="0" w:color="auto"/>
            <w:right w:val="none" w:sz="0" w:space="0" w:color="auto"/>
          </w:divBdr>
          <w:divsChild>
            <w:div w:id="1219705434">
              <w:marLeft w:val="0"/>
              <w:marRight w:val="0"/>
              <w:marTop w:val="0"/>
              <w:marBottom w:val="0"/>
              <w:divBdr>
                <w:top w:val="none" w:sz="0" w:space="0" w:color="auto"/>
                <w:left w:val="none" w:sz="0" w:space="0" w:color="auto"/>
                <w:bottom w:val="none" w:sz="0" w:space="0" w:color="auto"/>
                <w:right w:val="none" w:sz="0" w:space="0" w:color="auto"/>
              </w:divBdr>
            </w:div>
          </w:divsChild>
        </w:div>
        <w:div w:id="617302795">
          <w:marLeft w:val="0"/>
          <w:marRight w:val="0"/>
          <w:marTop w:val="0"/>
          <w:marBottom w:val="0"/>
          <w:divBdr>
            <w:top w:val="none" w:sz="0" w:space="0" w:color="auto"/>
            <w:left w:val="none" w:sz="0" w:space="0" w:color="auto"/>
            <w:bottom w:val="none" w:sz="0" w:space="0" w:color="auto"/>
            <w:right w:val="none" w:sz="0" w:space="0" w:color="auto"/>
          </w:divBdr>
          <w:divsChild>
            <w:div w:id="1101334276">
              <w:marLeft w:val="0"/>
              <w:marRight w:val="0"/>
              <w:marTop w:val="0"/>
              <w:marBottom w:val="0"/>
              <w:divBdr>
                <w:top w:val="none" w:sz="0" w:space="0" w:color="auto"/>
                <w:left w:val="none" w:sz="0" w:space="0" w:color="auto"/>
                <w:bottom w:val="none" w:sz="0" w:space="0" w:color="auto"/>
                <w:right w:val="none" w:sz="0" w:space="0" w:color="auto"/>
              </w:divBdr>
            </w:div>
          </w:divsChild>
        </w:div>
        <w:div w:id="619341472">
          <w:marLeft w:val="0"/>
          <w:marRight w:val="0"/>
          <w:marTop w:val="0"/>
          <w:marBottom w:val="0"/>
          <w:divBdr>
            <w:top w:val="none" w:sz="0" w:space="0" w:color="auto"/>
            <w:left w:val="none" w:sz="0" w:space="0" w:color="auto"/>
            <w:bottom w:val="none" w:sz="0" w:space="0" w:color="auto"/>
            <w:right w:val="none" w:sz="0" w:space="0" w:color="auto"/>
          </w:divBdr>
          <w:divsChild>
            <w:div w:id="1759406095">
              <w:marLeft w:val="0"/>
              <w:marRight w:val="0"/>
              <w:marTop w:val="0"/>
              <w:marBottom w:val="0"/>
              <w:divBdr>
                <w:top w:val="none" w:sz="0" w:space="0" w:color="auto"/>
                <w:left w:val="none" w:sz="0" w:space="0" w:color="auto"/>
                <w:bottom w:val="none" w:sz="0" w:space="0" w:color="auto"/>
                <w:right w:val="none" w:sz="0" w:space="0" w:color="auto"/>
              </w:divBdr>
            </w:div>
          </w:divsChild>
        </w:div>
        <w:div w:id="620765037">
          <w:marLeft w:val="0"/>
          <w:marRight w:val="0"/>
          <w:marTop w:val="0"/>
          <w:marBottom w:val="0"/>
          <w:divBdr>
            <w:top w:val="none" w:sz="0" w:space="0" w:color="auto"/>
            <w:left w:val="none" w:sz="0" w:space="0" w:color="auto"/>
            <w:bottom w:val="none" w:sz="0" w:space="0" w:color="auto"/>
            <w:right w:val="none" w:sz="0" w:space="0" w:color="auto"/>
          </w:divBdr>
          <w:divsChild>
            <w:div w:id="1533492092">
              <w:marLeft w:val="0"/>
              <w:marRight w:val="0"/>
              <w:marTop w:val="0"/>
              <w:marBottom w:val="0"/>
              <w:divBdr>
                <w:top w:val="none" w:sz="0" w:space="0" w:color="auto"/>
                <w:left w:val="none" w:sz="0" w:space="0" w:color="auto"/>
                <w:bottom w:val="none" w:sz="0" w:space="0" w:color="auto"/>
                <w:right w:val="none" w:sz="0" w:space="0" w:color="auto"/>
              </w:divBdr>
            </w:div>
          </w:divsChild>
        </w:div>
        <w:div w:id="623461035">
          <w:marLeft w:val="0"/>
          <w:marRight w:val="0"/>
          <w:marTop w:val="0"/>
          <w:marBottom w:val="0"/>
          <w:divBdr>
            <w:top w:val="none" w:sz="0" w:space="0" w:color="auto"/>
            <w:left w:val="none" w:sz="0" w:space="0" w:color="auto"/>
            <w:bottom w:val="none" w:sz="0" w:space="0" w:color="auto"/>
            <w:right w:val="none" w:sz="0" w:space="0" w:color="auto"/>
          </w:divBdr>
          <w:divsChild>
            <w:div w:id="922878293">
              <w:marLeft w:val="0"/>
              <w:marRight w:val="0"/>
              <w:marTop w:val="0"/>
              <w:marBottom w:val="0"/>
              <w:divBdr>
                <w:top w:val="none" w:sz="0" w:space="0" w:color="auto"/>
                <w:left w:val="none" w:sz="0" w:space="0" w:color="auto"/>
                <w:bottom w:val="none" w:sz="0" w:space="0" w:color="auto"/>
                <w:right w:val="none" w:sz="0" w:space="0" w:color="auto"/>
              </w:divBdr>
            </w:div>
          </w:divsChild>
        </w:div>
        <w:div w:id="635180206">
          <w:marLeft w:val="0"/>
          <w:marRight w:val="0"/>
          <w:marTop w:val="0"/>
          <w:marBottom w:val="0"/>
          <w:divBdr>
            <w:top w:val="none" w:sz="0" w:space="0" w:color="auto"/>
            <w:left w:val="none" w:sz="0" w:space="0" w:color="auto"/>
            <w:bottom w:val="none" w:sz="0" w:space="0" w:color="auto"/>
            <w:right w:val="none" w:sz="0" w:space="0" w:color="auto"/>
          </w:divBdr>
          <w:divsChild>
            <w:div w:id="1370031906">
              <w:marLeft w:val="0"/>
              <w:marRight w:val="0"/>
              <w:marTop w:val="0"/>
              <w:marBottom w:val="0"/>
              <w:divBdr>
                <w:top w:val="none" w:sz="0" w:space="0" w:color="auto"/>
                <w:left w:val="none" w:sz="0" w:space="0" w:color="auto"/>
                <w:bottom w:val="none" w:sz="0" w:space="0" w:color="auto"/>
                <w:right w:val="none" w:sz="0" w:space="0" w:color="auto"/>
              </w:divBdr>
            </w:div>
          </w:divsChild>
        </w:div>
        <w:div w:id="648940413">
          <w:marLeft w:val="0"/>
          <w:marRight w:val="0"/>
          <w:marTop w:val="0"/>
          <w:marBottom w:val="0"/>
          <w:divBdr>
            <w:top w:val="none" w:sz="0" w:space="0" w:color="auto"/>
            <w:left w:val="none" w:sz="0" w:space="0" w:color="auto"/>
            <w:bottom w:val="none" w:sz="0" w:space="0" w:color="auto"/>
            <w:right w:val="none" w:sz="0" w:space="0" w:color="auto"/>
          </w:divBdr>
          <w:divsChild>
            <w:div w:id="1410229443">
              <w:marLeft w:val="0"/>
              <w:marRight w:val="0"/>
              <w:marTop w:val="0"/>
              <w:marBottom w:val="0"/>
              <w:divBdr>
                <w:top w:val="none" w:sz="0" w:space="0" w:color="auto"/>
                <w:left w:val="none" w:sz="0" w:space="0" w:color="auto"/>
                <w:bottom w:val="none" w:sz="0" w:space="0" w:color="auto"/>
                <w:right w:val="none" w:sz="0" w:space="0" w:color="auto"/>
              </w:divBdr>
            </w:div>
          </w:divsChild>
        </w:div>
        <w:div w:id="658079043">
          <w:marLeft w:val="0"/>
          <w:marRight w:val="0"/>
          <w:marTop w:val="0"/>
          <w:marBottom w:val="0"/>
          <w:divBdr>
            <w:top w:val="none" w:sz="0" w:space="0" w:color="auto"/>
            <w:left w:val="none" w:sz="0" w:space="0" w:color="auto"/>
            <w:bottom w:val="none" w:sz="0" w:space="0" w:color="auto"/>
            <w:right w:val="none" w:sz="0" w:space="0" w:color="auto"/>
          </w:divBdr>
          <w:divsChild>
            <w:div w:id="576135782">
              <w:marLeft w:val="0"/>
              <w:marRight w:val="0"/>
              <w:marTop w:val="0"/>
              <w:marBottom w:val="0"/>
              <w:divBdr>
                <w:top w:val="none" w:sz="0" w:space="0" w:color="auto"/>
                <w:left w:val="none" w:sz="0" w:space="0" w:color="auto"/>
                <w:bottom w:val="none" w:sz="0" w:space="0" w:color="auto"/>
                <w:right w:val="none" w:sz="0" w:space="0" w:color="auto"/>
              </w:divBdr>
            </w:div>
          </w:divsChild>
        </w:div>
        <w:div w:id="672226212">
          <w:marLeft w:val="0"/>
          <w:marRight w:val="0"/>
          <w:marTop w:val="0"/>
          <w:marBottom w:val="0"/>
          <w:divBdr>
            <w:top w:val="none" w:sz="0" w:space="0" w:color="auto"/>
            <w:left w:val="none" w:sz="0" w:space="0" w:color="auto"/>
            <w:bottom w:val="none" w:sz="0" w:space="0" w:color="auto"/>
            <w:right w:val="none" w:sz="0" w:space="0" w:color="auto"/>
          </w:divBdr>
          <w:divsChild>
            <w:div w:id="678584985">
              <w:marLeft w:val="0"/>
              <w:marRight w:val="0"/>
              <w:marTop w:val="0"/>
              <w:marBottom w:val="0"/>
              <w:divBdr>
                <w:top w:val="none" w:sz="0" w:space="0" w:color="auto"/>
                <w:left w:val="none" w:sz="0" w:space="0" w:color="auto"/>
                <w:bottom w:val="none" w:sz="0" w:space="0" w:color="auto"/>
                <w:right w:val="none" w:sz="0" w:space="0" w:color="auto"/>
              </w:divBdr>
            </w:div>
          </w:divsChild>
        </w:div>
        <w:div w:id="678239172">
          <w:marLeft w:val="0"/>
          <w:marRight w:val="0"/>
          <w:marTop w:val="0"/>
          <w:marBottom w:val="0"/>
          <w:divBdr>
            <w:top w:val="none" w:sz="0" w:space="0" w:color="auto"/>
            <w:left w:val="none" w:sz="0" w:space="0" w:color="auto"/>
            <w:bottom w:val="none" w:sz="0" w:space="0" w:color="auto"/>
            <w:right w:val="none" w:sz="0" w:space="0" w:color="auto"/>
          </w:divBdr>
          <w:divsChild>
            <w:div w:id="166293219">
              <w:marLeft w:val="0"/>
              <w:marRight w:val="0"/>
              <w:marTop w:val="0"/>
              <w:marBottom w:val="0"/>
              <w:divBdr>
                <w:top w:val="none" w:sz="0" w:space="0" w:color="auto"/>
                <w:left w:val="none" w:sz="0" w:space="0" w:color="auto"/>
                <w:bottom w:val="none" w:sz="0" w:space="0" w:color="auto"/>
                <w:right w:val="none" w:sz="0" w:space="0" w:color="auto"/>
              </w:divBdr>
            </w:div>
          </w:divsChild>
        </w:div>
        <w:div w:id="679622256">
          <w:marLeft w:val="0"/>
          <w:marRight w:val="0"/>
          <w:marTop w:val="0"/>
          <w:marBottom w:val="0"/>
          <w:divBdr>
            <w:top w:val="none" w:sz="0" w:space="0" w:color="auto"/>
            <w:left w:val="none" w:sz="0" w:space="0" w:color="auto"/>
            <w:bottom w:val="none" w:sz="0" w:space="0" w:color="auto"/>
            <w:right w:val="none" w:sz="0" w:space="0" w:color="auto"/>
          </w:divBdr>
          <w:divsChild>
            <w:div w:id="451367162">
              <w:marLeft w:val="0"/>
              <w:marRight w:val="0"/>
              <w:marTop w:val="0"/>
              <w:marBottom w:val="0"/>
              <w:divBdr>
                <w:top w:val="none" w:sz="0" w:space="0" w:color="auto"/>
                <w:left w:val="none" w:sz="0" w:space="0" w:color="auto"/>
                <w:bottom w:val="none" w:sz="0" w:space="0" w:color="auto"/>
                <w:right w:val="none" w:sz="0" w:space="0" w:color="auto"/>
              </w:divBdr>
            </w:div>
          </w:divsChild>
        </w:div>
        <w:div w:id="680400647">
          <w:marLeft w:val="0"/>
          <w:marRight w:val="0"/>
          <w:marTop w:val="0"/>
          <w:marBottom w:val="0"/>
          <w:divBdr>
            <w:top w:val="none" w:sz="0" w:space="0" w:color="auto"/>
            <w:left w:val="none" w:sz="0" w:space="0" w:color="auto"/>
            <w:bottom w:val="none" w:sz="0" w:space="0" w:color="auto"/>
            <w:right w:val="none" w:sz="0" w:space="0" w:color="auto"/>
          </w:divBdr>
          <w:divsChild>
            <w:div w:id="496729668">
              <w:marLeft w:val="0"/>
              <w:marRight w:val="0"/>
              <w:marTop w:val="0"/>
              <w:marBottom w:val="0"/>
              <w:divBdr>
                <w:top w:val="none" w:sz="0" w:space="0" w:color="auto"/>
                <w:left w:val="none" w:sz="0" w:space="0" w:color="auto"/>
                <w:bottom w:val="none" w:sz="0" w:space="0" w:color="auto"/>
                <w:right w:val="none" w:sz="0" w:space="0" w:color="auto"/>
              </w:divBdr>
            </w:div>
          </w:divsChild>
        </w:div>
        <w:div w:id="691540316">
          <w:marLeft w:val="0"/>
          <w:marRight w:val="0"/>
          <w:marTop w:val="0"/>
          <w:marBottom w:val="0"/>
          <w:divBdr>
            <w:top w:val="none" w:sz="0" w:space="0" w:color="auto"/>
            <w:left w:val="none" w:sz="0" w:space="0" w:color="auto"/>
            <w:bottom w:val="none" w:sz="0" w:space="0" w:color="auto"/>
            <w:right w:val="none" w:sz="0" w:space="0" w:color="auto"/>
          </w:divBdr>
          <w:divsChild>
            <w:div w:id="656150203">
              <w:marLeft w:val="0"/>
              <w:marRight w:val="0"/>
              <w:marTop w:val="0"/>
              <w:marBottom w:val="0"/>
              <w:divBdr>
                <w:top w:val="none" w:sz="0" w:space="0" w:color="auto"/>
                <w:left w:val="none" w:sz="0" w:space="0" w:color="auto"/>
                <w:bottom w:val="none" w:sz="0" w:space="0" w:color="auto"/>
                <w:right w:val="none" w:sz="0" w:space="0" w:color="auto"/>
              </w:divBdr>
            </w:div>
          </w:divsChild>
        </w:div>
        <w:div w:id="693850527">
          <w:marLeft w:val="0"/>
          <w:marRight w:val="0"/>
          <w:marTop w:val="0"/>
          <w:marBottom w:val="0"/>
          <w:divBdr>
            <w:top w:val="none" w:sz="0" w:space="0" w:color="auto"/>
            <w:left w:val="none" w:sz="0" w:space="0" w:color="auto"/>
            <w:bottom w:val="none" w:sz="0" w:space="0" w:color="auto"/>
            <w:right w:val="none" w:sz="0" w:space="0" w:color="auto"/>
          </w:divBdr>
          <w:divsChild>
            <w:div w:id="1045524432">
              <w:marLeft w:val="0"/>
              <w:marRight w:val="0"/>
              <w:marTop w:val="0"/>
              <w:marBottom w:val="0"/>
              <w:divBdr>
                <w:top w:val="none" w:sz="0" w:space="0" w:color="auto"/>
                <w:left w:val="none" w:sz="0" w:space="0" w:color="auto"/>
                <w:bottom w:val="none" w:sz="0" w:space="0" w:color="auto"/>
                <w:right w:val="none" w:sz="0" w:space="0" w:color="auto"/>
              </w:divBdr>
            </w:div>
          </w:divsChild>
        </w:div>
        <w:div w:id="695621295">
          <w:marLeft w:val="0"/>
          <w:marRight w:val="0"/>
          <w:marTop w:val="0"/>
          <w:marBottom w:val="0"/>
          <w:divBdr>
            <w:top w:val="none" w:sz="0" w:space="0" w:color="auto"/>
            <w:left w:val="none" w:sz="0" w:space="0" w:color="auto"/>
            <w:bottom w:val="none" w:sz="0" w:space="0" w:color="auto"/>
            <w:right w:val="none" w:sz="0" w:space="0" w:color="auto"/>
          </w:divBdr>
          <w:divsChild>
            <w:div w:id="193466657">
              <w:marLeft w:val="0"/>
              <w:marRight w:val="0"/>
              <w:marTop w:val="0"/>
              <w:marBottom w:val="0"/>
              <w:divBdr>
                <w:top w:val="none" w:sz="0" w:space="0" w:color="auto"/>
                <w:left w:val="none" w:sz="0" w:space="0" w:color="auto"/>
                <w:bottom w:val="none" w:sz="0" w:space="0" w:color="auto"/>
                <w:right w:val="none" w:sz="0" w:space="0" w:color="auto"/>
              </w:divBdr>
            </w:div>
          </w:divsChild>
        </w:div>
        <w:div w:id="696202798">
          <w:marLeft w:val="0"/>
          <w:marRight w:val="0"/>
          <w:marTop w:val="0"/>
          <w:marBottom w:val="0"/>
          <w:divBdr>
            <w:top w:val="none" w:sz="0" w:space="0" w:color="auto"/>
            <w:left w:val="none" w:sz="0" w:space="0" w:color="auto"/>
            <w:bottom w:val="none" w:sz="0" w:space="0" w:color="auto"/>
            <w:right w:val="none" w:sz="0" w:space="0" w:color="auto"/>
          </w:divBdr>
          <w:divsChild>
            <w:div w:id="2029285832">
              <w:marLeft w:val="0"/>
              <w:marRight w:val="0"/>
              <w:marTop w:val="0"/>
              <w:marBottom w:val="0"/>
              <w:divBdr>
                <w:top w:val="none" w:sz="0" w:space="0" w:color="auto"/>
                <w:left w:val="none" w:sz="0" w:space="0" w:color="auto"/>
                <w:bottom w:val="none" w:sz="0" w:space="0" w:color="auto"/>
                <w:right w:val="none" w:sz="0" w:space="0" w:color="auto"/>
              </w:divBdr>
            </w:div>
          </w:divsChild>
        </w:div>
        <w:div w:id="704017886">
          <w:marLeft w:val="0"/>
          <w:marRight w:val="0"/>
          <w:marTop w:val="0"/>
          <w:marBottom w:val="0"/>
          <w:divBdr>
            <w:top w:val="none" w:sz="0" w:space="0" w:color="auto"/>
            <w:left w:val="none" w:sz="0" w:space="0" w:color="auto"/>
            <w:bottom w:val="none" w:sz="0" w:space="0" w:color="auto"/>
            <w:right w:val="none" w:sz="0" w:space="0" w:color="auto"/>
          </w:divBdr>
          <w:divsChild>
            <w:div w:id="1174418046">
              <w:marLeft w:val="0"/>
              <w:marRight w:val="0"/>
              <w:marTop w:val="0"/>
              <w:marBottom w:val="0"/>
              <w:divBdr>
                <w:top w:val="none" w:sz="0" w:space="0" w:color="auto"/>
                <w:left w:val="none" w:sz="0" w:space="0" w:color="auto"/>
                <w:bottom w:val="none" w:sz="0" w:space="0" w:color="auto"/>
                <w:right w:val="none" w:sz="0" w:space="0" w:color="auto"/>
              </w:divBdr>
            </w:div>
          </w:divsChild>
        </w:div>
        <w:div w:id="705258058">
          <w:marLeft w:val="0"/>
          <w:marRight w:val="0"/>
          <w:marTop w:val="0"/>
          <w:marBottom w:val="0"/>
          <w:divBdr>
            <w:top w:val="none" w:sz="0" w:space="0" w:color="auto"/>
            <w:left w:val="none" w:sz="0" w:space="0" w:color="auto"/>
            <w:bottom w:val="none" w:sz="0" w:space="0" w:color="auto"/>
            <w:right w:val="none" w:sz="0" w:space="0" w:color="auto"/>
          </w:divBdr>
          <w:divsChild>
            <w:div w:id="887883787">
              <w:marLeft w:val="0"/>
              <w:marRight w:val="0"/>
              <w:marTop w:val="0"/>
              <w:marBottom w:val="0"/>
              <w:divBdr>
                <w:top w:val="none" w:sz="0" w:space="0" w:color="auto"/>
                <w:left w:val="none" w:sz="0" w:space="0" w:color="auto"/>
                <w:bottom w:val="none" w:sz="0" w:space="0" w:color="auto"/>
                <w:right w:val="none" w:sz="0" w:space="0" w:color="auto"/>
              </w:divBdr>
            </w:div>
          </w:divsChild>
        </w:div>
        <w:div w:id="710956772">
          <w:marLeft w:val="0"/>
          <w:marRight w:val="0"/>
          <w:marTop w:val="0"/>
          <w:marBottom w:val="0"/>
          <w:divBdr>
            <w:top w:val="none" w:sz="0" w:space="0" w:color="auto"/>
            <w:left w:val="none" w:sz="0" w:space="0" w:color="auto"/>
            <w:bottom w:val="none" w:sz="0" w:space="0" w:color="auto"/>
            <w:right w:val="none" w:sz="0" w:space="0" w:color="auto"/>
          </w:divBdr>
          <w:divsChild>
            <w:div w:id="1884518830">
              <w:marLeft w:val="0"/>
              <w:marRight w:val="0"/>
              <w:marTop w:val="0"/>
              <w:marBottom w:val="0"/>
              <w:divBdr>
                <w:top w:val="none" w:sz="0" w:space="0" w:color="auto"/>
                <w:left w:val="none" w:sz="0" w:space="0" w:color="auto"/>
                <w:bottom w:val="none" w:sz="0" w:space="0" w:color="auto"/>
                <w:right w:val="none" w:sz="0" w:space="0" w:color="auto"/>
              </w:divBdr>
            </w:div>
          </w:divsChild>
        </w:div>
        <w:div w:id="713165140">
          <w:marLeft w:val="0"/>
          <w:marRight w:val="0"/>
          <w:marTop w:val="0"/>
          <w:marBottom w:val="0"/>
          <w:divBdr>
            <w:top w:val="none" w:sz="0" w:space="0" w:color="auto"/>
            <w:left w:val="none" w:sz="0" w:space="0" w:color="auto"/>
            <w:bottom w:val="none" w:sz="0" w:space="0" w:color="auto"/>
            <w:right w:val="none" w:sz="0" w:space="0" w:color="auto"/>
          </w:divBdr>
          <w:divsChild>
            <w:div w:id="1856844931">
              <w:marLeft w:val="0"/>
              <w:marRight w:val="0"/>
              <w:marTop w:val="0"/>
              <w:marBottom w:val="0"/>
              <w:divBdr>
                <w:top w:val="none" w:sz="0" w:space="0" w:color="auto"/>
                <w:left w:val="none" w:sz="0" w:space="0" w:color="auto"/>
                <w:bottom w:val="none" w:sz="0" w:space="0" w:color="auto"/>
                <w:right w:val="none" w:sz="0" w:space="0" w:color="auto"/>
              </w:divBdr>
            </w:div>
          </w:divsChild>
        </w:div>
        <w:div w:id="713387387">
          <w:marLeft w:val="0"/>
          <w:marRight w:val="0"/>
          <w:marTop w:val="0"/>
          <w:marBottom w:val="0"/>
          <w:divBdr>
            <w:top w:val="none" w:sz="0" w:space="0" w:color="auto"/>
            <w:left w:val="none" w:sz="0" w:space="0" w:color="auto"/>
            <w:bottom w:val="none" w:sz="0" w:space="0" w:color="auto"/>
            <w:right w:val="none" w:sz="0" w:space="0" w:color="auto"/>
          </w:divBdr>
          <w:divsChild>
            <w:div w:id="1936089896">
              <w:marLeft w:val="0"/>
              <w:marRight w:val="0"/>
              <w:marTop w:val="0"/>
              <w:marBottom w:val="0"/>
              <w:divBdr>
                <w:top w:val="none" w:sz="0" w:space="0" w:color="auto"/>
                <w:left w:val="none" w:sz="0" w:space="0" w:color="auto"/>
                <w:bottom w:val="none" w:sz="0" w:space="0" w:color="auto"/>
                <w:right w:val="none" w:sz="0" w:space="0" w:color="auto"/>
              </w:divBdr>
            </w:div>
          </w:divsChild>
        </w:div>
        <w:div w:id="718669027">
          <w:marLeft w:val="0"/>
          <w:marRight w:val="0"/>
          <w:marTop w:val="0"/>
          <w:marBottom w:val="0"/>
          <w:divBdr>
            <w:top w:val="none" w:sz="0" w:space="0" w:color="auto"/>
            <w:left w:val="none" w:sz="0" w:space="0" w:color="auto"/>
            <w:bottom w:val="none" w:sz="0" w:space="0" w:color="auto"/>
            <w:right w:val="none" w:sz="0" w:space="0" w:color="auto"/>
          </w:divBdr>
          <w:divsChild>
            <w:div w:id="746268202">
              <w:marLeft w:val="0"/>
              <w:marRight w:val="0"/>
              <w:marTop w:val="0"/>
              <w:marBottom w:val="0"/>
              <w:divBdr>
                <w:top w:val="none" w:sz="0" w:space="0" w:color="auto"/>
                <w:left w:val="none" w:sz="0" w:space="0" w:color="auto"/>
                <w:bottom w:val="none" w:sz="0" w:space="0" w:color="auto"/>
                <w:right w:val="none" w:sz="0" w:space="0" w:color="auto"/>
              </w:divBdr>
            </w:div>
          </w:divsChild>
        </w:div>
        <w:div w:id="747770086">
          <w:marLeft w:val="0"/>
          <w:marRight w:val="0"/>
          <w:marTop w:val="0"/>
          <w:marBottom w:val="0"/>
          <w:divBdr>
            <w:top w:val="none" w:sz="0" w:space="0" w:color="auto"/>
            <w:left w:val="none" w:sz="0" w:space="0" w:color="auto"/>
            <w:bottom w:val="none" w:sz="0" w:space="0" w:color="auto"/>
            <w:right w:val="none" w:sz="0" w:space="0" w:color="auto"/>
          </w:divBdr>
          <w:divsChild>
            <w:div w:id="579601256">
              <w:marLeft w:val="0"/>
              <w:marRight w:val="0"/>
              <w:marTop w:val="0"/>
              <w:marBottom w:val="0"/>
              <w:divBdr>
                <w:top w:val="none" w:sz="0" w:space="0" w:color="auto"/>
                <w:left w:val="none" w:sz="0" w:space="0" w:color="auto"/>
                <w:bottom w:val="none" w:sz="0" w:space="0" w:color="auto"/>
                <w:right w:val="none" w:sz="0" w:space="0" w:color="auto"/>
              </w:divBdr>
            </w:div>
          </w:divsChild>
        </w:div>
        <w:div w:id="751783140">
          <w:marLeft w:val="0"/>
          <w:marRight w:val="0"/>
          <w:marTop w:val="0"/>
          <w:marBottom w:val="0"/>
          <w:divBdr>
            <w:top w:val="none" w:sz="0" w:space="0" w:color="auto"/>
            <w:left w:val="none" w:sz="0" w:space="0" w:color="auto"/>
            <w:bottom w:val="none" w:sz="0" w:space="0" w:color="auto"/>
            <w:right w:val="none" w:sz="0" w:space="0" w:color="auto"/>
          </w:divBdr>
          <w:divsChild>
            <w:div w:id="1056583531">
              <w:marLeft w:val="0"/>
              <w:marRight w:val="0"/>
              <w:marTop w:val="0"/>
              <w:marBottom w:val="0"/>
              <w:divBdr>
                <w:top w:val="none" w:sz="0" w:space="0" w:color="auto"/>
                <w:left w:val="none" w:sz="0" w:space="0" w:color="auto"/>
                <w:bottom w:val="none" w:sz="0" w:space="0" w:color="auto"/>
                <w:right w:val="none" w:sz="0" w:space="0" w:color="auto"/>
              </w:divBdr>
            </w:div>
          </w:divsChild>
        </w:div>
        <w:div w:id="757216732">
          <w:marLeft w:val="0"/>
          <w:marRight w:val="0"/>
          <w:marTop w:val="0"/>
          <w:marBottom w:val="0"/>
          <w:divBdr>
            <w:top w:val="none" w:sz="0" w:space="0" w:color="auto"/>
            <w:left w:val="none" w:sz="0" w:space="0" w:color="auto"/>
            <w:bottom w:val="none" w:sz="0" w:space="0" w:color="auto"/>
            <w:right w:val="none" w:sz="0" w:space="0" w:color="auto"/>
          </w:divBdr>
          <w:divsChild>
            <w:div w:id="1763335833">
              <w:marLeft w:val="0"/>
              <w:marRight w:val="0"/>
              <w:marTop w:val="0"/>
              <w:marBottom w:val="0"/>
              <w:divBdr>
                <w:top w:val="none" w:sz="0" w:space="0" w:color="auto"/>
                <w:left w:val="none" w:sz="0" w:space="0" w:color="auto"/>
                <w:bottom w:val="none" w:sz="0" w:space="0" w:color="auto"/>
                <w:right w:val="none" w:sz="0" w:space="0" w:color="auto"/>
              </w:divBdr>
            </w:div>
          </w:divsChild>
        </w:div>
        <w:div w:id="761953380">
          <w:marLeft w:val="0"/>
          <w:marRight w:val="0"/>
          <w:marTop w:val="0"/>
          <w:marBottom w:val="0"/>
          <w:divBdr>
            <w:top w:val="none" w:sz="0" w:space="0" w:color="auto"/>
            <w:left w:val="none" w:sz="0" w:space="0" w:color="auto"/>
            <w:bottom w:val="none" w:sz="0" w:space="0" w:color="auto"/>
            <w:right w:val="none" w:sz="0" w:space="0" w:color="auto"/>
          </w:divBdr>
          <w:divsChild>
            <w:div w:id="1948074373">
              <w:marLeft w:val="0"/>
              <w:marRight w:val="0"/>
              <w:marTop w:val="0"/>
              <w:marBottom w:val="0"/>
              <w:divBdr>
                <w:top w:val="none" w:sz="0" w:space="0" w:color="auto"/>
                <w:left w:val="none" w:sz="0" w:space="0" w:color="auto"/>
                <w:bottom w:val="none" w:sz="0" w:space="0" w:color="auto"/>
                <w:right w:val="none" w:sz="0" w:space="0" w:color="auto"/>
              </w:divBdr>
            </w:div>
          </w:divsChild>
        </w:div>
        <w:div w:id="772672665">
          <w:marLeft w:val="0"/>
          <w:marRight w:val="0"/>
          <w:marTop w:val="0"/>
          <w:marBottom w:val="0"/>
          <w:divBdr>
            <w:top w:val="none" w:sz="0" w:space="0" w:color="auto"/>
            <w:left w:val="none" w:sz="0" w:space="0" w:color="auto"/>
            <w:bottom w:val="none" w:sz="0" w:space="0" w:color="auto"/>
            <w:right w:val="none" w:sz="0" w:space="0" w:color="auto"/>
          </w:divBdr>
          <w:divsChild>
            <w:div w:id="1348021559">
              <w:marLeft w:val="0"/>
              <w:marRight w:val="0"/>
              <w:marTop w:val="0"/>
              <w:marBottom w:val="0"/>
              <w:divBdr>
                <w:top w:val="none" w:sz="0" w:space="0" w:color="auto"/>
                <w:left w:val="none" w:sz="0" w:space="0" w:color="auto"/>
                <w:bottom w:val="none" w:sz="0" w:space="0" w:color="auto"/>
                <w:right w:val="none" w:sz="0" w:space="0" w:color="auto"/>
              </w:divBdr>
            </w:div>
          </w:divsChild>
        </w:div>
        <w:div w:id="809977430">
          <w:marLeft w:val="0"/>
          <w:marRight w:val="0"/>
          <w:marTop w:val="0"/>
          <w:marBottom w:val="0"/>
          <w:divBdr>
            <w:top w:val="none" w:sz="0" w:space="0" w:color="auto"/>
            <w:left w:val="none" w:sz="0" w:space="0" w:color="auto"/>
            <w:bottom w:val="none" w:sz="0" w:space="0" w:color="auto"/>
            <w:right w:val="none" w:sz="0" w:space="0" w:color="auto"/>
          </w:divBdr>
          <w:divsChild>
            <w:div w:id="112218396">
              <w:marLeft w:val="0"/>
              <w:marRight w:val="0"/>
              <w:marTop w:val="0"/>
              <w:marBottom w:val="0"/>
              <w:divBdr>
                <w:top w:val="none" w:sz="0" w:space="0" w:color="auto"/>
                <w:left w:val="none" w:sz="0" w:space="0" w:color="auto"/>
                <w:bottom w:val="none" w:sz="0" w:space="0" w:color="auto"/>
                <w:right w:val="none" w:sz="0" w:space="0" w:color="auto"/>
              </w:divBdr>
            </w:div>
          </w:divsChild>
        </w:div>
        <w:div w:id="815728677">
          <w:marLeft w:val="0"/>
          <w:marRight w:val="0"/>
          <w:marTop w:val="0"/>
          <w:marBottom w:val="0"/>
          <w:divBdr>
            <w:top w:val="none" w:sz="0" w:space="0" w:color="auto"/>
            <w:left w:val="none" w:sz="0" w:space="0" w:color="auto"/>
            <w:bottom w:val="none" w:sz="0" w:space="0" w:color="auto"/>
            <w:right w:val="none" w:sz="0" w:space="0" w:color="auto"/>
          </w:divBdr>
          <w:divsChild>
            <w:div w:id="383675020">
              <w:marLeft w:val="0"/>
              <w:marRight w:val="0"/>
              <w:marTop w:val="0"/>
              <w:marBottom w:val="0"/>
              <w:divBdr>
                <w:top w:val="none" w:sz="0" w:space="0" w:color="auto"/>
                <w:left w:val="none" w:sz="0" w:space="0" w:color="auto"/>
                <w:bottom w:val="none" w:sz="0" w:space="0" w:color="auto"/>
                <w:right w:val="none" w:sz="0" w:space="0" w:color="auto"/>
              </w:divBdr>
            </w:div>
          </w:divsChild>
        </w:div>
        <w:div w:id="818573545">
          <w:marLeft w:val="0"/>
          <w:marRight w:val="0"/>
          <w:marTop w:val="0"/>
          <w:marBottom w:val="0"/>
          <w:divBdr>
            <w:top w:val="none" w:sz="0" w:space="0" w:color="auto"/>
            <w:left w:val="none" w:sz="0" w:space="0" w:color="auto"/>
            <w:bottom w:val="none" w:sz="0" w:space="0" w:color="auto"/>
            <w:right w:val="none" w:sz="0" w:space="0" w:color="auto"/>
          </w:divBdr>
          <w:divsChild>
            <w:div w:id="1101490915">
              <w:marLeft w:val="0"/>
              <w:marRight w:val="0"/>
              <w:marTop w:val="0"/>
              <w:marBottom w:val="0"/>
              <w:divBdr>
                <w:top w:val="none" w:sz="0" w:space="0" w:color="auto"/>
                <w:left w:val="none" w:sz="0" w:space="0" w:color="auto"/>
                <w:bottom w:val="none" w:sz="0" w:space="0" w:color="auto"/>
                <w:right w:val="none" w:sz="0" w:space="0" w:color="auto"/>
              </w:divBdr>
            </w:div>
          </w:divsChild>
        </w:div>
        <w:div w:id="830289737">
          <w:marLeft w:val="0"/>
          <w:marRight w:val="0"/>
          <w:marTop w:val="0"/>
          <w:marBottom w:val="0"/>
          <w:divBdr>
            <w:top w:val="none" w:sz="0" w:space="0" w:color="auto"/>
            <w:left w:val="none" w:sz="0" w:space="0" w:color="auto"/>
            <w:bottom w:val="none" w:sz="0" w:space="0" w:color="auto"/>
            <w:right w:val="none" w:sz="0" w:space="0" w:color="auto"/>
          </w:divBdr>
          <w:divsChild>
            <w:div w:id="2043088801">
              <w:marLeft w:val="0"/>
              <w:marRight w:val="0"/>
              <w:marTop w:val="0"/>
              <w:marBottom w:val="0"/>
              <w:divBdr>
                <w:top w:val="none" w:sz="0" w:space="0" w:color="auto"/>
                <w:left w:val="none" w:sz="0" w:space="0" w:color="auto"/>
                <w:bottom w:val="none" w:sz="0" w:space="0" w:color="auto"/>
                <w:right w:val="none" w:sz="0" w:space="0" w:color="auto"/>
              </w:divBdr>
            </w:div>
          </w:divsChild>
        </w:div>
        <w:div w:id="835420123">
          <w:marLeft w:val="0"/>
          <w:marRight w:val="0"/>
          <w:marTop w:val="0"/>
          <w:marBottom w:val="0"/>
          <w:divBdr>
            <w:top w:val="none" w:sz="0" w:space="0" w:color="auto"/>
            <w:left w:val="none" w:sz="0" w:space="0" w:color="auto"/>
            <w:bottom w:val="none" w:sz="0" w:space="0" w:color="auto"/>
            <w:right w:val="none" w:sz="0" w:space="0" w:color="auto"/>
          </w:divBdr>
          <w:divsChild>
            <w:div w:id="1787700875">
              <w:marLeft w:val="0"/>
              <w:marRight w:val="0"/>
              <w:marTop w:val="0"/>
              <w:marBottom w:val="0"/>
              <w:divBdr>
                <w:top w:val="none" w:sz="0" w:space="0" w:color="auto"/>
                <w:left w:val="none" w:sz="0" w:space="0" w:color="auto"/>
                <w:bottom w:val="none" w:sz="0" w:space="0" w:color="auto"/>
                <w:right w:val="none" w:sz="0" w:space="0" w:color="auto"/>
              </w:divBdr>
            </w:div>
          </w:divsChild>
        </w:div>
        <w:div w:id="846290132">
          <w:marLeft w:val="0"/>
          <w:marRight w:val="0"/>
          <w:marTop w:val="0"/>
          <w:marBottom w:val="0"/>
          <w:divBdr>
            <w:top w:val="none" w:sz="0" w:space="0" w:color="auto"/>
            <w:left w:val="none" w:sz="0" w:space="0" w:color="auto"/>
            <w:bottom w:val="none" w:sz="0" w:space="0" w:color="auto"/>
            <w:right w:val="none" w:sz="0" w:space="0" w:color="auto"/>
          </w:divBdr>
          <w:divsChild>
            <w:div w:id="281613388">
              <w:marLeft w:val="0"/>
              <w:marRight w:val="0"/>
              <w:marTop w:val="0"/>
              <w:marBottom w:val="0"/>
              <w:divBdr>
                <w:top w:val="none" w:sz="0" w:space="0" w:color="auto"/>
                <w:left w:val="none" w:sz="0" w:space="0" w:color="auto"/>
                <w:bottom w:val="none" w:sz="0" w:space="0" w:color="auto"/>
                <w:right w:val="none" w:sz="0" w:space="0" w:color="auto"/>
              </w:divBdr>
            </w:div>
          </w:divsChild>
        </w:div>
        <w:div w:id="862010283">
          <w:marLeft w:val="0"/>
          <w:marRight w:val="0"/>
          <w:marTop w:val="0"/>
          <w:marBottom w:val="0"/>
          <w:divBdr>
            <w:top w:val="none" w:sz="0" w:space="0" w:color="auto"/>
            <w:left w:val="none" w:sz="0" w:space="0" w:color="auto"/>
            <w:bottom w:val="none" w:sz="0" w:space="0" w:color="auto"/>
            <w:right w:val="none" w:sz="0" w:space="0" w:color="auto"/>
          </w:divBdr>
          <w:divsChild>
            <w:div w:id="1733239038">
              <w:marLeft w:val="0"/>
              <w:marRight w:val="0"/>
              <w:marTop w:val="0"/>
              <w:marBottom w:val="0"/>
              <w:divBdr>
                <w:top w:val="none" w:sz="0" w:space="0" w:color="auto"/>
                <w:left w:val="none" w:sz="0" w:space="0" w:color="auto"/>
                <w:bottom w:val="none" w:sz="0" w:space="0" w:color="auto"/>
                <w:right w:val="none" w:sz="0" w:space="0" w:color="auto"/>
              </w:divBdr>
            </w:div>
          </w:divsChild>
        </w:div>
        <w:div w:id="881600793">
          <w:marLeft w:val="0"/>
          <w:marRight w:val="0"/>
          <w:marTop w:val="0"/>
          <w:marBottom w:val="0"/>
          <w:divBdr>
            <w:top w:val="none" w:sz="0" w:space="0" w:color="auto"/>
            <w:left w:val="none" w:sz="0" w:space="0" w:color="auto"/>
            <w:bottom w:val="none" w:sz="0" w:space="0" w:color="auto"/>
            <w:right w:val="none" w:sz="0" w:space="0" w:color="auto"/>
          </w:divBdr>
          <w:divsChild>
            <w:div w:id="1727415866">
              <w:marLeft w:val="0"/>
              <w:marRight w:val="0"/>
              <w:marTop w:val="0"/>
              <w:marBottom w:val="0"/>
              <w:divBdr>
                <w:top w:val="none" w:sz="0" w:space="0" w:color="auto"/>
                <w:left w:val="none" w:sz="0" w:space="0" w:color="auto"/>
                <w:bottom w:val="none" w:sz="0" w:space="0" w:color="auto"/>
                <w:right w:val="none" w:sz="0" w:space="0" w:color="auto"/>
              </w:divBdr>
            </w:div>
          </w:divsChild>
        </w:div>
        <w:div w:id="884562672">
          <w:marLeft w:val="0"/>
          <w:marRight w:val="0"/>
          <w:marTop w:val="0"/>
          <w:marBottom w:val="0"/>
          <w:divBdr>
            <w:top w:val="none" w:sz="0" w:space="0" w:color="auto"/>
            <w:left w:val="none" w:sz="0" w:space="0" w:color="auto"/>
            <w:bottom w:val="none" w:sz="0" w:space="0" w:color="auto"/>
            <w:right w:val="none" w:sz="0" w:space="0" w:color="auto"/>
          </w:divBdr>
          <w:divsChild>
            <w:div w:id="563415112">
              <w:marLeft w:val="0"/>
              <w:marRight w:val="0"/>
              <w:marTop w:val="0"/>
              <w:marBottom w:val="0"/>
              <w:divBdr>
                <w:top w:val="none" w:sz="0" w:space="0" w:color="auto"/>
                <w:left w:val="none" w:sz="0" w:space="0" w:color="auto"/>
                <w:bottom w:val="none" w:sz="0" w:space="0" w:color="auto"/>
                <w:right w:val="none" w:sz="0" w:space="0" w:color="auto"/>
              </w:divBdr>
            </w:div>
          </w:divsChild>
        </w:div>
        <w:div w:id="887455105">
          <w:marLeft w:val="0"/>
          <w:marRight w:val="0"/>
          <w:marTop w:val="0"/>
          <w:marBottom w:val="0"/>
          <w:divBdr>
            <w:top w:val="none" w:sz="0" w:space="0" w:color="auto"/>
            <w:left w:val="none" w:sz="0" w:space="0" w:color="auto"/>
            <w:bottom w:val="none" w:sz="0" w:space="0" w:color="auto"/>
            <w:right w:val="none" w:sz="0" w:space="0" w:color="auto"/>
          </w:divBdr>
          <w:divsChild>
            <w:div w:id="1283993498">
              <w:marLeft w:val="0"/>
              <w:marRight w:val="0"/>
              <w:marTop w:val="0"/>
              <w:marBottom w:val="0"/>
              <w:divBdr>
                <w:top w:val="none" w:sz="0" w:space="0" w:color="auto"/>
                <w:left w:val="none" w:sz="0" w:space="0" w:color="auto"/>
                <w:bottom w:val="none" w:sz="0" w:space="0" w:color="auto"/>
                <w:right w:val="none" w:sz="0" w:space="0" w:color="auto"/>
              </w:divBdr>
            </w:div>
          </w:divsChild>
        </w:div>
        <w:div w:id="889268959">
          <w:marLeft w:val="0"/>
          <w:marRight w:val="0"/>
          <w:marTop w:val="0"/>
          <w:marBottom w:val="0"/>
          <w:divBdr>
            <w:top w:val="none" w:sz="0" w:space="0" w:color="auto"/>
            <w:left w:val="none" w:sz="0" w:space="0" w:color="auto"/>
            <w:bottom w:val="none" w:sz="0" w:space="0" w:color="auto"/>
            <w:right w:val="none" w:sz="0" w:space="0" w:color="auto"/>
          </w:divBdr>
          <w:divsChild>
            <w:div w:id="1430924619">
              <w:marLeft w:val="0"/>
              <w:marRight w:val="0"/>
              <w:marTop w:val="0"/>
              <w:marBottom w:val="0"/>
              <w:divBdr>
                <w:top w:val="none" w:sz="0" w:space="0" w:color="auto"/>
                <w:left w:val="none" w:sz="0" w:space="0" w:color="auto"/>
                <w:bottom w:val="none" w:sz="0" w:space="0" w:color="auto"/>
                <w:right w:val="none" w:sz="0" w:space="0" w:color="auto"/>
              </w:divBdr>
            </w:div>
          </w:divsChild>
        </w:div>
        <w:div w:id="892497741">
          <w:marLeft w:val="0"/>
          <w:marRight w:val="0"/>
          <w:marTop w:val="0"/>
          <w:marBottom w:val="0"/>
          <w:divBdr>
            <w:top w:val="none" w:sz="0" w:space="0" w:color="auto"/>
            <w:left w:val="none" w:sz="0" w:space="0" w:color="auto"/>
            <w:bottom w:val="none" w:sz="0" w:space="0" w:color="auto"/>
            <w:right w:val="none" w:sz="0" w:space="0" w:color="auto"/>
          </w:divBdr>
          <w:divsChild>
            <w:div w:id="1715619399">
              <w:marLeft w:val="0"/>
              <w:marRight w:val="0"/>
              <w:marTop w:val="0"/>
              <w:marBottom w:val="0"/>
              <w:divBdr>
                <w:top w:val="none" w:sz="0" w:space="0" w:color="auto"/>
                <w:left w:val="none" w:sz="0" w:space="0" w:color="auto"/>
                <w:bottom w:val="none" w:sz="0" w:space="0" w:color="auto"/>
                <w:right w:val="none" w:sz="0" w:space="0" w:color="auto"/>
              </w:divBdr>
            </w:div>
          </w:divsChild>
        </w:div>
        <w:div w:id="899710564">
          <w:marLeft w:val="0"/>
          <w:marRight w:val="0"/>
          <w:marTop w:val="0"/>
          <w:marBottom w:val="0"/>
          <w:divBdr>
            <w:top w:val="none" w:sz="0" w:space="0" w:color="auto"/>
            <w:left w:val="none" w:sz="0" w:space="0" w:color="auto"/>
            <w:bottom w:val="none" w:sz="0" w:space="0" w:color="auto"/>
            <w:right w:val="none" w:sz="0" w:space="0" w:color="auto"/>
          </w:divBdr>
          <w:divsChild>
            <w:div w:id="1198154904">
              <w:marLeft w:val="0"/>
              <w:marRight w:val="0"/>
              <w:marTop w:val="0"/>
              <w:marBottom w:val="0"/>
              <w:divBdr>
                <w:top w:val="none" w:sz="0" w:space="0" w:color="auto"/>
                <w:left w:val="none" w:sz="0" w:space="0" w:color="auto"/>
                <w:bottom w:val="none" w:sz="0" w:space="0" w:color="auto"/>
                <w:right w:val="none" w:sz="0" w:space="0" w:color="auto"/>
              </w:divBdr>
            </w:div>
          </w:divsChild>
        </w:div>
        <w:div w:id="911278531">
          <w:marLeft w:val="0"/>
          <w:marRight w:val="0"/>
          <w:marTop w:val="0"/>
          <w:marBottom w:val="0"/>
          <w:divBdr>
            <w:top w:val="none" w:sz="0" w:space="0" w:color="auto"/>
            <w:left w:val="none" w:sz="0" w:space="0" w:color="auto"/>
            <w:bottom w:val="none" w:sz="0" w:space="0" w:color="auto"/>
            <w:right w:val="none" w:sz="0" w:space="0" w:color="auto"/>
          </w:divBdr>
          <w:divsChild>
            <w:div w:id="800684222">
              <w:marLeft w:val="0"/>
              <w:marRight w:val="0"/>
              <w:marTop w:val="0"/>
              <w:marBottom w:val="0"/>
              <w:divBdr>
                <w:top w:val="none" w:sz="0" w:space="0" w:color="auto"/>
                <w:left w:val="none" w:sz="0" w:space="0" w:color="auto"/>
                <w:bottom w:val="none" w:sz="0" w:space="0" w:color="auto"/>
                <w:right w:val="none" w:sz="0" w:space="0" w:color="auto"/>
              </w:divBdr>
            </w:div>
          </w:divsChild>
        </w:div>
        <w:div w:id="917516010">
          <w:marLeft w:val="0"/>
          <w:marRight w:val="0"/>
          <w:marTop w:val="0"/>
          <w:marBottom w:val="0"/>
          <w:divBdr>
            <w:top w:val="none" w:sz="0" w:space="0" w:color="auto"/>
            <w:left w:val="none" w:sz="0" w:space="0" w:color="auto"/>
            <w:bottom w:val="none" w:sz="0" w:space="0" w:color="auto"/>
            <w:right w:val="none" w:sz="0" w:space="0" w:color="auto"/>
          </w:divBdr>
          <w:divsChild>
            <w:div w:id="739980713">
              <w:marLeft w:val="0"/>
              <w:marRight w:val="0"/>
              <w:marTop w:val="0"/>
              <w:marBottom w:val="0"/>
              <w:divBdr>
                <w:top w:val="none" w:sz="0" w:space="0" w:color="auto"/>
                <w:left w:val="none" w:sz="0" w:space="0" w:color="auto"/>
                <w:bottom w:val="none" w:sz="0" w:space="0" w:color="auto"/>
                <w:right w:val="none" w:sz="0" w:space="0" w:color="auto"/>
              </w:divBdr>
            </w:div>
          </w:divsChild>
        </w:div>
        <w:div w:id="938759899">
          <w:marLeft w:val="0"/>
          <w:marRight w:val="0"/>
          <w:marTop w:val="0"/>
          <w:marBottom w:val="0"/>
          <w:divBdr>
            <w:top w:val="none" w:sz="0" w:space="0" w:color="auto"/>
            <w:left w:val="none" w:sz="0" w:space="0" w:color="auto"/>
            <w:bottom w:val="none" w:sz="0" w:space="0" w:color="auto"/>
            <w:right w:val="none" w:sz="0" w:space="0" w:color="auto"/>
          </w:divBdr>
          <w:divsChild>
            <w:div w:id="1064639751">
              <w:marLeft w:val="0"/>
              <w:marRight w:val="0"/>
              <w:marTop w:val="0"/>
              <w:marBottom w:val="0"/>
              <w:divBdr>
                <w:top w:val="none" w:sz="0" w:space="0" w:color="auto"/>
                <w:left w:val="none" w:sz="0" w:space="0" w:color="auto"/>
                <w:bottom w:val="none" w:sz="0" w:space="0" w:color="auto"/>
                <w:right w:val="none" w:sz="0" w:space="0" w:color="auto"/>
              </w:divBdr>
            </w:div>
          </w:divsChild>
        </w:div>
        <w:div w:id="939532686">
          <w:marLeft w:val="0"/>
          <w:marRight w:val="0"/>
          <w:marTop w:val="0"/>
          <w:marBottom w:val="0"/>
          <w:divBdr>
            <w:top w:val="none" w:sz="0" w:space="0" w:color="auto"/>
            <w:left w:val="none" w:sz="0" w:space="0" w:color="auto"/>
            <w:bottom w:val="none" w:sz="0" w:space="0" w:color="auto"/>
            <w:right w:val="none" w:sz="0" w:space="0" w:color="auto"/>
          </w:divBdr>
          <w:divsChild>
            <w:div w:id="1764256540">
              <w:marLeft w:val="0"/>
              <w:marRight w:val="0"/>
              <w:marTop w:val="0"/>
              <w:marBottom w:val="0"/>
              <w:divBdr>
                <w:top w:val="none" w:sz="0" w:space="0" w:color="auto"/>
                <w:left w:val="none" w:sz="0" w:space="0" w:color="auto"/>
                <w:bottom w:val="none" w:sz="0" w:space="0" w:color="auto"/>
                <w:right w:val="none" w:sz="0" w:space="0" w:color="auto"/>
              </w:divBdr>
            </w:div>
          </w:divsChild>
        </w:div>
        <w:div w:id="947201624">
          <w:marLeft w:val="0"/>
          <w:marRight w:val="0"/>
          <w:marTop w:val="0"/>
          <w:marBottom w:val="0"/>
          <w:divBdr>
            <w:top w:val="none" w:sz="0" w:space="0" w:color="auto"/>
            <w:left w:val="none" w:sz="0" w:space="0" w:color="auto"/>
            <w:bottom w:val="none" w:sz="0" w:space="0" w:color="auto"/>
            <w:right w:val="none" w:sz="0" w:space="0" w:color="auto"/>
          </w:divBdr>
          <w:divsChild>
            <w:div w:id="338429423">
              <w:marLeft w:val="0"/>
              <w:marRight w:val="0"/>
              <w:marTop w:val="0"/>
              <w:marBottom w:val="0"/>
              <w:divBdr>
                <w:top w:val="none" w:sz="0" w:space="0" w:color="auto"/>
                <w:left w:val="none" w:sz="0" w:space="0" w:color="auto"/>
                <w:bottom w:val="none" w:sz="0" w:space="0" w:color="auto"/>
                <w:right w:val="none" w:sz="0" w:space="0" w:color="auto"/>
              </w:divBdr>
            </w:div>
          </w:divsChild>
        </w:div>
        <w:div w:id="955988156">
          <w:marLeft w:val="0"/>
          <w:marRight w:val="0"/>
          <w:marTop w:val="0"/>
          <w:marBottom w:val="0"/>
          <w:divBdr>
            <w:top w:val="none" w:sz="0" w:space="0" w:color="auto"/>
            <w:left w:val="none" w:sz="0" w:space="0" w:color="auto"/>
            <w:bottom w:val="none" w:sz="0" w:space="0" w:color="auto"/>
            <w:right w:val="none" w:sz="0" w:space="0" w:color="auto"/>
          </w:divBdr>
          <w:divsChild>
            <w:div w:id="1466122539">
              <w:marLeft w:val="0"/>
              <w:marRight w:val="0"/>
              <w:marTop w:val="0"/>
              <w:marBottom w:val="0"/>
              <w:divBdr>
                <w:top w:val="none" w:sz="0" w:space="0" w:color="auto"/>
                <w:left w:val="none" w:sz="0" w:space="0" w:color="auto"/>
                <w:bottom w:val="none" w:sz="0" w:space="0" w:color="auto"/>
                <w:right w:val="none" w:sz="0" w:space="0" w:color="auto"/>
              </w:divBdr>
            </w:div>
          </w:divsChild>
        </w:div>
        <w:div w:id="956788580">
          <w:marLeft w:val="0"/>
          <w:marRight w:val="0"/>
          <w:marTop w:val="0"/>
          <w:marBottom w:val="0"/>
          <w:divBdr>
            <w:top w:val="none" w:sz="0" w:space="0" w:color="auto"/>
            <w:left w:val="none" w:sz="0" w:space="0" w:color="auto"/>
            <w:bottom w:val="none" w:sz="0" w:space="0" w:color="auto"/>
            <w:right w:val="none" w:sz="0" w:space="0" w:color="auto"/>
          </w:divBdr>
          <w:divsChild>
            <w:div w:id="90585851">
              <w:marLeft w:val="0"/>
              <w:marRight w:val="0"/>
              <w:marTop w:val="0"/>
              <w:marBottom w:val="0"/>
              <w:divBdr>
                <w:top w:val="none" w:sz="0" w:space="0" w:color="auto"/>
                <w:left w:val="none" w:sz="0" w:space="0" w:color="auto"/>
                <w:bottom w:val="none" w:sz="0" w:space="0" w:color="auto"/>
                <w:right w:val="none" w:sz="0" w:space="0" w:color="auto"/>
              </w:divBdr>
            </w:div>
          </w:divsChild>
        </w:div>
        <w:div w:id="961424851">
          <w:marLeft w:val="0"/>
          <w:marRight w:val="0"/>
          <w:marTop w:val="0"/>
          <w:marBottom w:val="0"/>
          <w:divBdr>
            <w:top w:val="none" w:sz="0" w:space="0" w:color="auto"/>
            <w:left w:val="none" w:sz="0" w:space="0" w:color="auto"/>
            <w:bottom w:val="none" w:sz="0" w:space="0" w:color="auto"/>
            <w:right w:val="none" w:sz="0" w:space="0" w:color="auto"/>
          </w:divBdr>
          <w:divsChild>
            <w:div w:id="143012499">
              <w:marLeft w:val="0"/>
              <w:marRight w:val="0"/>
              <w:marTop w:val="0"/>
              <w:marBottom w:val="0"/>
              <w:divBdr>
                <w:top w:val="none" w:sz="0" w:space="0" w:color="auto"/>
                <w:left w:val="none" w:sz="0" w:space="0" w:color="auto"/>
                <w:bottom w:val="none" w:sz="0" w:space="0" w:color="auto"/>
                <w:right w:val="none" w:sz="0" w:space="0" w:color="auto"/>
              </w:divBdr>
            </w:div>
          </w:divsChild>
        </w:div>
        <w:div w:id="970400549">
          <w:marLeft w:val="0"/>
          <w:marRight w:val="0"/>
          <w:marTop w:val="0"/>
          <w:marBottom w:val="0"/>
          <w:divBdr>
            <w:top w:val="none" w:sz="0" w:space="0" w:color="auto"/>
            <w:left w:val="none" w:sz="0" w:space="0" w:color="auto"/>
            <w:bottom w:val="none" w:sz="0" w:space="0" w:color="auto"/>
            <w:right w:val="none" w:sz="0" w:space="0" w:color="auto"/>
          </w:divBdr>
          <w:divsChild>
            <w:div w:id="2062973482">
              <w:marLeft w:val="0"/>
              <w:marRight w:val="0"/>
              <w:marTop w:val="0"/>
              <w:marBottom w:val="0"/>
              <w:divBdr>
                <w:top w:val="none" w:sz="0" w:space="0" w:color="auto"/>
                <w:left w:val="none" w:sz="0" w:space="0" w:color="auto"/>
                <w:bottom w:val="none" w:sz="0" w:space="0" w:color="auto"/>
                <w:right w:val="none" w:sz="0" w:space="0" w:color="auto"/>
              </w:divBdr>
            </w:div>
          </w:divsChild>
        </w:div>
        <w:div w:id="978609113">
          <w:marLeft w:val="0"/>
          <w:marRight w:val="0"/>
          <w:marTop w:val="0"/>
          <w:marBottom w:val="0"/>
          <w:divBdr>
            <w:top w:val="none" w:sz="0" w:space="0" w:color="auto"/>
            <w:left w:val="none" w:sz="0" w:space="0" w:color="auto"/>
            <w:bottom w:val="none" w:sz="0" w:space="0" w:color="auto"/>
            <w:right w:val="none" w:sz="0" w:space="0" w:color="auto"/>
          </w:divBdr>
          <w:divsChild>
            <w:div w:id="519515020">
              <w:marLeft w:val="0"/>
              <w:marRight w:val="0"/>
              <w:marTop w:val="0"/>
              <w:marBottom w:val="0"/>
              <w:divBdr>
                <w:top w:val="none" w:sz="0" w:space="0" w:color="auto"/>
                <w:left w:val="none" w:sz="0" w:space="0" w:color="auto"/>
                <w:bottom w:val="none" w:sz="0" w:space="0" w:color="auto"/>
                <w:right w:val="none" w:sz="0" w:space="0" w:color="auto"/>
              </w:divBdr>
            </w:div>
          </w:divsChild>
        </w:div>
        <w:div w:id="992174723">
          <w:marLeft w:val="0"/>
          <w:marRight w:val="0"/>
          <w:marTop w:val="0"/>
          <w:marBottom w:val="0"/>
          <w:divBdr>
            <w:top w:val="none" w:sz="0" w:space="0" w:color="auto"/>
            <w:left w:val="none" w:sz="0" w:space="0" w:color="auto"/>
            <w:bottom w:val="none" w:sz="0" w:space="0" w:color="auto"/>
            <w:right w:val="none" w:sz="0" w:space="0" w:color="auto"/>
          </w:divBdr>
          <w:divsChild>
            <w:div w:id="705712439">
              <w:marLeft w:val="0"/>
              <w:marRight w:val="0"/>
              <w:marTop w:val="0"/>
              <w:marBottom w:val="0"/>
              <w:divBdr>
                <w:top w:val="none" w:sz="0" w:space="0" w:color="auto"/>
                <w:left w:val="none" w:sz="0" w:space="0" w:color="auto"/>
                <w:bottom w:val="none" w:sz="0" w:space="0" w:color="auto"/>
                <w:right w:val="none" w:sz="0" w:space="0" w:color="auto"/>
              </w:divBdr>
            </w:div>
          </w:divsChild>
        </w:div>
        <w:div w:id="998310430">
          <w:marLeft w:val="0"/>
          <w:marRight w:val="0"/>
          <w:marTop w:val="0"/>
          <w:marBottom w:val="0"/>
          <w:divBdr>
            <w:top w:val="none" w:sz="0" w:space="0" w:color="auto"/>
            <w:left w:val="none" w:sz="0" w:space="0" w:color="auto"/>
            <w:bottom w:val="none" w:sz="0" w:space="0" w:color="auto"/>
            <w:right w:val="none" w:sz="0" w:space="0" w:color="auto"/>
          </w:divBdr>
          <w:divsChild>
            <w:div w:id="849177052">
              <w:marLeft w:val="0"/>
              <w:marRight w:val="0"/>
              <w:marTop w:val="0"/>
              <w:marBottom w:val="0"/>
              <w:divBdr>
                <w:top w:val="none" w:sz="0" w:space="0" w:color="auto"/>
                <w:left w:val="none" w:sz="0" w:space="0" w:color="auto"/>
                <w:bottom w:val="none" w:sz="0" w:space="0" w:color="auto"/>
                <w:right w:val="none" w:sz="0" w:space="0" w:color="auto"/>
              </w:divBdr>
            </w:div>
          </w:divsChild>
        </w:div>
        <w:div w:id="1027371416">
          <w:marLeft w:val="0"/>
          <w:marRight w:val="0"/>
          <w:marTop w:val="0"/>
          <w:marBottom w:val="0"/>
          <w:divBdr>
            <w:top w:val="none" w:sz="0" w:space="0" w:color="auto"/>
            <w:left w:val="none" w:sz="0" w:space="0" w:color="auto"/>
            <w:bottom w:val="none" w:sz="0" w:space="0" w:color="auto"/>
            <w:right w:val="none" w:sz="0" w:space="0" w:color="auto"/>
          </w:divBdr>
          <w:divsChild>
            <w:div w:id="1940986767">
              <w:marLeft w:val="0"/>
              <w:marRight w:val="0"/>
              <w:marTop w:val="0"/>
              <w:marBottom w:val="0"/>
              <w:divBdr>
                <w:top w:val="none" w:sz="0" w:space="0" w:color="auto"/>
                <w:left w:val="none" w:sz="0" w:space="0" w:color="auto"/>
                <w:bottom w:val="none" w:sz="0" w:space="0" w:color="auto"/>
                <w:right w:val="none" w:sz="0" w:space="0" w:color="auto"/>
              </w:divBdr>
            </w:div>
          </w:divsChild>
        </w:div>
        <w:div w:id="1027946119">
          <w:marLeft w:val="0"/>
          <w:marRight w:val="0"/>
          <w:marTop w:val="0"/>
          <w:marBottom w:val="0"/>
          <w:divBdr>
            <w:top w:val="none" w:sz="0" w:space="0" w:color="auto"/>
            <w:left w:val="none" w:sz="0" w:space="0" w:color="auto"/>
            <w:bottom w:val="none" w:sz="0" w:space="0" w:color="auto"/>
            <w:right w:val="none" w:sz="0" w:space="0" w:color="auto"/>
          </w:divBdr>
          <w:divsChild>
            <w:div w:id="379789763">
              <w:marLeft w:val="0"/>
              <w:marRight w:val="0"/>
              <w:marTop w:val="0"/>
              <w:marBottom w:val="0"/>
              <w:divBdr>
                <w:top w:val="none" w:sz="0" w:space="0" w:color="auto"/>
                <w:left w:val="none" w:sz="0" w:space="0" w:color="auto"/>
                <w:bottom w:val="none" w:sz="0" w:space="0" w:color="auto"/>
                <w:right w:val="none" w:sz="0" w:space="0" w:color="auto"/>
              </w:divBdr>
            </w:div>
          </w:divsChild>
        </w:div>
        <w:div w:id="1030566495">
          <w:marLeft w:val="0"/>
          <w:marRight w:val="0"/>
          <w:marTop w:val="0"/>
          <w:marBottom w:val="0"/>
          <w:divBdr>
            <w:top w:val="none" w:sz="0" w:space="0" w:color="auto"/>
            <w:left w:val="none" w:sz="0" w:space="0" w:color="auto"/>
            <w:bottom w:val="none" w:sz="0" w:space="0" w:color="auto"/>
            <w:right w:val="none" w:sz="0" w:space="0" w:color="auto"/>
          </w:divBdr>
          <w:divsChild>
            <w:div w:id="1935553594">
              <w:marLeft w:val="0"/>
              <w:marRight w:val="0"/>
              <w:marTop w:val="0"/>
              <w:marBottom w:val="0"/>
              <w:divBdr>
                <w:top w:val="none" w:sz="0" w:space="0" w:color="auto"/>
                <w:left w:val="none" w:sz="0" w:space="0" w:color="auto"/>
                <w:bottom w:val="none" w:sz="0" w:space="0" w:color="auto"/>
                <w:right w:val="none" w:sz="0" w:space="0" w:color="auto"/>
              </w:divBdr>
            </w:div>
          </w:divsChild>
        </w:div>
        <w:div w:id="1037466314">
          <w:marLeft w:val="0"/>
          <w:marRight w:val="0"/>
          <w:marTop w:val="0"/>
          <w:marBottom w:val="0"/>
          <w:divBdr>
            <w:top w:val="none" w:sz="0" w:space="0" w:color="auto"/>
            <w:left w:val="none" w:sz="0" w:space="0" w:color="auto"/>
            <w:bottom w:val="none" w:sz="0" w:space="0" w:color="auto"/>
            <w:right w:val="none" w:sz="0" w:space="0" w:color="auto"/>
          </w:divBdr>
          <w:divsChild>
            <w:div w:id="1052269102">
              <w:marLeft w:val="0"/>
              <w:marRight w:val="0"/>
              <w:marTop w:val="0"/>
              <w:marBottom w:val="0"/>
              <w:divBdr>
                <w:top w:val="none" w:sz="0" w:space="0" w:color="auto"/>
                <w:left w:val="none" w:sz="0" w:space="0" w:color="auto"/>
                <w:bottom w:val="none" w:sz="0" w:space="0" w:color="auto"/>
                <w:right w:val="none" w:sz="0" w:space="0" w:color="auto"/>
              </w:divBdr>
            </w:div>
          </w:divsChild>
        </w:div>
        <w:div w:id="1050762835">
          <w:marLeft w:val="0"/>
          <w:marRight w:val="0"/>
          <w:marTop w:val="0"/>
          <w:marBottom w:val="0"/>
          <w:divBdr>
            <w:top w:val="none" w:sz="0" w:space="0" w:color="auto"/>
            <w:left w:val="none" w:sz="0" w:space="0" w:color="auto"/>
            <w:bottom w:val="none" w:sz="0" w:space="0" w:color="auto"/>
            <w:right w:val="none" w:sz="0" w:space="0" w:color="auto"/>
          </w:divBdr>
          <w:divsChild>
            <w:div w:id="1680232238">
              <w:marLeft w:val="0"/>
              <w:marRight w:val="0"/>
              <w:marTop w:val="0"/>
              <w:marBottom w:val="0"/>
              <w:divBdr>
                <w:top w:val="none" w:sz="0" w:space="0" w:color="auto"/>
                <w:left w:val="none" w:sz="0" w:space="0" w:color="auto"/>
                <w:bottom w:val="none" w:sz="0" w:space="0" w:color="auto"/>
                <w:right w:val="none" w:sz="0" w:space="0" w:color="auto"/>
              </w:divBdr>
            </w:div>
          </w:divsChild>
        </w:div>
        <w:div w:id="1057819249">
          <w:marLeft w:val="0"/>
          <w:marRight w:val="0"/>
          <w:marTop w:val="0"/>
          <w:marBottom w:val="0"/>
          <w:divBdr>
            <w:top w:val="none" w:sz="0" w:space="0" w:color="auto"/>
            <w:left w:val="none" w:sz="0" w:space="0" w:color="auto"/>
            <w:bottom w:val="none" w:sz="0" w:space="0" w:color="auto"/>
            <w:right w:val="none" w:sz="0" w:space="0" w:color="auto"/>
          </w:divBdr>
          <w:divsChild>
            <w:div w:id="912852447">
              <w:marLeft w:val="0"/>
              <w:marRight w:val="0"/>
              <w:marTop w:val="0"/>
              <w:marBottom w:val="0"/>
              <w:divBdr>
                <w:top w:val="none" w:sz="0" w:space="0" w:color="auto"/>
                <w:left w:val="none" w:sz="0" w:space="0" w:color="auto"/>
                <w:bottom w:val="none" w:sz="0" w:space="0" w:color="auto"/>
                <w:right w:val="none" w:sz="0" w:space="0" w:color="auto"/>
              </w:divBdr>
            </w:div>
          </w:divsChild>
        </w:div>
        <w:div w:id="1072392499">
          <w:marLeft w:val="0"/>
          <w:marRight w:val="0"/>
          <w:marTop w:val="0"/>
          <w:marBottom w:val="0"/>
          <w:divBdr>
            <w:top w:val="none" w:sz="0" w:space="0" w:color="auto"/>
            <w:left w:val="none" w:sz="0" w:space="0" w:color="auto"/>
            <w:bottom w:val="none" w:sz="0" w:space="0" w:color="auto"/>
            <w:right w:val="none" w:sz="0" w:space="0" w:color="auto"/>
          </w:divBdr>
          <w:divsChild>
            <w:div w:id="1119104405">
              <w:marLeft w:val="0"/>
              <w:marRight w:val="0"/>
              <w:marTop w:val="0"/>
              <w:marBottom w:val="0"/>
              <w:divBdr>
                <w:top w:val="none" w:sz="0" w:space="0" w:color="auto"/>
                <w:left w:val="none" w:sz="0" w:space="0" w:color="auto"/>
                <w:bottom w:val="none" w:sz="0" w:space="0" w:color="auto"/>
                <w:right w:val="none" w:sz="0" w:space="0" w:color="auto"/>
              </w:divBdr>
            </w:div>
          </w:divsChild>
        </w:div>
        <w:div w:id="1077094312">
          <w:marLeft w:val="0"/>
          <w:marRight w:val="0"/>
          <w:marTop w:val="0"/>
          <w:marBottom w:val="0"/>
          <w:divBdr>
            <w:top w:val="none" w:sz="0" w:space="0" w:color="auto"/>
            <w:left w:val="none" w:sz="0" w:space="0" w:color="auto"/>
            <w:bottom w:val="none" w:sz="0" w:space="0" w:color="auto"/>
            <w:right w:val="none" w:sz="0" w:space="0" w:color="auto"/>
          </w:divBdr>
          <w:divsChild>
            <w:div w:id="1840339789">
              <w:marLeft w:val="0"/>
              <w:marRight w:val="0"/>
              <w:marTop w:val="0"/>
              <w:marBottom w:val="0"/>
              <w:divBdr>
                <w:top w:val="none" w:sz="0" w:space="0" w:color="auto"/>
                <w:left w:val="none" w:sz="0" w:space="0" w:color="auto"/>
                <w:bottom w:val="none" w:sz="0" w:space="0" w:color="auto"/>
                <w:right w:val="none" w:sz="0" w:space="0" w:color="auto"/>
              </w:divBdr>
            </w:div>
          </w:divsChild>
        </w:div>
        <w:div w:id="1083647586">
          <w:marLeft w:val="0"/>
          <w:marRight w:val="0"/>
          <w:marTop w:val="0"/>
          <w:marBottom w:val="0"/>
          <w:divBdr>
            <w:top w:val="none" w:sz="0" w:space="0" w:color="auto"/>
            <w:left w:val="none" w:sz="0" w:space="0" w:color="auto"/>
            <w:bottom w:val="none" w:sz="0" w:space="0" w:color="auto"/>
            <w:right w:val="none" w:sz="0" w:space="0" w:color="auto"/>
          </w:divBdr>
          <w:divsChild>
            <w:div w:id="1195001993">
              <w:marLeft w:val="0"/>
              <w:marRight w:val="0"/>
              <w:marTop w:val="0"/>
              <w:marBottom w:val="0"/>
              <w:divBdr>
                <w:top w:val="none" w:sz="0" w:space="0" w:color="auto"/>
                <w:left w:val="none" w:sz="0" w:space="0" w:color="auto"/>
                <w:bottom w:val="none" w:sz="0" w:space="0" w:color="auto"/>
                <w:right w:val="none" w:sz="0" w:space="0" w:color="auto"/>
              </w:divBdr>
            </w:div>
          </w:divsChild>
        </w:div>
        <w:div w:id="1085540520">
          <w:marLeft w:val="0"/>
          <w:marRight w:val="0"/>
          <w:marTop w:val="0"/>
          <w:marBottom w:val="0"/>
          <w:divBdr>
            <w:top w:val="none" w:sz="0" w:space="0" w:color="auto"/>
            <w:left w:val="none" w:sz="0" w:space="0" w:color="auto"/>
            <w:bottom w:val="none" w:sz="0" w:space="0" w:color="auto"/>
            <w:right w:val="none" w:sz="0" w:space="0" w:color="auto"/>
          </w:divBdr>
          <w:divsChild>
            <w:div w:id="222521333">
              <w:marLeft w:val="0"/>
              <w:marRight w:val="0"/>
              <w:marTop w:val="0"/>
              <w:marBottom w:val="0"/>
              <w:divBdr>
                <w:top w:val="none" w:sz="0" w:space="0" w:color="auto"/>
                <w:left w:val="none" w:sz="0" w:space="0" w:color="auto"/>
                <w:bottom w:val="none" w:sz="0" w:space="0" w:color="auto"/>
                <w:right w:val="none" w:sz="0" w:space="0" w:color="auto"/>
              </w:divBdr>
            </w:div>
          </w:divsChild>
        </w:div>
        <w:div w:id="1093361709">
          <w:marLeft w:val="0"/>
          <w:marRight w:val="0"/>
          <w:marTop w:val="0"/>
          <w:marBottom w:val="0"/>
          <w:divBdr>
            <w:top w:val="none" w:sz="0" w:space="0" w:color="auto"/>
            <w:left w:val="none" w:sz="0" w:space="0" w:color="auto"/>
            <w:bottom w:val="none" w:sz="0" w:space="0" w:color="auto"/>
            <w:right w:val="none" w:sz="0" w:space="0" w:color="auto"/>
          </w:divBdr>
          <w:divsChild>
            <w:div w:id="1670674315">
              <w:marLeft w:val="0"/>
              <w:marRight w:val="0"/>
              <w:marTop w:val="0"/>
              <w:marBottom w:val="0"/>
              <w:divBdr>
                <w:top w:val="none" w:sz="0" w:space="0" w:color="auto"/>
                <w:left w:val="none" w:sz="0" w:space="0" w:color="auto"/>
                <w:bottom w:val="none" w:sz="0" w:space="0" w:color="auto"/>
                <w:right w:val="none" w:sz="0" w:space="0" w:color="auto"/>
              </w:divBdr>
            </w:div>
          </w:divsChild>
        </w:div>
        <w:div w:id="1114515076">
          <w:marLeft w:val="0"/>
          <w:marRight w:val="0"/>
          <w:marTop w:val="0"/>
          <w:marBottom w:val="0"/>
          <w:divBdr>
            <w:top w:val="none" w:sz="0" w:space="0" w:color="auto"/>
            <w:left w:val="none" w:sz="0" w:space="0" w:color="auto"/>
            <w:bottom w:val="none" w:sz="0" w:space="0" w:color="auto"/>
            <w:right w:val="none" w:sz="0" w:space="0" w:color="auto"/>
          </w:divBdr>
          <w:divsChild>
            <w:div w:id="1511144327">
              <w:marLeft w:val="0"/>
              <w:marRight w:val="0"/>
              <w:marTop w:val="0"/>
              <w:marBottom w:val="0"/>
              <w:divBdr>
                <w:top w:val="none" w:sz="0" w:space="0" w:color="auto"/>
                <w:left w:val="none" w:sz="0" w:space="0" w:color="auto"/>
                <w:bottom w:val="none" w:sz="0" w:space="0" w:color="auto"/>
                <w:right w:val="none" w:sz="0" w:space="0" w:color="auto"/>
              </w:divBdr>
            </w:div>
          </w:divsChild>
        </w:div>
        <w:div w:id="1117330710">
          <w:marLeft w:val="0"/>
          <w:marRight w:val="0"/>
          <w:marTop w:val="0"/>
          <w:marBottom w:val="0"/>
          <w:divBdr>
            <w:top w:val="none" w:sz="0" w:space="0" w:color="auto"/>
            <w:left w:val="none" w:sz="0" w:space="0" w:color="auto"/>
            <w:bottom w:val="none" w:sz="0" w:space="0" w:color="auto"/>
            <w:right w:val="none" w:sz="0" w:space="0" w:color="auto"/>
          </w:divBdr>
          <w:divsChild>
            <w:div w:id="15235616">
              <w:marLeft w:val="0"/>
              <w:marRight w:val="0"/>
              <w:marTop w:val="0"/>
              <w:marBottom w:val="0"/>
              <w:divBdr>
                <w:top w:val="none" w:sz="0" w:space="0" w:color="auto"/>
                <w:left w:val="none" w:sz="0" w:space="0" w:color="auto"/>
                <w:bottom w:val="none" w:sz="0" w:space="0" w:color="auto"/>
                <w:right w:val="none" w:sz="0" w:space="0" w:color="auto"/>
              </w:divBdr>
            </w:div>
          </w:divsChild>
        </w:div>
        <w:div w:id="1117411637">
          <w:marLeft w:val="0"/>
          <w:marRight w:val="0"/>
          <w:marTop w:val="0"/>
          <w:marBottom w:val="0"/>
          <w:divBdr>
            <w:top w:val="none" w:sz="0" w:space="0" w:color="auto"/>
            <w:left w:val="none" w:sz="0" w:space="0" w:color="auto"/>
            <w:bottom w:val="none" w:sz="0" w:space="0" w:color="auto"/>
            <w:right w:val="none" w:sz="0" w:space="0" w:color="auto"/>
          </w:divBdr>
          <w:divsChild>
            <w:div w:id="853763631">
              <w:marLeft w:val="0"/>
              <w:marRight w:val="0"/>
              <w:marTop w:val="0"/>
              <w:marBottom w:val="0"/>
              <w:divBdr>
                <w:top w:val="none" w:sz="0" w:space="0" w:color="auto"/>
                <w:left w:val="none" w:sz="0" w:space="0" w:color="auto"/>
                <w:bottom w:val="none" w:sz="0" w:space="0" w:color="auto"/>
                <w:right w:val="none" w:sz="0" w:space="0" w:color="auto"/>
              </w:divBdr>
            </w:div>
          </w:divsChild>
        </w:div>
        <w:div w:id="1131900738">
          <w:marLeft w:val="0"/>
          <w:marRight w:val="0"/>
          <w:marTop w:val="0"/>
          <w:marBottom w:val="0"/>
          <w:divBdr>
            <w:top w:val="none" w:sz="0" w:space="0" w:color="auto"/>
            <w:left w:val="none" w:sz="0" w:space="0" w:color="auto"/>
            <w:bottom w:val="none" w:sz="0" w:space="0" w:color="auto"/>
            <w:right w:val="none" w:sz="0" w:space="0" w:color="auto"/>
          </w:divBdr>
          <w:divsChild>
            <w:div w:id="1249077907">
              <w:marLeft w:val="0"/>
              <w:marRight w:val="0"/>
              <w:marTop w:val="0"/>
              <w:marBottom w:val="0"/>
              <w:divBdr>
                <w:top w:val="none" w:sz="0" w:space="0" w:color="auto"/>
                <w:left w:val="none" w:sz="0" w:space="0" w:color="auto"/>
                <w:bottom w:val="none" w:sz="0" w:space="0" w:color="auto"/>
                <w:right w:val="none" w:sz="0" w:space="0" w:color="auto"/>
              </w:divBdr>
            </w:div>
          </w:divsChild>
        </w:div>
        <w:div w:id="1132746165">
          <w:marLeft w:val="0"/>
          <w:marRight w:val="0"/>
          <w:marTop w:val="0"/>
          <w:marBottom w:val="0"/>
          <w:divBdr>
            <w:top w:val="none" w:sz="0" w:space="0" w:color="auto"/>
            <w:left w:val="none" w:sz="0" w:space="0" w:color="auto"/>
            <w:bottom w:val="none" w:sz="0" w:space="0" w:color="auto"/>
            <w:right w:val="none" w:sz="0" w:space="0" w:color="auto"/>
          </w:divBdr>
          <w:divsChild>
            <w:div w:id="112134910">
              <w:marLeft w:val="0"/>
              <w:marRight w:val="0"/>
              <w:marTop w:val="0"/>
              <w:marBottom w:val="0"/>
              <w:divBdr>
                <w:top w:val="none" w:sz="0" w:space="0" w:color="auto"/>
                <w:left w:val="none" w:sz="0" w:space="0" w:color="auto"/>
                <w:bottom w:val="none" w:sz="0" w:space="0" w:color="auto"/>
                <w:right w:val="none" w:sz="0" w:space="0" w:color="auto"/>
              </w:divBdr>
            </w:div>
          </w:divsChild>
        </w:div>
        <w:div w:id="1144392629">
          <w:marLeft w:val="0"/>
          <w:marRight w:val="0"/>
          <w:marTop w:val="0"/>
          <w:marBottom w:val="0"/>
          <w:divBdr>
            <w:top w:val="none" w:sz="0" w:space="0" w:color="auto"/>
            <w:left w:val="none" w:sz="0" w:space="0" w:color="auto"/>
            <w:bottom w:val="none" w:sz="0" w:space="0" w:color="auto"/>
            <w:right w:val="none" w:sz="0" w:space="0" w:color="auto"/>
          </w:divBdr>
          <w:divsChild>
            <w:div w:id="196819353">
              <w:marLeft w:val="0"/>
              <w:marRight w:val="0"/>
              <w:marTop w:val="0"/>
              <w:marBottom w:val="0"/>
              <w:divBdr>
                <w:top w:val="none" w:sz="0" w:space="0" w:color="auto"/>
                <w:left w:val="none" w:sz="0" w:space="0" w:color="auto"/>
                <w:bottom w:val="none" w:sz="0" w:space="0" w:color="auto"/>
                <w:right w:val="none" w:sz="0" w:space="0" w:color="auto"/>
              </w:divBdr>
            </w:div>
          </w:divsChild>
        </w:div>
        <w:div w:id="1157574900">
          <w:marLeft w:val="0"/>
          <w:marRight w:val="0"/>
          <w:marTop w:val="0"/>
          <w:marBottom w:val="0"/>
          <w:divBdr>
            <w:top w:val="none" w:sz="0" w:space="0" w:color="auto"/>
            <w:left w:val="none" w:sz="0" w:space="0" w:color="auto"/>
            <w:bottom w:val="none" w:sz="0" w:space="0" w:color="auto"/>
            <w:right w:val="none" w:sz="0" w:space="0" w:color="auto"/>
          </w:divBdr>
          <w:divsChild>
            <w:div w:id="1085611082">
              <w:marLeft w:val="0"/>
              <w:marRight w:val="0"/>
              <w:marTop w:val="0"/>
              <w:marBottom w:val="0"/>
              <w:divBdr>
                <w:top w:val="none" w:sz="0" w:space="0" w:color="auto"/>
                <w:left w:val="none" w:sz="0" w:space="0" w:color="auto"/>
                <w:bottom w:val="none" w:sz="0" w:space="0" w:color="auto"/>
                <w:right w:val="none" w:sz="0" w:space="0" w:color="auto"/>
              </w:divBdr>
            </w:div>
          </w:divsChild>
        </w:div>
        <w:div w:id="1166630739">
          <w:marLeft w:val="0"/>
          <w:marRight w:val="0"/>
          <w:marTop w:val="0"/>
          <w:marBottom w:val="0"/>
          <w:divBdr>
            <w:top w:val="none" w:sz="0" w:space="0" w:color="auto"/>
            <w:left w:val="none" w:sz="0" w:space="0" w:color="auto"/>
            <w:bottom w:val="none" w:sz="0" w:space="0" w:color="auto"/>
            <w:right w:val="none" w:sz="0" w:space="0" w:color="auto"/>
          </w:divBdr>
          <w:divsChild>
            <w:div w:id="14500510">
              <w:marLeft w:val="0"/>
              <w:marRight w:val="0"/>
              <w:marTop w:val="0"/>
              <w:marBottom w:val="0"/>
              <w:divBdr>
                <w:top w:val="none" w:sz="0" w:space="0" w:color="auto"/>
                <w:left w:val="none" w:sz="0" w:space="0" w:color="auto"/>
                <w:bottom w:val="none" w:sz="0" w:space="0" w:color="auto"/>
                <w:right w:val="none" w:sz="0" w:space="0" w:color="auto"/>
              </w:divBdr>
            </w:div>
          </w:divsChild>
        </w:div>
        <w:div w:id="1181118394">
          <w:marLeft w:val="0"/>
          <w:marRight w:val="0"/>
          <w:marTop w:val="0"/>
          <w:marBottom w:val="0"/>
          <w:divBdr>
            <w:top w:val="none" w:sz="0" w:space="0" w:color="auto"/>
            <w:left w:val="none" w:sz="0" w:space="0" w:color="auto"/>
            <w:bottom w:val="none" w:sz="0" w:space="0" w:color="auto"/>
            <w:right w:val="none" w:sz="0" w:space="0" w:color="auto"/>
          </w:divBdr>
          <w:divsChild>
            <w:div w:id="26568359">
              <w:marLeft w:val="0"/>
              <w:marRight w:val="0"/>
              <w:marTop w:val="0"/>
              <w:marBottom w:val="0"/>
              <w:divBdr>
                <w:top w:val="none" w:sz="0" w:space="0" w:color="auto"/>
                <w:left w:val="none" w:sz="0" w:space="0" w:color="auto"/>
                <w:bottom w:val="none" w:sz="0" w:space="0" w:color="auto"/>
                <w:right w:val="none" w:sz="0" w:space="0" w:color="auto"/>
              </w:divBdr>
            </w:div>
          </w:divsChild>
        </w:div>
        <w:div w:id="1186019964">
          <w:marLeft w:val="0"/>
          <w:marRight w:val="0"/>
          <w:marTop w:val="0"/>
          <w:marBottom w:val="0"/>
          <w:divBdr>
            <w:top w:val="none" w:sz="0" w:space="0" w:color="auto"/>
            <w:left w:val="none" w:sz="0" w:space="0" w:color="auto"/>
            <w:bottom w:val="none" w:sz="0" w:space="0" w:color="auto"/>
            <w:right w:val="none" w:sz="0" w:space="0" w:color="auto"/>
          </w:divBdr>
          <w:divsChild>
            <w:div w:id="1867324153">
              <w:marLeft w:val="0"/>
              <w:marRight w:val="0"/>
              <w:marTop w:val="0"/>
              <w:marBottom w:val="0"/>
              <w:divBdr>
                <w:top w:val="none" w:sz="0" w:space="0" w:color="auto"/>
                <w:left w:val="none" w:sz="0" w:space="0" w:color="auto"/>
                <w:bottom w:val="none" w:sz="0" w:space="0" w:color="auto"/>
                <w:right w:val="none" w:sz="0" w:space="0" w:color="auto"/>
              </w:divBdr>
            </w:div>
          </w:divsChild>
        </w:div>
        <w:div w:id="1194418071">
          <w:marLeft w:val="0"/>
          <w:marRight w:val="0"/>
          <w:marTop w:val="0"/>
          <w:marBottom w:val="0"/>
          <w:divBdr>
            <w:top w:val="none" w:sz="0" w:space="0" w:color="auto"/>
            <w:left w:val="none" w:sz="0" w:space="0" w:color="auto"/>
            <w:bottom w:val="none" w:sz="0" w:space="0" w:color="auto"/>
            <w:right w:val="none" w:sz="0" w:space="0" w:color="auto"/>
          </w:divBdr>
          <w:divsChild>
            <w:div w:id="2065716148">
              <w:marLeft w:val="0"/>
              <w:marRight w:val="0"/>
              <w:marTop w:val="0"/>
              <w:marBottom w:val="0"/>
              <w:divBdr>
                <w:top w:val="none" w:sz="0" w:space="0" w:color="auto"/>
                <w:left w:val="none" w:sz="0" w:space="0" w:color="auto"/>
                <w:bottom w:val="none" w:sz="0" w:space="0" w:color="auto"/>
                <w:right w:val="none" w:sz="0" w:space="0" w:color="auto"/>
              </w:divBdr>
            </w:div>
          </w:divsChild>
        </w:div>
        <w:div w:id="1198935346">
          <w:marLeft w:val="0"/>
          <w:marRight w:val="0"/>
          <w:marTop w:val="0"/>
          <w:marBottom w:val="0"/>
          <w:divBdr>
            <w:top w:val="none" w:sz="0" w:space="0" w:color="auto"/>
            <w:left w:val="none" w:sz="0" w:space="0" w:color="auto"/>
            <w:bottom w:val="none" w:sz="0" w:space="0" w:color="auto"/>
            <w:right w:val="none" w:sz="0" w:space="0" w:color="auto"/>
          </w:divBdr>
          <w:divsChild>
            <w:div w:id="2003661874">
              <w:marLeft w:val="0"/>
              <w:marRight w:val="0"/>
              <w:marTop w:val="0"/>
              <w:marBottom w:val="0"/>
              <w:divBdr>
                <w:top w:val="none" w:sz="0" w:space="0" w:color="auto"/>
                <w:left w:val="none" w:sz="0" w:space="0" w:color="auto"/>
                <w:bottom w:val="none" w:sz="0" w:space="0" w:color="auto"/>
                <w:right w:val="none" w:sz="0" w:space="0" w:color="auto"/>
              </w:divBdr>
            </w:div>
          </w:divsChild>
        </w:div>
        <w:div w:id="1203129588">
          <w:marLeft w:val="0"/>
          <w:marRight w:val="0"/>
          <w:marTop w:val="0"/>
          <w:marBottom w:val="0"/>
          <w:divBdr>
            <w:top w:val="none" w:sz="0" w:space="0" w:color="auto"/>
            <w:left w:val="none" w:sz="0" w:space="0" w:color="auto"/>
            <w:bottom w:val="none" w:sz="0" w:space="0" w:color="auto"/>
            <w:right w:val="none" w:sz="0" w:space="0" w:color="auto"/>
          </w:divBdr>
          <w:divsChild>
            <w:div w:id="42027739">
              <w:marLeft w:val="0"/>
              <w:marRight w:val="0"/>
              <w:marTop w:val="0"/>
              <w:marBottom w:val="0"/>
              <w:divBdr>
                <w:top w:val="none" w:sz="0" w:space="0" w:color="auto"/>
                <w:left w:val="none" w:sz="0" w:space="0" w:color="auto"/>
                <w:bottom w:val="none" w:sz="0" w:space="0" w:color="auto"/>
                <w:right w:val="none" w:sz="0" w:space="0" w:color="auto"/>
              </w:divBdr>
            </w:div>
          </w:divsChild>
        </w:div>
        <w:div w:id="1211919490">
          <w:marLeft w:val="0"/>
          <w:marRight w:val="0"/>
          <w:marTop w:val="0"/>
          <w:marBottom w:val="0"/>
          <w:divBdr>
            <w:top w:val="none" w:sz="0" w:space="0" w:color="auto"/>
            <w:left w:val="none" w:sz="0" w:space="0" w:color="auto"/>
            <w:bottom w:val="none" w:sz="0" w:space="0" w:color="auto"/>
            <w:right w:val="none" w:sz="0" w:space="0" w:color="auto"/>
          </w:divBdr>
          <w:divsChild>
            <w:div w:id="1488131809">
              <w:marLeft w:val="0"/>
              <w:marRight w:val="0"/>
              <w:marTop w:val="0"/>
              <w:marBottom w:val="0"/>
              <w:divBdr>
                <w:top w:val="none" w:sz="0" w:space="0" w:color="auto"/>
                <w:left w:val="none" w:sz="0" w:space="0" w:color="auto"/>
                <w:bottom w:val="none" w:sz="0" w:space="0" w:color="auto"/>
                <w:right w:val="none" w:sz="0" w:space="0" w:color="auto"/>
              </w:divBdr>
            </w:div>
          </w:divsChild>
        </w:div>
        <w:div w:id="1241212671">
          <w:marLeft w:val="0"/>
          <w:marRight w:val="0"/>
          <w:marTop w:val="0"/>
          <w:marBottom w:val="0"/>
          <w:divBdr>
            <w:top w:val="none" w:sz="0" w:space="0" w:color="auto"/>
            <w:left w:val="none" w:sz="0" w:space="0" w:color="auto"/>
            <w:bottom w:val="none" w:sz="0" w:space="0" w:color="auto"/>
            <w:right w:val="none" w:sz="0" w:space="0" w:color="auto"/>
          </w:divBdr>
          <w:divsChild>
            <w:div w:id="467358571">
              <w:marLeft w:val="0"/>
              <w:marRight w:val="0"/>
              <w:marTop w:val="0"/>
              <w:marBottom w:val="0"/>
              <w:divBdr>
                <w:top w:val="none" w:sz="0" w:space="0" w:color="auto"/>
                <w:left w:val="none" w:sz="0" w:space="0" w:color="auto"/>
                <w:bottom w:val="none" w:sz="0" w:space="0" w:color="auto"/>
                <w:right w:val="none" w:sz="0" w:space="0" w:color="auto"/>
              </w:divBdr>
            </w:div>
          </w:divsChild>
        </w:div>
        <w:div w:id="1247421946">
          <w:marLeft w:val="0"/>
          <w:marRight w:val="0"/>
          <w:marTop w:val="0"/>
          <w:marBottom w:val="0"/>
          <w:divBdr>
            <w:top w:val="none" w:sz="0" w:space="0" w:color="auto"/>
            <w:left w:val="none" w:sz="0" w:space="0" w:color="auto"/>
            <w:bottom w:val="none" w:sz="0" w:space="0" w:color="auto"/>
            <w:right w:val="none" w:sz="0" w:space="0" w:color="auto"/>
          </w:divBdr>
          <w:divsChild>
            <w:div w:id="182523707">
              <w:marLeft w:val="0"/>
              <w:marRight w:val="0"/>
              <w:marTop w:val="0"/>
              <w:marBottom w:val="0"/>
              <w:divBdr>
                <w:top w:val="none" w:sz="0" w:space="0" w:color="auto"/>
                <w:left w:val="none" w:sz="0" w:space="0" w:color="auto"/>
                <w:bottom w:val="none" w:sz="0" w:space="0" w:color="auto"/>
                <w:right w:val="none" w:sz="0" w:space="0" w:color="auto"/>
              </w:divBdr>
            </w:div>
          </w:divsChild>
        </w:div>
        <w:div w:id="1251083564">
          <w:marLeft w:val="0"/>
          <w:marRight w:val="0"/>
          <w:marTop w:val="0"/>
          <w:marBottom w:val="0"/>
          <w:divBdr>
            <w:top w:val="none" w:sz="0" w:space="0" w:color="auto"/>
            <w:left w:val="none" w:sz="0" w:space="0" w:color="auto"/>
            <w:bottom w:val="none" w:sz="0" w:space="0" w:color="auto"/>
            <w:right w:val="none" w:sz="0" w:space="0" w:color="auto"/>
          </w:divBdr>
          <w:divsChild>
            <w:div w:id="928273726">
              <w:marLeft w:val="0"/>
              <w:marRight w:val="0"/>
              <w:marTop w:val="0"/>
              <w:marBottom w:val="0"/>
              <w:divBdr>
                <w:top w:val="none" w:sz="0" w:space="0" w:color="auto"/>
                <w:left w:val="none" w:sz="0" w:space="0" w:color="auto"/>
                <w:bottom w:val="none" w:sz="0" w:space="0" w:color="auto"/>
                <w:right w:val="none" w:sz="0" w:space="0" w:color="auto"/>
              </w:divBdr>
            </w:div>
          </w:divsChild>
        </w:div>
        <w:div w:id="1251162680">
          <w:marLeft w:val="0"/>
          <w:marRight w:val="0"/>
          <w:marTop w:val="0"/>
          <w:marBottom w:val="0"/>
          <w:divBdr>
            <w:top w:val="none" w:sz="0" w:space="0" w:color="auto"/>
            <w:left w:val="none" w:sz="0" w:space="0" w:color="auto"/>
            <w:bottom w:val="none" w:sz="0" w:space="0" w:color="auto"/>
            <w:right w:val="none" w:sz="0" w:space="0" w:color="auto"/>
          </w:divBdr>
          <w:divsChild>
            <w:div w:id="1013217327">
              <w:marLeft w:val="0"/>
              <w:marRight w:val="0"/>
              <w:marTop w:val="0"/>
              <w:marBottom w:val="0"/>
              <w:divBdr>
                <w:top w:val="none" w:sz="0" w:space="0" w:color="auto"/>
                <w:left w:val="none" w:sz="0" w:space="0" w:color="auto"/>
                <w:bottom w:val="none" w:sz="0" w:space="0" w:color="auto"/>
                <w:right w:val="none" w:sz="0" w:space="0" w:color="auto"/>
              </w:divBdr>
            </w:div>
          </w:divsChild>
        </w:div>
        <w:div w:id="1251235025">
          <w:marLeft w:val="0"/>
          <w:marRight w:val="0"/>
          <w:marTop w:val="0"/>
          <w:marBottom w:val="0"/>
          <w:divBdr>
            <w:top w:val="none" w:sz="0" w:space="0" w:color="auto"/>
            <w:left w:val="none" w:sz="0" w:space="0" w:color="auto"/>
            <w:bottom w:val="none" w:sz="0" w:space="0" w:color="auto"/>
            <w:right w:val="none" w:sz="0" w:space="0" w:color="auto"/>
          </w:divBdr>
          <w:divsChild>
            <w:div w:id="625233777">
              <w:marLeft w:val="0"/>
              <w:marRight w:val="0"/>
              <w:marTop w:val="0"/>
              <w:marBottom w:val="0"/>
              <w:divBdr>
                <w:top w:val="none" w:sz="0" w:space="0" w:color="auto"/>
                <w:left w:val="none" w:sz="0" w:space="0" w:color="auto"/>
                <w:bottom w:val="none" w:sz="0" w:space="0" w:color="auto"/>
                <w:right w:val="none" w:sz="0" w:space="0" w:color="auto"/>
              </w:divBdr>
            </w:div>
          </w:divsChild>
        </w:div>
        <w:div w:id="1252857237">
          <w:marLeft w:val="0"/>
          <w:marRight w:val="0"/>
          <w:marTop w:val="0"/>
          <w:marBottom w:val="0"/>
          <w:divBdr>
            <w:top w:val="none" w:sz="0" w:space="0" w:color="auto"/>
            <w:left w:val="none" w:sz="0" w:space="0" w:color="auto"/>
            <w:bottom w:val="none" w:sz="0" w:space="0" w:color="auto"/>
            <w:right w:val="none" w:sz="0" w:space="0" w:color="auto"/>
          </w:divBdr>
          <w:divsChild>
            <w:div w:id="1882091566">
              <w:marLeft w:val="0"/>
              <w:marRight w:val="0"/>
              <w:marTop w:val="0"/>
              <w:marBottom w:val="0"/>
              <w:divBdr>
                <w:top w:val="none" w:sz="0" w:space="0" w:color="auto"/>
                <w:left w:val="none" w:sz="0" w:space="0" w:color="auto"/>
                <w:bottom w:val="none" w:sz="0" w:space="0" w:color="auto"/>
                <w:right w:val="none" w:sz="0" w:space="0" w:color="auto"/>
              </w:divBdr>
            </w:div>
          </w:divsChild>
        </w:div>
        <w:div w:id="1261453178">
          <w:marLeft w:val="0"/>
          <w:marRight w:val="0"/>
          <w:marTop w:val="0"/>
          <w:marBottom w:val="0"/>
          <w:divBdr>
            <w:top w:val="none" w:sz="0" w:space="0" w:color="auto"/>
            <w:left w:val="none" w:sz="0" w:space="0" w:color="auto"/>
            <w:bottom w:val="none" w:sz="0" w:space="0" w:color="auto"/>
            <w:right w:val="none" w:sz="0" w:space="0" w:color="auto"/>
          </w:divBdr>
          <w:divsChild>
            <w:div w:id="2034072733">
              <w:marLeft w:val="0"/>
              <w:marRight w:val="0"/>
              <w:marTop w:val="0"/>
              <w:marBottom w:val="0"/>
              <w:divBdr>
                <w:top w:val="none" w:sz="0" w:space="0" w:color="auto"/>
                <w:left w:val="none" w:sz="0" w:space="0" w:color="auto"/>
                <w:bottom w:val="none" w:sz="0" w:space="0" w:color="auto"/>
                <w:right w:val="none" w:sz="0" w:space="0" w:color="auto"/>
              </w:divBdr>
            </w:div>
          </w:divsChild>
        </w:div>
        <w:div w:id="1269044549">
          <w:marLeft w:val="0"/>
          <w:marRight w:val="0"/>
          <w:marTop w:val="0"/>
          <w:marBottom w:val="0"/>
          <w:divBdr>
            <w:top w:val="none" w:sz="0" w:space="0" w:color="auto"/>
            <w:left w:val="none" w:sz="0" w:space="0" w:color="auto"/>
            <w:bottom w:val="none" w:sz="0" w:space="0" w:color="auto"/>
            <w:right w:val="none" w:sz="0" w:space="0" w:color="auto"/>
          </w:divBdr>
          <w:divsChild>
            <w:div w:id="916206117">
              <w:marLeft w:val="0"/>
              <w:marRight w:val="0"/>
              <w:marTop w:val="0"/>
              <w:marBottom w:val="0"/>
              <w:divBdr>
                <w:top w:val="none" w:sz="0" w:space="0" w:color="auto"/>
                <w:left w:val="none" w:sz="0" w:space="0" w:color="auto"/>
                <w:bottom w:val="none" w:sz="0" w:space="0" w:color="auto"/>
                <w:right w:val="none" w:sz="0" w:space="0" w:color="auto"/>
              </w:divBdr>
            </w:div>
          </w:divsChild>
        </w:div>
        <w:div w:id="1274437659">
          <w:marLeft w:val="0"/>
          <w:marRight w:val="0"/>
          <w:marTop w:val="0"/>
          <w:marBottom w:val="0"/>
          <w:divBdr>
            <w:top w:val="none" w:sz="0" w:space="0" w:color="auto"/>
            <w:left w:val="none" w:sz="0" w:space="0" w:color="auto"/>
            <w:bottom w:val="none" w:sz="0" w:space="0" w:color="auto"/>
            <w:right w:val="none" w:sz="0" w:space="0" w:color="auto"/>
          </w:divBdr>
          <w:divsChild>
            <w:div w:id="1997150312">
              <w:marLeft w:val="0"/>
              <w:marRight w:val="0"/>
              <w:marTop w:val="0"/>
              <w:marBottom w:val="0"/>
              <w:divBdr>
                <w:top w:val="none" w:sz="0" w:space="0" w:color="auto"/>
                <w:left w:val="none" w:sz="0" w:space="0" w:color="auto"/>
                <w:bottom w:val="none" w:sz="0" w:space="0" w:color="auto"/>
                <w:right w:val="none" w:sz="0" w:space="0" w:color="auto"/>
              </w:divBdr>
            </w:div>
          </w:divsChild>
        </w:div>
        <w:div w:id="1275555738">
          <w:marLeft w:val="0"/>
          <w:marRight w:val="0"/>
          <w:marTop w:val="0"/>
          <w:marBottom w:val="0"/>
          <w:divBdr>
            <w:top w:val="none" w:sz="0" w:space="0" w:color="auto"/>
            <w:left w:val="none" w:sz="0" w:space="0" w:color="auto"/>
            <w:bottom w:val="none" w:sz="0" w:space="0" w:color="auto"/>
            <w:right w:val="none" w:sz="0" w:space="0" w:color="auto"/>
          </w:divBdr>
          <w:divsChild>
            <w:div w:id="1546483589">
              <w:marLeft w:val="0"/>
              <w:marRight w:val="0"/>
              <w:marTop w:val="0"/>
              <w:marBottom w:val="0"/>
              <w:divBdr>
                <w:top w:val="none" w:sz="0" w:space="0" w:color="auto"/>
                <w:left w:val="none" w:sz="0" w:space="0" w:color="auto"/>
                <w:bottom w:val="none" w:sz="0" w:space="0" w:color="auto"/>
                <w:right w:val="none" w:sz="0" w:space="0" w:color="auto"/>
              </w:divBdr>
            </w:div>
          </w:divsChild>
        </w:div>
        <w:div w:id="1276787910">
          <w:marLeft w:val="0"/>
          <w:marRight w:val="0"/>
          <w:marTop w:val="0"/>
          <w:marBottom w:val="0"/>
          <w:divBdr>
            <w:top w:val="none" w:sz="0" w:space="0" w:color="auto"/>
            <w:left w:val="none" w:sz="0" w:space="0" w:color="auto"/>
            <w:bottom w:val="none" w:sz="0" w:space="0" w:color="auto"/>
            <w:right w:val="none" w:sz="0" w:space="0" w:color="auto"/>
          </w:divBdr>
          <w:divsChild>
            <w:div w:id="1649480527">
              <w:marLeft w:val="0"/>
              <w:marRight w:val="0"/>
              <w:marTop w:val="0"/>
              <w:marBottom w:val="0"/>
              <w:divBdr>
                <w:top w:val="none" w:sz="0" w:space="0" w:color="auto"/>
                <w:left w:val="none" w:sz="0" w:space="0" w:color="auto"/>
                <w:bottom w:val="none" w:sz="0" w:space="0" w:color="auto"/>
                <w:right w:val="none" w:sz="0" w:space="0" w:color="auto"/>
              </w:divBdr>
            </w:div>
          </w:divsChild>
        </w:div>
        <w:div w:id="1301766986">
          <w:marLeft w:val="0"/>
          <w:marRight w:val="0"/>
          <w:marTop w:val="0"/>
          <w:marBottom w:val="0"/>
          <w:divBdr>
            <w:top w:val="none" w:sz="0" w:space="0" w:color="auto"/>
            <w:left w:val="none" w:sz="0" w:space="0" w:color="auto"/>
            <w:bottom w:val="none" w:sz="0" w:space="0" w:color="auto"/>
            <w:right w:val="none" w:sz="0" w:space="0" w:color="auto"/>
          </w:divBdr>
          <w:divsChild>
            <w:div w:id="201133309">
              <w:marLeft w:val="0"/>
              <w:marRight w:val="0"/>
              <w:marTop w:val="0"/>
              <w:marBottom w:val="0"/>
              <w:divBdr>
                <w:top w:val="none" w:sz="0" w:space="0" w:color="auto"/>
                <w:left w:val="none" w:sz="0" w:space="0" w:color="auto"/>
                <w:bottom w:val="none" w:sz="0" w:space="0" w:color="auto"/>
                <w:right w:val="none" w:sz="0" w:space="0" w:color="auto"/>
              </w:divBdr>
            </w:div>
          </w:divsChild>
        </w:div>
        <w:div w:id="1304501608">
          <w:marLeft w:val="0"/>
          <w:marRight w:val="0"/>
          <w:marTop w:val="0"/>
          <w:marBottom w:val="0"/>
          <w:divBdr>
            <w:top w:val="none" w:sz="0" w:space="0" w:color="auto"/>
            <w:left w:val="none" w:sz="0" w:space="0" w:color="auto"/>
            <w:bottom w:val="none" w:sz="0" w:space="0" w:color="auto"/>
            <w:right w:val="none" w:sz="0" w:space="0" w:color="auto"/>
          </w:divBdr>
          <w:divsChild>
            <w:div w:id="757285724">
              <w:marLeft w:val="0"/>
              <w:marRight w:val="0"/>
              <w:marTop w:val="0"/>
              <w:marBottom w:val="0"/>
              <w:divBdr>
                <w:top w:val="none" w:sz="0" w:space="0" w:color="auto"/>
                <w:left w:val="none" w:sz="0" w:space="0" w:color="auto"/>
                <w:bottom w:val="none" w:sz="0" w:space="0" w:color="auto"/>
                <w:right w:val="none" w:sz="0" w:space="0" w:color="auto"/>
              </w:divBdr>
            </w:div>
          </w:divsChild>
        </w:div>
        <w:div w:id="1324505526">
          <w:marLeft w:val="0"/>
          <w:marRight w:val="0"/>
          <w:marTop w:val="0"/>
          <w:marBottom w:val="0"/>
          <w:divBdr>
            <w:top w:val="none" w:sz="0" w:space="0" w:color="auto"/>
            <w:left w:val="none" w:sz="0" w:space="0" w:color="auto"/>
            <w:bottom w:val="none" w:sz="0" w:space="0" w:color="auto"/>
            <w:right w:val="none" w:sz="0" w:space="0" w:color="auto"/>
          </w:divBdr>
          <w:divsChild>
            <w:div w:id="1888485805">
              <w:marLeft w:val="0"/>
              <w:marRight w:val="0"/>
              <w:marTop w:val="0"/>
              <w:marBottom w:val="0"/>
              <w:divBdr>
                <w:top w:val="none" w:sz="0" w:space="0" w:color="auto"/>
                <w:left w:val="none" w:sz="0" w:space="0" w:color="auto"/>
                <w:bottom w:val="none" w:sz="0" w:space="0" w:color="auto"/>
                <w:right w:val="none" w:sz="0" w:space="0" w:color="auto"/>
              </w:divBdr>
            </w:div>
          </w:divsChild>
        </w:div>
        <w:div w:id="1327588353">
          <w:marLeft w:val="0"/>
          <w:marRight w:val="0"/>
          <w:marTop w:val="0"/>
          <w:marBottom w:val="0"/>
          <w:divBdr>
            <w:top w:val="none" w:sz="0" w:space="0" w:color="auto"/>
            <w:left w:val="none" w:sz="0" w:space="0" w:color="auto"/>
            <w:bottom w:val="none" w:sz="0" w:space="0" w:color="auto"/>
            <w:right w:val="none" w:sz="0" w:space="0" w:color="auto"/>
          </w:divBdr>
          <w:divsChild>
            <w:div w:id="750808180">
              <w:marLeft w:val="0"/>
              <w:marRight w:val="0"/>
              <w:marTop w:val="0"/>
              <w:marBottom w:val="0"/>
              <w:divBdr>
                <w:top w:val="none" w:sz="0" w:space="0" w:color="auto"/>
                <w:left w:val="none" w:sz="0" w:space="0" w:color="auto"/>
                <w:bottom w:val="none" w:sz="0" w:space="0" w:color="auto"/>
                <w:right w:val="none" w:sz="0" w:space="0" w:color="auto"/>
              </w:divBdr>
            </w:div>
          </w:divsChild>
        </w:div>
        <w:div w:id="1334643382">
          <w:marLeft w:val="0"/>
          <w:marRight w:val="0"/>
          <w:marTop w:val="0"/>
          <w:marBottom w:val="0"/>
          <w:divBdr>
            <w:top w:val="none" w:sz="0" w:space="0" w:color="auto"/>
            <w:left w:val="none" w:sz="0" w:space="0" w:color="auto"/>
            <w:bottom w:val="none" w:sz="0" w:space="0" w:color="auto"/>
            <w:right w:val="none" w:sz="0" w:space="0" w:color="auto"/>
          </w:divBdr>
          <w:divsChild>
            <w:div w:id="2008821425">
              <w:marLeft w:val="0"/>
              <w:marRight w:val="0"/>
              <w:marTop w:val="0"/>
              <w:marBottom w:val="0"/>
              <w:divBdr>
                <w:top w:val="none" w:sz="0" w:space="0" w:color="auto"/>
                <w:left w:val="none" w:sz="0" w:space="0" w:color="auto"/>
                <w:bottom w:val="none" w:sz="0" w:space="0" w:color="auto"/>
                <w:right w:val="none" w:sz="0" w:space="0" w:color="auto"/>
              </w:divBdr>
            </w:div>
          </w:divsChild>
        </w:div>
        <w:div w:id="1337538854">
          <w:marLeft w:val="0"/>
          <w:marRight w:val="0"/>
          <w:marTop w:val="0"/>
          <w:marBottom w:val="0"/>
          <w:divBdr>
            <w:top w:val="none" w:sz="0" w:space="0" w:color="auto"/>
            <w:left w:val="none" w:sz="0" w:space="0" w:color="auto"/>
            <w:bottom w:val="none" w:sz="0" w:space="0" w:color="auto"/>
            <w:right w:val="none" w:sz="0" w:space="0" w:color="auto"/>
          </w:divBdr>
          <w:divsChild>
            <w:div w:id="744113459">
              <w:marLeft w:val="0"/>
              <w:marRight w:val="0"/>
              <w:marTop w:val="0"/>
              <w:marBottom w:val="0"/>
              <w:divBdr>
                <w:top w:val="none" w:sz="0" w:space="0" w:color="auto"/>
                <w:left w:val="none" w:sz="0" w:space="0" w:color="auto"/>
                <w:bottom w:val="none" w:sz="0" w:space="0" w:color="auto"/>
                <w:right w:val="none" w:sz="0" w:space="0" w:color="auto"/>
              </w:divBdr>
            </w:div>
          </w:divsChild>
        </w:div>
        <w:div w:id="1351106165">
          <w:marLeft w:val="0"/>
          <w:marRight w:val="0"/>
          <w:marTop w:val="0"/>
          <w:marBottom w:val="0"/>
          <w:divBdr>
            <w:top w:val="none" w:sz="0" w:space="0" w:color="auto"/>
            <w:left w:val="none" w:sz="0" w:space="0" w:color="auto"/>
            <w:bottom w:val="none" w:sz="0" w:space="0" w:color="auto"/>
            <w:right w:val="none" w:sz="0" w:space="0" w:color="auto"/>
          </w:divBdr>
          <w:divsChild>
            <w:div w:id="1039627361">
              <w:marLeft w:val="0"/>
              <w:marRight w:val="0"/>
              <w:marTop w:val="0"/>
              <w:marBottom w:val="0"/>
              <w:divBdr>
                <w:top w:val="none" w:sz="0" w:space="0" w:color="auto"/>
                <w:left w:val="none" w:sz="0" w:space="0" w:color="auto"/>
                <w:bottom w:val="none" w:sz="0" w:space="0" w:color="auto"/>
                <w:right w:val="none" w:sz="0" w:space="0" w:color="auto"/>
              </w:divBdr>
            </w:div>
          </w:divsChild>
        </w:div>
        <w:div w:id="1351177762">
          <w:marLeft w:val="0"/>
          <w:marRight w:val="0"/>
          <w:marTop w:val="0"/>
          <w:marBottom w:val="0"/>
          <w:divBdr>
            <w:top w:val="none" w:sz="0" w:space="0" w:color="auto"/>
            <w:left w:val="none" w:sz="0" w:space="0" w:color="auto"/>
            <w:bottom w:val="none" w:sz="0" w:space="0" w:color="auto"/>
            <w:right w:val="none" w:sz="0" w:space="0" w:color="auto"/>
          </w:divBdr>
          <w:divsChild>
            <w:div w:id="1937326677">
              <w:marLeft w:val="0"/>
              <w:marRight w:val="0"/>
              <w:marTop w:val="0"/>
              <w:marBottom w:val="0"/>
              <w:divBdr>
                <w:top w:val="none" w:sz="0" w:space="0" w:color="auto"/>
                <w:left w:val="none" w:sz="0" w:space="0" w:color="auto"/>
                <w:bottom w:val="none" w:sz="0" w:space="0" w:color="auto"/>
                <w:right w:val="none" w:sz="0" w:space="0" w:color="auto"/>
              </w:divBdr>
            </w:div>
          </w:divsChild>
        </w:div>
        <w:div w:id="1363901134">
          <w:marLeft w:val="0"/>
          <w:marRight w:val="0"/>
          <w:marTop w:val="0"/>
          <w:marBottom w:val="0"/>
          <w:divBdr>
            <w:top w:val="none" w:sz="0" w:space="0" w:color="auto"/>
            <w:left w:val="none" w:sz="0" w:space="0" w:color="auto"/>
            <w:bottom w:val="none" w:sz="0" w:space="0" w:color="auto"/>
            <w:right w:val="none" w:sz="0" w:space="0" w:color="auto"/>
          </w:divBdr>
          <w:divsChild>
            <w:div w:id="826894178">
              <w:marLeft w:val="0"/>
              <w:marRight w:val="0"/>
              <w:marTop w:val="0"/>
              <w:marBottom w:val="0"/>
              <w:divBdr>
                <w:top w:val="none" w:sz="0" w:space="0" w:color="auto"/>
                <w:left w:val="none" w:sz="0" w:space="0" w:color="auto"/>
                <w:bottom w:val="none" w:sz="0" w:space="0" w:color="auto"/>
                <w:right w:val="none" w:sz="0" w:space="0" w:color="auto"/>
              </w:divBdr>
            </w:div>
          </w:divsChild>
        </w:div>
        <w:div w:id="1367025256">
          <w:marLeft w:val="0"/>
          <w:marRight w:val="0"/>
          <w:marTop w:val="0"/>
          <w:marBottom w:val="0"/>
          <w:divBdr>
            <w:top w:val="none" w:sz="0" w:space="0" w:color="auto"/>
            <w:left w:val="none" w:sz="0" w:space="0" w:color="auto"/>
            <w:bottom w:val="none" w:sz="0" w:space="0" w:color="auto"/>
            <w:right w:val="none" w:sz="0" w:space="0" w:color="auto"/>
          </w:divBdr>
          <w:divsChild>
            <w:div w:id="2102792352">
              <w:marLeft w:val="0"/>
              <w:marRight w:val="0"/>
              <w:marTop w:val="0"/>
              <w:marBottom w:val="0"/>
              <w:divBdr>
                <w:top w:val="none" w:sz="0" w:space="0" w:color="auto"/>
                <w:left w:val="none" w:sz="0" w:space="0" w:color="auto"/>
                <w:bottom w:val="none" w:sz="0" w:space="0" w:color="auto"/>
                <w:right w:val="none" w:sz="0" w:space="0" w:color="auto"/>
              </w:divBdr>
            </w:div>
          </w:divsChild>
        </w:div>
        <w:div w:id="1368674038">
          <w:marLeft w:val="0"/>
          <w:marRight w:val="0"/>
          <w:marTop w:val="0"/>
          <w:marBottom w:val="0"/>
          <w:divBdr>
            <w:top w:val="none" w:sz="0" w:space="0" w:color="auto"/>
            <w:left w:val="none" w:sz="0" w:space="0" w:color="auto"/>
            <w:bottom w:val="none" w:sz="0" w:space="0" w:color="auto"/>
            <w:right w:val="none" w:sz="0" w:space="0" w:color="auto"/>
          </w:divBdr>
          <w:divsChild>
            <w:div w:id="286005705">
              <w:marLeft w:val="0"/>
              <w:marRight w:val="0"/>
              <w:marTop w:val="0"/>
              <w:marBottom w:val="0"/>
              <w:divBdr>
                <w:top w:val="none" w:sz="0" w:space="0" w:color="auto"/>
                <w:left w:val="none" w:sz="0" w:space="0" w:color="auto"/>
                <w:bottom w:val="none" w:sz="0" w:space="0" w:color="auto"/>
                <w:right w:val="none" w:sz="0" w:space="0" w:color="auto"/>
              </w:divBdr>
            </w:div>
          </w:divsChild>
        </w:div>
        <w:div w:id="1379010782">
          <w:marLeft w:val="0"/>
          <w:marRight w:val="0"/>
          <w:marTop w:val="0"/>
          <w:marBottom w:val="0"/>
          <w:divBdr>
            <w:top w:val="none" w:sz="0" w:space="0" w:color="auto"/>
            <w:left w:val="none" w:sz="0" w:space="0" w:color="auto"/>
            <w:bottom w:val="none" w:sz="0" w:space="0" w:color="auto"/>
            <w:right w:val="none" w:sz="0" w:space="0" w:color="auto"/>
          </w:divBdr>
          <w:divsChild>
            <w:div w:id="1064790709">
              <w:marLeft w:val="0"/>
              <w:marRight w:val="0"/>
              <w:marTop w:val="0"/>
              <w:marBottom w:val="0"/>
              <w:divBdr>
                <w:top w:val="none" w:sz="0" w:space="0" w:color="auto"/>
                <w:left w:val="none" w:sz="0" w:space="0" w:color="auto"/>
                <w:bottom w:val="none" w:sz="0" w:space="0" w:color="auto"/>
                <w:right w:val="none" w:sz="0" w:space="0" w:color="auto"/>
              </w:divBdr>
            </w:div>
          </w:divsChild>
        </w:div>
        <w:div w:id="1379086377">
          <w:marLeft w:val="0"/>
          <w:marRight w:val="0"/>
          <w:marTop w:val="0"/>
          <w:marBottom w:val="0"/>
          <w:divBdr>
            <w:top w:val="none" w:sz="0" w:space="0" w:color="auto"/>
            <w:left w:val="none" w:sz="0" w:space="0" w:color="auto"/>
            <w:bottom w:val="none" w:sz="0" w:space="0" w:color="auto"/>
            <w:right w:val="none" w:sz="0" w:space="0" w:color="auto"/>
          </w:divBdr>
          <w:divsChild>
            <w:div w:id="203178448">
              <w:marLeft w:val="0"/>
              <w:marRight w:val="0"/>
              <w:marTop w:val="0"/>
              <w:marBottom w:val="0"/>
              <w:divBdr>
                <w:top w:val="none" w:sz="0" w:space="0" w:color="auto"/>
                <w:left w:val="none" w:sz="0" w:space="0" w:color="auto"/>
                <w:bottom w:val="none" w:sz="0" w:space="0" w:color="auto"/>
                <w:right w:val="none" w:sz="0" w:space="0" w:color="auto"/>
              </w:divBdr>
            </w:div>
          </w:divsChild>
        </w:div>
        <w:div w:id="1384711926">
          <w:marLeft w:val="0"/>
          <w:marRight w:val="0"/>
          <w:marTop w:val="0"/>
          <w:marBottom w:val="0"/>
          <w:divBdr>
            <w:top w:val="none" w:sz="0" w:space="0" w:color="auto"/>
            <w:left w:val="none" w:sz="0" w:space="0" w:color="auto"/>
            <w:bottom w:val="none" w:sz="0" w:space="0" w:color="auto"/>
            <w:right w:val="none" w:sz="0" w:space="0" w:color="auto"/>
          </w:divBdr>
          <w:divsChild>
            <w:div w:id="497963643">
              <w:marLeft w:val="0"/>
              <w:marRight w:val="0"/>
              <w:marTop w:val="0"/>
              <w:marBottom w:val="0"/>
              <w:divBdr>
                <w:top w:val="none" w:sz="0" w:space="0" w:color="auto"/>
                <w:left w:val="none" w:sz="0" w:space="0" w:color="auto"/>
                <w:bottom w:val="none" w:sz="0" w:space="0" w:color="auto"/>
                <w:right w:val="none" w:sz="0" w:space="0" w:color="auto"/>
              </w:divBdr>
            </w:div>
          </w:divsChild>
        </w:div>
        <w:div w:id="1396390559">
          <w:marLeft w:val="0"/>
          <w:marRight w:val="0"/>
          <w:marTop w:val="0"/>
          <w:marBottom w:val="0"/>
          <w:divBdr>
            <w:top w:val="none" w:sz="0" w:space="0" w:color="auto"/>
            <w:left w:val="none" w:sz="0" w:space="0" w:color="auto"/>
            <w:bottom w:val="none" w:sz="0" w:space="0" w:color="auto"/>
            <w:right w:val="none" w:sz="0" w:space="0" w:color="auto"/>
          </w:divBdr>
          <w:divsChild>
            <w:div w:id="861935316">
              <w:marLeft w:val="0"/>
              <w:marRight w:val="0"/>
              <w:marTop w:val="0"/>
              <w:marBottom w:val="0"/>
              <w:divBdr>
                <w:top w:val="none" w:sz="0" w:space="0" w:color="auto"/>
                <w:left w:val="none" w:sz="0" w:space="0" w:color="auto"/>
                <w:bottom w:val="none" w:sz="0" w:space="0" w:color="auto"/>
                <w:right w:val="none" w:sz="0" w:space="0" w:color="auto"/>
              </w:divBdr>
            </w:div>
          </w:divsChild>
        </w:div>
        <w:div w:id="1415589136">
          <w:marLeft w:val="0"/>
          <w:marRight w:val="0"/>
          <w:marTop w:val="0"/>
          <w:marBottom w:val="0"/>
          <w:divBdr>
            <w:top w:val="none" w:sz="0" w:space="0" w:color="auto"/>
            <w:left w:val="none" w:sz="0" w:space="0" w:color="auto"/>
            <w:bottom w:val="none" w:sz="0" w:space="0" w:color="auto"/>
            <w:right w:val="none" w:sz="0" w:space="0" w:color="auto"/>
          </w:divBdr>
          <w:divsChild>
            <w:div w:id="1206452266">
              <w:marLeft w:val="0"/>
              <w:marRight w:val="0"/>
              <w:marTop w:val="0"/>
              <w:marBottom w:val="0"/>
              <w:divBdr>
                <w:top w:val="none" w:sz="0" w:space="0" w:color="auto"/>
                <w:left w:val="none" w:sz="0" w:space="0" w:color="auto"/>
                <w:bottom w:val="none" w:sz="0" w:space="0" w:color="auto"/>
                <w:right w:val="none" w:sz="0" w:space="0" w:color="auto"/>
              </w:divBdr>
            </w:div>
          </w:divsChild>
        </w:div>
        <w:div w:id="1434278523">
          <w:marLeft w:val="0"/>
          <w:marRight w:val="0"/>
          <w:marTop w:val="0"/>
          <w:marBottom w:val="0"/>
          <w:divBdr>
            <w:top w:val="none" w:sz="0" w:space="0" w:color="auto"/>
            <w:left w:val="none" w:sz="0" w:space="0" w:color="auto"/>
            <w:bottom w:val="none" w:sz="0" w:space="0" w:color="auto"/>
            <w:right w:val="none" w:sz="0" w:space="0" w:color="auto"/>
          </w:divBdr>
          <w:divsChild>
            <w:div w:id="1214345993">
              <w:marLeft w:val="0"/>
              <w:marRight w:val="0"/>
              <w:marTop w:val="0"/>
              <w:marBottom w:val="0"/>
              <w:divBdr>
                <w:top w:val="none" w:sz="0" w:space="0" w:color="auto"/>
                <w:left w:val="none" w:sz="0" w:space="0" w:color="auto"/>
                <w:bottom w:val="none" w:sz="0" w:space="0" w:color="auto"/>
                <w:right w:val="none" w:sz="0" w:space="0" w:color="auto"/>
              </w:divBdr>
            </w:div>
          </w:divsChild>
        </w:div>
        <w:div w:id="1467972686">
          <w:marLeft w:val="0"/>
          <w:marRight w:val="0"/>
          <w:marTop w:val="0"/>
          <w:marBottom w:val="0"/>
          <w:divBdr>
            <w:top w:val="none" w:sz="0" w:space="0" w:color="auto"/>
            <w:left w:val="none" w:sz="0" w:space="0" w:color="auto"/>
            <w:bottom w:val="none" w:sz="0" w:space="0" w:color="auto"/>
            <w:right w:val="none" w:sz="0" w:space="0" w:color="auto"/>
          </w:divBdr>
          <w:divsChild>
            <w:div w:id="1554734796">
              <w:marLeft w:val="0"/>
              <w:marRight w:val="0"/>
              <w:marTop w:val="0"/>
              <w:marBottom w:val="0"/>
              <w:divBdr>
                <w:top w:val="none" w:sz="0" w:space="0" w:color="auto"/>
                <w:left w:val="none" w:sz="0" w:space="0" w:color="auto"/>
                <w:bottom w:val="none" w:sz="0" w:space="0" w:color="auto"/>
                <w:right w:val="none" w:sz="0" w:space="0" w:color="auto"/>
              </w:divBdr>
            </w:div>
          </w:divsChild>
        </w:div>
        <w:div w:id="1501965207">
          <w:marLeft w:val="0"/>
          <w:marRight w:val="0"/>
          <w:marTop w:val="0"/>
          <w:marBottom w:val="0"/>
          <w:divBdr>
            <w:top w:val="none" w:sz="0" w:space="0" w:color="auto"/>
            <w:left w:val="none" w:sz="0" w:space="0" w:color="auto"/>
            <w:bottom w:val="none" w:sz="0" w:space="0" w:color="auto"/>
            <w:right w:val="none" w:sz="0" w:space="0" w:color="auto"/>
          </w:divBdr>
          <w:divsChild>
            <w:div w:id="1956213704">
              <w:marLeft w:val="0"/>
              <w:marRight w:val="0"/>
              <w:marTop w:val="0"/>
              <w:marBottom w:val="0"/>
              <w:divBdr>
                <w:top w:val="none" w:sz="0" w:space="0" w:color="auto"/>
                <w:left w:val="none" w:sz="0" w:space="0" w:color="auto"/>
                <w:bottom w:val="none" w:sz="0" w:space="0" w:color="auto"/>
                <w:right w:val="none" w:sz="0" w:space="0" w:color="auto"/>
              </w:divBdr>
            </w:div>
          </w:divsChild>
        </w:div>
        <w:div w:id="1502741598">
          <w:marLeft w:val="0"/>
          <w:marRight w:val="0"/>
          <w:marTop w:val="0"/>
          <w:marBottom w:val="0"/>
          <w:divBdr>
            <w:top w:val="none" w:sz="0" w:space="0" w:color="auto"/>
            <w:left w:val="none" w:sz="0" w:space="0" w:color="auto"/>
            <w:bottom w:val="none" w:sz="0" w:space="0" w:color="auto"/>
            <w:right w:val="none" w:sz="0" w:space="0" w:color="auto"/>
          </w:divBdr>
          <w:divsChild>
            <w:div w:id="327825391">
              <w:marLeft w:val="0"/>
              <w:marRight w:val="0"/>
              <w:marTop w:val="0"/>
              <w:marBottom w:val="0"/>
              <w:divBdr>
                <w:top w:val="none" w:sz="0" w:space="0" w:color="auto"/>
                <w:left w:val="none" w:sz="0" w:space="0" w:color="auto"/>
                <w:bottom w:val="none" w:sz="0" w:space="0" w:color="auto"/>
                <w:right w:val="none" w:sz="0" w:space="0" w:color="auto"/>
              </w:divBdr>
            </w:div>
          </w:divsChild>
        </w:div>
        <w:div w:id="1517428641">
          <w:marLeft w:val="0"/>
          <w:marRight w:val="0"/>
          <w:marTop w:val="0"/>
          <w:marBottom w:val="0"/>
          <w:divBdr>
            <w:top w:val="none" w:sz="0" w:space="0" w:color="auto"/>
            <w:left w:val="none" w:sz="0" w:space="0" w:color="auto"/>
            <w:bottom w:val="none" w:sz="0" w:space="0" w:color="auto"/>
            <w:right w:val="none" w:sz="0" w:space="0" w:color="auto"/>
          </w:divBdr>
          <w:divsChild>
            <w:div w:id="1113790511">
              <w:marLeft w:val="0"/>
              <w:marRight w:val="0"/>
              <w:marTop w:val="0"/>
              <w:marBottom w:val="0"/>
              <w:divBdr>
                <w:top w:val="none" w:sz="0" w:space="0" w:color="auto"/>
                <w:left w:val="none" w:sz="0" w:space="0" w:color="auto"/>
                <w:bottom w:val="none" w:sz="0" w:space="0" w:color="auto"/>
                <w:right w:val="none" w:sz="0" w:space="0" w:color="auto"/>
              </w:divBdr>
            </w:div>
          </w:divsChild>
        </w:div>
        <w:div w:id="1520073879">
          <w:marLeft w:val="0"/>
          <w:marRight w:val="0"/>
          <w:marTop w:val="0"/>
          <w:marBottom w:val="0"/>
          <w:divBdr>
            <w:top w:val="none" w:sz="0" w:space="0" w:color="auto"/>
            <w:left w:val="none" w:sz="0" w:space="0" w:color="auto"/>
            <w:bottom w:val="none" w:sz="0" w:space="0" w:color="auto"/>
            <w:right w:val="none" w:sz="0" w:space="0" w:color="auto"/>
          </w:divBdr>
          <w:divsChild>
            <w:div w:id="740374307">
              <w:marLeft w:val="0"/>
              <w:marRight w:val="0"/>
              <w:marTop w:val="0"/>
              <w:marBottom w:val="0"/>
              <w:divBdr>
                <w:top w:val="none" w:sz="0" w:space="0" w:color="auto"/>
                <w:left w:val="none" w:sz="0" w:space="0" w:color="auto"/>
                <w:bottom w:val="none" w:sz="0" w:space="0" w:color="auto"/>
                <w:right w:val="none" w:sz="0" w:space="0" w:color="auto"/>
              </w:divBdr>
            </w:div>
          </w:divsChild>
        </w:div>
        <w:div w:id="1522085985">
          <w:marLeft w:val="0"/>
          <w:marRight w:val="0"/>
          <w:marTop w:val="0"/>
          <w:marBottom w:val="0"/>
          <w:divBdr>
            <w:top w:val="none" w:sz="0" w:space="0" w:color="auto"/>
            <w:left w:val="none" w:sz="0" w:space="0" w:color="auto"/>
            <w:bottom w:val="none" w:sz="0" w:space="0" w:color="auto"/>
            <w:right w:val="none" w:sz="0" w:space="0" w:color="auto"/>
          </w:divBdr>
          <w:divsChild>
            <w:div w:id="1804226675">
              <w:marLeft w:val="0"/>
              <w:marRight w:val="0"/>
              <w:marTop w:val="0"/>
              <w:marBottom w:val="0"/>
              <w:divBdr>
                <w:top w:val="none" w:sz="0" w:space="0" w:color="auto"/>
                <w:left w:val="none" w:sz="0" w:space="0" w:color="auto"/>
                <w:bottom w:val="none" w:sz="0" w:space="0" w:color="auto"/>
                <w:right w:val="none" w:sz="0" w:space="0" w:color="auto"/>
              </w:divBdr>
            </w:div>
          </w:divsChild>
        </w:div>
        <w:div w:id="1532451925">
          <w:marLeft w:val="0"/>
          <w:marRight w:val="0"/>
          <w:marTop w:val="0"/>
          <w:marBottom w:val="0"/>
          <w:divBdr>
            <w:top w:val="none" w:sz="0" w:space="0" w:color="auto"/>
            <w:left w:val="none" w:sz="0" w:space="0" w:color="auto"/>
            <w:bottom w:val="none" w:sz="0" w:space="0" w:color="auto"/>
            <w:right w:val="none" w:sz="0" w:space="0" w:color="auto"/>
          </w:divBdr>
          <w:divsChild>
            <w:div w:id="1389304923">
              <w:marLeft w:val="0"/>
              <w:marRight w:val="0"/>
              <w:marTop w:val="0"/>
              <w:marBottom w:val="0"/>
              <w:divBdr>
                <w:top w:val="none" w:sz="0" w:space="0" w:color="auto"/>
                <w:left w:val="none" w:sz="0" w:space="0" w:color="auto"/>
                <w:bottom w:val="none" w:sz="0" w:space="0" w:color="auto"/>
                <w:right w:val="none" w:sz="0" w:space="0" w:color="auto"/>
              </w:divBdr>
            </w:div>
          </w:divsChild>
        </w:div>
        <w:div w:id="1537544041">
          <w:marLeft w:val="0"/>
          <w:marRight w:val="0"/>
          <w:marTop w:val="0"/>
          <w:marBottom w:val="0"/>
          <w:divBdr>
            <w:top w:val="none" w:sz="0" w:space="0" w:color="auto"/>
            <w:left w:val="none" w:sz="0" w:space="0" w:color="auto"/>
            <w:bottom w:val="none" w:sz="0" w:space="0" w:color="auto"/>
            <w:right w:val="none" w:sz="0" w:space="0" w:color="auto"/>
          </w:divBdr>
          <w:divsChild>
            <w:div w:id="2041587577">
              <w:marLeft w:val="0"/>
              <w:marRight w:val="0"/>
              <w:marTop w:val="0"/>
              <w:marBottom w:val="0"/>
              <w:divBdr>
                <w:top w:val="none" w:sz="0" w:space="0" w:color="auto"/>
                <w:left w:val="none" w:sz="0" w:space="0" w:color="auto"/>
                <w:bottom w:val="none" w:sz="0" w:space="0" w:color="auto"/>
                <w:right w:val="none" w:sz="0" w:space="0" w:color="auto"/>
              </w:divBdr>
            </w:div>
          </w:divsChild>
        </w:div>
        <w:div w:id="1539930475">
          <w:marLeft w:val="0"/>
          <w:marRight w:val="0"/>
          <w:marTop w:val="0"/>
          <w:marBottom w:val="0"/>
          <w:divBdr>
            <w:top w:val="none" w:sz="0" w:space="0" w:color="auto"/>
            <w:left w:val="none" w:sz="0" w:space="0" w:color="auto"/>
            <w:bottom w:val="none" w:sz="0" w:space="0" w:color="auto"/>
            <w:right w:val="none" w:sz="0" w:space="0" w:color="auto"/>
          </w:divBdr>
          <w:divsChild>
            <w:div w:id="1379472655">
              <w:marLeft w:val="0"/>
              <w:marRight w:val="0"/>
              <w:marTop w:val="0"/>
              <w:marBottom w:val="0"/>
              <w:divBdr>
                <w:top w:val="none" w:sz="0" w:space="0" w:color="auto"/>
                <w:left w:val="none" w:sz="0" w:space="0" w:color="auto"/>
                <w:bottom w:val="none" w:sz="0" w:space="0" w:color="auto"/>
                <w:right w:val="none" w:sz="0" w:space="0" w:color="auto"/>
              </w:divBdr>
            </w:div>
          </w:divsChild>
        </w:div>
        <w:div w:id="1543784779">
          <w:marLeft w:val="0"/>
          <w:marRight w:val="0"/>
          <w:marTop w:val="0"/>
          <w:marBottom w:val="0"/>
          <w:divBdr>
            <w:top w:val="none" w:sz="0" w:space="0" w:color="auto"/>
            <w:left w:val="none" w:sz="0" w:space="0" w:color="auto"/>
            <w:bottom w:val="none" w:sz="0" w:space="0" w:color="auto"/>
            <w:right w:val="none" w:sz="0" w:space="0" w:color="auto"/>
          </w:divBdr>
          <w:divsChild>
            <w:div w:id="1476877100">
              <w:marLeft w:val="0"/>
              <w:marRight w:val="0"/>
              <w:marTop w:val="0"/>
              <w:marBottom w:val="0"/>
              <w:divBdr>
                <w:top w:val="none" w:sz="0" w:space="0" w:color="auto"/>
                <w:left w:val="none" w:sz="0" w:space="0" w:color="auto"/>
                <w:bottom w:val="none" w:sz="0" w:space="0" w:color="auto"/>
                <w:right w:val="none" w:sz="0" w:space="0" w:color="auto"/>
              </w:divBdr>
            </w:div>
          </w:divsChild>
        </w:div>
        <w:div w:id="1548298199">
          <w:marLeft w:val="0"/>
          <w:marRight w:val="0"/>
          <w:marTop w:val="0"/>
          <w:marBottom w:val="0"/>
          <w:divBdr>
            <w:top w:val="none" w:sz="0" w:space="0" w:color="auto"/>
            <w:left w:val="none" w:sz="0" w:space="0" w:color="auto"/>
            <w:bottom w:val="none" w:sz="0" w:space="0" w:color="auto"/>
            <w:right w:val="none" w:sz="0" w:space="0" w:color="auto"/>
          </w:divBdr>
          <w:divsChild>
            <w:div w:id="934284458">
              <w:marLeft w:val="0"/>
              <w:marRight w:val="0"/>
              <w:marTop w:val="0"/>
              <w:marBottom w:val="0"/>
              <w:divBdr>
                <w:top w:val="none" w:sz="0" w:space="0" w:color="auto"/>
                <w:left w:val="none" w:sz="0" w:space="0" w:color="auto"/>
                <w:bottom w:val="none" w:sz="0" w:space="0" w:color="auto"/>
                <w:right w:val="none" w:sz="0" w:space="0" w:color="auto"/>
              </w:divBdr>
            </w:div>
          </w:divsChild>
        </w:div>
        <w:div w:id="1565333906">
          <w:marLeft w:val="0"/>
          <w:marRight w:val="0"/>
          <w:marTop w:val="0"/>
          <w:marBottom w:val="0"/>
          <w:divBdr>
            <w:top w:val="none" w:sz="0" w:space="0" w:color="auto"/>
            <w:left w:val="none" w:sz="0" w:space="0" w:color="auto"/>
            <w:bottom w:val="none" w:sz="0" w:space="0" w:color="auto"/>
            <w:right w:val="none" w:sz="0" w:space="0" w:color="auto"/>
          </w:divBdr>
          <w:divsChild>
            <w:div w:id="760949552">
              <w:marLeft w:val="0"/>
              <w:marRight w:val="0"/>
              <w:marTop w:val="0"/>
              <w:marBottom w:val="0"/>
              <w:divBdr>
                <w:top w:val="none" w:sz="0" w:space="0" w:color="auto"/>
                <w:left w:val="none" w:sz="0" w:space="0" w:color="auto"/>
                <w:bottom w:val="none" w:sz="0" w:space="0" w:color="auto"/>
                <w:right w:val="none" w:sz="0" w:space="0" w:color="auto"/>
              </w:divBdr>
            </w:div>
          </w:divsChild>
        </w:div>
        <w:div w:id="1571041172">
          <w:marLeft w:val="0"/>
          <w:marRight w:val="0"/>
          <w:marTop w:val="0"/>
          <w:marBottom w:val="0"/>
          <w:divBdr>
            <w:top w:val="none" w:sz="0" w:space="0" w:color="auto"/>
            <w:left w:val="none" w:sz="0" w:space="0" w:color="auto"/>
            <w:bottom w:val="none" w:sz="0" w:space="0" w:color="auto"/>
            <w:right w:val="none" w:sz="0" w:space="0" w:color="auto"/>
          </w:divBdr>
          <w:divsChild>
            <w:div w:id="1361779369">
              <w:marLeft w:val="0"/>
              <w:marRight w:val="0"/>
              <w:marTop w:val="0"/>
              <w:marBottom w:val="0"/>
              <w:divBdr>
                <w:top w:val="none" w:sz="0" w:space="0" w:color="auto"/>
                <w:left w:val="none" w:sz="0" w:space="0" w:color="auto"/>
                <w:bottom w:val="none" w:sz="0" w:space="0" w:color="auto"/>
                <w:right w:val="none" w:sz="0" w:space="0" w:color="auto"/>
              </w:divBdr>
            </w:div>
          </w:divsChild>
        </w:div>
        <w:div w:id="1574583795">
          <w:marLeft w:val="0"/>
          <w:marRight w:val="0"/>
          <w:marTop w:val="0"/>
          <w:marBottom w:val="0"/>
          <w:divBdr>
            <w:top w:val="none" w:sz="0" w:space="0" w:color="auto"/>
            <w:left w:val="none" w:sz="0" w:space="0" w:color="auto"/>
            <w:bottom w:val="none" w:sz="0" w:space="0" w:color="auto"/>
            <w:right w:val="none" w:sz="0" w:space="0" w:color="auto"/>
          </w:divBdr>
          <w:divsChild>
            <w:div w:id="1746340840">
              <w:marLeft w:val="0"/>
              <w:marRight w:val="0"/>
              <w:marTop w:val="0"/>
              <w:marBottom w:val="0"/>
              <w:divBdr>
                <w:top w:val="none" w:sz="0" w:space="0" w:color="auto"/>
                <w:left w:val="none" w:sz="0" w:space="0" w:color="auto"/>
                <w:bottom w:val="none" w:sz="0" w:space="0" w:color="auto"/>
                <w:right w:val="none" w:sz="0" w:space="0" w:color="auto"/>
              </w:divBdr>
            </w:div>
          </w:divsChild>
        </w:div>
        <w:div w:id="1576816930">
          <w:marLeft w:val="0"/>
          <w:marRight w:val="0"/>
          <w:marTop w:val="0"/>
          <w:marBottom w:val="0"/>
          <w:divBdr>
            <w:top w:val="none" w:sz="0" w:space="0" w:color="auto"/>
            <w:left w:val="none" w:sz="0" w:space="0" w:color="auto"/>
            <w:bottom w:val="none" w:sz="0" w:space="0" w:color="auto"/>
            <w:right w:val="none" w:sz="0" w:space="0" w:color="auto"/>
          </w:divBdr>
          <w:divsChild>
            <w:div w:id="829907677">
              <w:marLeft w:val="0"/>
              <w:marRight w:val="0"/>
              <w:marTop w:val="0"/>
              <w:marBottom w:val="0"/>
              <w:divBdr>
                <w:top w:val="none" w:sz="0" w:space="0" w:color="auto"/>
                <w:left w:val="none" w:sz="0" w:space="0" w:color="auto"/>
                <w:bottom w:val="none" w:sz="0" w:space="0" w:color="auto"/>
                <w:right w:val="none" w:sz="0" w:space="0" w:color="auto"/>
              </w:divBdr>
            </w:div>
          </w:divsChild>
        </w:div>
        <w:div w:id="1579171686">
          <w:marLeft w:val="0"/>
          <w:marRight w:val="0"/>
          <w:marTop w:val="0"/>
          <w:marBottom w:val="0"/>
          <w:divBdr>
            <w:top w:val="none" w:sz="0" w:space="0" w:color="auto"/>
            <w:left w:val="none" w:sz="0" w:space="0" w:color="auto"/>
            <w:bottom w:val="none" w:sz="0" w:space="0" w:color="auto"/>
            <w:right w:val="none" w:sz="0" w:space="0" w:color="auto"/>
          </w:divBdr>
          <w:divsChild>
            <w:div w:id="1893156961">
              <w:marLeft w:val="0"/>
              <w:marRight w:val="0"/>
              <w:marTop w:val="0"/>
              <w:marBottom w:val="0"/>
              <w:divBdr>
                <w:top w:val="none" w:sz="0" w:space="0" w:color="auto"/>
                <w:left w:val="none" w:sz="0" w:space="0" w:color="auto"/>
                <w:bottom w:val="none" w:sz="0" w:space="0" w:color="auto"/>
                <w:right w:val="none" w:sz="0" w:space="0" w:color="auto"/>
              </w:divBdr>
            </w:div>
          </w:divsChild>
        </w:div>
        <w:div w:id="1587958249">
          <w:marLeft w:val="0"/>
          <w:marRight w:val="0"/>
          <w:marTop w:val="0"/>
          <w:marBottom w:val="0"/>
          <w:divBdr>
            <w:top w:val="none" w:sz="0" w:space="0" w:color="auto"/>
            <w:left w:val="none" w:sz="0" w:space="0" w:color="auto"/>
            <w:bottom w:val="none" w:sz="0" w:space="0" w:color="auto"/>
            <w:right w:val="none" w:sz="0" w:space="0" w:color="auto"/>
          </w:divBdr>
          <w:divsChild>
            <w:div w:id="985622734">
              <w:marLeft w:val="0"/>
              <w:marRight w:val="0"/>
              <w:marTop w:val="0"/>
              <w:marBottom w:val="0"/>
              <w:divBdr>
                <w:top w:val="none" w:sz="0" w:space="0" w:color="auto"/>
                <w:left w:val="none" w:sz="0" w:space="0" w:color="auto"/>
                <w:bottom w:val="none" w:sz="0" w:space="0" w:color="auto"/>
                <w:right w:val="none" w:sz="0" w:space="0" w:color="auto"/>
              </w:divBdr>
            </w:div>
          </w:divsChild>
        </w:div>
        <w:div w:id="1594585221">
          <w:marLeft w:val="0"/>
          <w:marRight w:val="0"/>
          <w:marTop w:val="0"/>
          <w:marBottom w:val="0"/>
          <w:divBdr>
            <w:top w:val="none" w:sz="0" w:space="0" w:color="auto"/>
            <w:left w:val="none" w:sz="0" w:space="0" w:color="auto"/>
            <w:bottom w:val="none" w:sz="0" w:space="0" w:color="auto"/>
            <w:right w:val="none" w:sz="0" w:space="0" w:color="auto"/>
          </w:divBdr>
          <w:divsChild>
            <w:div w:id="874385992">
              <w:marLeft w:val="0"/>
              <w:marRight w:val="0"/>
              <w:marTop w:val="0"/>
              <w:marBottom w:val="0"/>
              <w:divBdr>
                <w:top w:val="none" w:sz="0" w:space="0" w:color="auto"/>
                <w:left w:val="none" w:sz="0" w:space="0" w:color="auto"/>
                <w:bottom w:val="none" w:sz="0" w:space="0" w:color="auto"/>
                <w:right w:val="none" w:sz="0" w:space="0" w:color="auto"/>
              </w:divBdr>
            </w:div>
          </w:divsChild>
        </w:div>
        <w:div w:id="1598059343">
          <w:marLeft w:val="0"/>
          <w:marRight w:val="0"/>
          <w:marTop w:val="0"/>
          <w:marBottom w:val="0"/>
          <w:divBdr>
            <w:top w:val="none" w:sz="0" w:space="0" w:color="auto"/>
            <w:left w:val="none" w:sz="0" w:space="0" w:color="auto"/>
            <w:bottom w:val="none" w:sz="0" w:space="0" w:color="auto"/>
            <w:right w:val="none" w:sz="0" w:space="0" w:color="auto"/>
          </w:divBdr>
          <w:divsChild>
            <w:div w:id="435370731">
              <w:marLeft w:val="0"/>
              <w:marRight w:val="0"/>
              <w:marTop w:val="0"/>
              <w:marBottom w:val="0"/>
              <w:divBdr>
                <w:top w:val="none" w:sz="0" w:space="0" w:color="auto"/>
                <w:left w:val="none" w:sz="0" w:space="0" w:color="auto"/>
                <w:bottom w:val="none" w:sz="0" w:space="0" w:color="auto"/>
                <w:right w:val="none" w:sz="0" w:space="0" w:color="auto"/>
              </w:divBdr>
            </w:div>
          </w:divsChild>
        </w:div>
        <w:div w:id="1637566970">
          <w:marLeft w:val="0"/>
          <w:marRight w:val="0"/>
          <w:marTop w:val="0"/>
          <w:marBottom w:val="0"/>
          <w:divBdr>
            <w:top w:val="none" w:sz="0" w:space="0" w:color="auto"/>
            <w:left w:val="none" w:sz="0" w:space="0" w:color="auto"/>
            <w:bottom w:val="none" w:sz="0" w:space="0" w:color="auto"/>
            <w:right w:val="none" w:sz="0" w:space="0" w:color="auto"/>
          </w:divBdr>
          <w:divsChild>
            <w:div w:id="235746947">
              <w:marLeft w:val="0"/>
              <w:marRight w:val="0"/>
              <w:marTop w:val="0"/>
              <w:marBottom w:val="0"/>
              <w:divBdr>
                <w:top w:val="none" w:sz="0" w:space="0" w:color="auto"/>
                <w:left w:val="none" w:sz="0" w:space="0" w:color="auto"/>
                <w:bottom w:val="none" w:sz="0" w:space="0" w:color="auto"/>
                <w:right w:val="none" w:sz="0" w:space="0" w:color="auto"/>
              </w:divBdr>
            </w:div>
          </w:divsChild>
        </w:div>
        <w:div w:id="1637762771">
          <w:marLeft w:val="0"/>
          <w:marRight w:val="0"/>
          <w:marTop w:val="0"/>
          <w:marBottom w:val="0"/>
          <w:divBdr>
            <w:top w:val="none" w:sz="0" w:space="0" w:color="auto"/>
            <w:left w:val="none" w:sz="0" w:space="0" w:color="auto"/>
            <w:bottom w:val="none" w:sz="0" w:space="0" w:color="auto"/>
            <w:right w:val="none" w:sz="0" w:space="0" w:color="auto"/>
          </w:divBdr>
          <w:divsChild>
            <w:div w:id="1473599620">
              <w:marLeft w:val="0"/>
              <w:marRight w:val="0"/>
              <w:marTop w:val="0"/>
              <w:marBottom w:val="0"/>
              <w:divBdr>
                <w:top w:val="none" w:sz="0" w:space="0" w:color="auto"/>
                <w:left w:val="none" w:sz="0" w:space="0" w:color="auto"/>
                <w:bottom w:val="none" w:sz="0" w:space="0" w:color="auto"/>
                <w:right w:val="none" w:sz="0" w:space="0" w:color="auto"/>
              </w:divBdr>
            </w:div>
          </w:divsChild>
        </w:div>
        <w:div w:id="1638222030">
          <w:marLeft w:val="0"/>
          <w:marRight w:val="0"/>
          <w:marTop w:val="0"/>
          <w:marBottom w:val="0"/>
          <w:divBdr>
            <w:top w:val="none" w:sz="0" w:space="0" w:color="auto"/>
            <w:left w:val="none" w:sz="0" w:space="0" w:color="auto"/>
            <w:bottom w:val="none" w:sz="0" w:space="0" w:color="auto"/>
            <w:right w:val="none" w:sz="0" w:space="0" w:color="auto"/>
          </w:divBdr>
          <w:divsChild>
            <w:div w:id="1358238433">
              <w:marLeft w:val="0"/>
              <w:marRight w:val="0"/>
              <w:marTop w:val="0"/>
              <w:marBottom w:val="0"/>
              <w:divBdr>
                <w:top w:val="none" w:sz="0" w:space="0" w:color="auto"/>
                <w:left w:val="none" w:sz="0" w:space="0" w:color="auto"/>
                <w:bottom w:val="none" w:sz="0" w:space="0" w:color="auto"/>
                <w:right w:val="none" w:sz="0" w:space="0" w:color="auto"/>
              </w:divBdr>
            </w:div>
          </w:divsChild>
        </w:div>
        <w:div w:id="1652828652">
          <w:marLeft w:val="0"/>
          <w:marRight w:val="0"/>
          <w:marTop w:val="0"/>
          <w:marBottom w:val="0"/>
          <w:divBdr>
            <w:top w:val="none" w:sz="0" w:space="0" w:color="auto"/>
            <w:left w:val="none" w:sz="0" w:space="0" w:color="auto"/>
            <w:bottom w:val="none" w:sz="0" w:space="0" w:color="auto"/>
            <w:right w:val="none" w:sz="0" w:space="0" w:color="auto"/>
          </w:divBdr>
          <w:divsChild>
            <w:div w:id="1250773633">
              <w:marLeft w:val="0"/>
              <w:marRight w:val="0"/>
              <w:marTop w:val="0"/>
              <w:marBottom w:val="0"/>
              <w:divBdr>
                <w:top w:val="none" w:sz="0" w:space="0" w:color="auto"/>
                <w:left w:val="none" w:sz="0" w:space="0" w:color="auto"/>
                <w:bottom w:val="none" w:sz="0" w:space="0" w:color="auto"/>
                <w:right w:val="none" w:sz="0" w:space="0" w:color="auto"/>
              </w:divBdr>
            </w:div>
          </w:divsChild>
        </w:div>
        <w:div w:id="1655378242">
          <w:marLeft w:val="0"/>
          <w:marRight w:val="0"/>
          <w:marTop w:val="0"/>
          <w:marBottom w:val="0"/>
          <w:divBdr>
            <w:top w:val="none" w:sz="0" w:space="0" w:color="auto"/>
            <w:left w:val="none" w:sz="0" w:space="0" w:color="auto"/>
            <w:bottom w:val="none" w:sz="0" w:space="0" w:color="auto"/>
            <w:right w:val="none" w:sz="0" w:space="0" w:color="auto"/>
          </w:divBdr>
          <w:divsChild>
            <w:div w:id="597831983">
              <w:marLeft w:val="0"/>
              <w:marRight w:val="0"/>
              <w:marTop w:val="0"/>
              <w:marBottom w:val="0"/>
              <w:divBdr>
                <w:top w:val="none" w:sz="0" w:space="0" w:color="auto"/>
                <w:left w:val="none" w:sz="0" w:space="0" w:color="auto"/>
                <w:bottom w:val="none" w:sz="0" w:space="0" w:color="auto"/>
                <w:right w:val="none" w:sz="0" w:space="0" w:color="auto"/>
              </w:divBdr>
            </w:div>
          </w:divsChild>
        </w:div>
        <w:div w:id="1655449242">
          <w:marLeft w:val="0"/>
          <w:marRight w:val="0"/>
          <w:marTop w:val="0"/>
          <w:marBottom w:val="0"/>
          <w:divBdr>
            <w:top w:val="none" w:sz="0" w:space="0" w:color="auto"/>
            <w:left w:val="none" w:sz="0" w:space="0" w:color="auto"/>
            <w:bottom w:val="none" w:sz="0" w:space="0" w:color="auto"/>
            <w:right w:val="none" w:sz="0" w:space="0" w:color="auto"/>
          </w:divBdr>
          <w:divsChild>
            <w:div w:id="957376221">
              <w:marLeft w:val="0"/>
              <w:marRight w:val="0"/>
              <w:marTop w:val="0"/>
              <w:marBottom w:val="0"/>
              <w:divBdr>
                <w:top w:val="none" w:sz="0" w:space="0" w:color="auto"/>
                <w:left w:val="none" w:sz="0" w:space="0" w:color="auto"/>
                <w:bottom w:val="none" w:sz="0" w:space="0" w:color="auto"/>
                <w:right w:val="none" w:sz="0" w:space="0" w:color="auto"/>
              </w:divBdr>
            </w:div>
          </w:divsChild>
        </w:div>
        <w:div w:id="1655913404">
          <w:marLeft w:val="0"/>
          <w:marRight w:val="0"/>
          <w:marTop w:val="0"/>
          <w:marBottom w:val="0"/>
          <w:divBdr>
            <w:top w:val="none" w:sz="0" w:space="0" w:color="auto"/>
            <w:left w:val="none" w:sz="0" w:space="0" w:color="auto"/>
            <w:bottom w:val="none" w:sz="0" w:space="0" w:color="auto"/>
            <w:right w:val="none" w:sz="0" w:space="0" w:color="auto"/>
          </w:divBdr>
          <w:divsChild>
            <w:div w:id="45686412">
              <w:marLeft w:val="0"/>
              <w:marRight w:val="0"/>
              <w:marTop w:val="0"/>
              <w:marBottom w:val="0"/>
              <w:divBdr>
                <w:top w:val="none" w:sz="0" w:space="0" w:color="auto"/>
                <w:left w:val="none" w:sz="0" w:space="0" w:color="auto"/>
                <w:bottom w:val="none" w:sz="0" w:space="0" w:color="auto"/>
                <w:right w:val="none" w:sz="0" w:space="0" w:color="auto"/>
              </w:divBdr>
            </w:div>
          </w:divsChild>
        </w:div>
        <w:div w:id="1657413105">
          <w:marLeft w:val="0"/>
          <w:marRight w:val="0"/>
          <w:marTop w:val="0"/>
          <w:marBottom w:val="0"/>
          <w:divBdr>
            <w:top w:val="none" w:sz="0" w:space="0" w:color="auto"/>
            <w:left w:val="none" w:sz="0" w:space="0" w:color="auto"/>
            <w:bottom w:val="none" w:sz="0" w:space="0" w:color="auto"/>
            <w:right w:val="none" w:sz="0" w:space="0" w:color="auto"/>
          </w:divBdr>
          <w:divsChild>
            <w:div w:id="534318230">
              <w:marLeft w:val="0"/>
              <w:marRight w:val="0"/>
              <w:marTop w:val="0"/>
              <w:marBottom w:val="0"/>
              <w:divBdr>
                <w:top w:val="none" w:sz="0" w:space="0" w:color="auto"/>
                <w:left w:val="none" w:sz="0" w:space="0" w:color="auto"/>
                <w:bottom w:val="none" w:sz="0" w:space="0" w:color="auto"/>
                <w:right w:val="none" w:sz="0" w:space="0" w:color="auto"/>
              </w:divBdr>
            </w:div>
          </w:divsChild>
        </w:div>
        <w:div w:id="1657538701">
          <w:marLeft w:val="0"/>
          <w:marRight w:val="0"/>
          <w:marTop w:val="0"/>
          <w:marBottom w:val="0"/>
          <w:divBdr>
            <w:top w:val="none" w:sz="0" w:space="0" w:color="auto"/>
            <w:left w:val="none" w:sz="0" w:space="0" w:color="auto"/>
            <w:bottom w:val="none" w:sz="0" w:space="0" w:color="auto"/>
            <w:right w:val="none" w:sz="0" w:space="0" w:color="auto"/>
          </w:divBdr>
          <w:divsChild>
            <w:div w:id="1040281363">
              <w:marLeft w:val="0"/>
              <w:marRight w:val="0"/>
              <w:marTop w:val="0"/>
              <w:marBottom w:val="0"/>
              <w:divBdr>
                <w:top w:val="none" w:sz="0" w:space="0" w:color="auto"/>
                <w:left w:val="none" w:sz="0" w:space="0" w:color="auto"/>
                <w:bottom w:val="none" w:sz="0" w:space="0" w:color="auto"/>
                <w:right w:val="none" w:sz="0" w:space="0" w:color="auto"/>
              </w:divBdr>
            </w:div>
          </w:divsChild>
        </w:div>
        <w:div w:id="1658875389">
          <w:marLeft w:val="0"/>
          <w:marRight w:val="0"/>
          <w:marTop w:val="0"/>
          <w:marBottom w:val="0"/>
          <w:divBdr>
            <w:top w:val="none" w:sz="0" w:space="0" w:color="auto"/>
            <w:left w:val="none" w:sz="0" w:space="0" w:color="auto"/>
            <w:bottom w:val="none" w:sz="0" w:space="0" w:color="auto"/>
            <w:right w:val="none" w:sz="0" w:space="0" w:color="auto"/>
          </w:divBdr>
          <w:divsChild>
            <w:div w:id="1613584733">
              <w:marLeft w:val="0"/>
              <w:marRight w:val="0"/>
              <w:marTop w:val="0"/>
              <w:marBottom w:val="0"/>
              <w:divBdr>
                <w:top w:val="none" w:sz="0" w:space="0" w:color="auto"/>
                <w:left w:val="none" w:sz="0" w:space="0" w:color="auto"/>
                <w:bottom w:val="none" w:sz="0" w:space="0" w:color="auto"/>
                <w:right w:val="none" w:sz="0" w:space="0" w:color="auto"/>
              </w:divBdr>
            </w:div>
          </w:divsChild>
        </w:div>
        <w:div w:id="1664625200">
          <w:marLeft w:val="0"/>
          <w:marRight w:val="0"/>
          <w:marTop w:val="0"/>
          <w:marBottom w:val="0"/>
          <w:divBdr>
            <w:top w:val="none" w:sz="0" w:space="0" w:color="auto"/>
            <w:left w:val="none" w:sz="0" w:space="0" w:color="auto"/>
            <w:bottom w:val="none" w:sz="0" w:space="0" w:color="auto"/>
            <w:right w:val="none" w:sz="0" w:space="0" w:color="auto"/>
          </w:divBdr>
          <w:divsChild>
            <w:div w:id="808321897">
              <w:marLeft w:val="0"/>
              <w:marRight w:val="0"/>
              <w:marTop w:val="0"/>
              <w:marBottom w:val="0"/>
              <w:divBdr>
                <w:top w:val="none" w:sz="0" w:space="0" w:color="auto"/>
                <w:left w:val="none" w:sz="0" w:space="0" w:color="auto"/>
                <w:bottom w:val="none" w:sz="0" w:space="0" w:color="auto"/>
                <w:right w:val="none" w:sz="0" w:space="0" w:color="auto"/>
              </w:divBdr>
            </w:div>
          </w:divsChild>
        </w:div>
        <w:div w:id="1693872194">
          <w:marLeft w:val="0"/>
          <w:marRight w:val="0"/>
          <w:marTop w:val="0"/>
          <w:marBottom w:val="0"/>
          <w:divBdr>
            <w:top w:val="none" w:sz="0" w:space="0" w:color="auto"/>
            <w:left w:val="none" w:sz="0" w:space="0" w:color="auto"/>
            <w:bottom w:val="none" w:sz="0" w:space="0" w:color="auto"/>
            <w:right w:val="none" w:sz="0" w:space="0" w:color="auto"/>
          </w:divBdr>
          <w:divsChild>
            <w:div w:id="1970164331">
              <w:marLeft w:val="0"/>
              <w:marRight w:val="0"/>
              <w:marTop w:val="0"/>
              <w:marBottom w:val="0"/>
              <w:divBdr>
                <w:top w:val="none" w:sz="0" w:space="0" w:color="auto"/>
                <w:left w:val="none" w:sz="0" w:space="0" w:color="auto"/>
                <w:bottom w:val="none" w:sz="0" w:space="0" w:color="auto"/>
                <w:right w:val="none" w:sz="0" w:space="0" w:color="auto"/>
              </w:divBdr>
            </w:div>
          </w:divsChild>
        </w:div>
        <w:div w:id="1696224711">
          <w:marLeft w:val="0"/>
          <w:marRight w:val="0"/>
          <w:marTop w:val="0"/>
          <w:marBottom w:val="0"/>
          <w:divBdr>
            <w:top w:val="none" w:sz="0" w:space="0" w:color="auto"/>
            <w:left w:val="none" w:sz="0" w:space="0" w:color="auto"/>
            <w:bottom w:val="none" w:sz="0" w:space="0" w:color="auto"/>
            <w:right w:val="none" w:sz="0" w:space="0" w:color="auto"/>
          </w:divBdr>
          <w:divsChild>
            <w:div w:id="169876364">
              <w:marLeft w:val="0"/>
              <w:marRight w:val="0"/>
              <w:marTop w:val="0"/>
              <w:marBottom w:val="0"/>
              <w:divBdr>
                <w:top w:val="none" w:sz="0" w:space="0" w:color="auto"/>
                <w:left w:val="none" w:sz="0" w:space="0" w:color="auto"/>
                <w:bottom w:val="none" w:sz="0" w:space="0" w:color="auto"/>
                <w:right w:val="none" w:sz="0" w:space="0" w:color="auto"/>
              </w:divBdr>
            </w:div>
          </w:divsChild>
        </w:div>
        <w:div w:id="1703435354">
          <w:marLeft w:val="0"/>
          <w:marRight w:val="0"/>
          <w:marTop w:val="0"/>
          <w:marBottom w:val="0"/>
          <w:divBdr>
            <w:top w:val="none" w:sz="0" w:space="0" w:color="auto"/>
            <w:left w:val="none" w:sz="0" w:space="0" w:color="auto"/>
            <w:bottom w:val="none" w:sz="0" w:space="0" w:color="auto"/>
            <w:right w:val="none" w:sz="0" w:space="0" w:color="auto"/>
          </w:divBdr>
          <w:divsChild>
            <w:div w:id="640040650">
              <w:marLeft w:val="0"/>
              <w:marRight w:val="0"/>
              <w:marTop w:val="0"/>
              <w:marBottom w:val="0"/>
              <w:divBdr>
                <w:top w:val="none" w:sz="0" w:space="0" w:color="auto"/>
                <w:left w:val="none" w:sz="0" w:space="0" w:color="auto"/>
                <w:bottom w:val="none" w:sz="0" w:space="0" w:color="auto"/>
                <w:right w:val="none" w:sz="0" w:space="0" w:color="auto"/>
              </w:divBdr>
            </w:div>
          </w:divsChild>
        </w:div>
        <w:div w:id="1718121218">
          <w:marLeft w:val="0"/>
          <w:marRight w:val="0"/>
          <w:marTop w:val="0"/>
          <w:marBottom w:val="0"/>
          <w:divBdr>
            <w:top w:val="none" w:sz="0" w:space="0" w:color="auto"/>
            <w:left w:val="none" w:sz="0" w:space="0" w:color="auto"/>
            <w:bottom w:val="none" w:sz="0" w:space="0" w:color="auto"/>
            <w:right w:val="none" w:sz="0" w:space="0" w:color="auto"/>
          </w:divBdr>
          <w:divsChild>
            <w:div w:id="1996686112">
              <w:marLeft w:val="0"/>
              <w:marRight w:val="0"/>
              <w:marTop w:val="0"/>
              <w:marBottom w:val="0"/>
              <w:divBdr>
                <w:top w:val="none" w:sz="0" w:space="0" w:color="auto"/>
                <w:left w:val="none" w:sz="0" w:space="0" w:color="auto"/>
                <w:bottom w:val="none" w:sz="0" w:space="0" w:color="auto"/>
                <w:right w:val="none" w:sz="0" w:space="0" w:color="auto"/>
              </w:divBdr>
            </w:div>
          </w:divsChild>
        </w:div>
        <w:div w:id="1721662225">
          <w:marLeft w:val="0"/>
          <w:marRight w:val="0"/>
          <w:marTop w:val="0"/>
          <w:marBottom w:val="0"/>
          <w:divBdr>
            <w:top w:val="none" w:sz="0" w:space="0" w:color="auto"/>
            <w:left w:val="none" w:sz="0" w:space="0" w:color="auto"/>
            <w:bottom w:val="none" w:sz="0" w:space="0" w:color="auto"/>
            <w:right w:val="none" w:sz="0" w:space="0" w:color="auto"/>
          </w:divBdr>
          <w:divsChild>
            <w:div w:id="543062878">
              <w:marLeft w:val="0"/>
              <w:marRight w:val="0"/>
              <w:marTop w:val="0"/>
              <w:marBottom w:val="0"/>
              <w:divBdr>
                <w:top w:val="none" w:sz="0" w:space="0" w:color="auto"/>
                <w:left w:val="none" w:sz="0" w:space="0" w:color="auto"/>
                <w:bottom w:val="none" w:sz="0" w:space="0" w:color="auto"/>
                <w:right w:val="none" w:sz="0" w:space="0" w:color="auto"/>
              </w:divBdr>
            </w:div>
          </w:divsChild>
        </w:div>
        <w:div w:id="1727684215">
          <w:marLeft w:val="0"/>
          <w:marRight w:val="0"/>
          <w:marTop w:val="0"/>
          <w:marBottom w:val="0"/>
          <w:divBdr>
            <w:top w:val="none" w:sz="0" w:space="0" w:color="auto"/>
            <w:left w:val="none" w:sz="0" w:space="0" w:color="auto"/>
            <w:bottom w:val="none" w:sz="0" w:space="0" w:color="auto"/>
            <w:right w:val="none" w:sz="0" w:space="0" w:color="auto"/>
          </w:divBdr>
          <w:divsChild>
            <w:div w:id="259458368">
              <w:marLeft w:val="0"/>
              <w:marRight w:val="0"/>
              <w:marTop w:val="0"/>
              <w:marBottom w:val="0"/>
              <w:divBdr>
                <w:top w:val="none" w:sz="0" w:space="0" w:color="auto"/>
                <w:left w:val="none" w:sz="0" w:space="0" w:color="auto"/>
                <w:bottom w:val="none" w:sz="0" w:space="0" w:color="auto"/>
                <w:right w:val="none" w:sz="0" w:space="0" w:color="auto"/>
              </w:divBdr>
            </w:div>
          </w:divsChild>
        </w:div>
        <w:div w:id="1760252194">
          <w:marLeft w:val="0"/>
          <w:marRight w:val="0"/>
          <w:marTop w:val="0"/>
          <w:marBottom w:val="0"/>
          <w:divBdr>
            <w:top w:val="none" w:sz="0" w:space="0" w:color="auto"/>
            <w:left w:val="none" w:sz="0" w:space="0" w:color="auto"/>
            <w:bottom w:val="none" w:sz="0" w:space="0" w:color="auto"/>
            <w:right w:val="none" w:sz="0" w:space="0" w:color="auto"/>
          </w:divBdr>
          <w:divsChild>
            <w:div w:id="1095856445">
              <w:marLeft w:val="0"/>
              <w:marRight w:val="0"/>
              <w:marTop w:val="0"/>
              <w:marBottom w:val="0"/>
              <w:divBdr>
                <w:top w:val="none" w:sz="0" w:space="0" w:color="auto"/>
                <w:left w:val="none" w:sz="0" w:space="0" w:color="auto"/>
                <w:bottom w:val="none" w:sz="0" w:space="0" w:color="auto"/>
                <w:right w:val="none" w:sz="0" w:space="0" w:color="auto"/>
              </w:divBdr>
            </w:div>
          </w:divsChild>
        </w:div>
        <w:div w:id="1775519935">
          <w:marLeft w:val="0"/>
          <w:marRight w:val="0"/>
          <w:marTop w:val="0"/>
          <w:marBottom w:val="0"/>
          <w:divBdr>
            <w:top w:val="none" w:sz="0" w:space="0" w:color="auto"/>
            <w:left w:val="none" w:sz="0" w:space="0" w:color="auto"/>
            <w:bottom w:val="none" w:sz="0" w:space="0" w:color="auto"/>
            <w:right w:val="none" w:sz="0" w:space="0" w:color="auto"/>
          </w:divBdr>
          <w:divsChild>
            <w:div w:id="1153252125">
              <w:marLeft w:val="0"/>
              <w:marRight w:val="0"/>
              <w:marTop w:val="0"/>
              <w:marBottom w:val="0"/>
              <w:divBdr>
                <w:top w:val="none" w:sz="0" w:space="0" w:color="auto"/>
                <w:left w:val="none" w:sz="0" w:space="0" w:color="auto"/>
                <w:bottom w:val="none" w:sz="0" w:space="0" w:color="auto"/>
                <w:right w:val="none" w:sz="0" w:space="0" w:color="auto"/>
              </w:divBdr>
            </w:div>
          </w:divsChild>
        </w:div>
        <w:div w:id="1776364908">
          <w:marLeft w:val="0"/>
          <w:marRight w:val="0"/>
          <w:marTop w:val="0"/>
          <w:marBottom w:val="0"/>
          <w:divBdr>
            <w:top w:val="none" w:sz="0" w:space="0" w:color="auto"/>
            <w:left w:val="none" w:sz="0" w:space="0" w:color="auto"/>
            <w:bottom w:val="none" w:sz="0" w:space="0" w:color="auto"/>
            <w:right w:val="none" w:sz="0" w:space="0" w:color="auto"/>
          </w:divBdr>
          <w:divsChild>
            <w:div w:id="625234549">
              <w:marLeft w:val="0"/>
              <w:marRight w:val="0"/>
              <w:marTop w:val="0"/>
              <w:marBottom w:val="0"/>
              <w:divBdr>
                <w:top w:val="none" w:sz="0" w:space="0" w:color="auto"/>
                <w:left w:val="none" w:sz="0" w:space="0" w:color="auto"/>
                <w:bottom w:val="none" w:sz="0" w:space="0" w:color="auto"/>
                <w:right w:val="none" w:sz="0" w:space="0" w:color="auto"/>
              </w:divBdr>
            </w:div>
          </w:divsChild>
        </w:div>
        <w:div w:id="1783646908">
          <w:marLeft w:val="0"/>
          <w:marRight w:val="0"/>
          <w:marTop w:val="0"/>
          <w:marBottom w:val="0"/>
          <w:divBdr>
            <w:top w:val="none" w:sz="0" w:space="0" w:color="auto"/>
            <w:left w:val="none" w:sz="0" w:space="0" w:color="auto"/>
            <w:bottom w:val="none" w:sz="0" w:space="0" w:color="auto"/>
            <w:right w:val="none" w:sz="0" w:space="0" w:color="auto"/>
          </w:divBdr>
          <w:divsChild>
            <w:div w:id="12539703">
              <w:marLeft w:val="0"/>
              <w:marRight w:val="0"/>
              <w:marTop w:val="0"/>
              <w:marBottom w:val="0"/>
              <w:divBdr>
                <w:top w:val="none" w:sz="0" w:space="0" w:color="auto"/>
                <w:left w:val="none" w:sz="0" w:space="0" w:color="auto"/>
                <w:bottom w:val="none" w:sz="0" w:space="0" w:color="auto"/>
                <w:right w:val="none" w:sz="0" w:space="0" w:color="auto"/>
              </w:divBdr>
            </w:div>
          </w:divsChild>
        </w:div>
        <w:div w:id="1785463974">
          <w:marLeft w:val="0"/>
          <w:marRight w:val="0"/>
          <w:marTop w:val="0"/>
          <w:marBottom w:val="0"/>
          <w:divBdr>
            <w:top w:val="none" w:sz="0" w:space="0" w:color="auto"/>
            <w:left w:val="none" w:sz="0" w:space="0" w:color="auto"/>
            <w:bottom w:val="none" w:sz="0" w:space="0" w:color="auto"/>
            <w:right w:val="none" w:sz="0" w:space="0" w:color="auto"/>
          </w:divBdr>
          <w:divsChild>
            <w:div w:id="258489347">
              <w:marLeft w:val="0"/>
              <w:marRight w:val="0"/>
              <w:marTop w:val="0"/>
              <w:marBottom w:val="0"/>
              <w:divBdr>
                <w:top w:val="none" w:sz="0" w:space="0" w:color="auto"/>
                <w:left w:val="none" w:sz="0" w:space="0" w:color="auto"/>
                <w:bottom w:val="none" w:sz="0" w:space="0" w:color="auto"/>
                <w:right w:val="none" w:sz="0" w:space="0" w:color="auto"/>
              </w:divBdr>
            </w:div>
          </w:divsChild>
        </w:div>
        <w:div w:id="1790511714">
          <w:marLeft w:val="0"/>
          <w:marRight w:val="0"/>
          <w:marTop w:val="0"/>
          <w:marBottom w:val="0"/>
          <w:divBdr>
            <w:top w:val="none" w:sz="0" w:space="0" w:color="auto"/>
            <w:left w:val="none" w:sz="0" w:space="0" w:color="auto"/>
            <w:bottom w:val="none" w:sz="0" w:space="0" w:color="auto"/>
            <w:right w:val="none" w:sz="0" w:space="0" w:color="auto"/>
          </w:divBdr>
          <w:divsChild>
            <w:div w:id="317274796">
              <w:marLeft w:val="0"/>
              <w:marRight w:val="0"/>
              <w:marTop w:val="0"/>
              <w:marBottom w:val="0"/>
              <w:divBdr>
                <w:top w:val="none" w:sz="0" w:space="0" w:color="auto"/>
                <w:left w:val="none" w:sz="0" w:space="0" w:color="auto"/>
                <w:bottom w:val="none" w:sz="0" w:space="0" w:color="auto"/>
                <w:right w:val="none" w:sz="0" w:space="0" w:color="auto"/>
              </w:divBdr>
            </w:div>
          </w:divsChild>
        </w:div>
        <w:div w:id="1791586436">
          <w:marLeft w:val="0"/>
          <w:marRight w:val="0"/>
          <w:marTop w:val="0"/>
          <w:marBottom w:val="0"/>
          <w:divBdr>
            <w:top w:val="none" w:sz="0" w:space="0" w:color="auto"/>
            <w:left w:val="none" w:sz="0" w:space="0" w:color="auto"/>
            <w:bottom w:val="none" w:sz="0" w:space="0" w:color="auto"/>
            <w:right w:val="none" w:sz="0" w:space="0" w:color="auto"/>
          </w:divBdr>
          <w:divsChild>
            <w:div w:id="1815027934">
              <w:marLeft w:val="0"/>
              <w:marRight w:val="0"/>
              <w:marTop w:val="0"/>
              <w:marBottom w:val="0"/>
              <w:divBdr>
                <w:top w:val="none" w:sz="0" w:space="0" w:color="auto"/>
                <w:left w:val="none" w:sz="0" w:space="0" w:color="auto"/>
                <w:bottom w:val="none" w:sz="0" w:space="0" w:color="auto"/>
                <w:right w:val="none" w:sz="0" w:space="0" w:color="auto"/>
              </w:divBdr>
            </w:div>
          </w:divsChild>
        </w:div>
        <w:div w:id="1800370780">
          <w:marLeft w:val="0"/>
          <w:marRight w:val="0"/>
          <w:marTop w:val="0"/>
          <w:marBottom w:val="0"/>
          <w:divBdr>
            <w:top w:val="none" w:sz="0" w:space="0" w:color="auto"/>
            <w:left w:val="none" w:sz="0" w:space="0" w:color="auto"/>
            <w:bottom w:val="none" w:sz="0" w:space="0" w:color="auto"/>
            <w:right w:val="none" w:sz="0" w:space="0" w:color="auto"/>
          </w:divBdr>
          <w:divsChild>
            <w:div w:id="1076123083">
              <w:marLeft w:val="0"/>
              <w:marRight w:val="0"/>
              <w:marTop w:val="0"/>
              <w:marBottom w:val="0"/>
              <w:divBdr>
                <w:top w:val="none" w:sz="0" w:space="0" w:color="auto"/>
                <w:left w:val="none" w:sz="0" w:space="0" w:color="auto"/>
                <w:bottom w:val="none" w:sz="0" w:space="0" w:color="auto"/>
                <w:right w:val="none" w:sz="0" w:space="0" w:color="auto"/>
              </w:divBdr>
            </w:div>
          </w:divsChild>
        </w:div>
        <w:div w:id="1802378206">
          <w:marLeft w:val="0"/>
          <w:marRight w:val="0"/>
          <w:marTop w:val="0"/>
          <w:marBottom w:val="0"/>
          <w:divBdr>
            <w:top w:val="none" w:sz="0" w:space="0" w:color="auto"/>
            <w:left w:val="none" w:sz="0" w:space="0" w:color="auto"/>
            <w:bottom w:val="none" w:sz="0" w:space="0" w:color="auto"/>
            <w:right w:val="none" w:sz="0" w:space="0" w:color="auto"/>
          </w:divBdr>
          <w:divsChild>
            <w:div w:id="315375129">
              <w:marLeft w:val="0"/>
              <w:marRight w:val="0"/>
              <w:marTop w:val="0"/>
              <w:marBottom w:val="0"/>
              <w:divBdr>
                <w:top w:val="none" w:sz="0" w:space="0" w:color="auto"/>
                <w:left w:val="none" w:sz="0" w:space="0" w:color="auto"/>
                <w:bottom w:val="none" w:sz="0" w:space="0" w:color="auto"/>
                <w:right w:val="none" w:sz="0" w:space="0" w:color="auto"/>
              </w:divBdr>
            </w:div>
          </w:divsChild>
        </w:div>
        <w:div w:id="1803964850">
          <w:marLeft w:val="0"/>
          <w:marRight w:val="0"/>
          <w:marTop w:val="0"/>
          <w:marBottom w:val="0"/>
          <w:divBdr>
            <w:top w:val="none" w:sz="0" w:space="0" w:color="auto"/>
            <w:left w:val="none" w:sz="0" w:space="0" w:color="auto"/>
            <w:bottom w:val="none" w:sz="0" w:space="0" w:color="auto"/>
            <w:right w:val="none" w:sz="0" w:space="0" w:color="auto"/>
          </w:divBdr>
          <w:divsChild>
            <w:div w:id="722410964">
              <w:marLeft w:val="0"/>
              <w:marRight w:val="0"/>
              <w:marTop w:val="0"/>
              <w:marBottom w:val="0"/>
              <w:divBdr>
                <w:top w:val="none" w:sz="0" w:space="0" w:color="auto"/>
                <w:left w:val="none" w:sz="0" w:space="0" w:color="auto"/>
                <w:bottom w:val="none" w:sz="0" w:space="0" w:color="auto"/>
                <w:right w:val="none" w:sz="0" w:space="0" w:color="auto"/>
              </w:divBdr>
            </w:div>
          </w:divsChild>
        </w:div>
        <w:div w:id="1816532276">
          <w:marLeft w:val="0"/>
          <w:marRight w:val="0"/>
          <w:marTop w:val="0"/>
          <w:marBottom w:val="0"/>
          <w:divBdr>
            <w:top w:val="none" w:sz="0" w:space="0" w:color="auto"/>
            <w:left w:val="none" w:sz="0" w:space="0" w:color="auto"/>
            <w:bottom w:val="none" w:sz="0" w:space="0" w:color="auto"/>
            <w:right w:val="none" w:sz="0" w:space="0" w:color="auto"/>
          </w:divBdr>
          <w:divsChild>
            <w:div w:id="1315790377">
              <w:marLeft w:val="0"/>
              <w:marRight w:val="0"/>
              <w:marTop w:val="0"/>
              <w:marBottom w:val="0"/>
              <w:divBdr>
                <w:top w:val="none" w:sz="0" w:space="0" w:color="auto"/>
                <w:left w:val="none" w:sz="0" w:space="0" w:color="auto"/>
                <w:bottom w:val="none" w:sz="0" w:space="0" w:color="auto"/>
                <w:right w:val="none" w:sz="0" w:space="0" w:color="auto"/>
              </w:divBdr>
            </w:div>
          </w:divsChild>
        </w:div>
        <w:div w:id="1826781575">
          <w:marLeft w:val="0"/>
          <w:marRight w:val="0"/>
          <w:marTop w:val="0"/>
          <w:marBottom w:val="0"/>
          <w:divBdr>
            <w:top w:val="none" w:sz="0" w:space="0" w:color="auto"/>
            <w:left w:val="none" w:sz="0" w:space="0" w:color="auto"/>
            <w:bottom w:val="none" w:sz="0" w:space="0" w:color="auto"/>
            <w:right w:val="none" w:sz="0" w:space="0" w:color="auto"/>
          </w:divBdr>
          <w:divsChild>
            <w:div w:id="1786315809">
              <w:marLeft w:val="0"/>
              <w:marRight w:val="0"/>
              <w:marTop w:val="0"/>
              <w:marBottom w:val="0"/>
              <w:divBdr>
                <w:top w:val="none" w:sz="0" w:space="0" w:color="auto"/>
                <w:left w:val="none" w:sz="0" w:space="0" w:color="auto"/>
                <w:bottom w:val="none" w:sz="0" w:space="0" w:color="auto"/>
                <w:right w:val="none" w:sz="0" w:space="0" w:color="auto"/>
              </w:divBdr>
            </w:div>
          </w:divsChild>
        </w:div>
        <w:div w:id="1829634514">
          <w:marLeft w:val="0"/>
          <w:marRight w:val="0"/>
          <w:marTop w:val="0"/>
          <w:marBottom w:val="0"/>
          <w:divBdr>
            <w:top w:val="none" w:sz="0" w:space="0" w:color="auto"/>
            <w:left w:val="none" w:sz="0" w:space="0" w:color="auto"/>
            <w:bottom w:val="none" w:sz="0" w:space="0" w:color="auto"/>
            <w:right w:val="none" w:sz="0" w:space="0" w:color="auto"/>
          </w:divBdr>
          <w:divsChild>
            <w:div w:id="1214657709">
              <w:marLeft w:val="0"/>
              <w:marRight w:val="0"/>
              <w:marTop w:val="0"/>
              <w:marBottom w:val="0"/>
              <w:divBdr>
                <w:top w:val="none" w:sz="0" w:space="0" w:color="auto"/>
                <w:left w:val="none" w:sz="0" w:space="0" w:color="auto"/>
                <w:bottom w:val="none" w:sz="0" w:space="0" w:color="auto"/>
                <w:right w:val="none" w:sz="0" w:space="0" w:color="auto"/>
              </w:divBdr>
            </w:div>
          </w:divsChild>
        </w:div>
        <w:div w:id="1839419021">
          <w:marLeft w:val="0"/>
          <w:marRight w:val="0"/>
          <w:marTop w:val="0"/>
          <w:marBottom w:val="0"/>
          <w:divBdr>
            <w:top w:val="none" w:sz="0" w:space="0" w:color="auto"/>
            <w:left w:val="none" w:sz="0" w:space="0" w:color="auto"/>
            <w:bottom w:val="none" w:sz="0" w:space="0" w:color="auto"/>
            <w:right w:val="none" w:sz="0" w:space="0" w:color="auto"/>
          </w:divBdr>
          <w:divsChild>
            <w:div w:id="259919085">
              <w:marLeft w:val="0"/>
              <w:marRight w:val="0"/>
              <w:marTop w:val="0"/>
              <w:marBottom w:val="0"/>
              <w:divBdr>
                <w:top w:val="none" w:sz="0" w:space="0" w:color="auto"/>
                <w:left w:val="none" w:sz="0" w:space="0" w:color="auto"/>
                <w:bottom w:val="none" w:sz="0" w:space="0" w:color="auto"/>
                <w:right w:val="none" w:sz="0" w:space="0" w:color="auto"/>
              </w:divBdr>
            </w:div>
          </w:divsChild>
        </w:div>
        <w:div w:id="1845512512">
          <w:marLeft w:val="0"/>
          <w:marRight w:val="0"/>
          <w:marTop w:val="0"/>
          <w:marBottom w:val="0"/>
          <w:divBdr>
            <w:top w:val="none" w:sz="0" w:space="0" w:color="auto"/>
            <w:left w:val="none" w:sz="0" w:space="0" w:color="auto"/>
            <w:bottom w:val="none" w:sz="0" w:space="0" w:color="auto"/>
            <w:right w:val="none" w:sz="0" w:space="0" w:color="auto"/>
          </w:divBdr>
          <w:divsChild>
            <w:div w:id="2036728304">
              <w:marLeft w:val="0"/>
              <w:marRight w:val="0"/>
              <w:marTop w:val="0"/>
              <w:marBottom w:val="0"/>
              <w:divBdr>
                <w:top w:val="none" w:sz="0" w:space="0" w:color="auto"/>
                <w:left w:val="none" w:sz="0" w:space="0" w:color="auto"/>
                <w:bottom w:val="none" w:sz="0" w:space="0" w:color="auto"/>
                <w:right w:val="none" w:sz="0" w:space="0" w:color="auto"/>
              </w:divBdr>
            </w:div>
          </w:divsChild>
        </w:div>
        <w:div w:id="1848203710">
          <w:marLeft w:val="0"/>
          <w:marRight w:val="0"/>
          <w:marTop w:val="0"/>
          <w:marBottom w:val="0"/>
          <w:divBdr>
            <w:top w:val="none" w:sz="0" w:space="0" w:color="auto"/>
            <w:left w:val="none" w:sz="0" w:space="0" w:color="auto"/>
            <w:bottom w:val="none" w:sz="0" w:space="0" w:color="auto"/>
            <w:right w:val="none" w:sz="0" w:space="0" w:color="auto"/>
          </w:divBdr>
          <w:divsChild>
            <w:div w:id="666589190">
              <w:marLeft w:val="0"/>
              <w:marRight w:val="0"/>
              <w:marTop w:val="0"/>
              <w:marBottom w:val="0"/>
              <w:divBdr>
                <w:top w:val="none" w:sz="0" w:space="0" w:color="auto"/>
                <w:left w:val="none" w:sz="0" w:space="0" w:color="auto"/>
                <w:bottom w:val="none" w:sz="0" w:space="0" w:color="auto"/>
                <w:right w:val="none" w:sz="0" w:space="0" w:color="auto"/>
              </w:divBdr>
            </w:div>
          </w:divsChild>
        </w:div>
        <w:div w:id="1856141593">
          <w:marLeft w:val="0"/>
          <w:marRight w:val="0"/>
          <w:marTop w:val="0"/>
          <w:marBottom w:val="0"/>
          <w:divBdr>
            <w:top w:val="none" w:sz="0" w:space="0" w:color="auto"/>
            <w:left w:val="none" w:sz="0" w:space="0" w:color="auto"/>
            <w:bottom w:val="none" w:sz="0" w:space="0" w:color="auto"/>
            <w:right w:val="none" w:sz="0" w:space="0" w:color="auto"/>
          </w:divBdr>
          <w:divsChild>
            <w:div w:id="1513688505">
              <w:marLeft w:val="0"/>
              <w:marRight w:val="0"/>
              <w:marTop w:val="0"/>
              <w:marBottom w:val="0"/>
              <w:divBdr>
                <w:top w:val="none" w:sz="0" w:space="0" w:color="auto"/>
                <w:left w:val="none" w:sz="0" w:space="0" w:color="auto"/>
                <w:bottom w:val="none" w:sz="0" w:space="0" w:color="auto"/>
                <w:right w:val="none" w:sz="0" w:space="0" w:color="auto"/>
              </w:divBdr>
            </w:div>
          </w:divsChild>
        </w:div>
        <w:div w:id="1865633672">
          <w:marLeft w:val="0"/>
          <w:marRight w:val="0"/>
          <w:marTop w:val="0"/>
          <w:marBottom w:val="0"/>
          <w:divBdr>
            <w:top w:val="none" w:sz="0" w:space="0" w:color="auto"/>
            <w:left w:val="none" w:sz="0" w:space="0" w:color="auto"/>
            <w:bottom w:val="none" w:sz="0" w:space="0" w:color="auto"/>
            <w:right w:val="none" w:sz="0" w:space="0" w:color="auto"/>
          </w:divBdr>
          <w:divsChild>
            <w:div w:id="574241786">
              <w:marLeft w:val="0"/>
              <w:marRight w:val="0"/>
              <w:marTop w:val="0"/>
              <w:marBottom w:val="0"/>
              <w:divBdr>
                <w:top w:val="none" w:sz="0" w:space="0" w:color="auto"/>
                <w:left w:val="none" w:sz="0" w:space="0" w:color="auto"/>
                <w:bottom w:val="none" w:sz="0" w:space="0" w:color="auto"/>
                <w:right w:val="none" w:sz="0" w:space="0" w:color="auto"/>
              </w:divBdr>
            </w:div>
          </w:divsChild>
        </w:div>
        <w:div w:id="1881625019">
          <w:marLeft w:val="0"/>
          <w:marRight w:val="0"/>
          <w:marTop w:val="0"/>
          <w:marBottom w:val="0"/>
          <w:divBdr>
            <w:top w:val="none" w:sz="0" w:space="0" w:color="auto"/>
            <w:left w:val="none" w:sz="0" w:space="0" w:color="auto"/>
            <w:bottom w:val="none" w:sz="0" w:space="0" w:color="auto"/>
            <w:right w:val="none" w:sz="0" w:space="0" w:color="auto"/>
          </w:divBdr>
          <w:divsChild>
            <w:div w:id="1224172130">
              <w:marLeft w:val="0"/>
              <w:marRight w:val="0"/>
              <w:marTop w:val="0"/>
              <w:marBottom w:val="0"/>
              <w:divBdr>
                <w:top w:val="none" w:sz="0" w:space="0" w:color="auto"/>
                <w:left w:val="none" w:sz="0" w:space="0" w:color="auto"/>
                <w:bottom w:val="none" w:sz="0" w:space="0" w:color="auto"/>
                <w:right w:val="none" w:sz="0" w:space="0" w:color="auto"/>
              </w:divBdr>
            </w:div>
          </w:divsChild>
        </w:div>
        <w:div w:id="1948779909">
          <w:marLeft w:val="0"/>
          <w:marRight w:val="0"/>
          <w:marTop w:val="0"/>
          <w:marBottom w:val="0"/>
          <w:divBdr>
            <w:top w:val="none" w:sz="0" w:space="0" w:color="auto"/>
            <w:left w:val="none" w:sz="0" w:space="0" w:color="auto"/>
            <w:bottom w:val="none" w:sz="0" w:space="0" w:color="auto"/>
            <w:right w:val="none" w:sz="0" w:space="0" w:color="auto"/>
          </w:divBdr>
          <w:divsChild>
            <w:div w:id="254485032">
              <w:marLeft w:val="0"/>
              <w:marRight w:val="0"/>
              <w:marTop w:val="0"/>
              <w:marBottom w:val="0"/>
              <w:divBdr>
                <w:top w:val="none" w:sz="0" w:space="0" w:color="auto"/>
                <w:left w:val="none" w:sz="0" w:space="0" w:color="auto"/>
                <w:bottom w:val="none" w:sz="0" w:space="0" w:color="auto"/>
                <w:right w:val="none" w:sz="0" w:space="0" w:color="auto"/>
              </w:divBdr>
            </w:div>
          </w:divsChild>
        </w:div>
        <w:div w:id="1952396337">
          <w:marLeft w:val="0"/>
          <w:marRight w:val="0"/>
          <w:marTop w:val="0"/>
          <w:marBottom w:val="0"/>
          <w:divBdr>
            <w:top w:val="none" w:sz="0" w:space="0" w:color="auto"/>
            <w:left w:val="none" w:sz="0" w:space="0" w:color="auto"/>
            <w:bottom w:val="none" w:sz="0" w:space="0" w:color="auto"/>
            <w:right w:val="none" w:sz="0" w:space="0" w:color="auto"/>
          </w:divBdr>
          <w:divsChild>
            <w:div w:id="756754491">
              <w:marLeft w:val="0"/>
              <w:marRight w:val="0"/>
              <w:marTop w:val="0"/>
              <w:marBottom w:val="0"/>
              <w:divBdr>
                <w:top w:val="none" w:sz="0" w:space="0" w:color="auto"/>
                <w:left w:val="none" w:sz="0" w:space="0" w:color="auto"/>
                <w:bottom w:val="none" w:sz="0" w:space="0" w:color="auto"/>
                <w:right w:val="none" w:sz="0" w:space="0" w:color="auto"/>
              </w:divBdr>
            </w:div>
          </w:divsChild>
        </w:div>
        <w:div w:id="1956331820">
          <w:marLeft w:val="0"/>
          <w:marRight w:val="0"/>
          <w:marTop w:val="0"/>
          <w:marBottom w:val="0"/>
          <w:divBdr>
            <w:top w:val="none" w:sz="0" w:space="0" w:color="auto"/>
            <w:left w:val="none" w:sz="0" w:space="0" w:color="auto"/>
            <w:bottom w:val="none" w:sz="0" w:space="0" w:color="auto"/>
            <w:right w:val="none" w:sz="0" w:space="0" w:color="auto"/>
          </w:divBdr>
          <w:divsChild>
            <w:div w:id="2039155872">
              <w:marLeft w:val="0"/>
              <w:marRight w:val="0"/>
              <w:marTop w:val="0"/>
              <w:marBottom w:val="0"/>
              <w:divBdr>
                <w:top w:val="none" w:sz="0" w:space="0" w:color="auto"/>
                <w:left w:val="none" w:sz="0" w:space="0" w:color="auto"/>
                <w:bottom w:val="none" w:sz="0" w:space="0" w:color="auto"/>
                <w:right w:val="none" w:sz="0" w:space="0" w:color="auto"/>
              </w:divBdr>
            </w:div>
          </w:divsChild>
        </w:div>
        <w:div w:id="1957368067">
          <w:marLeft w:val="0"/>
          <w:marRight w:val="0"/>
          <w:marTop w:val="0"/>
          <w:marBottom w:val="0"/>
          <w:divBdr>
            <w:top w:val="none" w:sz="0" w:space="0" w:color="auto"/>
            <w:left w:val="none" w:sz="0" w:space="0" w:color="auto"/>
            <w:bottom w:val="none" w:sz="0" w:space="0" w:color="auto"/>
            <w:right w:val="none" w:sz="0" w:space="0" w:color="auto"/>
          </w:divBdr>
          <w:divsChild>
            <w:div w:id="1290358806">
              <w:marLeft w:val="0"/>
              <w:marRight w:val="0"/>
              <w:marTop w:val="0"/>
              <w:marBottom w:val="0"/>
              <w:divBdr>
                <w:top w:val="none" w:sz="0" w:space="0" w:color="auto"/>
                <w:left w:val="none" w:sz="0" w:space="0" w:color="auto"/>
                <w:bottom w:val="none" w:sz="0" w:space="0" w:color="auto"/>
                <w:right w:val="none" w:sz="0" w:space="0" w:color="auto"/>
              </w:divBdr>
            </w:div>
          </w:divsChild>
        </w:div>
        <w:div w:id="1971395465">
          <w:marLeft w:val="0"/>
          <w:marRight w:val="0"/>
          <w:marTop w:val="0"/>
          <w:marBottom w:val="0"/>
          <w:divBdr>
            <w:top w:val="none" w:sz="0" w:space="0" w:color="auto"/>
            <w:left w:val="none" w:sz="0" w:space="0" w:color="auto"/>
            <w:bottom w:val="none" w:sz="0" w:space="0" w:color="auto"/>
            <w:right w:val="none" w:sz="0" w:space="0" w:color="auto"/>
          </w:divBdr>
          <w:divsChild>
            <w:div w:id="509956665">
              <w:marLeft w:val="0"/>
              <w:marRight w:val="0"/>
              <w:marTop w:val="0"/>
              <w:marBottom w:val="0"/>
              <w:divBdr>
                <w:top w:val="none" w:sz="0" w:space="0" w:color="auto"/>
                <w:left w:val="none" w:sz="0" w:space="0" w:color="auto"/>
                <w:bottom w:val="none" w:sz="0" w:space="0" w:color="auto"/>
                <w:right w:val="none" w:sz="0" w:space="0" w:color="auto"/>
              </w:divBdr>
            </w:div>
          </w:divsChild>
        </w:div>
        <w:div w:id="1977299703">
          <w:marLeft w:val="0"/>
          <w:marRight w:val="0"/>
          <w:marTop w:val="0"/>
          <w:marBottom w:val="0"/>
          <w:divBdr>
            <w:top w:val="none" w:sz="0" w:space="0" w:color="auto"/>
            <w:left w:val="none" w:sz="0" w:space="0" w:color="auto"/>
            <w:bottom w:val="none" w:sz="0" w:space="0" w:color="auto"/>
            <w:right w:val="none" w:sz="0" w:space="0" w:color="auto"/>
          </w:divBdr>
          <w:divsChild>
            <w:div w:id="1253776215">
              <w:marLeft w:val="0"/>
              <w:marRight w:val="0"/>
              <w:marTop w:val="0"/>
              <w:marBottom w:val="0"/>
              <w:divBdr>
                <w:top w:val="none" w:sz="0" w:space="0" w:color="auto"/>
                <w:left w:val="none" w:sz="0" w:space="0" w:color="auto"/>
                <w:bottom w:val="none" w:sz="0" w:space="0" w:color="auto"/>
                <w:right w:val="none" w:sz="0" w:space="0" w:color="auto"/>
              </w:divBdr>
            </w:div>
          </w:divsChild>
        </w:div>
        <w:div w:id="1994026332">
          <w:marLeft w:val="0"/>
          <w:marRight w:val="0"/>
          <w:marTop w:val="0"/>
          <w:marBottom w:val="0"/>
          <w:divBdr>
            <w:top w:val="none" w:sz="0" w:space="0" w:color="auto"/>
            <w:left w:val="none" w:sz="0" w:space="0" w:color="auto"/>
            <w:bottom w:val="none" w:sz="0" w:space="0" w:color="auto"/>
            <w:right w:val="none" w:sz="0" w:space="0" w:color="auto"/>
          </w:divBdr>
          <w:divsChild>
            <w:div w:id="115637683">
              <w:marLeft w:val="0"/>
              <w:marRight w:val="0"/>
              <w:marTop w:val="0"/>
              <w:marBottom w:val="0"/>
              <w:divBdr>
                <w:top w:val="none" w:sz="0" w:space="0" w:color="auto"/>
                <w:left w:val="none" w:sz="0" w:space="0" w:color="auto"/>
                <w:bottom w:val="none" w:sz="0" w:space="0" w:color="auto"/>
                <w:right w:val="none" w:sz="0" w:space="0" w:color="auto"/>
              </w:divBdr>
            </w:div>
          </w:divsChild>
        </w:div>
        <w:div w:id="2012372476">
          <w:marLeft w:val="0"/>
          <w:marRight w:val="0"/>
          <w:marTop w:val="0"/>
          <w:marBottom w:val="0"/>
          <w:divBdr>
            <w:top w:val="none" w:sz="0" w:space="0" w:color="auto"/>
            <w:left w:val="none" w:sz="0" w:space="0" w:color="auto"/>
            <w:bottom w:val="none" w:sz="0" w:space="0" w:color="auto"/>
            <w:right w:val="none" w:sz="0" w:space="0" w:color="auto"/>
          </w:divBdr>
          <w:divsChild>
            <w:div w:id="639849491">
              <w:marLeft w:val="0"/>
              <w:marRight w:val="0"/>
              <w:marTop w:val="0"/>
              <w:marBottom w:val="0"/>
              <w:divBdr>
                <w:top w:val="none" w:sz="0" w:space="0" w:color="auto"/>
                <w:left w:val="none" w:sz="0" w:space="0" w:color="auto"/>
                <w:bottom w:val="none" w:sz="0" w:space="0" w:color="auto"/>
                <w:right w:val="none" w:sz="0" w:space="0" w:color="auto"/>
              </w:divBdr>
            </w:div>
          </w:divsChild>
        </w:div>
        <w:div w:id="2021078973">
          <w:marLeft w:val="0"/>
          <w:marRight w:val="0"/>
          <w:marTop w:val="0"/>
          <w:marBottom w:val="0"/>
          <w:divBdr>
            <w:top w:val="none" w:sz="0" w:space="0" w:color="auto"/>
            <w:left w:val="none" w:sz="0" w:space="0" w:color="auto"/>
            <w:bottom w:val="none" w:sz="0" w:space="0" w:color="auto"/>
            <w:right w:val="none" w:sz="0" w:space="0" w:color="auto"/>
          </w:divBdr>
          <w:divsChild>
            <w:div w:id="161551578">
              <w:marLeft w:val="0"/>
              <w:marRight w:val="0"/>
              <w:marTop w:val="0"/>
              <w:marBottom w:val="0"/>
              <w:divBdr>
                <w:top w:val="none" w:sz="0" w:space="0" w:color="auto"/>
                <w:left w:val="none" w:sz="0" w:space="0" w:color="auto"/>
                <w:bottom w:val="none" w:sz="0" w:space="0" w:color="auto"/>
                <w:right w:val="none" w:sz="0" w:space="0" w:color="auto"/>
              </w:divBdr>
            </w:div>
          </w:divsChild>
        </w:div>
        <w:div w:id="2033416204">
          <w:marLeft w:val="0"/>
          <w:marRight w:val="0"/>
          <w:marTop w:val="0"/>
          <w:marBottom w:val="0"/>
          <w:divBdr>
            <w:top w:val="none" w:sz="0" w:space="0" w:color="auto"/>
            <w:left w:val="none" w:sz="0" w:space="0" w:color="auto"/>
            <w:bottom w:val="none" w:sz="0" w:space="0" w:color="auto"/>
            <w:right w:val="none" w:sz="0" w:space="0" w:color="auto"/>
          </w:divBdr>
          <w:divsChild>
            <w:div w:id="1617174977">
              <w:marLeft w:val="0"/>
              <w:marRight w:val="0"/>
              <w:marTop w:val="0"/>
              <w:marBottom w:val="0"/>
              <w:divBdr>
                <w:top w:val="none" w:sz="0" w:space="0" w:color="auto"/>
                <w:left w:val="none" w:sz="0" w:space="0" w:color="auto"/>
                <w:bottom w:val="none" w:sz="0" w:space="0" w:color="auto"/>
                <w:right w:val="none" w:sz="0" w:space="0" w:color="auto"/>
              </w:divBdr>
            </w:div>
          </w:divsChild>
        </w:div>
        <w:div w:id="2038431860">
          <w:marLeft w:val="0"/>
          <w:marRight w:val="0"/>
          <w:marTop w:val="0"/>
          <w:marBottom w:val="0"/>
          <w:divBdr>
            <w:top w:val="none" w:sz="0" w:space="0" w:color="auto"/>
            <w:left w:val="none" w:sz="0" w:space="0" w:color="auto"/>
            <w:bottom w:val="none" w:sz="0" w:space="0" w:color="auto"/>
            <w:right w:val="none" w:sz="0" w:space="0" w:color="auto"/>
          </w:divBdr>
          <w:divsChild>
            <w:div w:id="1936741855">
              <w:marLeft w:val="0"/>
              <w:marRight w:val="0"/>
              <w:marTop w:val="0"/>
              <w:marBottom w:val="0"/>
              <w:divBdr>
                <w:top w:val="none" w:sz="0" w:space="0" w:color="auto"/>
                <w:left w:val="none" w:sz="0" w:space="0" w:color="auto"/>
                <w:bottom w:val="none" w:sz="0" w:space="0" w:color="auto"/>
                <w:right w:val="none" w:sz="0" w:space="0" w:color="auto"/>
              </w:divBdr>
            </w:div>
          </w:divsChild>
        </w:div>
        <w:div w:id="2041777092">
          <w:marLeft w:val="0"/>
          <w:marRight w:val="0"/>
          <w:marTop w:val="0"/>
          <w:marBottom w:val="0"/>
          <w:divBdr>
            <w:top w:val="none" w:sz="0" w:space="0" w:color="auto"/>
            <w:left w:val="none" w:sz="0" w:space="0" w:color="auto"/>
            <w:bottom w:val="none" w:sz="0" w:space="0" w:color="auto"/>
            <w:right w:val="none" w:sz="0" w:space="0" w:color="auto"/>
          </w:divBdr>
          <w:divsChild>
            <w:div w:id="672342915">
              <w:marLeft w:val="0"/>
              <w:marRight w:val="0"/>
              <w:marTop w:val="0"/>
              <w:marBottom w:val="0"/>
              <w:divBdr>
                <w:top w:val="none" w:sz="0" w:space="0" w:color="auto"/>
                <w:left w:val="none" w:sz="0" w:space="0" w:color="auto"/>
                <w:bottom w:val="none" w:sz="0" w:space="0" w:color="auto"/>
                <w:right w:val="none" w:sz="0" w:space="0" w:color="auto"/>
              </w:divBdr>
            </w:div>
          </w:divsChild>
        </w:div>
        <w:div w:id="2046757959">
          <w:marLeft w:val="0"/>
          <w:marRight w:val="0"/>
          <w:marTop w:val="0"/>
          <w:marBottom w:val="0"/>
          <w:divBdr>
            <w:top w:val="none" w:sz="0" w:space="0" w:color="auto"/>
            <w:left w:val="none" w:sz="0" w:space="0" w:color="auto"/>
            <w:bottom w:val="none" w:sz="0" w:space="0" w:color="auto"/>
            <w:right w:val="none" w:sz="0" w:space="0" w:color="auto"/>
          </w:divBdr>
          <w:divsChild>
            <w:div w:id="167450919">
              <w:marLeft w:val="0"/>
              <w:marRight w:val="0"/>
              <w:marTop w:val="0"/>
              <w:marBottom w:val="0"/>
              <w:divBdr>
                <w:top w:val="none" w:sz="0" w:space="0" w:color="auto"/>
                <w:left w:val="none" w:sz="0" w:space="0" w:color="auto"/>
                <w:bottom w:val="none" w:sz="0" w:space="0" w:color="auto"/>
                <w:right w:val="none" w:sz="0" w:space="0" w:color="auto"/>
              </w:divBdr>
            </w:div>
          </w:divsChild>
        </w:div>
        <w:div w:id="2049446130">
          <w:marLeft w:val="0"/>
          <w:marRight w:val="0"/>
          <w:marTop w:val="0"/>
          <w:marBottom w:val="0"/>
          <w:divBdr>
            <w:top w:val="none" w:sz="0" w:space="0" w:color="auto"/>
            <w:left w:val="none" w:sz="0" w:space="0" w:color="auto"/>
            <w:bottom w:val="none" w:sz="0" w:space="0" w:color="auto"/>
            <w:right w:val="none" w:sz="0" w:space="0" w:color="auto"/>
          </w:divBdr>
          <w:divsChild>
            <w:div w:id="1415273451">
              <w:marLeft w:val="0"/>
              <w:marRight w:val="0"/>
              <w:marTop w:val="0"/>
              <w:marBottom w:val="0"/>
              <w:divBdr>
                <w:top w:val="none" w:sz="0" w:space="0" w:color="auto"/>
                <w:left w:val="none" w:sz="0" w:space="0" w:color="auto"/>
                <w:bottom w:val="none" w:sz="0" w:space="0" w:color="auto"/>
                <w:right w:val="none" w:sz="0" w:space="0" w:color="auto"/>
              </w:divBdr>
            </w:div>
          </w:divsChild>
        </w:div>
        <w:div w:id="2050715170">
          <w:marLeft w:val="0"/>
          <w:marRight w:val="0"/>
          <w:marTop w:val="0"/>
          <w:marBottom w:val="0"/>
          <w:divBdr>
            <w:top w:val="none" w:sz="0" w:space="0" w:color="auto"/>
            <w:left w:val="none" w:sz="0" w:space="0" w:color="auto"/>
            <w:bottom w:val="none" w:sz="0" w:space="0" w:color="auto"/>
            <w:right w:val="none" w:sz="0" w:space="0" w:color="auto"/>
          </w:divBdr>
          <w:divsChild>
            <w:div w:id="943073606">
              <w:marLeft w:val="0"/>
              <w:marRight w:val="0"/>
              <w:marTop w:val="0"/>
              <w:marBottom w:val="0"/>
              <w:divBdr>
                <w:top w:val="none" w:sz="0" w:space="0" w:color="auto"/>
                <w:left w:val="none" w:sz="0" w:space="0" w:color="auto"/>
                <w:bottom w:val="none" w:sz="0" w:space="0" w:color="auto"/>
                <w:right w:val="none" w:sz="0" w:space="0" w:color="auto"/>
              </w:divBdr>
            </w:div>
          </w:divsChild>
        </w:div>
        <w:div w:id="2065987203">
          <w:marLeft w:val="0"/>
          <w:marRight w:val="0"/>
          <w:marTop w:val="0"/>
          <w:marBottom w:val="0"/>
          <w:divBdr>
            <w:top w:val="none" w:sz="0" w:space="0" w:color="auto"/>
            <w:left w:val="none" w:sz="0" w:space="0" w:color="auto"/>
            <w:bottom w:val="none" w:sz="0" w:space="0" w:color="auto"/>
            <w:right w:val="none" w:sz="0" w:space="0" w:color="auto"/>
          </w:divBdr>
          <w:divsChild>
            <w:div w:id="972296523">
              <w:marLeft w:val="0"/>
              <w:marRight w:val="0"/>
              <w:marTop w:val="0"/>
              <w:marBottom w:val="0"/>
              <w:divBdr>
                <w:top w:val="none" w:sz="0" w:space="0" w:color="auto"/>
                <w:left w:val="none" w:sz="0" w:space="0" w:color="auto"/>
                <w:bottom w:val="none" w:sz="0" w:space="0" w:color="auto"/>
                <w:right w:val="none" w:sz="0" w:space="0" w:color="auto"/>
              </w:divBdr>
            </w:div>
          </w:divsChild>
        </w:div>
        <w:div w:id="2068065078">
          <w:marLeft w:val="0"/>
          <w:marRight w:val="0"/>
          <w:marTop w:val="0"/>
          <w:marBottom w:val="0"/>
          <w:divBdr>
            <w:top w:val="none" w:sz="0" w:space="0" w:color="auto"/>
            <w:left w:val="none" w:sz="0" w:space="0" w:color="auto"/>
            <w:bottom w:val="none" w:sz="0" w:space="0" w:color="auto"/>
            <w:right w:val="none" w:sz="0" w:space="0" w:color="auto"/>
          </w:divBdr>
          <w:divsChild>
            <w:div w:id="445540022">
              <w:marLeft w:val="0"/>
              <w:marRight w:val="0"/>
              <w:marTop w:val="0"/>
              <w:marBottom w:val="0"/>
              <w:divBdr>
                <w:top w:val="none" w:sz="0" w:space="0" w:color="auto"/>
                <w:left w:val="none" w:sz="0" w:space="0" w:color="auto"/>
                <w:bottom w:val="none" w:sz="0" w:space="0" w:color="auto"/>
                <w:right w:val="none" w:sz="0" w:space="0" w:color="auto"/>
              </w:divBdr>
            </w:div>
          </w:divsChild>
        </w:div>
        <w:div w:id="2105956020">
          <w:marLeft w:val="0"/>
          <w:marRight w:val="0"/>
          <w:marTop w:val="0"/>
          <w:marBottom w:val="0"/>
          <w:divBdr>
            <w:top w:val="none" w:sz="0" w:space="0" w:color="auto"/>
            <w:left w:val="none" w:sz="0" w:space="0" w:color="auto"/>
            <w:bottom w:val="none" w:sz="0" w:space="0" w:color="auto"/>
            <w:right w:val="none" w:sz="0" w:space="0" w:color="auto"/>
          </w:divBdr>
          <w:divsChild>
            <w:div w:id="1202673106">
              <w:marLeft w:val="0"/>
              <w:marRight w:val="0"/>
              <w:marTop w:val="0"/>
              <w:marBottom w:val="0"/>
              <w:divBdr>
                <w:top w:val="none" w:sz="0" w:space="0" w:color="auto"/>
                <w:left w:val="none" w:sz="0" w:space="0" w:color="auto"/>
                <w:bottom w:val="none" w:sz="0" w:space="0" w:color="auto"/>
                <w:right w:val="none" w:sz="0" w:space="0" w:color="auto"/>
              </w:divBdr>
            </w:div>
          </w:divsChild>
        </w:div>
        <w:div w:id="2126388235">
          <w:marLeft w:val="0"/>
          <w:marRight w:val="0"/>
          <w:marTop w:val="0"/>
          <w:marBottom w:val="0"/>
          <w:divBdr>
            <w:top w:val="none" w:sz="0" w:space="0" w:color="auto"/>
            <w:left w:val="none" w:sz="0" w:space="0" w:color="auto"/>
            <w:bottom w:val="none" w:sz="0" w:space="0" w:color="auto"/>
            <w:right w:val="none" w:sz="0" w:space="0" w:color="auto"/>
          </w:divBdr>
          <w:divsChild>
            <w:div w:id="1435443462">
              <w:marLeft w:val="0"/>
              <w:marRight w:val="0"/>
              <w:marTop w:val="0"/>
              <w:marBottom w:val="0"/>
              <w:divBdr>
                <w:top w:val="none" w:sz="0" w:space="0" w:color="auto"/>
                <w:left w:val="none" w:sz="0" w:space="0" w:color="auto"/>
                <w:bottom w:val="none" w:sz="0" w:space="0" w:color="auto"/>
                <w:right w:val="none" w:sz="0" w:space="0" w:color="auto"/>
              </w:divBdr>
            </w:div>
          </w:divsChild>
        </w:div>
        <w:div w:id="2131511601">
          <w:marLeft w:val="0"/>
          <w:marRight w:val="0"/>
          <w:marTop w:val="0"/>
          <w:marBottom w:val="0"/>
          <w:divBdr>
            <w:top w:val="none" w:sz="0" w:space="0" w:color="auto"/>
            <w:left w:val="none" w:sz="0" w:space="0" w:color="auto"/>
            <w:bottom w:val="none" w:sz="0" w:space="0" w:color="auto"/>
            <w:right w:val="none" w:sz="0" w:space="0" w:color="auto"/>
          </w:divBdr>
          <w:divsChild>
            <w:div w:id="108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431608">
      <w:bodyDiv w:val="1"/>
      <w:marLeft w:val="0"/>
      <w:marRight w:val="0"/>
      <w:marTop w:val="0"/>
      <w:marBottom w:val="0"/>
      <w:divBdr>
        <w:top w:val="none" w:sz="0" w:space="0" w:color="auto"/>
        <w:left w:val="none" w:sz="0" w:space="0" w:color="auto"/>
        <w:bottom w:val="none" w:sz="0" w:space="0" w:color="auto"/>
        <w:right w:val="none" w:sz="0" w:space="0" w:color="auto"/>
      </w:divBdr>
      <w:divsChild>
        <w:div w:id="246040269">
          <w:marLeft w:val="0"/>
          <w:marRight w:val="0"/>
          <w:marTop w:val="0"/>
          <w:marBottom w:val="0"/>
          <w:divBdr>
            <w:top w:val="none" w:sz="0" w:space="0" w:color="auto"/>
            <w:left w:val="none" w:sz="0" w:space="0" w:color="auto"/>
            <w:bottom w:val="none" w:sz="0" w:space="0" w:color="auto"/>
            <w:right w:val="none" w:sz="0" w:space="0" w:color="auto"/>
          </w:divBdr>
        </w:div>
        <w:div w:id="973364546">
          <w:marLeft w:val="0"/>
          <w:marRight w:val="0"/>
          <w:marTop w:val="0"/>
          <w:marBottom w:val="0"/>
          <w:divBdr>
            <w:top w:val="none" w:sz="0" w:space="0" w:color="auto"/>
            <w:left w:val="none" w:sz="0" w:space="0" w:color="auto"/>
            <w:bottom w:val="none" w:sz="0" w:space="0" w:color="auto"/>
            <w:right w:val="none" w:sz="0" w:space="0" w:color="auto"/>
          </w:divBdr>
        </w:div>
        <w:div w:id="1338461953">
          <w:marLeft w:val="0"/>
          <w:marRight w:val="0"/>
          <w:marTop w:val="0"/>
          <w:marBottom w:val="0"/>
          <w:divBdr>
            <w:top w:val="none" w:sz="0" w:space="0" w:color="auto"/>
            <w:left w:val="none" w:sz="0" w:space="0" w:color="auto"/>
            <w:bottom w:val="none" w:sz="0" w:space="0" w:color="auto"/>
            <w:right w:val="none" w:sz="0" w:space="0" w:color="auto"/>
          </w:divBdr>
        </w:div>
        <w:div w:id="2103379065">
          <w:marLeft w:val="0"/>
          <w:marRight w:val="0"/>
          <w:marTop w:val="0"/>
          <w:marBottom w:val="0"/>
          <w:divBdr>
            <w:top w:val="none" w:sz="0" w:space="0" w:color="auto"/>
            <w:left w:val="none" w:sz="0" w:space="0" w:color="auto"/>
            <w:bottom w:val="none" w:sz="0" w:space="0" w:color="auto"/>
            <w:right w:val="none" w:sz="0" w:space="0" w:color="auto"/>
          </w:divBdr>
        </w:div>
      </w:divsChild>
    </w:div>
    <w:div w:id="2059232620">
      <w:bodyDiv w:val="1"/>
      <w:marLeft w:val="0"/>
      <w:marRight w:val="0"/>
      <w:marTop w:val="0"/>
      <w:marBottom w:val="0"/>
      <w:divBdr>
        <w:top w:val="none" w:sz="0" w:space="0" w:color="auto"/>
        <w:left w:val="none" w:sz="0" w:space="0" w:color="auto"/>
        <w:bottom w:val="none" w:sz="0" w:space="0" w:color="auto"/>
        <w:right w:val="none" w:sz="0" w:space="0" w:color="auto"/>
      </w:divBdr>
    </w:div>
    <w:div w:id="2117749667">
      <w:bodyDiv w:val="1"/>
      <w:marLeft w:val="0"/>
      <w:marRight w:val="0"/>
      <w:marTop w:val="0"/>
      <w:marBottom w:val="0"/>
      <w:divBdr>
        <w:top w:val="none" w:sz="0" w:space="0" w:color="auto"/>
        <w:left w:val="none" w:sz="0" w:space="0" w:color="auto"/>
        <w:bottom w:val="none" w:sz="0" w:space="0" w:color="auto"/>
        <w:right w:val="none" w:sz="0" w:space="0" w:color="auto"/>
      </w:divBdr>
      <w:divsChild>
        <w:div w:id="18623991">
          <w:marLeft w:val="0"/>
          <w:marRight w:val="0"/>
          <w:marTop w:val="0"/>
          <w:marBottom w:val="0"/>
          <w:divBdr>
            <w:top w:val="none" w:sz="0" w:space="0" w:color="auto"/>
            <w:left w:val="none" w:sz="0" w:space="0" w:color="auto"/>
            <w:bottom w:val="none" w:sz="0" w:space="0" w:color="auto"/>
            <w:right w:val="none" w:sz="0" w:space="0" w:color="auto"/>
          </w:divBdr>
        </w:div>
        <w:div w:id="86080828">
          <w:marLeft w:val="0"/>
          <w:marRight w:val="0"/>
          <w:marTop w:val="0"/>
          <w:marBottom w:val="0"/>
          <w:divBdr>
            <w:top w:val="none" w:sz="0" w:space="0" w:color="auto"/>
            <w:left w:val="none" w:sz="0" w:space="0" w:color="auto"/>
            <w:bottom w:val="none" w:sz="0" w:space="0" w:color="auto"/>
            <w:right w:val="none" w:sz="0" w:space="0" w:color="auto"/>
          </w:divBdr>
        </w:div>
        <w:div w:id="114251622">
          <w:marLeft w:val="0"/>
          <w:marRight w:val="0"/>
          <w:marTop w:val="0"/>
          <w:marBottom w:val="0"/>
          <w:divBdr>
            <w:top w:val="none" w:sz="0" w:space="0" w:color="auto"/>
            <w:left w:val="none" w:sz="0" w:space="0" w:color="auto"/>
            <w:bottom w:val="none" w:sz="0" w:space="0" w:color="auto"/>
            <w:right w:val="none" w:sz="0" w:space="0" w:color="auto"/>
          </w:divBdr>
        </w:div>
        <w:div w:id="173762776">
          <w:marLeft w:val="0"/>
          <w:marRight w:val="0"/>
          <w:marTop w:val="0"/>
          <w:marBottom w:val="0"/>
          <w:divBdr>
            <w:top w:val="none" w:sz="0" w:space="0" w:color="auto"/>
            <w:left w:val="none" w:sz="0" w:space="0" w:color="auto"/>
            <w:bottom w:val="none" w:sz="0" w:space="0" w:color="auto"/>
            <w:right w:val="none" w:sz="0" w:space="0" w:color="auto"/>
          </w:divBdr>
        </w:div>
        <w:div w:id="265426367">
          <w:marLeft w:val="0"/>
          <w:marRight w:val="0"/>
          <w:marTop w:val="0"/>
          <w:marBottom w:val="0"/>
          <w:divBdr>
            <w:top w:val="none" w:sz="0" w:space="0" w:color="auto"/>
            <w:left w:val="none" w:sz="0" w:space="0" w:color="auto"/>
            <w:bottom w:val="none" w:sz="0" w:space="0" w:color="auto"/>
            <w:right w:val="none" w:sz="0" w:space="0" w:color="auto"/>
          </w:divBdr>
        </w:div>
        <w:div w:id="346568785">
          <w:marLeft w:val="0"/>
          <w:marRight w:val="0"/>
          <w:marTop w:val="0"/>
          <w:marBottom w:val="0"/>
          <w:divBdr>
            <w:top w:val="none" w:sz="0" w:space="0" w:color="auto"/>
            <w:left w:val="none" w:sz="0" w:space="0" w:color="auto"/>
            <w:bottom w:val="none" w:sz="0" w:space="0" w:color="auto"/>
            <w:right w:val="none" w:sz="0" w:space="0" w:color="auto"/>
          </w:divBdr>
        </w:div>
        <w:div w:id="355473951">
          <w:marLeft w:val="0"/>
          <w:marRight w:val="0"/>
          <w:marTop w:val="0"/>
          <w:marBottom w:val="0"/>
          <w:divBdr>
            <w:top w:val="none" w:sz="0" w:space="0" w:color="auto"/>
            <w:left w:val="none" w:sz="0" w:space="0" w:color="auto"/>
            <w:bottom w:val="none" w:sz="0" w:space="0" w:color="auto"/>
            <w:right w:val="none" w:sz="0" w:space="0" w:color="auto"/>
          </w:divBdr>
        </w:div>
        <w:div w:id="419302892">
          <w:marLeft w:val="0"/>
          <w:marRight w:val="0"/>
          <w:marTop w:val="0"/>
          <w:marBottom w:val="0"/>
          <w:divBdr>
            <w:top w:val="none" w:sz="0" w:space="0" w:color="auto"/>
            <w:left w:val="none" w:sz="0" w:space="0" w:color="auto"/>
            <w:bottom w:val="none" w:sz="0" w:space="0" w:color="auto"/>
            <w:right w:val="none" w:sz="0" w:space="0" w:color="auto"/>
          </w:divBdr>
        </w:div>
        <w:div w:id="431821302">
          <w:marLeft w:val="0"/>
          <w:marRight w:val="0"/>
          <w:marTop w:val="0"/>
          <w:marBottom w:val="0"/>
          <w:divBdr>
            <w:top w:val="none" w:sz="0" w:space="0" w:color="auto"/>
            <w:left w:val="none" w:sz="0" w:space="0" w:color="auto"/>
            <w:bottom w:val="none" w:sz="0" w:space="0" w:color="auto"/>
            <w:right w:val="none" w:sz="0" w:space="0" w:color="auto"/>
          </w:divBdr>
        </w:div>
        <w:div w:id="482963651">
          <w:marLeft w:val="0"/>
          <w:marRight w:val="0"/>
          <w:marTop w:val="0"/>
          <w:marBottom w:val="0"/>
          <w:divBdr>
            <w:top w:val="none" w:sz="0" w:space="0" w:color="auto"/>
            <w:left w:val="none" w:sz="0" w:space="0" w:color="auto"/>
            <w:bottom w:val="none" w:sz="0" w:space="0" w:color="auto"/>
            <w:right w:val="none" w:sz="0" w:space="0" w:color="auto"/>
          </w:divBdr>
        </w:div>
        <w:div w:id="578028698">
          <w:marLeft w:val="0"/>
          <w:marRight w:val="0"/>
          <w:marTop w:val="0"/>
          <w:marBottom w:val="0"/>
          <w:divBdr>
            <w:top w:val="none" w:sz="0" w:space="0" w:color="auto"/>
            <w:left w:val="none" w:sz="0" w:space="0" w:color="auto"/>
            <w:bottom w:val="none" w:sz="0" w:space="0" w:color="auto"/>
            <w:right w:val="none" w:sz="0" w:space="0" w:color="auto"/>
          </w:divBdr>
        </w:div>
        <w:div w:id="653219457">
          <w:marLeft w:val="0"/>
          <w:marRight w:val="0"/>
          <w:marTop w:val="0"/>
          <w:marBottom w:val="0"/>
          <w:divBdr>
            <w:top w:val="none" w:sz="0" w:space="0" w:color="auto"/>
            <w:left w:val="none" w:sz="0" w:space="0" w:color="auto"/>
            <w:bottom w:val="none" w:sz="0" w:space="0" w:color="auto"/>
            <w:right w:val="none" w:sz="0" w:space="0" w:color="auto"/>
          </w:divBdr>
        </w:div>
        <w:div w:id="665472598">
          <w:marLeft w:val="0"/>
          <w:marRight w:val="0"/>
          <w:marTop w:val="0"/>
          <w:marBottom w:val="0"/>
          <w:divBdr>
            <w:top w:val="none" w:sz="0" w:space="0" w:color="auto"/>
            <w:left w:val="none" w:sz="0" w:space="0" w:color="auto"/>
            <w:bottom w:val="none" w:sz="0" w:space="0" w:color="auto"/>
            <w:right w:val="none" w:sz="0" w:space="0" w:color="auto"/>
          </w:divBdr>
        </w:div>
        <w:div w:id="745801511">
          <w:marLeft w:val="0"/>
          <w:marRight w:val="0"/>
          <w:marTop w:val="0"/>
          <w:marBottom w:val="0"/>
          <w:divBdr>
            <w:top w:val="none" w:sz="0" w:space="0" w:color="auto"/>
            <w:left w:val="none" w:sz="0" w:space="0" w:color="auto"/>
            <w:bottom w:val="none" w:sz="0" w:space="0" w:color="auto"/>
            <w:right w:val="none" w:sz="0" w:space="0" w:color="auto"/>
          </w:divBdr>
        </w:div>
        <w:div w:id="797067872">
          <w:marLeft w:val="0"/>
          <w:marRight w:val="0"/>
          <w:marTop w:val="0"/>
          <w:marBottom w:val="0"/>
          <w:divBdr>
            <w:top w:val="none" w:sz="0" w:space="0" w:color="auto"/>
            <w:left w:val="none" w:sz="0" w:space="0" w:color="auto"/>
            <w:bottom w:val="none" w:sz="0" w:space="0" w:color="auto"/>
            <w:right w:val="none" w:sz="0" w:space="0" w:color="auto"/>
          </w:divBdr>
        </w:div>
        <w:div w:id="846750133">
          <w:marLeft w:val="0"/>
          <w:marRight w:val="0"/>
          <w:marTop w:val="0"/>
          <w:marBottom w:val="0"/>
          <w:divBdr>
            <w:top w:val="none" w:sz="0" w:space="0" w:color="auto"/>
            <w:left w:val="none" w:sz="0" w:space="0" w:color="auto"/>
            <w:bottom w:val="none" w:sz="0" w:space="0" w:color="auto"/>
            <w:right w:val="none" w:sz="0" w:space="0" w:color="auto"/>
          </w:divBdr>
        </w:div>
        <w:div w:id="868645833">
          <w:marLeft w:val="0"/>
          <w:marRight w:val="0"/>
          <w:marTop w:val="0"/>
          <w:marBottom w:val="0"/>
          <w:divBdr>
            <w:top w:val="none" w:sz="0" w:space="0" w:color="auto"/>
            <w:left w:val="none" w:sz="0" w:space="0" w:color="auto"/>
            <w:bottom w:val="none" w:sz="0" w:space="0" w:color="auto"/>
            <w:right w:val="none" w:sz="0" w:space="0" w:color="auto"/>
          </w:divBdr>
        </w:div>
        <w:div w:id="875316058">
          <w:marLeft w:val="0"/>
          <w:marRight w:val="0"/>
          <w:marTop w:val="0"/>
          <w:marBottom w:val="0"/>
          <w:divBdr>
            <w:top w:val="none" w:sz="0" w:space="0" w:color="auto"/>
            <w:left w:val="none" w:sz="0" w:space="0" w:color="auto"/>
            <w:bottom w:val="none" w:sz="0" w:space="0" w:color="auto"/>
            <w:right w:val="none" w:sz="0" w:space="0" w:color="auto"/>
          </w:divBdr>
        </w:div>
        <w:div w:id="942230492">
          <w:marLeft w:val="0"/>
          <w:marRight w:val="0"/>
          <w:marTop w:val="0"/>
          <w:marBottom w:val="0"/>
          <w:divBdr>
            <w:top w:val="none" w:sz="0" w:space="0" w:color="auto"/>
            <w:left w:val="none" w:sz="0" w:space="0" w:color="auto"/>
            <w:bottom w:val="none" w:sz="0" w:space="0" w:color="auto"/>
            <w:right w:val="none" w:sz="0" w:space="0" w:color="auto"/>
          </w:divBdr>
        </w:div>
        <w:div w:id="990139965">
          <w:marLeft w:val="0"/>
          <w:marRight w:val="0"/>
          <w:marTop w:val="0"/>
          <w:marBottom w:val="0"/>
          <w:divBdr>
            <w:top w:val="none" w:sz="0" w:space="0" w:color="auto"/>
            <w:left w:val="none" w:sz="0" w:space="0" w:color="auto"/>
            <w:bottom w:val="none" w:sz="0" w:space="0" w:color="auto"/>
            <w:right w:val="none" w:sz="0" w:space="0" w:color="auto"/>
          </w:divBdr>
        </w:div>
        <w:div w:id="1021589925">
          <w:marLeft w:val="0"/>
          <w:marRight w:val="0"/>
          <w:marTop w:val="0"/>
          <w:marBottom w:val="0"/>
          <w:divBdr>
            <w:top w:val="none" w:sz="0" w:space="0" w:color="auto"/>
            <w:left w:val="none" w:sz="0" w:space="0" w:color="auto"/>
            <w:bottom w:val="none" w:sz="0" w:space="0" w:color="auto"/>
            <w:right w:val="none" w:sz="0" w:space="0" w:color="auto"/>
          </w:divBdr>
        </w:div>
        <w:div w:id="1093667011">
          <w:marLeft w:val="0"/>
          <w:marRight w:val="0"/>
          <w:marTop w:val="0"/>
          <w:marBottom w:val="0"/>
          <w:divBdr>
            <w:top w:val="none" w:sz="0" w:space="0" w:color="auto"/>
            <w:left w:val="none" w:sz="0" w:space="0" w:color="auto"/>
            <w:bottom w:val="none" w:sz="0" w:space="0" w:color="auto"/>
            <w:right w:val="none" w:sz="0" w:space="0" w:color="auto"/>
          </w:divBdr>
        </w:div>
        <w:div w:id="1099988311">
          <w:marLeft w:val="0"/>
          <w:marRight w:val="0"/>
          <w:marTop w:val="0"/>
          <w:marBottom w:val="0"/>
          <w:divBdr>
            <w:top w:val="none" w:sz="0" w:space="0" w:color="auto"/>
            <w:left w:val="none" w:sz="0" w:space="0" w:color="auto"/>
            <w:bottom w:val="none" w:sz="0" w:space="0" w:color="auto"/>
            <w:right w:val="none" w:sz="0" w:space="0" w:color="auto"/>
          </w:divBdr>
        </w:div>
        <w:div w:id="1137378924">
          <w:marLeft w:val="0"/>
          <w:marRight w:val="0"/>
          <w:marTop w:val="0"/>
          <w:marBottom w:val="0"/>
          <w:divBdr>
            <w:top w:val="none" w:sz="0" w:space="0" w:color="auto"/>
            <w:left w:val="none" w:sz="0" w:space="0" w:color="auto"/>
            <w:bottom w:val="none" w:sz="0" w:space="0" w:color="auto"/>
            <w:right w:val="none" w:sz="0" w:space="0" w:color="auto"/>
          </w:divBdr>
        </w:div>
        <w:div w:id="1172990095">
          <w:marLeft w:val="0"/>
          <w:marRight w:val="0"/>
          <w:marTop w:val="0"/>
          <w:marBottom w:val="0"/>
          <w:divBdr>
            <w:top w:val="none" w:sz="0" w:space="0" w:color="auto"/>
            <w:left w:val="none" w:sz="0" w:space="0" w:color="auto"/>
            <w:bottom w:val="none" w:sz="0" w:space="0" w:color="auto"/>
            <w:right w:val="none" w:sz="0" w:space="0" w:color="auto"/>
          </w:divBdr>
        </w:div>
        <w:div w:id="1200557385">
          <w:marLeft w:val="0"/>
          <w:marRight w:val="0"/>
          <w:marTop w:val="0"/>
          <w:marBottom w:val="0"/>
          <w:divBdr>
            <w:top w:val="none" w:sz="0" w:space="0" w:color="auto"/>
            <w:left w:val="none" w:sz="0" w:space="0" w:color="auto"/>
            <w:bottom w:val="none" w:sz="0" w:space="0" w:color="auto"/>
            <w:right w:val="none" w:sz="0" w:space="0" w:color="auto"/>
          </w:divBdr>
        </w:div>
        <w:div w:id="1220898864">
          <w:marLeft w:val="0"/>
          <w:marRight w:val="0"/>
          <w:marTop w:val="0"/>
          <w:marBottom w:val="0"/>
          <w:divBdr>
            <w:top w:val="none" w:sz="0" w:space="0" w:color="auto"/>
            <w:left w:val="none" w:sz="0" w:space="0" w:color="auto"/>
            <w:bottom w:val="none" w:sz="0" w:space="0" w:color="auto"/>
            <w:right w:val="none" w:sz="0" w:space="0" w:color="auto"/>
          </w:divBdr>
        </w:div>
        <w:div w:id="1241981964">
          <w:marLeft w:val="0"/>
          <w:marRight w:val="0"/>
          <w:marTop w:val="0"/>
          <w:marBottom w:val="0"/>
          <w:divBdr>
            <w:top w:val="none" w:sz="0" w:space="0" w:color="auto"/>
            <w:left w:val="none" w:sz="0" w:space="0" w:color="auto"/>
            <w:bottom w:val="none" w:sz="0" w:space="0" w:color="auto"/>
            <w:right w:val="none" w:sz="0" w:space="0" w:color="auto"/>
          </w:divBdr>
        </w:div>
        <w:div w:id="1256329559">
          <w:marLeft w:val="0"/>
          <w:marRight w:val="0"/>
          <w:marTop w:val="0"/>
          <w:marBottom w:val="0"/>
          <w:divBdr>
            <w:top w:val="none" w:sz="0" w:space="0" w:color="auto"/>
            <w:left w:val="none" w:sz="0" w:space="0" w:color="auto"/>
            <w:bottom w:val="none" w:sz="0" w:space="0" w:color="auto"/>
            <w:right w:val="none" w:sz="0" w:space="0" w:color="auto"/>
          </w:divBdr>
        </w:div>
        <w:div w:id="1291589336">
          <w:marLeft w:val="0"/>
          <w:marRight w:val="0"/>
          <w:marTop w:val="0"/>
          <w:marBottom w:val="0"/>
          <w:divBdr>
            <w:top w:val="none" w:sz="0" w:space="0" w:color="auto"/>
            <w:left w:val="none" w:sz="0" w:space="0" w:color="auto"/>
            <w:bottom w:val="none" w:sz="0" w:space="0" w:color="auto"/>
            <w:right w:val="none" w:sz="0" w:space="0" w:color="auto"/>
          </w:divBdr>
        </w:div>
        <w:div w:id="1327434627">
          <w:marLeft w:val="0"/>
          <w:marRight w:val="0"/>
          <w:marTop w:val="0"/>
          <w:marBottom w:val="0"/>
          <w:divBdr>
            <w:top w:val="none" w:sz="0" w:space="0" w:color="auto"/>
            <w:left w:val="none" w:sz="0" w:space="0" w:color="auto"/>
            <w:bottom w:val="none" w:sz="0" w:space="0" w:color="auto"/>
            <w:right w:val="none" w:sz="0" w:space="0" w:color="auto"/>
          </w:divBdr>
        </w:div>
        <w:div w:id="1362321996">
          <w:marLeft w:val="0"/>
          <w:marRight w:val="0"/>
          <w:marTop w:val="0"/>
          <w:marBottom w:val="0"/>
          <w:divBdr>
            <w:top w:val="none" w:sz="0" w:space="0" w:color="auto"/>
            <w:left w:val="none" w:sz="0" w:space="0" w:color="auto"/>
            <w:bottom w:val="none" w:sz="0" w:space="0" w:color="auto"/>
            <w:right w:val="none" w:sz="0" w:space="0" w:color="auto"/>
          </w:divBdr>
        </w:div>
        <w:div w:id="1363553896">
          <w:marLeft w:val="0"/>
          <w:marRight w:val="0"/>
          <w:marTop w:val="0"/>
          <w:marBottom w:val="0"/>
          <w:divBdr>
            <w:top w:val="none" w:sz="0" w:space="0" w:color="auto"/>
            <w:left w:val="none" w:sz="0" w:space="0" w:color="auto"/>
            <w:bottom w:val="none" w:sz="0" w:space="0" w:color="auto"/>
            <w:right w:val="none" w:sz="0" w:space="0" w:color="auto"/>
          </w:divBdr>
        </w:div>
        <w:div w:id="1458572209">
          <w:marLeft w:val="0"/>
          <w:marRight w:val="0"/>
          <w:marTop w:val="0"/>
          <w:marBottom w:val="0"/>
          <w:divBdr>
            <w:top w:val="none" w:sz="0" w:space="0" w:color="auto"/>
            <w:left w:val="none" w:sz="0" w:space="0" w:color="auto"/>
            <w:bottom w:val="none" w:sz="0" w:space="0" w:color="auto"/>
            <w:right w:val="none" w:sz="0" w:space="0" w:color="auto"/>
          </w:divBdr>
        </w:div>
        <w:div w:id="1551186746">
          <w:marLeft w:val="0"/>
          <w:marRight w:val="0"/>
          <w:marTop w:val="0"/>
          <w:marBottom w:val="0"/>
          <w:divBdr>
            <w:top w:val="none" w:sz="0" w:space="0" w:color="auto"/>
            <w:left w:val="none" w:sz="0" w:space="0" w:color="auto"/>
            <w:bottom w:val="none" w:sz="0" w:space="0" w:color="auto"/>
            <w:right w:val="none" w:sz="0" w:space="0" w:color="auto"/>
          </w:divBdr>
        </w:div>
        <w:div w:id="1659267027">
          <w:marLeft w:val="0"/>
          <w:marRight w:val="0"/>
          <w:marTop w:val="0"/>
          <w:marBottom w:val="0"/>
          <w:divBdr>
            <w:top w:val="none" w:sz="0" w:space="0" w:color="auto"/>
            <w:left w:val="none" w:sz="0" w:space="0" w:color="auto"/>
            <w:bottom w:val="none" w:sz="0" w:space="0" w:color="auto"/>
            <w:right w:val="none" w:sz="0" w:space="0" w:color="auto"/>
          </w:divBdr>
        </w:div>
        <w:div w:id="1662006720">
          <w:marLeft w:val="0"/>
          <w:marRight w:val="0"/>
          <w:marTop w:val="0"/>
          <w:marBottom w:val="0"/>
          <w:divBdr>
            <w:top w:val="none" w:sz="0" w:space="0" w:color="auto"/>
            <w:left w:val="none" w:sz="0" w:space="0" w:color="auto"/>
            <w:bottom w:val="none" w:sz="0" w:space="0" w:color="auto"/>
            <w:right w:val="none" w:sz="0" w:space="0" w:color="auto"/>
          </w:divBdr>
        </w:div>
        <w:div w:id="1676617101">
          <w:marLeft w:val="0"/>
          <w:marRight w:val="0"/>
          <w:marTop w:val="0"/>
          <w:marBottom w:val="0"/>
          <w:divBdr>
            <w:top w:val="none" w:sz="0" w:space="0" w:color="auto"/>
            <w:left w:val="none" w:sz="0" w:space="0" w:color="auto"/>
            <w:bottom w:val="none" w:sz="0" w:space="0" w:color="auto"/>
            <w:right w:val="none" w:sz="0" w:space="0" w:color="auto"/>
          </w:divBdr>
        </w:div>
        <w:div w:id="1724787740">
          <w:marLeft w:val="0"/>
          <w:marRight w:val="0"/>
          <w:marTop w:val="0"/>
          <w:marBottom w:val="0"/>
          <w:divBdr>
            <w:top w:val="none" w:sz="0" w:space="0" w:color="auto"/>
            <w:left w:val="none" w:sz="0" w:space="0" w:color="auto"/>
            <w:bottom w:val="none" w:sz="0" w:space="0" w:color="auto"/>
            <w:right w:val="none" w:sz="0" w:space="0" w:color="auto"/>
          </w:divBdr>
        </w:div>
        <w:div w:id="1730107533">
          <w:marLeft w:val="0"/>
          <w:marRight w:val="0"/>
          <w:marTop w:val="0"/>
          <w:marBottom w:val="0"/>
          <w:divBdr>
            <w:top w:val="none" w:sz="0" w:space="0" w:color="auto"/>
            <w:left w:val="none" w:sz="0" w:space="0" w:color="auto"/>
            <w:bottom w:val="none" w:sz="0" w:space="0" w:color="auto"/>
            <w:right w:val="none" w:sz="0" w:space="0" w:color="auto"/>
          </w:divBdr>
        </w:div>
        <w:div w:id="1987052181">
          <w:marLeft w:val="0"/>
          <w:marRight w:val="0"/>
          <w:marTop w:val="0"/>
          <w:marBottom w:val="0"/>
          <w:divBdr>
            <w:top w:val="none" w:sz="0" w:space="0" w:color="auto"/>
            <w:left w:val="none" w:sz="0" w:space="0" w:color="auto"/>
            <w:bottom w:val="none" w:sz="0" w:space="0" w:color="auto"/>
            <w:right w:val="none" w:sz="0" w:space="0" w:color="auto"/>
          </w:divBdr>
        </w:div>
        <w:div w:id="2000158849">
          <w:marLeft w:val="0"/>
          <w:marRight w:val="0"/>
          <w:marTop w:val="0"/>
          <w:marBottom w:val="0"/>
          <w:divBdr>
            <w:top w:val="none" w:sz="0" w:space="0" w:color="auto"/>
            <w:left w:val="none" w:sz="0" w:space="0" w:color="auto"/>
            <w:bottom w:val="none" w:sz="0" w:space="0" w:color="auto"/>
            <w:right w:val="none" w:sz="0" w:space="0" w:color="auto"/>
          </w:divBdr>
        </w:div>
        <w:div w:id="2037660275">
          <w:marLeft w:val="0"/>
          <w:marRight w:val="0"/>
          <w:marTop w:val="0"/>
          <w:marBottom w:val="0"/>
          <w:divBdr>
            <w:top w:val="none" w:sz="0" w:space="0" w:color="auto"/>
            <w:left w:val="none" w:sz="0" w:space="0" w:color="auto"/>
            <w:bottom w:val="none" w:sz="0" w:space="0" w:color="auto"/>
            <w:right w:val="none" w:sz="0" w:space="0" w:color="auto"/>
          </w:divBdr>
        </w:div>
        <w:div w:id="2062248151">
          <w:marLeft w:val="0"/>
          <w:marRight w:val="0"/>
          <w:marTop w:val="0"/>
          <w:marBottom w:val="0"/>
          <w:divBdr>
            <w:top w:val="none" w:sz="0" w:space="0" w:color="auto"/>
            <w:left w:val="none" w:sz="0" w:space="0" w:color="auto"/>
            <w:bottom w:val="none" w:sz="0" w:space="0" w:color="auto"/>
            <w:right w:val="none" w:sz="0" w:space="0" w:color="auto"/>
          </w:divBdr>
        </w:div>
        <w:div w:id="2104295775">
          <w:marLeft w:val="0"/>
          <w:marRight w:val="0"/>
          <w:marTop w:val="0"/>
          <w:marBottom w:val="0"/>
          <w:divBdr>
            <w:top w:val="none" w:sz="0" w:space="0" w:color="auto"/>
            <w:left w:val="none" w:sz="0" w:space="0" w:color="auto"/>
            <w:bottom w:val="none" w:sz="0" w:space="0" w:color="auto"/>
            <w:right w:val="none" w:sz="0" w:space="0" w:color="auto"/>
          </w:divBdr>
        </w:div>
      </w:divsChild>
    </w:div>
    <w:div w:id="2120028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9.xml"/><Relationship Id="rId21" Type="http://schemas.openxmlformats.org/officeDocument/2006/relationships/hyperlink" Target="https://link.springer.com/article/10.1007/s10869-015-9427-4" TargetMode="External"/><Relationship Id="rId42" Type="http://schemas.openxmlformats.org/officeDocument/2006/relationships/hyperlink" Target="http://cite.gov.pt/asstscite/downloads/guia_revalorizar_en.pdf" TargetMode="External"/><Relationship Id="rId63" Type="http://schemas.openxmlformats.org/officeDocument/2006/relationships/hyperlink" Target="https://ideas.repec.org/s/iza/izawol.html" TargetMode="External"/><Relationship Id="rId84" Type="http://schemas.openxmlformats.org/officeDocument/2006/relationships/hyperlink" Target="https://www.payscale.com/data/gender-pay-gap" TargetMode="External"/><Relationship Id="rId138" Type="http://schemas.openxmlformats.org/officeDocument/2006/relationships/image" Target="media/image15.png"/><Relationship Id="rId159" Type="http://schemas.openxmlformats.org/officeDocument/2006/relationships/image" Target="media/image36.png"/><Relationship Id="rId170" Type="http://schemas.openxmlformats.org/officeDocument/2006/relationships/image" Target="media/image41.png"/><Relationship Id="rId191" Type="http://schemas.openxmlformats.org/officeDocument/2006/relationships/header" Target="header24.xml"/><Relationship Id="rId205" Type="http://schemas.openxmlformats.org/officeDocument/2006/relationships/hyperlink" Target="http://www.gehaltsrechner.gv.at" TargetMode="External"/><Relationship Id="rId226" Type="http://schemas.openxmlformats.org/officeDocument/2006/relationships/header" Target="header37.xml"/><Relationship Id="rId107" Type="http://schemas.openxmlformats.org/officeDocument/2006/relationships/header" Target="header4.xml"/><Relationship Id="rId11" Type="http://schemas.openxmlformats.org/officeDocument/2006/relationships/endnotes" Target="endnotes.xml"/><Relationship Id="rId32" Type="http://schemas.openxmlformats.org/officeDocument/2006/relationships/hyperlink" Target="https://onlinelibrary.wiley.com/doi/full/10.1111/j.0347-0520.2004.00376.x" TargetMode="External"/><Relationship Id="rId53" Type="http://schemas.openxmlformats.org/officeDocument/2006/relationships/hyperlink" Target="https://op.europa.eu/en/publication-detail/-/publication/84cc9eb9-b33d-11e9-9d01-01aa75ed71a1" TargetMode="External"/><Relationship Id="rId74" Type="http://schemas.openxmlformats.org/officeDocument/2006/relationships/hyperlink" Target="http://fortune.com/2014/08/26/performance-review-gender-bias/" TargetMode="External"/><Relationship Id="rId128" Type="http://schemas.openxmlformats.org/officeDocument/2006/relationships/image" Target="media/image5.png"/><Relationship Id="rId149" Type="http://schemas.openxmlformats.org/officeDocument/2006/relationships/image" Target="media/image26.png"/><Relationship Id="rId5" Type="http://schemas.openxmlformats.org/officeDocument/2006/relationships/numbering" Target="numbering.xml"/><Relationship Id="rId95" Type="http://schemas.openxmlformats.org/officeDocument/2006/relationships/hyperlink" Target="http://publications.europa.eu/webpub/com/refit-scoreboard/en/priority/7/7-20.html" TargetMode="External"/><Relationship Id="rId160" Type="http://schemas.openxmlformats.org/officeDocument/2006/relationships/image" Target="media/image37.png"/><Relationship Id="rId181" Type="http://schemas.openxmlformats.org/officeDocument/2006/relationships/header" Target="header19.xml"/><Relationship Id="rId216" Type="http://schemas.openxmlformats.org/officeDocument/2006/relationships/footer" Target="footer31.xml"/><Relationship Id="rId22" Type="http://schemas.openxmlformats.org/officeDocument/2006/relationships/hyperlink" Target="https://www.unilu.ch/fileadmin/fakultaeten/wf/institute/hrm/dok/Forschung/PayTransparency_IntReport.pdf" TargetMode="External"/><Relationship Id="rId43" Type="http://schemas.openxmlformats.org/officeDocument/2006/relationships/hyperlink" Target="https://www.glassdoor.com/research/app/uploads/sites/2/2015/04/GD_Report_2-2.pdf" TargetMode="External"/><Relationship Id="rId64" Type="http://schemas.openxmlformats.org/officeDocument/2006/relationships/hyperlink" Target="https://onlinelibrary.wiley.com/doi/abs/10.1111/irel.12109" TargetMode="External"/><Relationship Id="rId118" Type="http://schemas.openxmlformats.org/officeDocument/2006/relationships/footer" Target="footer9.xml"/><Relationship Id="rId139" Type="http://schemas.openxmlformats.org/officeDocument/2006/relationships/image" Target="media/image16.png"/><Relationship Id="rId80" Type="http://schemas.openxmlformats.org/officeDocument/2006/relationships/hyperlink" Target="https://hbr.org/2015/10/most-people-have-no-idea-whether-theyre-paid-fairly" TargetMode="External"/><Relationship Id="rId85" Type="http://schemas.openxmlformats.org/officeDocument/2006/relationships/hyperlink" Target="https://jamstalldhetsfeministern.files.wordpress.com/2014/04/miljongranskningen_etapp2_nov2008.pdf" TargetMode="External"/><Relationship Id="rId150" Type="http://schemas.openxmlformats.org/officeDocument/2006/relationships/image" Target="media/image27.png"/><Relationship Id="rId155" Type="http://schemas.openxmlformats.org/officeDocument/2006/relationships/image" Target="media/image32.png"/><Relationship Id="rId171" Type="http://schemas.openxmlformats.org/officeDocument/2006/relationships/image" Target="media/image42.png"/><Relationship Id="rId176" Type="http://schemas.openxmlformats.org/officeDocument/2006/relationships/header" Target="header17.xml"/><Relationship Id="rId192" Type="http://schemas.openxmlformats.org/officeDocument/2006/relationships/footer" Target="footer24.xml"/><Relationship Id="rId197" Type="http://schemas.openxmlformats.org/officeDocument/2006/relationships/header" Target="header27.xml"/><Relationship Id="rId206" Type="http://schemas.openxmlformats.org/officeDocument/2006/relationships/hyperlink" Target="http://igvm-iefh.belgium.be/fr/domaines_action/emploi/gelijk_loon/berekening/" TargetMode="External"/><Relationship Id="rId227" Type="http://schemas.openxmlformats.org/officeDocument/2006/relationships/header" Target="header38.xml"/><Relationship Id="rId201" Type="http://schemas.openxmlformats.org/officeDocument/2006/relationships/footer" Target="footer28.xml"/><Relationship Id="rId222" Type="http://schemas.openxmlformats.org/officeDocument/2006/relationships/footer" Target="footer34.xml"/><Relationship Id="rId12" Type="http://schemas.openxmlformats.org/officeDocument/2006/relationships/image" Target="media/image1.emf"/><Relationship Id="rId17" Type="http://schemas.openxmlformats.org/officeDocument/2006/relationships/header" Target="header3.xml"/><Relationship Id="rId33" Type="http://schemas.openxmlformats.org/officeDocument/2006/relationships/hyperlink" Target="https://papers.ssrn.com/sol3/papers.cfm?abstract_id=3519540" TargetMode="External"/><Relationship Id="rId38" Type="http://schemas.openxmlformats.org/officeDocument/2006/relationships/hyperlink" Target="https://www.sciencedirect.com/science/article/pii/S0927537119300284?via%3Dihub" TargetMode="External"/><Relationship Id="rId59" Type="http://schemas.openxmlformats.org/officeDocument/2006/relationships/hyperlink" Target="https://www.ilo.org/wcmsp5/groups/public/---ed_dialogue/---actrav/documents/publication/wcms_684189.pdf" TargetMode="External"/><Relationship Id="rId103" Type="http://schemas.openxmlformats.org/officeDocument/2006/relationships/hyperlink" Target="https://www.payanalytics.com/faq" TargetMode="External"/><Relationship Id="rId108" Type="http://schemas.openxmlformats.org/officeDocument/2006/relationships/header" Target="header5.xml"/><Relationship Id="rId124" Type="http://schemas.openxmlformats.org/officeDocument/2006/relationships/footer" Target="footer12.xml"/><Relationship Id="rId129" Type="http://schemas.openxmlformats.org/officeDocument/2006/relationships/image" Target="media/image6.png"/><Relationship Id="rId54" Type="http://schemas.openxmlformats.org/officeDocument/2006/relationships/hyperlink" Target="https://www.europarl.europa.eu/RegData/etudes/STUD/2020/642379/IPOL_STU(2020)642379_EN.pdf" TargetMode="External"/><Relationship Id="rId70" Type="http://schemas.openxmlformats.org/officeDocument/2006/relationships/hyperlink" Target="http://oecd.org/coronavirus/policy-responses/women-at-the-core-of-the-fight-against-covid-19-crisis-553a8269/" TargetMode="External"/><Relationship Id="rId75" Type="http://schemas.openxmlformats.org/officeDocument/2006/relationships/hyperlink" Target="https://www.sciencedirect.com/science/article/pii/S0007681317300356?via%3Dihub" TargetMode="External"/><Relationship Id="rId91" Type="http://schemas.openxmlformats.org/officeDocument/2006/relationships/hyperlink" Target="https://www.fastcompany.com/3065592/why-everyones-salary-should-be-revealed" TargetMode="External"/><Relationship Id="rId96" Type="http://schemas.openxmlformats.org/officeDocument/2006/relationships/hyperlink" Target="https://ec.europa.eu/info/publications/2020-commission-work-programme-key-documents_en" TargetMode="External"/><Relationship Id="rId140" Type="http://schemas.openxmlformats.org/officeDocument/2006/relationships/image" Target="media/image17.png"/><Relationship Id="rId145" Type="http://schemas.openxmlformats.org/officeDocument/2006/relationships/image" Target="media/image22.png"/><Relationship Id="rId161" Type="http://schemas.openxmlformats.org/officeDocument/2006/relationships/image" Target="media/image38.png"/><Relationship Id="rId166" Type="http://schemas.openxmlformats.org/officeDocument/2006/relationships/footer" Target="footer13.xml"/><Relationship Id="rId182" Type="http://schemas.openxmlformats.org/officeDocument/2006/relationships/header" Target="header20.xml"/><Relationship Id="rId187" Type="http://schemas.openxmlformats.org/officeDocument/2006/relationships/header" Target="header22.xml"/><Relationship Id="rId217" Type="http://schemas.openxmlformats.org/officeDocument/2006/relationships/footer" Target="footer32.xm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s://www.arbetsgivarverket.se/globalassets/avtal-skrifter/skrifter/bestawebb.pdf" TargetMode="External"/><Relationship Id="rId233" Type="http://schemas.openxmlformats.org/officeDocument/2006/relationships/theme" Target="theme/theme1.xml"/><Relationship Id="rId23" Type="http://schemas.openxmlformats.org/officeDocument/2006/relationships/hyperlink" Target="https://journals.sagepub.com/doi/abs/10.1177/0003122416683393" TargetMode="External"/><Relationship Id="rId28" Type="http://schemas.openxmlformats.org/officeDocument/2006/relationships/hyperlink" Target="https://journals.aom.org/doi/10.5465/amj.2012.0937" TargetMode="External"/><Relationship Id="rId49" Type="http://schemas.openxmlformats.org/officeDocument/2006/relationships/hyperlink" Target="https://www.wellesley.edu/sites/default/files/assets/departments/economics/files/shurchkoveckelchapter201705.pdf" TargetMode="External"/><Relationship Id="rId114" Type="http://schemas.openxmlformats.org/officeDocument/2006/relationships/header" Target="header8.xml"/><Relationship Id="rId119" Type="http://schemas.openxmlformats.org/officeDocument/2006/relationships/header" Target="header10.xml"/><Relationship Id="rId44" Type="http://schemas.openxmlformats.org/officeDocument/2006/relationships/hyperlink" Target="https://ideas.repec.org/p/ilo/ilowps/993995243402676.html" TargetMode="External"/><Relationship Id="rId60" Type="http://schemas.openxmlformats.org/officeDocument/2006/relationships/hyperlink" Target="https://igvm-iefh.belgium.be/sites/default/files/107_-_grossesse_au_travail_0.pdf" TargetMode="External"/><Relationship Id="rId65" Type="http://schemas.openxmlformats.org/officeDocument/2006/relationships/hyperlink" Target="https://home.kpmg/au/en/home/insights/2019/08/gender-pay-gap-economics.html" TargetMode="External"/><Relationship Id="rId81" Type="http://schemas.openxmlformats.org/officeDocument/2006/relationships/hyperlink" Target="https://www.eurofound.europa.eu/publications/blog/slow-start-for-gender-pay-transparency-in-germany" TargetMode="External"/><Relationship Id="rId86" Type="http://schemas.openxmlformats.org/officeDocument/2006/relationships/hyperlink" Target="https://www.sciencedirect.com/science/article/pii/S0007681317300356" TargetMode="External"/><Relationship Id="rId130" Type="http://schemas.openxmlformats.org/officeDocument/2006/relationships/image" Target="media/image7.png"/><Relationship Id="rId135" Type="http://schemas.openxmlformats.org/officeDocument/2006/relationships/image" Target="media/image12.png"/><Relationship Id="rId151" Type="http://schemas.openxmlformats.org/officeDocument/2006/relationships/image" Target="media/image28.png"/><Relationship Id="rId156" Type="http://schemas.openxmlformats.org/officeDocument/2006/relationships/image" Target="media/image33.png"/><Relationship Id="rId177" Type="http://schemas.openxmlformats.org/officeDocument/2006/relationships/footer" Target="footer16.xml"/><Relationship Id="rId198" Type="http://schemas.openxmlformats.org/officeDocument/2006/relationships/footer" Target="footer27.xml"/><Relationship Id="rId172" Type="http://schemas.openxmlformats.org/officeDocument/2006/relationships/image" Target="media/image43.png"/><Relationship Id="rId193" Type="http://schemas.openxmlformats.org/officeDocument/2006/relationships/header" Target="header25.xml"/><Relationship Id="rId202" Type="http://schemas.openxmlformats.org/officeDocument/2006/relationships/footer" Target="footer29.xml"/><Relationship Id="rId207" Type="http://schemas.openxmlformats.org/officeDocument/2006/relationships/hyperlink" Target="http://www.emploi.belgique.be/defaultTab.aspx?id=8486" TargetMode="External"/><Relationship Id="rId223" Type="http://schemas.openxmlformats.org/officeDocument/2006/relationships/footer" Target="footer35.xml"/><Relationship Id="rId228" Type="http://schemas.openxmlformats.org/officeDocument/2006/relationships/footer" Target="footer37.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ec.europa.eu/info/sites/info/files/equalpaygoodpractices.pdfhttps:/ec.europa.eu/info/sites/info/files/equalpaygoodpractices.pdf" TargetMode="External"/><Relationship Id="rId109" Type="http://schemas.openxmlformats.org/officeDocument/2006/relationships/footer" Target="footer4.xml"/><Relationship Id="rId34" Type="http://schemas.openxmlformats.org/officeDocument/2006/relationships/hyperlink" Target="https://www.journals.uchicago.edu/doi/pdf/10.1086/678494" TargetMode="External"/><Relationship Id="rId50" Type="http://schemas.openxmlformats.org/officeDocument/2006/relationships/hyperlink" Target="https://www.esri.ie/publications/who-experiences-discrimination-in-ireland-evidence-from-the-qnhs-equality-modules" TargetMode="External"/><Relationship Id="rId55" Type="http://schemas.openxmlformats.org/officeDocument/2006/relationships/hyperlink" Target="https://eige.europa.eu/publications/economic-benefits-gender-equality-european-union-how-closing-gender-gaps-labour-market-activity-and-pay-leads-economic?lang=en" TargetMode="External"/><Relationship Id="rId76" Type="http://schemas.openxmlformats.org/officeDocument/2006/relationships/hyperlink" Target="https://journals.sagepub.com/doi/10.1177/0730888417753048" TargetMode="External"/><Relationship Id="rId97" Type="http://schemas.openxmlformats.org/officeDocument/2006/relationships/hyperlink" Target="https://ec.europa.eu/info/law/better-regulation/initiatives/ares-2018-3415794_en" TargetMode="External"/><Relationship Id="rId104" Type="http://schemas.openxmlformats.org/officeDocument/2006/relationships/hyperlink" Target="https://gender-pay-gap.service.gov.uk" TargetMode="External"/><Relationship Id="rId120" Type="http://schemas.openxmlformats.org/officeDocument/2006/relationships/header" Target="header11.xml"/><Relationship Id="rId125" Type="http://schemas.openxmlformats.org/officeDocument/2006/relationships/image" Target="media/image2.png"/><Relationship Id="rId141" Type="http://schemas.openxmlformats.org/officeDocument/2006/relationships/image" Target="media/image18.png"/><Relationship Id="rId146" Type="http://schemas.openxmlformats.org/officeDocument/2006/relationships/image" Target="media/image23.png"/><Relationship Id="rId167" Type="http://schemas.openxmlformats.org/officeDocument/2006/relationships/footer" Target="footer14.xml"/><Relationship Id="rId188" Type="http://schemas.openxmlformats.org/officeDocument/2006/relationships/header" Target="header23.xml"/><Relationship Id="rId7" Type="http://schemas.microsoft.com/office/2007/relationships/stylesWithEffects" Target="stylesWithEffects.xml"/><Relationship Id="rId71" Type="http://schemas.openxmlformats.org/officeDocument/2006/relationships/hyperlink" Target="https://digitalcommons.ilr.cornell.edu/cgi/viewcontent.cgi?article=1304&amp;context=intl" TargetMode="External"/><Relationship Id="rId92" Type="http://schemas.openxmlformats.org/officeDocument/2006/relationships/hyperlink" Target="https://www.wgea.gov.au/data/wgea-research/gender-equitable-recruitment-and-promotion" TargetMode="External"/><Relationship Id="rId162" Type="http://schemas.openxmlformats.org/officeDocument/2006/relationships/image" Target="media/image39.png"/><Relationship Id="rId183" Type="http://schemas.openxmlformats.org/officeDocument/2006/relationships/footer" Target="footer19.xml"/><Relationship Id="rId213" Type="http://schemas.openxmlformats.org/officeDocument/2006/relationships/image" Target="media/image46.png"/><Relationship Id="rId218" Type="http://schemas.openxmlformats.org/officeDocument/2006/relationships/header" Target="header33.xml"/><Relationship Id="R99c8a6cb512647b0"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hyperlink" Target="https://doi.apa.org/doiLanding?doi=10.1037%2Fapl0000502" TargetMode="External"/><Relationship Id="rId24" Type="http://schemas.openxmlformats.org/officeDocument/2006/relationships/hyperlink" Target="https://journals.sagepub.com/doi/10.1177/0002764213503337" TargetMode="External"/><Relationship Id="rId40" Type="http://schemas.openxmlformats.org/officeDocument/2006/relationships/hyperlink" Target="https://www.aeaweb.org/articles/pdf/doi/10.1257/aer.102.6.2981" TargetMode="External"/><Relationship Id="rId45" Type="http://schemas.openxmlformats.org/officeDocument/2006/relationships/hyperlink" Target="https://ideas.repec.org/s/ilo/ilowps.html" TargetMode="External"/><Relationship Id="rId66" Type="http://schemas.openxmlformats.org/officeDocument/2006/relationships/hyperlink" Target="https://www.nber.org/papers/w18511" TargetMode="External"/><Relationship Id="rId87" Type="http://schemas.openxmlformats.org/officeDocument/2006/relationships/hyperlink" Target="https://www.cipd.co.uk/Images/reward-management_2017-focus-on-pay_tcm18-34496.pdf" TargetMode="External"/><Relationship Id="rId110" Type="http://schemas.openxmlformats.org/officeDocument/2006/relationships/footer" Target="footer5.xml"/><Relationship Id="rId115" Type="http://schemas.openxmlformats.org/officeDocument/2006/relationships/footer" Target="footer7.xml"/><Relationship Id="rId131" Type="http://schemas.openxmlformats.org/officeDocument/2006/relationships/image" Target="media/image8.png"/><Relationship Id="rId136" Type="http://schemas.openxmlformats.org/officeDocument/2006/relationships/image" Target="media/image13.png"/><Relationship Id="rId157" Type="http://schemas.openxmlformats.org/officeDocument/2006/relationships/image" Target="media/image34.png"/><Relationship Id="rId178" Type="http://schemas.openxmlformats.org/officeDocument/2006/relationships/footer" Target="footer17.xml"/><Relationship Id="rId61" Type="http://schemas.openxmlformats.org/officeDocument/2006/relationships/hyperlink" Target="DOI:%2010.5465/amj.2013.0721" TargetMode="External"/><Relationship Id="rId82" Type="http://schemas.openxmlformats.org/officeDocument/2006/relationships/hyperlink" Target="https://www.eurofound.europa.eu/observatories/eurwork/industrial-relations-dictionary/atypical-work" TargetMode="External"/><Relationship Id="rId152" Type="http://schemas.openxmlformats.org/officeDocument/2006/relationships/image" Target="media/image29.png"/><Relationship Id="rId173" Type="http://schemas.openxmlformats.org/officeDocument/2006/relationships/image" Target="media/image44.png"/><Relationship Id="rId194" Type="http://schemas.openxmlformats.org/officeDocument/2006/relationships/header" Target="header26.xml"/><Relationship Id="rId199" Type="http://schemas.openxmlformats.org/officeDocument/2006/relationships/header" Target="header28.xml"/><Relationship Id="rId203" Type="http://schemas.openxmlformats.org/officeDocument/2006/relationships/header" Target="header30.xml"/><Relationship Id="rId208" Type="http://schemas.openxmlformats.org/officeDocument/2006/relationships/hyperlink" Target="http://www.defenseurdesdroits.fr/sites/default/files/atoms/files/ddd_gui_20130301_discrimination_emploi_femme.pdf" TargetMode="External"/><Relationship Id="rId229" Type="http://schemas.openxmlformats.org/officeDocument/2006/relationships/footer" Target="footer38.xml"/><Relationship Id="rId19" Type="http://schemas.openxmlformats.org/officeDocument/2006/relationships/hyperlink" Target="https://www.researchgate.net/profile/Hasan-Al-Zubi/publication/49586560_A_Study_of_Relationship_between_Organizational_Justice_and_Job_Satisfaction/links/02e7e538793f09b836000000/A-Study-of-Relationship-between-Organizational-Justice-and-Job-Satisfaction.pdf" TargetMode="External"/><Relationship Id="rId224" Type="http://schemas.openxmlformats.org/officeDocument/2006/relationships/header" Target="header36.xml"/><Relationship Id="rId14" Type="http://schemas.openxmlformats.org/officeDocument/2006/relationships/header" Target="header2.xml"/><Relationship Id="rId30" Type="http://schemas.openxmlformats.org/officeDocument/2006/relationships/hyperlink" Target="http://publications.jrc.ec.europa.eu/repository/bitstream/JRC119785/productivity_in_europe_full.pdf" TargetMode="External"/><Relationship Id="rId35" Type="http://schemas.openxmlformats.org/officeDocument/2006/relationships/hyperlink" Target="https://ideas.repec.org/a/oup/qjecon/v133y2018i2p611-663.html" TargetMode="External"/><Relationship Id="rId56" Type="http://schemas.openxmlformats.org/officeDocument/2006/relationships/hyperlink" Target="https://ec.europa.eu/eurostat/web/products-statistical-working-papers/-/KS-TC-18-003?inheritRedirect=true" TargetMode="External"/><Relationship Id="rId77" Type="http://schemas.openxmlformats.org/officeDocument/2006/relationships/hyperlink" Target="https://op.europa.eu/en/publication-detail/-/publication/329c3e47-2bd8-11e7-9412-01aa75ed71a1/language-en" TargetMode="External"/><Relationship Id="rId100" Type="http://schemas.openxmlformats.org/officeDocument/2006/relationships/hyperlink" Target="https://ec.europa.eu/eurostat/web/products-datasets/-/SDG_05_20" TargetMode="External"/><Relationship Id="rId105" Type="http://schemas.openxmlformats.org/officeDocument/2006/relationships/hyperlink" Target="http://www.bbc.com/news/av/magazine-41516920/the-skills-calculator-closing-the-gender-pay-gap" TargetMode="External"/><Relationship Id="rId126" Type="http://schemas.openxmlformats.org/officeDocument/2006/relationships/image" Target="media/image3.png"/><Relationship Id="rId147" Type="http://schemas.openxmlformats.org/officeDocument/2006/relationships/image" Target="media/image24.png"/><Relationship Id="rId168" Type="http://schemas.openxmlformats.org/officeDocument/2006/relationships/header" Target="header15.xml"/><Relationship Id="rId8" Type="http://schemas.openxmlformats.org/officeDocument/2006/relationships/settings" Target="settings.xml"/><Relationship Id="rId51" Type="http://schemas.openxmlformats.org/officeDocument/2006/relationships/hyperlink" Target="https://www.etuc.org/en/circular/etuc-annual-gender-equality-survey-2019" TargetMode="External"/><Relationship Id="rId72" Type="http://schemas.openxmlformats.org/officeDocument/2006/relationships/hyperlink" Target="https://academic.oup.com/cje/article/39/2/299/1690664" TargetMode="External"/><Relationship Id="rId93" Type="http://schemas.openxmlformats.org/officeDocument/2006/relationships/hyperlink" Target="https://www.wgea.gov.au/sites/default/files/documents/2019-04-4%20International%20reporting%20schemes_Final_for_web_0.pdf" TargetMode="External"/><Relationship Id="rId98" Type="http://schemas.openxmlformats.org/officeDocument/2006/relationships/hyperlink" Target="https://ec.europa.eu/eurostat/web/products-statistical-working-papers/product/-/asset_publisher/DuuxBAj0uSCB/content/KS-TC-18-003" TargetMode="External"/><Relationship Id="rId121" Type="http://schemas.openxmlformats.org/officeDocument/2006/relationships/footer" Target="footer10.xml"/><Relationship Id="rId142" Type="http://schemas.openxmlformats.org/officeDocument/2006/relationships/image" Target="media/image19.png"/><Relationship Id="rId163" Type="http://schemas.openxmlformats.org/officeDocument/2006/relationships/image" Target="media/image40.png"/><Relationship Id="rId184" Type="http://schemas.openxmlformats.org/officeDocument/2006/relationships/footer" Target="footer20.xml"/><Relationship Id="rId189" Type="http://schemas.openxmlformats.org/officeDocument/2006/relationships/footer" Target="footer22.xml"/><Relationship Id="rId219" Type="http://schemas.openxmlformats.org/officeDocument/2006/relationships/footer" Target="footer33.xml"/><Relationship Id="rId3" Type="http://schemas.openxmlformats.org/officeDocument/2006/relationships/customXml" Target="../customXml/item3.xml"/><Relationship Id="rId214" Type="http://schemas.openxmlformats.org/officeDocument/2006/relationships/header" Target="header31.xml"/><Relationship Id="rId230" Type="http://schemas.openxmlformats.org/officeDocument/2006/relationships/header" Target="header39.xml"/><Relationship Id="rId25" Type="http://schemas.openxmlformats.org/officeDocument/2006/relationships/hyperlink" Target="https://hbr.org/2003/10/nice-girls-dont-ask" TargetMode="External"/><Relationship Id="rId46" Type="http://schemas.openxmlformats.org/officeDocument/2006/relationships/hyperlink" Target="https://www.jstor.org/stable/255040?seq=1" TargetMode="External"/><Relationship Id="rId67" Type="http://schemas.openxmlformats.org/officeDocument/2006/relationships/hyperlink" Target="https://www.boeckler.de/pdf/p_wsi_report_46e_2019.pdf" TargetMode="External"/><Relationship Id="rId116" Type="http://schemas.openxmlformats.org/officeDocument/2006/relationships/footer" Target="footer8.xml"/><Relationship Id="rId137" Type="http://schemas.openxmlformats.org/officeDocument/2006/relationships/image" Target="media/image14.png"/><Relationship Id="rId158" Type="http://schemas.openxmlformats.org/officeDocument/2006/relationships/image" Target="media/image35.png"/><Relationship Id="rId20" Type="http://schemas.openxmlformats.org/officeDocument/2006/relationships/hyperlink" Target="https://www.unilu.ch/fileadmin/fakultaeten/wf/institute/hrm/dok/Forschung/PayTransparency_IntReport.pdf" TargetMode="External"/><Relationship Id="rId41" Type="http://schemas.openxmlformats.org/officeDocument/2006/relationships/hyperlink" Target="https://doi.org/10.1287/orsc.2014.0950v" TargetMode="External"/><Relationship Id="rId62" Type="http://schemas.openxmlformats.org/officeDocument/2006/relationships/hyperlink" Target="https://ideas.repec.org/a/iza/izawol/journly2015n150.html" TargetMode="External"/><Relationship Id="rId83" Type="http://schemas.openxmlformats.org/officeDocument/2006/relationships/hyperlink" Target="https://www.sciencedirect.com/science/article/pii/S0007681317300356" TargetMode="External"/><Relationship Id="rId88" Type="http://schemas.openxmlformats.org/officeDocument/2006/relationships/hyperlink" Target="https://eige.europa.eu/news" TargetMode="External"/><Relationship Id="rId111" Type="http://schemas.openxmlformats.org/officeDocument/2006/relationships/header" Target="header6.xml"/><Relationship Id="rId132" Type="http://schemas.openxmlformats.org/officeDocument/2006/relationships/image" Target="media/image9.png"/><Relationship Id="rId153" Type="http://schemas.openxmlformats.org/officeDocument/2006/relationships/image" Target="media/image30.png"/><Relationship Id="rId174" Type="http://schemas.openxmlformats.org/officeDocument/2006/relationships/image" Target="media/image45.png"/><Relationship Id="rId179" Type="http://schemas.openxmlformats.org/officeDocument/2006/relationships/header" Target="header18.xml"/><Relationship Id="rId195" Type="http://schemas.openxmlformats.org/officeDocument/2006/relationships/footer" Target="footer25.xml"/><Relationship Id="rId209" Type="http://schemas.openxmlformats.org/officeDocument/2006/relationships/hyperlink" Target="http://www.eg-check.de" TargetMode="External"/><Relationship Id="R96ccc64caf364f24" Type="http://schemas.microsoft.com/office/2018/08/relationships/commentsExtensible" Target="commentsExtensible.xml"/><Relationship Id="rId190" Type="http://schemas.openxmlformats.org/officeDocument/2006/relationships/footer" Target="footer23.xml"/><Relationship Id="rId204" Type="http://schemas.openxmlformats.org/officeDocument/2006/relationships/footer" Target="footer30.xml"/><Relationship Id="rId220" Type="http://schemas.openxmlformats.org/officeDocument/2006/relationships/header" Target="header34.xml"/><Relationship Id="rId225" Type="http://schemas.openxmlformats.org/officeDocument/2006/relationships/footer" Target="footer36.xml"/><Relationship Id="rId15" Type="http://schemas.openxmlformats.org/officeDocument/2006/relationships/footer" Target="footer1.xml"/><Relationship Id="rId36" Type="http://schemas.openxmlformats.org/officeDocument/2006/relationships/hyperlink" Target="https://www.researchgate.net/profile/Tanja_Schwarzmueller/publication/281293093_Ensuring_equal_pay_and_equal_access_to_employment_through_gender-neutral_job_evaluation_and_classification/links/55e073d208ae6abe6e88d120/Ensuring-equal-pay-and-equal-access-to-employment-through-gender-neutral-job-evaluation-and-classification.pdf" TargetMode="External"/><Relationship Id="rId57" Type="http://schemas.openxmlformats.org/officeDocument/2006/relationships/hyperlink" Target="https://ideas.repec.org/p/bon/boncrc/crctr224_2020_194.html" TargetMode="External"/><Relationship Id="rId106" Type="http://schemas.openxmlformats.org/officeDocument/2006/relationships/hyperlink" Target="https://web.stanford.edu/dept/radiology/cgi-bin/raddiversity/wp-content/uploads/2017/12/TheAbrasivenessTrap.pdf" TargetMode="External"/><Relationship Id="rId127" Type="http://schemas.openxmlformats.org/officeDocument/2006/relationships/image" Target="media/image4.png"/><Relationship Id="rId10" Type="http://schemas.openxmlformats.org/officeDocument/2006/relationships/footnotes" Target="footnotes.xml"/><Relationship Id="rId31" Type="http://schemas.openxmlformats.org/officeDocument/2006/relationships/hyperlink" Target="https://www.nber.org/papers/w25435" TargetMode="External"/><Relationship Id="rId52" Type="http://schemas.openxmlformats.org/officeDocument/2006/relationships/hyperlink" Target="http://www.eurofound.europa.eu/pubdocs/2010/18/en/2/EF1018EN.pdf" TargetMode="External"/><Relationship Id="rId73" Type="http://schemas.openxmlformats.org/officeDocument/2006/relationships/hyperlink" Target="https://journals.sagepub.com/doi/10.1177/0950017012460314" TargetMode="External"/><Relationship Id="rId78" Type="http://schemas.openxmlformats.org/officeDocument/2006/relationships/hyperlink" Target="https://ideas.repec.org/p/zbw/vfsc19/203567.html" TargetMode="External"/><Relationship Id="rId94" Type="http://schemas.openxmlformats.org/officeDocument/2006/relationships/hyperlink" Target="https://hbr.org/2013/08/a-fairer-way-to-make-hiring-an" TargetMode="External"/><Relationship Id="rId99" Type="http://schemas.openxmlformats.org/officeDocument/2006/relationships/hyperlink" Target="https://www.ilo.org/global/about-the-ilo/multimedia/maps-and-charts/enhanced/WCMS_650829/lang--en/index.htm" TargetMode="External"/><Relationship Id="rId101" Type="http://schemas.openxmlformats.org/officeDocument/2006/relationships/hyperlink" Target="https://ec.europa.eu/info/policies/justice-and-fundamental-rights/gender-equality/gender-equality-strategy_en" TargetMode="External"/><Relationship Id="rId122" Type="http://schemas.openxmlformats.org/officeDocument/2006/relationships/footer" Target="footer11.xml"/><Relationship Id="rId143" Type="http://schemas.openxmlformats.org/officeDocument/2006/relationships/image" Target="media/image20.png"/><Relationship Id="rId148" Type="http://schemas.openxmlformats.org/officeDocument/2006/relationships/image" Target="media/image25.png"/><Relationship Id="rId164" Type="http://schemas.openxmlformats.org/officeDocument/2006/relationships/header" Target="header13.xml"/><Relationship Id="rId169" Type="http://schemas.openxmlformats.org/officeDocument/2006/relationships/footer" Target="footer15.xml"/><Relationship Id="rId185" Type="http://schemas.openxmlformats.org/officeDocument/2006/relationships/header" Target="header21.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footer" Target="footer18.xml"/><Relationship Id="rId210" Type="http://schemas.openxmlformats.org/officeDocument/2006/relationships/hyperlink" Target="http://www.loonwijzer.nl" TargetMode="External"/><Relationship Id="rId215" Type="http://schemas.openxmlformats.org/officeDocument/2006/relationships/header" Target="header32.xml"/><Relationship Id="rId26" Type="http://schemas.openxmlformats.org/officeDocument/2006/relationships/hyperlink" Target="https://www.nber.org/papers/w25834" TargetMode="External"/><Relationship Id="rId231" Type="http://schemas.openxmlformats.org/officeDocument/2006/relationships/footer" Target="footer39.xml"/><Relationship Id="rId47" Type="http://schemas.openxmlformats.org/officeDocument/2006/relationships/hyperlink" Target="https://www.hbs.edu/faculty/Publication%20Files/CPH-transparency-supplement_bbb31d5f-d1d2-43aa-aeca-31b551edd2b6.pdf" TargetMode="External"/><Relationship Id="rId68" Type="http://schemas.openxmlformats.org/officeDocument/2006/relationships/hyperlink" Target="https://papers.ssrn.com/sol3/papers.cfm?abstract_id=3008574" TargetMode="External"/><Relationship Id="rId89" Type="http://schemas.openxmlformats.org/officeDocument/2006/relationships/hyperlink" Target="https://ec.europa.eu/info/policies/justice-and-fundamental-rights/upholding-rule-law/eu-justice-scoreboard_en" TargetMode="External"/><Relationship Id="rId112" Type="http://schemas.openxmlformats.org/officeDocument/2006/relationships/footer" Target="footer6.xml"/><Relationship Id="rId133" Type="http://schemas.openxmlformats.org/officeDocument/2006/relationships/image" Target="media/image10.png"/><Relationship Id="rId154" Type="http://schemas.openxmlformats.org/officeDocument/2006/relationships/image" Target="media/image31.png"/><Relationship Id="rId175" Type="http://schemas.openxmlformats.org/officeDocument/2006/relationships/header" Target="header16.xml"/><Relationship Id="rId196" Type="http://schemas.openxmlformats.org/officeDocument/2006/relationships/footer" Target="footer26.xml"/><Relationship Id="rId200" Type="http://schemas.openxmlformats.org/officeDocument/2006/relationships/header" Target="header29.xml"/><Relationship Id="rId16" Type="http://schemas.openxmlformats.org/officeDocument/2006/relationships/footer" Target="footer2.xml"/><Relationship Id="rId221" Type="http://schemas.openxmlformats.org/officeDocument/2006/relationships/header" Target="header35.xml"/><Relationship Id="rId37" Type="http://schemas.openxmlformats.org/officeDocument/2006/relationships/hyperlink" Target="http://ftp.iza.org/dp13289.pdf" TargetMode="External"/><Relationship Id="rId58" Type="http://schemas.openxmlformats.org/officeDocument/2006/relationships/hyperlink" Target="https://www.ilo.org/wcmsp5/groups/public/---dgreports/---dcomm/---publ/documents/publication/wcms_650553.pdf" TargetMode="External"/><Relationship Id="rId79" Type="http://schemas.openxmlformats.org/officeDocument/2006/relationships/hyperlink" Target="http://econgrads.berkeley.edu/emilianohuet-vaughn/files/2012/11/JMP_e.pdf" TargetMode="External"/><Relationship Id="rId102" Type="http://schemas.openxmlformats.org/officeDocument/2006/relationships/hyperlink" Target="https://www.aauw.org/resources/article/black-women-and-the-pay-gap/" TargetMode="External"/><Relationship Id="rId123" Type="http://schemas.openxmlformats.org/officeDocument/2006/relationships/header" Target="header12.xml"/><Relationship Id="rId144" Type="http://schemas.openxmlformats.org/officeDocument/2006/relationships/image" Target="media/image21.png"/><Relationship Id="rId90" Type="http://schemas.openxmlformats.org/officeDocument/2006/relationships/hyperlink" Target="https://ec.europa.eu/growth/smes/business-friendly-environment/sme-definition" TargetMode="External"/><Relationship Id="rId165" Type="http://schemas.openxmlformats.org/officeDocument/2006/relationships/header" Target="header14.xml"/><Relationship Id="rId186" Type="http://schemas.openxmlformats.org/officeDocument/2006/relationships/footer" Target="footer21.xml"/><Relationship Id="rId211" Type="http://schemas.openxmlformats.org/officeDocument/2006/relationships/hyperlink" Target="http://www.kedvyrastiem.sk/vsetko-o-kampani" TargetMode="External"/><Relationship Id="rId232" Type="http://schemas.openxmlformats.org/officeDocument/2006/relationships/fontTable" Target="fontTable.xml"/><Relationship Id="rId27" Type="http://schemas.openxmlformats.org/officeDocument/2006/relationships/hyperlink" Target="https://psycnet.apa.org/doiLanding?doi=10.1037%2Fapl0000184" TargetMode="External"/><Relationship Id="rId48" Type="http://schemas.openxmlformats.org/officeDocument/2006/relationships/hyperlink" Target="https://link.springer.com/article/10.1007/s10672-014-9238-1" TargetMode="External"/><Relationship Id="rId69" Type="http://schemas.openxmlformats.org/officeDocument/2006/relationships/hyperlink" Target="https://www.emerald.com/insight/content/doi/10.1016/S0882-6145(08)25006-X/full/html" TargetMode="External"/><Relationship Id="rId113" Type="http://schemas.openxmlformats.org/officeDocument/2006/relationships/header" Target="header7.xml"/><Relationship Id="rId134" Type="http://schemas.openxmlformats.org/officeDocument/2006/relationships/image" Target="media/image11.png"/></Relationships>
</file>

<file path=word/_rels/footnotes.xml.rels><?xml version="1.0" encoding="UTF-8" standalone="yes"?>
<Relationships xmlns="http://schemas.openxmlformats.org/package/2006/relationships"><Relationship Id="rId26" Type="http://schemas.openxmlformats.org/officeDocument/2006/relationships/hyperlink" Target="doi:%2010.5465/amj.2013.0721" TargetMode="External"/><Relationship Id="rId117" Type="http://schemas.openxmlformats.org/officeDocument/2006/relationships/hyperlink" Target="https://papers.ssrn.com/sol3/papers.cfm?abstract_id=3008574" TargetMode="External"/><Relationship Id="rId21" Type="http://schemas.openxmlformats.org/officeDocument/2006/relationships/hyperlink" Target="https://www.ilo.org/wcmsp5/groups/public/---dgreports/---dcomm/---publ/documents/publication/wcms_650553.pdf" TargetMode="External"/><Relationship Id="rId42" Type="http://schemas.openxmlformats.org/officeDocument/2006/relationships/hyperlink" Target="https://timesofmalta.com/articles/view/woman-finds-male-colleagues-are-paid-500-more-per-month-investigation.668732" TargetMode="External"/><Relationship Id="rId47" Type="http://schemas.openxmlformats.org/officeDocument/2006/relationships/hyperlink" Target="https://www.glassdoor.com/research/app/uploads/sites/2/2015/04/GD_Report_2-2.pdf" TargetMode="External"/><Relationship Id="rId63" Type="http://schemas.openxmlformats.org/officeDocument/2006/relationships/hyperlink" Target="https://doi.org/10.1037/apl0000502" TargetMode="External"/><Relationship Id="rId68" Type="http://schemas.openxmlformats.org/officeDocument/2006/relationships/hyperlink" Target="https://eige.europa.eu/topics/health/covid-19-and-gender-equality" TargetMode="External"/><Relationship Id="rId84" Type="http://schemas.openxmlformats.org/officeDocument/2006/relationships/hyperlink" Target="https://www.crctr224.de/en/research-output/discussion-papers/archive/2020/DP194" TargetMode="External"/><Relationship Id="rId89" Type="http://schemas.openxmlformats.org/officeDocument/2006/relationships/hyperlink" Target="https://www.ebg.admin.ch/ebg/en/home/services/logib.html" TargetMode="External"/><Relationship Id="rId112" Type="http://schemas.openxmlformats.org/officeDocument/2006/relationships/hyperlink" Target="https://www.sciencedirect.com/science/article/pii/S0927537119300284?via%3Dihub" TargetMode="External"/><Relationship Id="rId16" Type="http://schemas.openxmlformats.org/officeDocument/2006/relationships/hyperlink" Target="https://digitalcommons.ilr.cornell.edu/cgi/viewcontent.cgi?article=1304&amp;context=intl." TargetMode="External"/><Relationship Id="rId107" Type="http://schemas.openxmlformats.org/officeDocument/2006/relationships/hyperlink" Target="https://ec.europa.eu/info/publications/eu-mutual-learning-programme-gender-equality-equal-pay-iceland-27-28-may-2019_en" TargetMode="External"/><Relationship Id="rId11" Type="http://schemas.openxmlformats.org/officeDocument/2006/relationships/hyperlink" Target="https://eur-lex.europa.eu/legal-content/GA/TXT/?uri=CELEX:52012PC0614" TargetMode="External"/><Relationship Id="rId32" Type="http://schemas.openxmlformats.org/officeDocument/2006/relationships/hyperlink" Target="https://www.ippr.org/files/2018-11/1542206529_the-fair-pay-report.pdf" TargetMode="External"/><Relationship Id="rId37" Type="http://schemas.openxmlformats.org/officeDocument/2006/relationships/hyperlink" Target="https://data.europa.eu/euodp/en/data/dataset/S2251_91_4_493_ENG" TargetMode="External"/><Relationship Id="rId53" Type="http://schemas.openxmlformats.org/officeDocument/2006/relationships/hyperlink" Target="https://doi.org/10.1111/j.2044-8325.2010.02008.x" TargetMode="External"/><Relationship Id="rId58" Type="http://schemas.openxmlformats.org/officeDocument/2006/relationships/hyperlink" Target="https://www.ilo.org/global/research/global-reports/global-wage-report/WCMS_650568/lang--en/index.htm" TargetMode="External"/><Relationship Id="rId74" Type="http://schemas.openxmlformats.org/officeDocument/2006/relationships/hyperlink" Target="https://ec.europa.eu/education/education-in-the-eu/council-recommendation-on-high-quality-early-childhood-education-and-care-systems_en" TargetMode="External"/><Relationship Id="rId79" Type="http://schemas.openxmlformats.org/officeDocument/2006/relationships/hyperlink" Target="https://www.ilo.org/wcmsp5/groups/public/@ed_norm/@declaration/documents/publication/wcms_decl_wp_27_en.pdf" TargetMode="External"/><Relationship Id="rId102" Type="http://schemas.openxmlformats.org/officeDocument/2006/relationships/hyperlink" Target="https://www.europarl.europa.eu/doceo/document/TA-7-2012-0225_EN.html" TargetMode="External"/><Relationship Id="rId123" Type="http://schemas.openxmlformats.org/officeDocument/2006/relationships/hyperlink" Target="https://www.europarl.europa.eu/RegData/etudes/etudes/join/2013/504469/IPOL-JOIN_ET(2013)504469_EN.pdf" TargetMode="External"/><Relationship Id="rId5" Type="http://schemas.openxmlformats.org/officeDocument/2006/relationships/hyperlink" Target="https://ec.europa.eu/commission/priorities/deeper-and-fairer-economic-and-monetary-union/european-pillar-social-rights/european-pillar-social-rights-20-principles_en" TargetMode="External"/><Relationship Id="rId61" Type="http://schemas.openxmlformats.org/officeDocument/2006/relationships/hyperlink" Target="https://ec.europa.eu/education/policy/strategic-framework/et-monitor_en" TargetMode="External"/><Relationship Id="rId82" Type="http://schemas.openxmlformats.org/officeDocument/2006/relationships/hyperlink" Target="https://wol.iza.org/articles/wage-compression-and-gender-pay-gap/long" TargetMode="External"/><Relationship Id="rId90" Type="http://schemas.openxmlformats.org/officeDocument/2006/relationships/hyperlink" Target="https://www.crctr224.de/en/research-output/discussion-papers/archive/2020/DP194" TargetMode="External"/><Relationship Id="rId95" Type="http://schemas.openxmlformats.org/officeDocument/2006/relationships/hyperlink" Target="https://www.europarl.europa.eu/RegData/etudes/STUD/2020/642379/IPOL_STU(2020)642379_EN.pdf" TargetMode="External"/><Relationship Id="rId19" Type="http://schemas.openxmlformats.org/officeDocument/2006/relationships/hyperlink" Target="https://www.bailii.org/ew/cases/EWCA/Civ/2019/44.html" TargetMode="External"/><Relationship Id="rId14" Type="http://schemas.openxmlformats.org/officeDocument/2006/relationships/hyperlink" Target="https://ec.europa.eu/info/sites/info/files/swd-2020-50_en.pdf%20" TargetMode="External"/><Relationship Id="rId22" Type="http://schemas.openxmlformats.org/officeDocument/2006/relationships/hyperlink" Target="https://www.ilo.org/wcmsp5/groups/public/---dgreports/---dcomm/---publ/documents/publication/wcms_650553.pdf" TargetMode="External"/><Relationship Id="rId27" Type="http://schemas.openxmlformats.org/officeDocument/2006/relationships/hyperlink" Target="https://www.weforum.org/reports/gender-gap-2020-report-100-years-pay-equality" TargetMode="External"/><Relationship Id="rId30" Type="http://schemas.openxmlformats.org/officeDocument/2006/relationships/hyperlink" Target="https://www.bmfsfj.de/blob/137224/79c7431772c314367059abc8a3242a%2055/bericht-der-br-foerderung-entgelttransparenz-data.pdf" TargetMode="External"/><Relationship Id="rId35" Type="http://schemas.openxmlformats.org/officeDocument/2006/relationships/hyperlink" Target="https://ec.europa.eu/info/law/better-regulation/have-your-say/initiatives/12114-Gender-equality-in-the-EU/public-consultation" TargetMode="External"/><Relationship Id="rId43" Type="http://schemas.openxmlformats.org/officeDocument/2006/relationships/hyperlink" Target="https://www.equalitylaw.eu/downloads/5002-national-cases-and-good-practices-on-equal-pay" TargetMode="External"/><Relationship Id="rId48" Type="http://schemas.openxmlformats.org/officeDocument/2006/relationships/hyperlink" Target="https://www.researchgate.net/publication/296869908_Nice_girls_don't_ask_-_Women_negotiate_less_than_men_-_and_everyone_pays_the_price" TargetMode="External"/><Relationship Id="rId56" Type="http://schemas.openxmlformats.org/officeDocument/2006/relationships/hyperlink" Target="https://ec.europa.eu/info/sites/info/files/equalpaygoodpractices.pdfhttps:/ec.europa.eu/info/sites/info/files/equalpaygoodpractices.pdf" TargetMode="External"/><Relationship Id="rId64" Type="http://schemas.openxmlformats.org/officeDocument/2006/relationships/hyperlink" Target="https://www.eurofound.europa.eu/publications/policy-brief/2020/women-and-labour-market-equality-has-covid-19-rolled-back-recent-gains" TargetMode="External"/><Relationship Id="rId69" Type="http://schemas.openxmlformats.org/officeDocument/2006/relationships/hyperlink" Target="https://ec.europa.eu/info/sites/info/files/2020mff_covid_recovery_factsheet.pdf" TargetMode="External"/><Relationship Id="rId77" Type="http://schemas.openxmlformats.org/officeDocument/2006/relationships/hyperlink" Target="https://equineteurope.org/2016/equinet-handbook-how-to-build-a-case-on-equal-pay" TargetMode="External"/><Relationship Id="rId100" Type="http://schemas.openxmlformats.org/officeDocument/2006/relationships/hyperlink" Target="https://www.europarl.europa.eu/RegData/etudes/etudes/join/2013/504469/IPOL-JOIN_ET(2013)504469_EN.pdf" TargetMode="External"/><Relationship Id="rId105" Type="http://schemas.openxmlformats.org/officeDocument/2006/relationships/hyperlink" Target="https://ec.europa.eu/info/law/better-regulation/initiatives/ares-2018-3415794/public-consultation_en" TargetMode="External"/><Relationship Id="rId113" Type="http://schemas.openxmlformats.org/officeDocument/2006/relationships/hyperlink" Target="https://onlinelibrary.wiley.com/doi/full/10.1111/j.0347-0520.2004.00376.x" TargetMode="External"/><Relationship Id="rId118" Type="http://schemas.openxmlformats.org/officeDocument/2006/relationships/hyperlink" Target="https://ideas.repec.org/a/oup/qjecon/v133y2018i2p611-663.html" TargetMode="External"/><Relationship Id="rId126" Type="http://schemas.openxmlformats.org/officeDocument/2006/relationships/hyperlink" Target="https://europa.eu/european-union/about-eu/eu-in-brief_en" TargetMode="External"/><Relationship Id="rId8" Type="http://schemas.openxmlformats.org/officeDocument/2006/relationships/hyperlink" Target="https://op.europa.eu/s/nFDB" TargetMode="External"/><Relationship Id="rId51" Type="http://schemas.openxmlformats.org/officeDocument/2006/relationships/hyperlink" Target="https://fra.europa.eu/en/publication/2014/eu-lgbt-survey-european-union-lesbian-gay-bisexual-and-transgender-survey-main" TargetMode="External"/><Relationship Id="rId72" Type="http://schemas.openxmlformats.org/officeDocument/2006/relationships/hyperlink" Target="https://eur-lex.europa.eu/legal-content/en/TXT/?uri=CELEX%3A32013H1224%2801%29" TargetMode="External"/><Relationship Id="rId80" Type="http://schemas.openxmlformats.org/officeDocument/2006/relationships/hyperlink" Target="http://cite.gov.pt/asstscite/downloads/guia_revalorizar_en.pdf" TargetMode="External"/><Relationship Id="rId85" Type="http://schemas.openxmlformats.org/officeDocument/2006/relationships/hyperlink" Target="https://www.eurofound.europa.eu/sites/default/files/wpef20021.pdf" TargetMode="External"/><Relationship Id="rId93" Type="http://schemas.openxmlformats.org/officeDocument/2006/relationships/hyperlink" Target="https://ec.europa.eu/info/law/better-regulation/have-your-say/initiatives/12548-Sustainable-corporate-governance" TargetMode="External"/><Relationship Id="rId98" Type="http://schemas.openxmlformats.org/officeDocument/2006/relationships/hyperlink" Target="https://www.europarl.europa.eu/doceo/document/TA-7-2012-0225_EN.html" TargetMode="External"/><Relationship Id="rId121" Type="http://schemas.openxmlformats.org/officeDocument/2006/relationships/hyperlink" Target="https://www.jstor.org/stable/255040?seq=1" TargetMode="External"/><Relationship Id="rId3" Type="http://schemas.openxmlformats.org/officeDocument/2006/relationships/hyperlink" Target="http://www.coe.int/en/web/conventions/full-list/-/conventions/treaty/163" TargetMode="External"/><Relationship Id="rId12" Type="http://schemas.openxmlformats.org/officeDocument/2006/relationships/hyperlink" Target="https://eur-lex.europa.eu/legal-content/EN/TXT/?uri=CELEX:52020PC0682" TargetMode="External"/><Relationship Id="rId17" Type="http://schemas.openxmlformats.org/officeDocument/2006/relationships/hyperlink" Target="https://www.ilo.org/dyn/normlex/en/f?p=NORMLEXPUB:12100:0::NO::P12100_ILO_CODE:C100" TargetMode="External"/><Relationship Id="rId25" Type="http://schemas.openxmlformats.org/officeDocument/2006/relationships/hyperlink" Target="https://ec.europa.eu/eurostat/data/database?node_code=lfsa_epgar" TargetMode="External"/><Relationship Id="rId33" Type="http://schemas.openxmlformats.org/officeDocument/2006/relationships/hyperlink" Target="https://ec.europa.eu/commfrontoffice/publicopinion/index.cfm/ResultDoc/download/DocumentKy/80678" TargetMode="External"/><Relationship Id="rId38" Type="http://schemas.openxmlformats.org/officeDocument/2006/relationships/hyperlink" Target="https://ec.europa.eu/commfrontoffice/publicopinion/index.cfm/ResultDoc/download/DocumentKy/80678" TargetMode="External"/><Relationship Id="rId46" Type="http://schemas.openxmlformats.org/officeDocument/2006/relationships/hyperlink" Target="https://www.nber.org/system/files/working_papers/w18511/w18511.pdf" TargetMode="External"/><Relationship Id="rId59" Type="http://schemas.openxmlformats.org/officeDocument/2006/relationships/hyperlink" Target="https://digitalcommons.ilr.cornell.edu/cgi/viewcontent.cgi?article=1304%20&amp;context%20=intl" TargetMode="External"/><Relationship Id="rId67" Type="http://schemas.openxmlformats.org/officeDocument/2006/relationships/hyperlink" Target="https://www.ilo.org/infostories/Stories/Discrimination/tackling-sex-discrimination-through-pay-equity" TargetMode="External"/><Relationship Id="rId103" Type="http://schemas.openxmlformats.org/officeDocument/2006/relationships/hyperlink" Target="https://ec.europa.eu/info/businesseconomy-euro/economic-and-fiscal-policy-coordination/eu-economic-governance-monitoring-prevention-correction/european-semester_en" TargetMode="External"/><Relationship Id="rId108" Type="http://schemas.openxmlformats.org/officeDocument/2006/relationships/hyperlink" Target="https://ec.europa.eu/info/sites/info/files/better-regulation-guidelines-impact-assessment.pdf" TargetMode="External"/><Relationship Id="rId116" Type="http://schemas.openxmlformats.org/officeDocument/2006/relationships/hyperlink" Target="https://papers.ssrn.com/sol3/papers.cfm?abstract_id=3519540" TargetMode="External"/><Relationship Id="rId124" Type="http://schemas.openxmlformats.org/officeDocument/2006/relationships/hyperlink" Target="https://equineteurope.org/2016/equinet-handbook-how-to-build-a-case-on-equal-pay/" TargetMode="External"/><Relationship Id="rId20" Type="http://schemas.openxmlformats.org/officeDocument/2006/relationships/hyperlink" Target="https://www.bailii.org/ew/cases/EWCA/Civ/2019/44.html" TargetMode="External"/><Relationship Id="rId41" Type="http://schemas.openxmlformats.org/officeDocument/2006/relationships/hyperlink" Target="https://www.lefigaro.fr/societes/une-entreprise-condamnee-a-payer-161-000-euros-a-une-ancienne-employee-pour-l-avoir-moins-payee-qu-un-homme-20191023" TargetMode="External"/><Relationship Id="rId54" Type="http://schemas.openxmlformats.org/officeDocument/2006/relationships/hyperlink" Target="https://www.weforum.org/agenda/2018/04/women-are-still-not-asking-for-pay-rises-here-s-why/" TargetMode="External"/><Relationship Id="rId62" Type="http://schemas.openxmlformats.org/officeDocument/2006/relationships/hyperlink" Target="https://www.cipd.co.uk/Images/reward-management_2017-focus-on-pay_tcm18-34496.pdf" TargetMode="External"/><Relationship Id="rId70" Type="http://schemas.openxmlformats.org/officeDocument/2006/relationships/hyperlink" Target="https://eur-lex.europa.eu/legal-content/EN/ALL/?uri=celex%3A32013H0426%2801%29" TargetMode="External"/><Relationship Id="rId75" Type="http://schemas.openxmlformats.org/officeDocument/2006/relationships/hyperlink" Target="https://www.europarl.europa.eu/doceo/document/TA-7-2012-0225_EN.html" TargetMode="External"/><Relationship Id="rId83" Type="http://schemas.openxmlformats.org/officeDocument/2006/relationships/hyperlink" Target="https://hbr.org/2015/10/most-people-have-no-idea-whether-theyre-paid-fairly" TargetMode="External"/><Relationship Id="rId88" Type="http://schemas.openxmlformats.org/officeDocument/2006/relationships/hyperlink" Target="https://gender-pay-gap.service.gov.uk" TargetMode="External"/><Relationship Id="rId91" Type="http://schemas.openxmlformats.org/officeDocument/2006/relationships/hyperlink" Target="https://www.etui.org/services/facts-figures/benchmarks/what-s-happening-to-collective-bargaining-in-europe" TargetMode="External"/><Relationship Id="rId96" Type="http://schemas.openxmlformats.org/officeDocument/2006/relationships/hyperlink" Target="https://op.europa.eu/en/publication-detail/-/publication/828e54d8-db2c-11e8-afb3-01aa75ed71a1/language-en/format-PDF/source-178531332" TargetMode="External"/><Relationship Id="rId111" Type="http://schemas.openxmlformats.org/officeDocument/2006/relationships/hyperlink" Target="https://www.wellesley.edu/sites/default/files/assets/departments/economics/files/shurchkoveckelchapter201705.pdf" TargetMode="External"/><Relationship Id="rId1" Type="http://schemas.openxmlformats.org/officeDocument/2006/relationships/hyperlink" Target="https://eur-lex.europa.eu/legal-content/EN/TXT/?uri=CELEX:32006L0054" TargetMode="External"/><Relationship Id="rId6" Type="http://schemas.openxmlformats.org/officeDocument/2006/relationships/hyperlink" Target="https://eur-lex.europa.eu/legal-content/EN/TXT/?uri=CELEX:32006L0054" TargetMode="External"/><Relationship Id="rId15" Type="http://schemas.openxmlformats.org/officeDocument/2006/relationships/hyperlink" Target="http://www.europarl.europa.eu/RegData/etudes/etudes/join/2013/504469/IPOL-JOIN_ET(2013)504469_EN.pdf" TargetMode="External"/><Relationship Id="rId23" Type="http://schemas.openxmlformats.org/officeDocument/2006/relationships/hyperlink" Target="https://ec.europa.eu/eurostat/statistics-explained/index.php/Gender_pay_gap_statistics" TargetMode="External"/><Relationship Id="rId28" Type="http://schemas.openxmlformats.org/officeDocument/2006/relationships/hyperlink" Target="https://jamstalldhetsfeministern.files.wordpress.com/2014/04/miljongranskningen_etapp2_nov2008.pdf" TargetMode="External"/><Relationship Id="rId36" Type="http://schemas.openxmlformats.org/officeDocument/2006/relationships/hyperlink" Target="https://ec.europa.eu/info/law/better-regulation/have-your-say/initiatives/1839-Evaluation-of-the-provisions-in-the-Directive-2006-54-EC-implementing-the-Treaty-principle-on-equal-pay-" TargetMode="External"/><Relationship Id="rId49" Type="http://schemas.openxmlformats.org/officeDocument/2006/relationships/hyperlink" Target="https://link.springer.com/content/pdf/10.1007/s10672-014-9238-1.pdf" TargetMode="External"/><Relationship Id="rId57" Type="http://schemas.openxmlformats.org/officeDocument/2006/relationships/hyperlink" Target="https://www.ilo.org/wcmsp5/groups/public/---dgreports/---dcomm/---publ/documents/publication/wcms_650553.pdf" TargetMode="External"/><Relationship Id="rId106" Type="http://schemas.openxmlformats.org/officeDocument/2006/relationships/hyperlink" Target="https://ec.europa.eu/info/law/better-regulation/initiatives/genderequalitybrp/public-consultation_en" TargetMode="External"/><Relationship Id="rId114" Type="http://schemas.openxmlformats.org/officeDocument/2006/relationships/hyperlink" Target="https://ideas.repec.org/p/zbw/vfsc19/203567.html" TargetMode="External"/><Relationship Id="rId119" Type="http://schemas.openxmlformats.org/officeDocument/2006/relationships/hyperlink" Target="https://psycnet.apa.org/doiLanding?doi=10.1037%2Fapl0000184" TargetMode="External"/><Relationship Id="rId10" Type="http://schemas.openxmlformats.org/officeDocument/2006/relationships/hyperlink" Target="https://ec.europa.eu/info/sites/info/files/swd-2020-50_en.pdf%20" TargetMode="External"/><Relationship Id="rId31" Type="http://schemas.openxmlformats.org/officeDocument/2006/relationships/hyperlink" Target="https://travail-emploi.gouv.fr/IMG/pdf/dp_egapro-ok-02-bd.pdf" TargetMode="External"/><Relationship Id="rId44" Type="http://schemas.openxmlformats.org/officeDocument/2006/relationships/hyperlink" Target="https://halshs.archives-ouvertes.fr/halshs-01340259/document" TargetMode="External"/><Relationship Id="rId52" Type="http://schemas.openxmlformats.org/officeDocument/2006/relationships/hyperlink" Target="https://ec.europa.eu/info/sites/info/files/swd-2020-50_en.pdf" TargetMode="External"/><Relationship Id="rId60" Type="http://schemas.openxmlformats.org/officeDocument/2006/relationships/hyperlink" Target="https://appsso.eurostat.ec.europa.eu/nui/show.do?query=BOOKMARK_DS-1125997_QID_1EB93EB6_UID_-3F171EB0&amp;layout=TIME,C,X,0;GEO,L,Y,0;AGE,L,Z,0;UNIT,L,Z,1;INDICATORS,C,Z,2;&amp;zSelection=DS-1125997AGE,Y_GE65;DS-1125997INDICATORS,OBS_FLAG;DS-1125997UNIT,AVG;&amp;rankName1=UNIT_1_2_-1_2&amp;rankName2=AGE_1_2_-1_2&amp;rankName3=INDICATORS_1_2_-1_2&amp;rankName4=TIME_1_0_0_0&amp;rankName5=GEO_1_2_0_1&amp;sortC=ASC_-1_FIRST&amp;rStp=&amp;cStp=&amp;rDCh=&amp;cDCh=&amp;rDM=true&amp;cDM=true&amp;footnes=false&amp;empty=false&amp;wai=false&amp;time_mode=ROLLING&amp;time_most_recent=true&amp;lang=EN&amp;cfo=%23%23%23%2C%23%23%23.%23%23%23" TargetMode="External"/><Relationship Id="rId65" Type="http://schemas.openxmlformats.org/officeDocument/2006/relationships/hyperlink" Target="https://ec.europa.eu/eurostat/statistics-explained/index.php?title=COVID-19_labour_effects_across%20_the_income_distribution" TargetMode="External"/><Relationship Id="rId73" Type="http://schemas.openxmlformats.org/officeDocument/2006/relationships/hyperlink" Target="https://eur-lex.europa.eu/legal-content/EN/TXT/?uri=uriserv:OJ.C_.2019.387.01.0001.01.ENG&amp;toc=OJ:C:2019:387:TOC" TargetMode="External"/><Relationship Id="rId78" Type="http://schemas.openxmlformats.org/officeDocument/2006/relationships/hyperlink" Target="https://www.payanalytics.com/faq" TargetMode="External"/><Relationship Id="rId81" Type="http://schemas.openxmlformats.org/officeDocument/2006/relationships/hyperlink" Target="https://builtin.com/recruiting/cost-of-turnover" TargetMode="External"/><Relationship Id="rId86" Type="http://schemas.openxmlformats.org/officeDocument/2006/relationships/hyperlink" Target="https://ec.europa.eu/info/sites/info/files/economy-finance/ip136_en_2.pdf" TargetMode="External"/><Relationship Id="rId94" Type="http://schemas.openxmlformats.org/officeDocument/2006/relationships/hyperlink" Target="https://ec.europa.eu/commission/presscorner/detail/en/ip_20_2021" TargetMode="External"/><Relationship Id="rId99" Type="http://schemas.openxmlformats.org/officeDocument/2006/relationships/hyperlink" Target="https://eige.europa.eu/topics/health/covid-19-and-gender-equality" TargetMode="External"/><Relationship Id="rId101" Type="http://schemas.openxmlformats.org/officeDocument/2006/relationships/hyperlink" Target="https://www.europarl.europa.eu/doceo/document/TA-7-2012-0225_EN.html" TargetMode="External"/><Relationship Id="rId122" Type="http://schemas.openxmlformats.org/officeDocument/2006/relationships/hyperlink" Target="http://www.bbc.com/news/av/magazine-41516920/the-skills-calculator-closing-the-gender-pay-gap" TargetMode="External"/><Relationship Id="rId4" Type="http://schemas.openxmlformats.org/officeDocument/2006/relationships/hyperlink" Target="https://www.europarl.europa.eu/doceo/document/A-9-2020-0183_EN.html" TargetMode="External"/><Relationship Id="rId9" Type="http://schemas.openxmlformats.org/officeDocument/2006/relationships/hyperlink" Target="https://eur-lex.europa.eu/legal-content/EN/TXT/?uri=COM:2020:152:FIN" TargetMode="External"/><Relationship Id="rId13" Type="http://schemas.openxmlformats.org/officeDocument/2006/relationships/hyperlink" Target="https://ec.europa.eu/info/law/better-regulation/have-your-say/initiatives/12548-Sustainable-corporate-governance" TargetMode="External"/><Relationship Id="rId18" Type="http://schemas.openxmlformats.org/officeDocument/2006/relationships/hyperlink" Target="https://ec.europa.eu/info/sites/info/files/equalpaygoodpractices.pdf" TargetMode="External"/><Relationship Id="rId39" Type="http://schemas.openxmlformats.org/officeDocument/2006/relationships/hyperlink" Target="https://igvm-iefh.belgium.be/sites/default/files/107_-_grossesse_au_travail_0.pdf" TargetMode="External"/><Relationship Id="rId109" Type="http://schemas.openxmlformats.org/officeDocument/2006/relationships/hyperlink" Target="https://taxfoundation.org/labor-tax-complexity-europe-2019/" TargetMode="External"/><Relationship Id="rId34" Type="http://schemas.openxmlformats.org/officeDocument/2006/relationships/hyperlink" Target="https://ec.europa.eu/info/law/better-regulation/have-your-say/initiatives/12098-Strengthening-the-principle-of-equal-pay-between-men-and-women-through-pay-transparency" TargetMode="External"/><Relationship Id="rId50" Type="http://schemas.openxmlformats.org/officeDocument/2006/relationships/hyperlink" Target="https://www.aauw.org/resources/article/black-women-and-the-pay-gap/" TargetMode="External"/><Relationship Id="rId55" Type="http://schemas.openxmlformats.org/officeDocument/2006/relationships/hyperlink" Target="https://ec.europa.eu/social/BlobServlet?docId=22982&amp;langId=en" TargetMode="External"/><Relationship Id="rId76" Type="http://schemas.openxmlformats.org/officeDocument/2006/relationships/hyperlink" Target="http://www.ebg.admin.ch/ebg/en/home/services/logib.html" TargetMode="External"/><Relationship Id="rId97" Type="http://schemas.openxmlformats.org/officeDocument/2006/relationships/hyperlink" Target="https://op.europa.eu/en/publication-detail/-/publication/828e54d8-db2c-11e8-afb3-01aa75ed71a1/" TargetMode="External"/><Relationship Id="rId104" Type="http://schemas.openxmlformats.org/officeDocument/2006/relationships/hyperlink" Target="https://www.wgea.gov.au/sites/default/files/documents/2019-04-4%20International%20reporting%20schemes_Final_for_web_0.pdf" TargetMode="External"/><Relationship Id="rId120" Type="http://schemas.openxmlformats.org/officeDocument/2006/relationships/hyperlink" Target="https://hbr.org/2015/10/most-people-have-no-idea-whether-theyre-paid-fairly" TargetMode="External"/><Relationship Id="rId125" Type="http://schemas.openxmlformats.org/officeDocument/2006/relationships/hyperlink" Target="https://eur-lex.europa.eu/legal-content/EN/TXT/HTML/?uri=CELEX:12016E/PRO/02&amp;from=EN" TargetMode="External"/><Relationship Id="rId7" Type="http://schemas.openxmlformats.org/officeDocument/2006/relationships/hyperlink" Target="https://ec.europa.eu/info/sites/info/files/com-2020-101_en.pdf" TargetMode="External"/><Relationship Id="rId71" Type="http://schemas.openxmlformats.org/officeDocument/2006/relationships/hyperlink" Target="https://eur-lex.europa.eu/legal-content/EN/TXT/?uri=uriserv%3AOJ.C_.2018.189.01.0001.01.ENG&amp;toc=OJ%3AC%3A2018%3A189%3ATOC" TargetMode="External"/><Relationship Id="rId92" Type="http://schemas.openxmlformats.org/officeDocument/2006/relationships/hyperlink" Target="https://ec.europa.eu/info/law/better-regulation/have-your-say/initiatives/12129-Revision-of-Non-Financial-" TargetMode="External"/><Relationship Id="rId2" Type="http://schemas.openxmlformats.org/officeDocument/2006/relationships/hyperlink" Target="https://eur-lex.europa.eu/legal-content/EN/TXT/?uri=CELEX%3A32014H0124" TargetMode="External"/><Relationship Id="rId29" Type="http://schemas.openxmlformats.org/officeDocument/2006/relationships/hyperlink" Target="https://ec.europa.eu/info/sites/info/%20files/aid_development_cooperation_fundamental_rights/mlp_summary_report_equal_pay_is_may_2019_en_1.pdf" TargetMode="External"/><Relationship Id="rId24" Type="http://schemas.openxmlformats.org/officeDocument/2006/relationships/hyperlink" Target="https://ec.europa.eu/eurostat/documents/3888793/8979317/KS-TC-18-003-EN-N.pdf/3a6c9295-5e66-4b79-b009-ea1604770676" TargetMode="External"/><Relationship Id="rId40" Type="http://schemas.openxmlformats.org/officeDocument/2006/relationships/hyperlink" Target="https://www.esri.ie/publications/who-experiences-discrimination-in-ireland-evidence-from-the-qnhs-equality-modules" TargetMode="External"/><Relationship Id="rId45" Type="http://schemas.openxmlformats.org/officeDocument/2006/relationships/hyperlink" Target="https://www.researchgate.net/publication/281293093_Ensuring_equal_pay_and_equal_access_to_employment_through_gender-neutral_job_evaluation_and_classification" TargetMode="External"/><Relationship Id="rId66" Type="http://schemas.openxmlformats.org/officeDocument/2006/relationships/hyperlink" Target="https://www.eurofound.europa.eu/observatories/eurwork/industrial-relations-dictionary/atypical-work" TargetMode="External"/><Relationship Id="rId87" Type="http://schemas.openxmlformats.org/officeDocument/2006/relationships/hyperlink" Target="https://ec.europa.eu/smart-regulation/impact/ia_carried_out/docs/ia_2014/swd_2014_0059_en.pdf" TargetMode="External"/><Relationship Id="rId110" Type="http://schemas.openxmlformats.org/officeDocument/2006/relationships/hyperlink" Target="http://ftp.iza.org/dp13289.pdf" TargetMode="External"/><Relationship Id="rId115" Type="http://schemas.openxmlformats.org/officeDocument/2006/relationships/hyperlink" Target="https://www.journals.uchicago.edu/doi/pdf/10.1086/6784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C_Collab_DocumentLanguage xmlns="724151e2-140d-4670-8684-77a651b4f52a">EN</EC_Collab_DocumentLanguage>
    <EC_Collab_Status xmlns="724151e2-140d-4670-8684-77a651b4f52a">Not Started</EC_Collab_Status>
    <_Status xmlns="http://schemas.microsoft.com/sharepoint/v3/fields">Not Started</_Status>
    <EC_Collab_Reference xmlns="724151e2-140d-4670-8684-77a651b4f52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17A1C524D8DBC041BAC361A7FA0BC3BA" ma:contentTypeVersion="0" ma:contentTypeDescription="Create a new document in this library." ma:contentTypeScope="" ma:versionID="472184d01dc63c2631f13a6db2b93dd8">
  <xsd:schema xmlns:xsd="http://www.w3.org/2001/XMLSchema" xmlns:xs="http://www.w3.org/2001/XMLSchema" xmlns:p="http://schemas.microsoft.com/office/2006/metadata/properties" xmlns:ns2="http://schemas.microsoft.com/sharepoint/v3/fields" xmlns:ns3="724151e2-140d-4670-8684-77a651b4f52a" targetNamespace="http://schemas.microsoft.com/office/2006/metadata/properties" ma:root="true" ma:fieldsID="2be522cebc4dc708207e7baaea01d0b1" ns2:_="" ns3:_="">
    <xsd:import namespace="http://schemas.microsoft.com/sharepoint/v3/fields"/>
    <xsd:import namespace="724151e2-140d-4670-8684-77a651b4f52a"/>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724151e2-140d-4670-8684-77a651b4f52a"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DFD0D41E-EB79-478D-85CB-D30468550EA3}">
  <ds:schemaRefs>
    <ds:schemaRef ds:uri="http://purl.org/dc/terms/"/>
    <ds:schemaRef ds:uri="http://schemas.openxmlformats.org/package/2006/metadata/core-properties"/>
    <ds:schemaRef ds:uri="http://purl.org/dc/dcmitype/"/>
    <ds:schemaRef ds:uri="http://schemas.microsoft.com/office/infopath/2007/PartnerControls"/>
    <ds:schemaRef ds:uri="724151e2-140d-4670-8684-77a651b4f52a"/>
    <ds:schemaRef ds:uri="http://schemas.microsoft.com/office/2006/documentManagement/types"/>
    <ds:schemaRef ds:uri="http://schemas.microsoft.com/office/2006/metadata/properties"/>
    <ds:schemaRef ds:uri="http://schemas.microsoft.com/sharepoint/v3/fields"/>
    <ds:schemaRef ds:uri="http://www.w3.org/XML/1998/namespace"/>
    <ds:schemaRef ds:uri="http://purl.org/dc/elements/1.1/"/>
  </ds:schemaRefs>
</ds:datastoreItem>
</file>

<file path=customXml/itemProps2.xml><?xml version="1.0" encoding="utf-8"?>
<ds:datastoreItem xmlns:ds="http://schemas.openxmlformats.org/officeDocument/2006/customXml" ds:itemID="{57706782-40C7-48E8-9600-581D66F52D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724151e2-140d-4670-8684-77a651b4f5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A1DAA4-9066-454F-BE20-31C0AE9414B9}">
  <ds:schemaRefs>
    <ds:schemaRef ds:uri="http://schemas.microsoft.com/sharepoint/v3/contenttype/forms"/>
  </ds:schemaRefs>
</ds:datastoreItem>
</file>

<file path=customXml/itemProps4.xml><?xml version="1.0" encoding="utf-8"?>
<ds:datastoreItem xmlns:ds="http://schemas.openxmlformats.org/officeDocument/2006/customXml" ds:itemID="{80CEEA47-AC9E-46C5-93F3-9E1C79523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68637</Words>
  <Characters>374076</Characters>
  <Application>Microsoft Office Word</Application>
  <DocSecurity>0</DocSecurity>
  <Lines>9591</Lines>
  <Paragraphs>4974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437739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15</cp:revision>
  <dcterms:created xsi:type="dcterms:W3CDTF">2021-02-28T11:44:00Z</dcterms:created>
  <dcterms:modified xsi:type="dcterms:W3CDTF">2021-03-03T13:56:00Z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Level of sensitivity">
    <vt:lpwstr>Standard treatment</vt:lpwstr>
  </property>
  <property fmtid="{D5CDD505-2E9C-101B-9397-08002B2CF9AE}" pid="5" name="CPTemplateID">
    <vt:lpwstr>CP-026</vt:lpwstr>
  </property>
  <property fmtid="{D5CDD505-2E9C-101B-9397-08002B2CF9AE}" pid="6" name="IsMyDocuments">
    <vt:bool>true</vt:bool>
  </property>
  <property fmtid="{D5CDD505-2E9C-101B-9397-08002B2CF9AE}" pid="7" name="DocStatus">
    <vt:lpwstr>Green</vt:lpwstr>
  </property>
  <property fmtid="{D5CDD505-2E9C-101B-9397-08002B2CF9AE}" pid="8" name="_LW_INVALIDATED__LW_INVALIDATED__LW_INVALIDATED__LW_INVALIDATED__LW_INVALIDATED__LW_INVALIDATED__LW_INVALIDATED__LW_INVALIDATED__LW_INVALIDATED__LW_INVALIDATED__LW_INVALIDATED__LW_INVALIDATED__LW_INVALIDATED__LW_INVALIDATED__LW_INVALIDATED__LW_INVALIDATED">
    <vt:lpwstr>0x010100258AA79CEB83498886A3A086811232500017A1C524D8DBC041BAC361A7FA0BC3BA</vt:lpwstr>
  </property>
  <property fmtid="{D5CDD505-2E9C-101B-9397-08002B2CF9AE}" pid="9" name="Last edited using">
    <vt:lpwstr>LW 7.0, Build 20190717</vt:lpwstr>
  </property>
  <property fmtid="{D5CDD505-2E9C-101B-9397-08002B2CF9AE}" pid="10" name="_LW_INVALIDATED__LW_INVALIDATED__LW_INVALIDATED__LW_INVALIDATED__LW_INVALIDATED__LW_INVALIDATED__LW_INVALIDATED__LW_INVALIDATED__LW_INVALIDATED__LW_INVALIDATED_ContentTypeId">
    <vt:lpwstr>0x010100258AA79CEB83498886A3A086811232500017A1C524D8DBC041BAC361A7FA0BC3BA</vt:lpwstr>
  </property>
  <property fmtid="{D5CDD505-2E9C-101B-9397-08002B2CF9AE}" pid="11" name="_LW_INVALIDATED__LW_INVALIDATED__LW_INVALIDATED_ContentTypeId">
    <vt:lpwstr>0x010100258AA79CEB83498886A3A086811232500017A1C524D8DBC041BAC361A7FA0BC3BA</vt:lpwstr>
  </property>
</Properties>
</file>